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Arial" w:hAnsi="Arial" w:cs="Arial" w:eastAsia="Arial"/>
          <w:b/>
          <w:color w:val="auto"/>
          <w:spacing w:val="0"/>
          <w:position w:val="0"/>
          <w:sz w:val="24"/>
          <w:shd w:fill="auto" w:val="clear"/>
        </w:rPr>
      </w:pPr>
      <w:r>
        <w:object w:dxaOrig="1579" w:dyaOrig="1579">
          <v:rect xmlns:o="urn:schemas-microsoft-com:office:office" xmlns:v="urn:schemas-microsoft-com:vml" id="rectole0000000000" style="width:78.950000pt;height:78.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Arial" w:hAnsi="Arial" w:cs="Arial" w:eastAsia="Arial"/>
          <w:b/>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Universidad de Palermo</w:t>
      </w:r>
    </w:p>
    <w:p>
      <w:pPr>
        <w:tabs>
          <w:tab w:val="left" w:pos="508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Master en Dirección de Empresas</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Tesis para optar al grado de Máster de la Universidad de Palermo en Dirección de Empresas</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PROPUESTA DE MEJORA DEL PROCESO DE ELABORACIÓN DE DOCUMENTACIÓN TÉCNICA EN TECHINT E&amp;C, BUENOS AIRES, ARGENTINA</w:t>
      </w:r>
    </w:p>
    <w:p>
      <w:pPr>
        <w:spacing w:before="0" w:after="0" w:line="240"/>
        <w:ind w:right="0" w:left="0" w:firstLine="0"/>
        <w:jc w:val="center"/>
        <w:rPr>
          <w:rFonts w:ascii="Times New Roman" w:hAnsi="Times New Roman" w:cs="Times New Roman" w:eastAsia="Times New Roman"/>
          <w:b/>
          <w:color w:val="auto"/>
          <w:spacing w:val="0"/>
          <w:position w:val="0"/>
          <w:sz w:val="28"/>
          <w:u w:val="single"/>
          <w:shd w:fill="auto" w:val="clear"/>
        </w:rPr>
      </w:pPr>
    </w:p>
    <w:p>
      <w:pPr>
        <w:spacing w:before="0" w:after="0" w:line="240"/>
        <w:ind w:right="0" w:left="-2127"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tabs>
          <w:tab w:val="center" w:pos="4153" w:leader="none"/>
        </w:tabs>
        <w:spacing w:before="0" w:after="0" w:line="240"/>
        <w:ind w:right="0" w:left="0" w:firstLine="0"/>
        <w:jc w:val="left"/>
        <w:rPr>
          <w:rFonts w:ascii="Times New Roman" w:hAnsi="Times New Roman" w:cs="Times New Roman" w:eastAsia="Times New Roman"/>
          <w:b/>
          <w:color w:val="00B05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Tesista: Ing. Alexander FUGUET</w:t>
      </w:r>
    </w:p>
    <w:p>
      <w:pPr>
        <w:tabs>
          <w:tab w:val="center" w:pos="4153"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center" w:pos="4153" w:leader="none"/>
        </w:tabs>
        <w:spacing w:before="0" w:after="0" w:line="240"/>
        <w:ind w:right="0" w:left="0" w:firstLine="0"/>
        <w:jc w:val="left"/>
        <w:rPr>
          <w:rFonts w:ascii="Times New Roman" w:hAnsi="Times New Roman" w:cs="Times New Roman" w:eastAsia="Times New Roman"/>
          <w:b/>
          <w:color w:val="00B05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e-mail: alexander_fuguet@hotmail.com</w:t>
      </w:r>
    </w:p>
    <w:p>
      <w:pPr>
        <w:tabs>
          <w:tab w:val="center" w:pos="4153"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center" w:pos="4153" w:leader="none"/>
        </w:tabs>
        <w:spacing w:before="0" w:after="0" w:line="240"/>
        <w:ind w:right="0" w:left="0" w:firstLine="0"/>
        <w:jc w:val="left"/>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shd w:fill="auto" w:val="clear"/>
        </w:rPr>
        <w:t xml:space="preserve">Perfil de LinkedIn: </w:t>
      </w:r>
      <w:hyperlink xmlns:r="http://schemas.openxmlformats.org/officeDocument/2006/relationships" r:id="docRId2">
        <w:r>
          <w:rPr>
            <w:rFonts w:ascii="Times New Roman" w:hAnsi="Times New Roman" w:cs="Times New Roman" w:eastAsia="Times New Roman"/>
            <w:b/>
            <w:color w:val="0000FF"/>
            <w:spacing w:val="0"/>
            <w:position w:val="0"/>
            <w:sz w:val="28"/>
            <w:u w:val="single"/>
            <w:shd w:fill="auto" w:val="clear"/>
          </w:rPr>
          <w:t xml:space="preserve">https://my.linkedin.com/in/alexander-fuguet-130382</w:t>
        </w:r>
      </w:hyperlink>
    </w:p>
    <w:p>
      <w:pPr>
        <w:tabs>
          <w:tab w:val="center" w:pos="4153" w:leader="none"/>
        </w:tabs>
        <w:spacing w:before="0" w:after="0" w:line="240"/>
        <w:ind w:right="0" w:left="0" w:firstLine="0"/>
        <w:jc w:val="left"/>
        <w:rPr>
          <w:rFonts w:ascii="Times New Roman" w:hAnsi="Times New Roman" w:cs="Times New Roman" w:eastAsia="Times New Roman"/>
          <w:b/>
          <w:color w:val="00B05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B05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Legajo: 0070798</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B05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Director de tesis: Mg. Jorge Almada </w:t>
      </w:r>
    </w:p>
    <w:p>
      <w:pPr>
        <w:spacing w:before="0" w:after="0" w:line="240"/>
        <w:ind w:right="0" w:left="0" w:firstLine="0"/>
        <w:jc w:val="center"/>
        <w:rPr>
          <w:rFonts w:ascii="Times New Roman" w:hAnsi="Times New Roman" w:cs="Times New Roman" w:eastAsia="Times New Roman"/>
          <w:b/>
          <w:color w:val="auto"/>
          <w:spacing w:val="0"/>
          <w:position w:val="0"/>
          <w:sz w:val="28"/>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2022</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Buenos Aires – Argentina</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EVALUACIÓN DEL COMITÉ</w:t>
      </w:r>
    </w:p>
    <w:p>
      <w:pPr>
        <w:spacing w:before="0" w:after="0" w:line="240"/>
        <w:ind w:right="0" w:left="0" w:firstLine="0"/>
        <w:jc w:val="center"/>
        <w:rPr>
          <w:rFonts w:ascii="Arial" w:hAnsi="Arial" w:cs="Arial" w:eastAsia="Arial"/>
          <w:b/>
          <w:color w:val="auto"/>
          <w:spacing w:val="0"/>
          <w:position w:val="0"/>
          <w:sz w:val="28"/>
          <w:shd w:fill="auto" w:val="clear"/>
        </w:rPr>
      </w:pPr>
    </w:p>
    <w:p>
      <w:pPr>
        <w:spacing w:before="0" w:after="0" w:line="240"/>
        <w:ind w:right="0" w:left="0" w:firstLine="0"/>
        <w:jc w:val="center"/>
        <w:rPr>
          <w:rFonts w:ascii="Arial" w:hAnsi="Arial" w:cs="Arial" w:eastAsia="Arial"/>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333333"/>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AGRADECIMIENTOS</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Dios, por ayudarme a no decaer y seguir hacia adelante.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RESUMEN</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propósito de esta investigación es poner en práctica los conocimientos de Lean Engineering y mejoramiento de procesos aplicado al mercado de empresas de Ingeniería, apalancándose en una empresa de amplia trayectoria como lo es TECHINT E&amp;C en la cual su aplicación beneficiará no solo en entrega de documentos de técnicos de buena calidad y en tiempo record, sino servirá de ejemplo para las demás filiales del Grupo TECHINT para que las demás empresas copien el modelo y con ello sean más eficientes y rentables.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keepNext w:val="true"/>
        <w:keepLines w:val="true"/>
        <w:spacing w:before="480" w:after="1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grupo TECHINT es un grupo empresario multinacional, caracterizado por ser el mayor productor de acero en Argentina y el mayor productor mundial de tubos sin costura. El mismo lo conforman una serie de empresas que han hecho de este grupo el líder en las áreas de petróleo, gas, minería, entre muchas otras. De este grupo se desprende TECHINT Ingeniería y Construcción (TECHINT E&amp;C) la cual posee 15 mil empleados a nivel mundial y más de 75 años de experiencia desarrollando soluciones competitivas para proyectos complejos.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base central de TECHINT E&amp;C es en Buenos Aires, es allí donde se desarrollan los procesos principales que las demás sedes deberán seguir. Por ello la importancia de que estos procesos sean eficientes y así garantizar la calidad y competitividad en el mercado.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TECHINT E&amp;C tiene a su vez distintos departamentos divididos según su función, entre ellos el área diseño de ingeniería, el cual consiste en desarrollar una serie de documentación técnica como planos, memorias de cálculo, especificaciones técnicas entre otros tipos de entregables que posteriormente serán enviadas al cliente externo con el fin de que el mismo valide la información y la apruebe técnicamente. El ciclo vida de un documento técnico desde su primer envío al cliente puede llevar en promedio unas 4 revisiones comentadas antes de que su ciclo de emisión termine siendo aprobado por el cliente, dependiendo de varios factores como lo son: nivel de detalle de ingeniería que el proyecto demande, calidad entregada e información disponible para el momento de la emisión.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Actualmente cuando un ingeniero inicia el proceso de elaboración de un documento técnico debe buscar en otros proyectos documentación similar que le pueda servir de ayuda, sin embargo, muchas veces esta documentación no es controlada y puede arrastrar errores de un documento a otro. Adicionalmente los ingenieros no hacen revisión cruzada para verificar que todos lo que debiera estar en ese documento se encuentre correctamente detallado.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tanto, esta investigación pretende evaluar el proceso de elaboración actual de esta documentación utilizando diferentes herramientas como lo son los reportes de observaciones que envían los clientes por proyecto, el tiempo de emisión de la documentación, se observará como proceden regularmente a iniciar los trabajos para luego documentarlo en un Value Stream Mapping (VSM). Posteriormente se identificarán los puntos de mejora para así crear y publicar un proceso de gestión de documentación técnica típica que pueda servir de guía para cualquier ingeniero pueda iniciar una elaboración desde cero. Asimismo, el proceso de gestión de información contendrá procedimientos de elaboración basados en diagramas de flujo.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Pregunta de investigación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FF0000"/>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implementación de una mejora en el proceso de elaboración técnica ayudaría a aumentar la calidad de la ingeniería sin comprometer los tiempos de entrega?</w:t>
      </w: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 general</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Realizar una propuesta de mejora del proceso de elaboración de documentación técnica en TECHINT E&amp;C.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Objetivos específicos: </w:t>
      </w:r>
    </w:p>
    <w:p>
      <w:pPr>
        <w:numPr>
          <w:ilvl w:val="0"/>
          <w:numId w:val="30"/>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Identificar cuellos de botella e ineficiencias en proceso actual del desarrollo de documentación de ingeniería</w:t>
      </w:r>
    </w:p>
    <w:p>
      <w:pPr>
        <w:numPr>
          <w:ilvl w:val="0"/>
          <w:numId w:val="30"/>
        </w:numPr>
        <w:spacing w:before="0" w:after="200" w:line="276"/>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Realizar un proceso de gestión de documentación depurado y horizontal.</w:t>
      </w:r>
    </w:p>
    <w:p>
      <w:pPr>
        <w:numPr>
          <w:ilvl w:val="0"/>
          <w:numId w:val="30"/>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Analizar el impacto de la implementación de este proceso en la cultura empresarial de TECHINT E&amp;C</w:t>
      </w:r>
    </w:p>
    <w:p>
      <w:pPr>
        <w:numPr>
          <w:ilvl w:val="0"/>
          <w:numId w:val="30"/>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Analizar las ventajas de utilizar este proceso en las distintas sedes de forma que se pueda trabajar remotamente bajo el mismo esquema de entrega. </w:t>
      </w: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Hipótesis:</w:t>
      </w:r>
    </w:p>
    <w:p>
      <w:pPr>
        <w:spacing w:before="0" w:after="0" w:line="240"/>
        <w:ind w:right="0" w:left="0" w:firstLine="0"/>
        <w:jc w:val="both"/>
        <w:rPr>
          <w:rFonts w:ascii="Times New Roman" w:hAnsi="Times New Roman" w:cs="Times New Roman" w:eastAsia="Times New Roman"/>
          <w:b/>
          <w:color w:val="00B05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creación y aplicación de un proceso eficiente de elaboración de documentación técnica en TECHINT E&amp;C podrá asegurar la calidad en la entrega final del entregable y acortará los tiempos de trabajo resultando más competitivos.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Diseño metodológico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investigación tendrá un enfoque mayormente cuantitativo. En su alcance, será exploratoria y descriptiva, se tomará un pequeño grupo del personal de ingeniería perteneciente al departamento de Electricidad e Instrumentación de la sede de Buenos Aires como objeto de estudio y se tomarán datos, se analizarán y se obtendrán resultados aprovechando la experiencia del investigador en el know-how de otras empresas del mismo rubro. Dentro del objeto de estudio no estará el sujeto investigador, el mismo se identificará como un agente externo a la realidad observada y declara no interferir como participante.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Asimismo, de las investigaciones cualitativas se decidió agregar la entrevista semiestructurada al personal de gerencia encargado, como herramienta para reforzar la búsqueda de información.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al proceso metodológico, esta investigación propone:</w:t>
      </w:r>
    </w:p>
    <w:p>
      <w:pPr>
        <w:numPr>
          <w:ilvl w:val="0"/>
          <w:numId w:val="4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Establecer objetivos de la investigación;</w:t>
      </w:r>
    </w:p>
    <w:p>
      <w:pPr>
        <w:numPr>
          <w:ilvl w:val="0"/>
          <w:numId w:val="4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Formular del problema orientado a establecer relaciones causales o funcionales;</w:t>
      </w:r>
    </w:p>
    <w:p>
      <w:pPr>
        <w:numPr>
          <w:ilvl w:val="0"/>
          <w:numId w:val="4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Identificar el objeto de estudio;</w:t>
      </w:r>
    </w:p>
    <w:p>
      <w:pPr>
        <w:numPr>
          <w:ilvl w:val="0"/>
          <w:numId w:val="4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Establecer variables y categorías de análisis.</w:t>
      </w:r>
    </w:p>
    <w:p>
      <w:pPr>
        <w:numPr>
          <w:ilvl w:val="0"/>
          <w:numId w:val="4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Formular la hipótesis de tipo empírica, de esta manera, este tipo de investigación puede describirse como hipotético-deductivo. Se construye una hipótesis y se procurará demostrarla a partir del levantamiento de datos cuantitativos, recolectados por medio de la observación directa a los objetos de estudio. Asimismo, se analizarán fuentes secundarias como reportes de observaciones del cliente. </w:t>
      </w:r>
    </w:p>
    <w:p>
      <w:pPr>
        <w:spacing w:before="0" w:after="0" w:line="360"/>
        <w:ind w:right="0" w:left="720" w:firstLine="0"/>
        <w:jc w:val="both"/>
        <w:rPr>
          <w:rFonts w:ascii="Times New Roman" w:hAnsi="Times New Roman" w:cs="Times New Roman" w:eastAsia="Times New Roman"/>
          <w:color w:val="FF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usará el VSM como método para la evaluación. </w:t>
      </w:r>
    </w:p>
    <w:p>
      <w:pPr>
        <w:spacing w:before="0" w:after="0" w:line="360"/>
        <w:ind w:right="0" w:left="0" w:firstLine="0"/>
        <w:jc w:val="left"/>
        <w:rPr>
          <w:rFonts w:ascii="Times New Roman" w:hAnsi="Times New Roman" w:cs="Times New Roman" w:eastAsia="Times New Roman"/>
          <w:b/>
          <w:color w:val="FF0000"/>
          <w:spacing w:val="0"/>
          <w:position w:val="0"/>
          <w:sz w:val="24"/>
          <w:shd w:fill="auto" w:val="clear"/>
        </w:rPr>
      </w:pP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p>
    <w:p>
      <w:pPr>
        <w:spacing w:before="0" w:after="0" w:line="360"/>
        <w:ind w:right="0" w:left="720" w:hanging="720"/>
        <w:jc w:val="both"/>
        <w:rPr>
          <w:rFonts w:ascii="Arial" w:hAnsi="Arial" w:cs="Arial" w:eastAsia="Arial"/>
          <w:b/>
          <w:color w:val="FF0000"/>
          <w:spacing w:val="0"/>
          <w:position w:val="0"/>
          <w:sz w:val="24"/>
          <w:shd w:fill="auto" w:val="clear"/>
        </w:rPr>
      </w:pPr>
      <w:r>
        <w:rPr>
          <w:rFonts w:ascii="Arial" w:hAnsi="Arial" w:cs="Arial" w:eastAsia="Arial"/>
          <w:b/>
          <w:color w:val="FF0000"/>
          <w:spacing w:val="0"/>
          <w:position w:val="0"/>
          <w:sz w:val="24"/>
          <w:shd w:fill="auto" w:val="clear"/>
        </w:rPr>
        <w:t xml:space="preserve"> </w:t>
      </w:r>
    </w:p>
    <w:p>
      <w:pPr>
        <w:spacing w:before="0" w:after="0" w:line="240"/>
        <w:ind w:right="0" w:left="0" w:firstLine="0"/>
        <w:jc w:val="both"/>
        <w:rPr>
          <w:rFonts w:ascii="Arial" w:hAnsi="Arial" w:cs="Arial" w:eastAsia="Arial"/>
          <w:color w:val="FF0000"/>
          <w:spacing w:val="0"/>
          <w:position w:val="0"/>
          <w:sz w:val="24"/>
          <w:shd w:fill="auto" w:val="clear"/>
        </w:rPr>
      </w:pPr>
    </w:p>
    <w:p>
      <w:pPr>
        <w:keepNext w:val="true"/>
        <w:keepLines w:val="true"/>
        <w:spacing w:before="480" w:after="1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1: MARCO TEÓRICO</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quieres entender algo, descríbelo, descríbelo a través de mapas. Una vez que lo describes lo podrás medir, una vez que lo midas lo podrás controlar, una vez que lo controles lo podrás corregir si está mal o mejorar si está bien o incorporar algo nuevo y creativo con tal de obtener tus objetivos “.   Rummler G. y Brache A. (2012).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marco teórico que sustenta esta investigación, se basa en el principio de Lean Manufacturing o también llamada Manufactura Esbelta, enfocada en minimizar las pérdidas de los sistemas de manufactura al mismo tiempo que maximiza la creación de valor para el cliente final. La herramienta principal a utilizar será la de mapa de flujo de valor (VSM) tomando algunos conceptos de La Quinta Disciplina de Peter Senge.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49"/>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Mapeo de procesos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Brieño (2015) describe el mapeo como un conjunto de gráficos que dan sentido a una organización donde se determinan todas las actividades a diferentes niveles, siempre orientados un objetivo general como lo es satisfacer el cliente, siempre de la manera más rentable para la empresa. El Mapeo de procesos se utiliza para automatizar un proceso o bien mejorar, rediseñar o diseñarlo como nuevo. Se enfoca que trabajar mejor y más eficiente, no en trabajar más.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51"/>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Tipos de mapas o diagramas: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Brieño (2015) expresa que en líneas generales se pueden clasificar en 3 grandes grupos:</w:t>
      </w:r>
    </w:p>
    <w:p>
      <w:pPr>
        <w:numPr>
          <w:ilvl w:val="0"/>
          <w:numId w:val="5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Mapa de relaciones: relaciona áreas o diferentes funciones de una organización.</w:t>
      </w:r>
    </w:p>
    <w:p>
      <w:pPr>
        <w:numPr>
          <w:ilvl w:val="0"/>
          <w:numId w:val="5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Mapa interdisciplinario: relaciona áreas de conocimiento teórico/prácticos dentro de la organización. Sirven para indicar el flujo de la organización.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5"/>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Mapa de flujo:  lo conforman actividades dentro de los procesos dentro de la organización. Siendo la actividad la unidad del proceso, y el proceso un conjunto de actividades que trasforman entradas (o eventos) en salidas de forma similar a como funciona un algoritmo.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su libro, Brieño describe de forma general los componentes de mapa de procesos: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realizan con gráficos de diagramas de flujo que muestran la secuencia del proceso de forma visual.</w:t>
      </w:r>
    </w:p>
    <w:p>
      <w:pPr>
        <w:numPr>
          <w:ilvl w:val="0"/>
          <w:numId w:val="5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Todos los procesos inician con un evento que los desencadena o un disparador, por ejemplo: en una fabrica la producción inicia a las 9 am. </w:t>
      </w:r>
    </w:p>
    <w:p>
      <w:pPr>
        <w:numPr>
          <w:ilvl w:val="0"/>
          <w:numId w:val="5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Todos tienen al menos una salida (un resultado).</w:t>
      </w:r>
    </w:p>
    <w:p>
      <w:pPr>
        <w:numPr>
          <w:ilvl w:val="0"/>
          <w:numId w:val="5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Esa salida se debe entregar al menos a un cliente (interno/externo) de forma oficial para su revisión o aprobación final. </w:t>
      </w:r>
    </w:p>
    <w:p>
      <w:pPr>
        <w:numPr>
          <w:ilvl w:val="0"/>
          <w:numId w:val="5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Puede ser medido a través de la retroalimentación.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59"/>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Mapa de flujo de valor (VSM) enfocado a procesos de Ingeniería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Brieño (2015) resalta que existen muchas metodologías utilizadas para el mapeo de procesos, la diferencia entre aplicar una u otra dependerá de que tan fácil se puedan describir los procesos de una manera sencilla y que le sea de un claro entendimiento a los responsables por ejecutarlos.  Usualmente la definición de la metodología radica en el tipo de procesos a mapear, los cuales se clasifican en 2 grandes grupos: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6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Procesos de servicios y procesos administrativos donde el resultado final es un servicio o un producto intangible: En estos casos se usan mapeos del tipo Business Process Modelling and Notation (BPMN) o Business Process Explanation Expanded (BPEE) entre otros.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6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Procesos de manufactura donde el resultado final es un producto físico, como el mapeo de flujo de valor (VSM) utilizado en Lean Manufacturing.</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Según Brieño, el VSM identifica en la cadena de valor aquellas actividades que son importantes, es decir, aquellas que son imprescindibles en el proceso, y a su vez identifica aquellas que no generan valor agregado transformándose en un gasto innecesario de tiempo y por lo tanto de dinero, asimismo resalta aquellas tareas que podrían generar mejores resultados si se optimizan aún más.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otra parte, en relación al VSM enfocado a los procesos de Ingeniería, la consultora australiana TXM especializada en Lean Manufacturing, describe como debe ser aplicado el VSM al flujo de procesos de Ingeniería. La misma sostiene que l</w:t>
      </w:r>
      <w:r>
        <w:rPr>
          <w:rFonts w:ascii="Cambria" w:hAnsi="Cambria" w:cs="Cambria" w:eastAsia="Cambria"/>
          <w:color w:val="auto"/>
          <w:spacing w:val="0"/>
          <w:position w:val="0"/>
          <w:sz w:val="24"/>
          <w:shd w:fill="auto" w:val="clear"/>
        </w:rPr>
        <w:t xml:space="preserve">a naturaleza de hacer un producto personalizado es que los productos generalmente deben pasar por una fase de ingeniería y especificación antes de comenzar la fabricación. Esto a menudo implica cotización, diseño y configuración del producto, elaboración de listas de materiales y planos de canalizaciones, desarrollo de planos de detalle y preparación de documentación de calidad. Desafortunadamente, en muchos casos, estos procesos de ingeniería pueden llevar más tiempo que el proceso de fabricación real y el tiempo de espera puede ser impredecible. Si bien, en el mejor de los casos durante la fabricación física de un producto se podría disponer software sofisticado de planificación y seguimiento de trabajos y a su vez, se realiza seguimiento de lo que está sucediendo en los flujos de producción, estos controles rara vez existen en el departamento de ingeniería. </w:t>
      </w: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TXM resalta la diferencia en el “producto final¨ de Ingeniería en comparación con el de un proceso de manufactura: El proceso de comprender su proceso de ingeniería es muy similar a comprender su proceso de producción. Necesita mapear el proceso usando un mapa de flujo de valor (VSM),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 embargo, existen algunas diferencias sutiles. En primer lugar, un mapa de flujo de valor típico tiene flujos de información y productos. La ingeniería maneja la información, no existe un producto físico en la mayoría de los casos. Por lo tanto, se define el "producto" como la información de diseño. A partir de una especificación o dibujo del cliente, este "producto" se transformará gradualmente en un conjunto de dibujos, cálculos y documentos que permitan fabricar el producto físico. Por lo tanto, el valor agregado se define como procesos que transforman los datos iniciales del cliente en una forma que se puede utilizar para producir el producto.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TXM recalca</w:t>
      </w:r>
      <w:r>
        <w:rPr>
          <w:rFonts w:ascii="Cambria" w:hAnsi="Cambria" w:cs="Cambria" w:eastAsia="Cambria"/>
          <w:color w:val="auto"/>
          <w:spacing w:val="0"/>
          <w:position w:val="0"/>
          <w:sz w:val="24"/>
          <w:shd w:fill="auto" w:val="clear"/>
        </w:rPr>
        <w:t xml:space="preserve"> que el </w:t>
      </w:r>
      <w:r>
        <w:rPr>
          <w:rFonts w:ascii="Times New Roman" w:hAnsi="Times New Roman" w:cs="Times New Roman" w:eastAsia="Times New Roman"/>
          <w:color w:val="auto"/>
          <w:spacing w:val="0"/>
          <w:position w:val="0"/>
          <w:sz w:val="24"/>
          <w:shd w:fill="auto" w:val="clear"/>
        </w:rPr>
        <w:t xml:space="preserve">concepto de Lean Manufacturing (originalmente enfocado en procesos de manufactura) es recientemente aplicado al entorno de oficina Lean; sin embargo, los participantes en la implementación de Lean Office enfrentan más dificultades debido a una mayor variación en los procesos de la oficina, menos información básica para los participantes y la falta de referencias en la literatura.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Asimismo, la consultora menciona que en casos de procedimientos Lean en oficina se debe considerar los siguientes conceptos: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Tiempo de espera (tE):</w:t>
      </w:r>
      <w:r>
        <w:rPr>
          <w:rFonts w:ascii="Times New Roman" w:hAnsi="Times New Roman" w:cs="Times New Roman" w:eastAsia="Times New Roman"/>
          <w:color w:val="auto"/>
          <w:spacing w:val="0"/>
          <w:position w:val="0"/>
          <w:sz w:val="24"/>
          <w:shd w:fill="auto" w:val="clear"/>
        </w:rPr>
        <w:t xml:space="preserve"> el tiempo que transcurre desde que inicia un proceso hasta que termina.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Tiempo de procesamiento (tP):</w:t>
      </w:r>
      <w:r>
        <w:rPr>
          <w:rFonts w:ascii="Times New Roman" w:hAnsi="Times New Roman" w:cs="Times New Roman" w:eastAsia="Times New Roman"/>
          <w:color w:val="auto"/>
          <w:spacing w:val="0"/>
          <w:position w:val="0"/>
          <w:sz w:val="24"/>
          <w:shd w:fill="auto" w:val="clear"/>
        </w:rPr>
        <w:t xml:space="preserve"> tiempo que transcurre en la actividad a realizar propiamente dicha. A menos que el personal realice exclusivamente y de forma repetitiva una misma actividad (por ejemplo, revisión de facturas, contabilidad, entre otras) se considera que el tP es parte del tE para el personal que trabaja en procesos de Ingeniería ya que las actividades que realiza el personal puede realizar varias actividades dentro de su función.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65"/>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Diferencias entre Lean Manufacturing y Lean Office</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TMX describe una oficina lean como un lugar donde el desperdicio es eliminado para ofrecer a los clientes internos y externos un mejor servicio.  La reducción del volumen de trabajo en curso, flujo continuo, o estandarización son algunos ejemplos que habitualmente incorporamos en los proyectos de mejora en entornos administrativos. A pesar de que hay muchas semejanzas con entornos industriales, hay algunas diferencias que debo resaltar para que se realice una adecuada transformación de su oficina hacia una oficina lean.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comparar los procesos de manufactura en una fábrica y los procesos administrativos en una oficina, TMX resalta que en el contexto de fabricación los despilfarros son visibles y pueden ser cuantificados más fácilmente. Por ejemplo, es muy fácil identificar la cantidad de Work In Progress (WIP) disponible en la planta de fabricación. Por otro lado, en la oficina es difícil identificar la cantidad del trabajo pendiente que cada puesto de trabajo tiene, y además el trabajo de la oficina involucra y relaciona a la vez a muchas personas en actividades comunes. Esta es la principal diferencia que hace difícil evaluar el problema y por lo tanto proponer la solución.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Asimismo, la consultora TMX también resalta “que la cultura en la oficina suele ser diferente de la cultura de fabricación, es más informal por naturaleza. Esto hace que definir los roles en el trabajo y asignar las responsabilidades en la mejora sea más difícil. Pero por otro lado el contexto para llevar a cabo los cambios en una oficina es más fácil comparado con un ambiente de fabricación. Los cambios físicos a desarrollar son menores tanto para el equipo de la oficina como para los procesos. La transformación se puede desarrollar por pasos, y la formación es más sencilla. Esto hace más fácil dirigir los cambios y monitorizar los resultados fácilmente.”</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numPr>
          <w:ilvl w:val="0"/>
          <w:numId w:val="67"/>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Procedimiento de mapeo: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Brieño (2015) resume los pasos necesarios para llevar a cabo el mapeo de procesos: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Etapa de Preparación y Planeación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Paso 1:  Preparación y Planeación general</w:t>
      </w:r>
    </w:p>
    <w:p>
      <w:pPr>
        <w:numPr>
          <w:ilvl w:val="0"/>
          <w:numId w:val="6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Alinear con los objetivos estratégicos de la organización (enfoque).</w:t>
      </w:r>
    </w:p>
    <w:p>
      <w:pPr>
        <w:numPr>
          <w:ilvl w:val="0"/>
          <w:numId w:val="6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Obtener el compromiso de los niveles directivos </w:t>
      </w:r>
    </w:p>
    <w:p>
      <w:pPr>
        <w:numPr>
          <w:ilvl w:val="0"/>
          <w:numId w:val="6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Identificar a los involucrados clave</w:t>
      </w:r>
    </w:p>
    <w:p>
      <w:pPr>
        <w:numPr>
          <w:ilvl w:val="0"/>
          <w:numId w:val="6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Definir tiempos y recursos necesarios para realizar el mapeo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Paso 2. Definir las reglas del juego</w:t>
      </w:r>
    </w:p>
    <w:p>
      <w:pPr>
        <w:numPr>
          <w:ilvl w:val="0"/>
          <w:numId w:val="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Definir metodología</w:t>
      </w:r>
    </w:p>
    <w:p>
      <w:pPr>
        <w:numPr>
          <w:ilvl w:val="0"/>
          <w:numId w:val="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Definir niveles de mapeo</w:t>
      </w:r>
    </w:p>
    <w:p>
      <w:pPr>
        <w:numPr>
          <w:ilvl w:val="0"/>
          <w:numId w:val="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Desarrollar manual de convenciones donde se paute la metodología a utilizar, la simbología, Glosario de términos y cada uno de los elementos que se encontrarán en el mapeo.</w:t>
      </w:r>
    </w:p>
    <w:p>
      <w:pPr>
        <w:numPr>
          <w:ilvl w:val="0"/>
          <w:numId w:val="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Capacitar a los involucrados sobre el proceso de mapeo, tanto los participantes como el equipo que se encargará de mapear.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Paso 3: Plan de trabajo</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Elaborar plan de trabajo en forma de diagrama de Gant donde se colocarán las actividades más importantes que se desarrollarán, posteriormente ese plan de trabajo será el programa de trabajo a seguir.</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participantes deberán comprometerse con al menos 15% de su tiempo para poder aportar al proceso de mapeo.</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Establecer un plan de comunicación, políticas y reglas del proyecto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Paso 4:  Preparación del modelado</w:t>
      </w:r>
    </w:p>
    <w:p>
      <w:pPr>
        <w:numPr>
          <w:ilvl w:val="0"/>
          <w:numId w:val="75"/>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Preparar el modelado.</w:t>
      </w:r>
    </w:p>
    <w:p>
      <w:pPr>
        <w:numPr>
          <w:ilvl w:val="0"/>
          <w:numId w:val="75"/>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Confirmar con los involucrados la participación</w:t>
      </w:r>
    </w:p>
    <w:p>
      <w:pPr>
        <w:numPr>
          <w:ilvl w:val="0"/>
          <w:numId w:val="75"/>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Agendar reuniones y entrevistas</w:t>
      </w:r>
    </w:p>
    <w:p>
      <w:pPr>
        <w:numPr>
          <w:ilvl w:val="0"/>
          <w:numId w:val="75"/>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Preparar logística para entrevistas, talleres y reuniones, determinar una minuta para cada reunión.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Etapa de Modelado</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Paso 5. Recopilar información y mapear procesos</w:t>
      </w:r>
    </w:p>
    <w:p>
      <w:pPr>
        <w:numPr>
          <w:ilvl w:val="0"/>
          <w:numId w:val="7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Llevar a cabo las actividades conforme al plan de trabajo establecido. Primeramente, se identifica la fuente de recopilación de información, bien sea a través de un equipo compuesto por los ejecutores de los procesos en el cual se extrae información, o bien a través de la autogeneración de información basada en la experiencia. Una vez identificada la fuente se hace uso de las diferentes técnicas para recopilar información, entre ellas se tienen:</w:t>
      </w:r>
    </w:p>
    <w:p>
      <w:pPr>
        <w:numPr>
          <w:ilvl w:val="0"/>
          <w:numId w:val="7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uso de cuestionarios y entrevistas con preguntas cerradas y semi-abiertas.</w:t>
      </w:r>
    </w:p>
    <w:p>
      <w:pPr>
        <w:numPr>
          <w:ilvl w:val="0"/>
          <w:numId w:val="7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Trazabilidad: comenzar desde la salida del proceso y su última actividad hasta la primera (de atrás hacia adelante) y a partir de ahí regresar a la salida integrando accesorios. </w:t>
      </w:r>
    </w:p>
    <w:p>
      <w:pPr>
        <w:numPr>
          <w:ilvl w:val="0"/>
          <w:numId w:val="7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Llenar un formato para capturar ideas, recomendaciones y sugerencias de mejora. </w:t>
      </w:r>
    </w:p>
    <w:p>
      <w:pPr>
        <w:numPr>
          <w:ilvl w:val="0"/>
          <w:numId w:val="7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 otros. </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Adicionalmente:</w:t>
      </w:r>
    </w:p>
    <w:p>
      <w:pPr>
        <w:numPr>
          <w:ilvl w:val="0"/>
          <w:numId w:val="8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mapea en softwares o suites especializados </w:t>
      </w:r>
    </w:p>
    <w:p>
      <w:pPr>
        <w:numPr>
          <w:ilvl w:val="0"/>
          <w:numId w:val="8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Evaluar participación de los involucrados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esta investigación se utilizará el conocimiento propio del investigador como método para recabar información, el mismo está basado en más de 15 años de experiencia desarrollando Ingeniería de proyectos. De igual forma las diferentes empresas por las que ha trabajado le permiten establecer diferencias y oportunidades de mejora que podrán ser aplicadas en TECHINT.</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Etapa de validación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Paso 6: Clausura y seguimiento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8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Confirmar con los involucrados claves los mapas realizados.</w:t>
      </w:r>
    </w:p>
    <w:p>
      <w:pPr>
        <w:numPr>
          <w:ilvl w:val="0"/>
          <w:numId w:val="8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Validar con los patrocinadores los mapas</w:t>
      </w:r>
    </w:p>
    <w:p>
      <w:pPr>
        <w:numPr>
          <w:ilvl w:val="0"/>
          <w:numId w:val="8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Establecer formalmente el modelo mapeado (Stated Map)</w:t>
      </w:r>
    </w:p>
    <w:p>
      <w:pPr>
        <w:numPr>
          <w:ilvl w:val="0"/>
          <w:numId w:val="8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Establecer seguimiento con los indicadores de gestión.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figura 1 sintetiza los pasos descritos anteriormente.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9091" w:dyaOrig="3320">
          <v:rect xmlns:o="urn:schemas-microsoft-com:office:office" xmlns:v="urn:schemas-microsoft-com:vml" id="rectole0000000001" style="width:454.550000pt;height:166.0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1. Procedimiento de mapeo</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keepNext w:val="true"/>
        <w:keepLines w:val="true"/>
        <w:numPr>
          <w:ilvl w:val="0"/>
          <w:numId w:val="85"/>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Alcance del mapeo de procesos: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Brieño (2015) indica que hay 5 niveles de procesos que involucran el mapeo: El nivel más general es el llamado Macro Proceso, donde se obtiene el organigrama de la empresa, las funciones y la dirección con la parte administrativa como procesos de soporte o infraestructura mostrando la cadena de valor.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Posteriormente, Brieño describe los 4 siguientes niveles siendo los procesos, subprocesos, procedimientos y actividades que involucran de forma general hasta lo más específico la información necesaria para obtener el producto final bajo las especificaciones del cliente y alineado con las expectativas de calidad y tiempo de la compañía.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nivel más detallado es el de las actividades, es en este nivel donde puede ser necesario la creación de instructivos operativos para poder describir una actividad que es clave para que el proceso tenga los resultados que espera tener.  Ver figura 2: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5304" w:dyaOrig="3259">
          <v:rect xmlns:o="urn:schemas-microsoft-com:office:office" xmlns:v="urn:schemas-microsoft-com:vml" id="rectole0000000002" style="width:265.200000pt;height:162.9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2. Niveles generales de mapeo</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91"/>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Límite del mapeo de procesos actuales (As 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Brieño recomienda que cuando se refiere a mapeo de procesos reales tal y como son (As is) se analice desde el nivel de subprocesos y los procedimientos, describiendo de forma general que entra y que sale.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93"/>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Límite del mapeo de procesos mejorados (To be used):</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Cuando se refiere a mapeo de modelos rediseñados u optimizados. Brieño recomienda que se debe llegar a los procedimientos y se describen las actividades, y si se encuentran actividades que se deban describir claramente se deberá llegar incluso hasta instructivos operativos de forma que se asegure que la tarea está correctamente explicada y sin dar lugar a dudas.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el autor recalca que el grado de profundidad con el cual se deberá llegar en el procedimiento de mapeo dependerá del nivel socio académico del personal que ejecuta los procesos, es decir, mientras menor sea el nivel socio-académico mayor es el grado de detalle de lo que se tiene que describir, en caso contrario donde el nivel socio-académico es mayor probablemente no será necesario llegar a instructivos operativos. Sin embargo, bajo cualquier situación no debe haber ambigüedades en los procedimientos de forma que se asegure la calidad sin importar el nivel hasta donde se decida mapear.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Considerando lo anteriormente expuesto, esta investigación tomará como objeto de estudio los niveles de procedimientos y actividades concernientes al desarrollo de documentación técnica de la empresa TECHINT E&amp;C. Asimismo, los procedimientos son ejecutados por ingenieros, los cuales poseen un nivel socio-académico acorde a las tareas desempeñadas.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95"/>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Principales errores que se cometen durante el desarrollo del mapeo: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Brieño (2015) recopila las 4 causas principales por las cuales algunos mapeos no llegan a cumplir con su función principal de ofrecer una mejora al proceso estudiado, las cuales se resumen a continuación:</w:t>
      </w:r>
    </w:p>
    <w:p>
      <w:pPr>
        <w:numPr>
          <w:ilvl w:val="0"/>
          <w:numId w:val="9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Cada quien puede tener una perspectiva distinta de cómo debe ser el mapeo. Para solucionarlo, el autor sugiere que el mapeo del proceso debe ser acordado entre las partes involucradas a fin de establecer la secuencia de tareas a realizar siempre y cuando estén alineados con las políticas del cliente externo/interno.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9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los casos en los que el proceso ya existe, no se parte del modelado de la situación actual real (As is) sino que se omite y se pretende realizar el mapeo desde cero. Se debe captar en un mapeo de procesos el estado de la situación actual con el fin de poder evaluar, detectar las inconsistencias y desperdicios en el proceso y así proceder a mejorarlo. Tampoco se debe incluir en el mapeo de la situación actual las buenas ideas u oportunidades de mejora que se vean a simple vista porque hace irreal el ejercicio.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0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establecer una metodología exclusiva definida para poder realizar el mapeo. Esto conlleva a que puedan realizarse mapas complejos y confusos que resultan difíciles de seguir el proceso resultando en que el desarrollo se quede en papel y que no se analicen los distintos cuellos de botella y consecuentes oportunidades de mejora que puedan surgir del el mismo.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esta razón es que la metodología y simbología utilizada debe ser capaz de sintetizar el entendimiento de un proceso de forma clara y sencilla. Para ello antes de llevar a cabo las reuniones previas a la discusión del mapeo se debe aclarar en un documento la nomenclatura, metodología, simbología, conceptos, códigos y demás elementos para homologar el criterio y que sea entendible por todos los involucrados.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numPr>
          <w:ilvl w:val="0"/>
          <w:numId w:val="10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el proceso no integre efectivamente a los involucrados claves. Si un mapeo de procesos no tiene correctamente identificados los responsables en el proceso a mapear, así como sus funciones tendrá como resultado un mapeo que carece de información confiable. El proceso de planeación de la primera parte de un proyecto de mapeo se debe considerar quienes son los involucrados en el proceso, cuáles son sus funciones y de qué forma intervienen en el proceso. Se identifican los involucrados y se resaltan las responsabilidades de cada quien. Adicionalmente se podrá develar posibles involucrados o funciones que no generan valor al proceso.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igual forma, se necesita que cada ejecutante de las tareas que indicará el mapeo sea entrenado para tener una visión amplia de negocio y no únicamente de las taras que realizan, como lo indica Senge (1994) “yo soy mi puesto” ,  haciendo referencia a cuando las personas de una organización sólo se preocupan por las tareas propias de su puesto y no sienten ninguna responsabilidad por el efecto de su actividad en otras partes de la organización, ni por lo que ocurre en el resto de la misma, se dificulta el aprendizaje.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05"/>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Beneficios del mapeo de procesos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resumen algunos de los beneficios que otorga el Mapeo de procesos de acuerdo a Brieño: </w:t>
      </w:r>
    </w:p>
    <w:p>
      <w:pPr>
        <w:numPr>
          <w:ilvl w:val="0"/>
          <w:numId w:val="10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comunican claramente los objetivos y las metas</w:t>
      </w:r>
    </w:p>
    <w:p>
      <w:pPr>
        <w:numPr>
          <w:ilvl w:val="0"/>
          <w:numId w:val="10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establecen políticas y reglas de operación</w:t>
      </w:r>
    </w:p>
    <w:p>
      <w:pPr>
        <w:numPr>
          <w:ilvl w:val="0"/>
          <w:numId w:val="10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Establece mayor claridad de la operación en los diferentes niveles de gestión. </w:t>
      </w:r>
    </w:p>
    <w:p>
      <w:pPr>
        <w:numPr>
          <w:ilvl w:val="0"/>
          <w:numId w:val="10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alinean los procesos con las políticas de la gerencia, se realiza la comunicación ascendente/descendiente y además horizontal creando comunicación organizacional efectiva. </w:t>
      </w:r>
    </w:p>
    <w:p>
      <w:pPr>
        <w:numPr>
          <w:ilvl w:val="0"/>
          <w:numId w:val="10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puede agregar indicadores para poder medir los procesos. </w:t>
      </w:r>
    </w:p>
    <w:p>
      <w:pPr>
        <w:numPr>
          <w:ilvl w:val="0"/>
          <w:numId w:val="10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pueden identificar oportunidades de mejora.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09"/>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Disciplinas, prácticas y estándares que utilizan el mapeo de procesos: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acuerdo a lo indicado por Brieño, el mapeo de procesos es utilizado por diferentes disciplinas y modelos que ponen en práctica la aplicación del conocimiento pragmático para las organizaciones para que trabajen más eficientemente, entre los cuales se mencionan: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1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Gestión de procesos de negocio (BPM-Business Process Management)</w:t>
      </w:r>
    </w:p>
    <w:p>
      <w:pPr>
        <w:numPr>
          <w:ilvl w:val="0"/>
          <w:numId w:val="11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Six Sigma y Manufactura esbelta- (Lean manufacturing)</w:t>
      </w:r>
    </w:p>
    <w:p>
      <w:pPr>
        <w:numPr>
          <w:ilvl w:val="0"/>
          <w:numId w:val="11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Cadena de Valor de Porter. BSC balance Scorecard</w:t>
      </w:r>
    </w:p>
    <w:p>
      <w:pPr>
        <w:numPr>
          <w:ilvl w:val="0"/>
          <w:numId w:val="11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Mejora continua de Rummler y Brache. </w:t>
      </w:r>
    </w:p>
    <w:p>
      <w:pPr>
        <w:numPr>
          <w:ilvl w:val="0"/>
          <w:numId w:val="11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International standard Organization (ISO)</w:t>
      </w:r>
    </w:p>
    <w:p>
      <w:pPr>
        <w:numPr>
          <w:ilvl w:val="0"/>
          <w:numId w:val="11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Business Analysis BABOK 2.0</w:t>
      </w:r>
    </w:p>
    <w:p>
      <w:pPr>
        <w:numPr>
          <w:ilvl w:val="0"/>
          <w:numId w:val="11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PM book. </w:t>
      </w:r>
    </w:p>
    <w:p>
      <w:pPr>
        <w:numPr>
          <w:ilvl w:val="0"/>
          <w:numId w:val="11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 muchas otras.</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13"/>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Peter Senge y la organización inteligente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pesar de haberse escrito durante la década de los noventa, hoy en día La Quinta Disciplina de Peter Senge sigue vigente y aplica muy bien a la estructura de procesos y resolución de problemas en el departamento de Ingeniería de TECHINT.  En este apartado se resaltarán varios puntos del libro que se asemejan en gran medida a que sucede actualmente en la empresa.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Senge (1994) explica que cuando las personas son capaces de ampliar su visión personal de modo que perciban a los acontecimientos y los factores que les rodean como elementos que forman parte de un sistema serán capaces de crear organizaciones inteligentes las cuales consisten en un modelo que propone que sus miembros aprendan de manera constante y a su vez se adapten a las nuevas necesidades.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acuerdo a Senge, si se cultivan nuevos patrones de pensamiento o modelos mentales, hay mayor libertad de expresión. Los colaboradores participan de manera activa en la toma de decisiones y en diseño organizacional y son capaces de identificar fortalezas, convertir sus debilidades en área de oportunidad y anteponerse a posibles amenazas para tomar decisiones asertivas.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Los problemas de hoy derivan de las “soluciones” de ayer: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menudo nos desconcierta la causa de nuestros problemas, cuando sólo necesitamos examinar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nuestras propias soluciones a otros problemas en el pasado.” Senge (1994).  El autor describe con una seria de ejemplos como las soluciones inmediatas sin prever un impacto a corto, mediano o largo plazo pueden influir enormemente en problemas futuros. Es decir, muchas veces el enemigo externo no es realmente externo, sino que siempre forma parte del sistema, solo que en muchas ocasiones se necesita tiempo para poder visualizarlo y darse cuenta que es producto de nuestras propias decisiones tomadas en el pasado.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El principio de palanca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Senge resalta que, tanto en la vida, como en los procesos dentro de una empresa, se pueden lograr grandes resultados haciendo pequeños cambios o ajustes, pero estas zonas de mayor apalancamiento a menudo son las menos obvias, incluso en tiempo y espacio.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Pero el punto de apalancamiento de la mayoría de los sistemas reales (como la mayoría de las organizaciones) no es obvio para la mayoría de los actores de dichos sistemas. Al estar inmersos se les dificulta ver las “estructuras” subyacentes a los actos. El propósito de los arquetipos sistémicos, tales como el de los límites del crecimiento y el desplazamiento de la carga, es ayudar a ver esas estructuras y así hallar el punto de apalancamiento, especialmente entre las presiones y correntadas de las situaciones empresariales reales.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15"/>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Análisis PEST y FODA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llevar a cabo el PEST en el capítulo II se consideró la bibliografía publicada por Alan Chapman. “El análisis PEST es una herramienta de gran utilidad para comprender el crecimiento o declive de un mercado, y en consecuencia, la posición, potencial y dirección de un negocio. Es una herramienta de medición de negocios. El PEST funciona como un marco para analizar una situación, y como el análisis FODA, es de utilidad para revisar la estrategia, posición, dirección de la empresa, propuesta de marketing o idea.” (Chapman, 2000)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Chapman explica que el modelo PEST es útil antes del análisis debido a que ayuda a identificar factores de serán discriminados en fortalezas, oportunidades, desventajas o amenazas posteriormente con el análisis FODA. EL PEST evalúa un mercado, incluyendo a los competidores, desde el punto de vista de una propuesta o negocio en particular.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actualidad existe suficiente bibliografía que explica la metodología a seguir para el modelo PEST. Sin embargo, todas coinciden en el estudio del entorno macro del mercado utilizando las variables indicadas en la tabla siguiente para cada factor del mercado: </w:t>
      </w:r>
    </w:p>
    <w:tbl>
      <w:tblPr/>
      <w:tblGrid>
        <w:gridCol w:w="3438"/>
        <w:gridCol w:w="4410"/>
      </w:tblGrid>
      <w:tr>
        <w:trPr>
          <w:trHeight w:val="1" w:hRule="atLeast"/>
          <w:jc w:val="center"/>
        </w:trPr>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POLÍTICOS</w:t>
            </w:r>
          </w:p>
          <w:p>
            <w:pPr>
              <w:numPr>
                <w:ilvl w:val="0"/>
                <w:numId w:val="119"/>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asuntos ecológicos/ambientales </w:t>
            </w:r>
          </w:p>
          <w:p>
            <w:pPr>
              <w:numPr>
                <w:ilvl w:val="0"/>
                <w:numId w:val="119"/>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legislación actual en el mercado local</w:t>
            </w:r>
          </w:p>
          <w:p>
            <w:pPr>
              <w:numPr>
                <w:ilvl w:val="0"/>
                <w:numId w:val="119"/>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legislación futura </w:t>
            </w:r>
          </w:p>
          <w:p>
            <w:pPr>
              <w:numPr>
                <w:ilvl w:val="0"/>
                <w:numId w:val="119"/>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legislación internacional </w:t>
            </w:r>
          </w:p>
          <w:p>
            <w:pPr>
              <w:numPr>
                <w:ilvl w:val="0"/>
                <w:numId w:val="119"/>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procesos y entidades regulatorias</w:t>
            </w:r>
          </w:p>
          <w:p>
            <w:pPr>
              <w:numPr>
                <w:ilvl w:val="0"/>
                <w:numId w:val="119"/>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políticas gubernamentales </w:t>
            </w:r>
          </w:p>
          <w:p>
            <w:pPr>
              <w:numPr>
                <w:ilvl w:val="0"/>
                <w:numId w:val="119"/>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período gubernamental y cambios </w:t>
            </w:r>
          </w:p>
          <w:p>
            <w:pPr>
              <w:numPr>
                <w:ilvl w:val="0"/>
                <w:numId w:val="119"/>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políticas de comercio exterior </w:t>
            </w:r>
          </w:p>
          <w:p>
            <w:pPr>
              <w:numPr>
                <w:ilvl w:val="0"/>
                <w:numId w:val="119"/>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políticas de financiamiento e iniciativas</w:t>
            </w:r>
          </w:p>
          <w:p>
            <w:pPr>
              <w:numPr>
                <w:ilvl w:val="0"/>
                <w:numId w:val="119"/>
              </w:numPr>
              <w:spacing w:before="0" w:after="0" w:line="240"/>
              <w:ind w:right="0" w:left="360" w:hanging="360"/>
              <w:jc w:val="left"/>
              <w:rPr>
                <w:color w:val="auto"/>
                <w:spacing w:val="0"/>
                <w:position w:val="0"/>
              </w:rPr>
            </w:pPr>
            <w:r>
              <w:rPr>
                <w:rFonts w:ascii="Arial" w:hAnsi="Arial" w:cs="Arial" w:eastAsia="Arial"/>
                <w:color w:val="auto"/>
                <w:spacing w:val="0"/>
                <w:position w:val="0"/>
                <w:sz w:val="16"/>
                <w:shd w:fill="auto" w:val="clear"/>
              </w:rPr>
              <w:t xml:space="preserve">grupos de presión internacionales</w:t>
            </w:r>
          </w:p>
        </w:tc>
        <w:tc>
          <w:tcPr>
            <w:tcW w:w="4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ECONÓMICOS</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situación económica local </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tendencias en la economía local </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economía y tendencias en otros países </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asuntos generales de impuestos </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impuestos específicos de los productos y servicios </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estacionalidad y asuntos climáticos </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ciclos de mercado </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factores específicos de la industria</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relaciones de importación/exportación</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rutas del mercado y tendencias de distribución </w:t>
            </w:r>
          </w:p>
          <w:p>
            <w:pPr>
              <w:numPr>
                <w:ilvl w:val="0"/>
                <w:numId w:val="121"/>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motivadores de los clientes/usuarios </w:t>
            </w:r>
          </w:p>
          <w:p>
            <w:pPr>
              <w:numPr>
                <w:ilvl w:val="0"/>
                <w:numId w:val="121"/>
              </w:numPr>
              <w:spacing w:before="0" w:after="0" w:line="240"/>
              <w:ind w:right="0" w:left="360" w:hanging="360"/>
              <w:jc w:val="left"/>
              <w:rPr>
                <w:color w:val="auto"/>
                <w:spacing w:val="0"/>
                <w:position w:val="0"/>
              </w:rPr>
            </w:pPr>
            <w:r>
              <w:rPr>
                <w:rFonts w:ascii="Arial" w:hAnsi="Arial" w:cs="Arial" w:eastAsia="Arial"/>
                <w:color w:val="auto"/>
                <w:spacing w:val="0"/>
                <w:position w:val="0"/>
                <w:sz w:val="16"/>
                <w:shd w:fill="auto" w:val="clear"/>
              </w:rPr>
              <w:t xml:space="preserve">intereses y tasas de cambio</w:t>
            </w:r>
          </w:p>
        </w:tc>
      </w:tr>
      <w:tr>
        <w:trPr>
          <w:trHeight w:val="1" w:hRule="atLeast"/>
          <w:jc w:val="center"/>
        </w:trPr>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SOCIALES</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tendencias de estilo de vida </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demografía </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opinión y actitud del consumidor</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punto de vista de los medios </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cambios de leyes que afecten factores sociales </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imagen de la marca, la tecnología y la empresa </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patrones de compra del consumidor </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moda y modelos a seguir </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grandes eventos e influencias </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acceso y tendencias de compra </w:t>
            </w:r>
          </w:p>
          <w:p>
            <w:pPr>
              <w:numPr>
                <w:ilvl w:val="0"/>
                <w:numId w:val="125"/>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factores étnicos y religiosos </w:t>
            </w:r>
          </w:p>
          <w:p>
            <w:pPr>
              <w:numPr>
                <w:ilvl w:val="0"/>
                <w:numId w:val="125"/>
              </w:numPr>
              <w:spacing w:before="0" w:after="0" w:line="240"/>
              <w:ind w:right="0" w:left="360" w:hanging="360"/>
              <w:jc w:val="left"/>
              <w:rPr>
                <w:color w:val="auto"/>
                <w:spacing w:val="0"/>
                <w:position w:val="0"/>
              </w:rPr>
            </w:pPr>
            <w:r>
              <w:rPr>
                <w:rFonts w:ascii="Arial" w:hAnsi="Arial" w:cs="Arial" w:eastAsia="Arial"/>
                <w:color w:val="auto"/>
                <w:spacing w:val="0"/>
                <w:position w:val="0"/>
                <w:sz w:val="16"/>
                <w:shd w:fill="auto" w:val="clear"/>
              </w:rPr>
              <w:t xml:space="preserve">publicidad y relaciones públicas</w:t>
            </w:r>
          </w:p>
        </w:tc>
        <w:tc>
          <w:tcPr>
            <w:tcW w:w="4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TECNOLÓGICOS</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desarrollos tecnológicos competidores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financiamiento para la investigación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tecnologías asociadas/dependientes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tecnologías/soluciones sustitutas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madurez de la tecnología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capacidad y madurez de la manufactura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información y comunicación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mecanismos/tecnología de compra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legislación tecnológica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potencial de innovación </w:t>
            </w:r>
          </w:p>
          <w:p>
            <w:pPr>
              <w:numPr>
                <w:ilvl w:val="0"/>
                <w:numId w:val="127"/>
              </w:numPr>
              <w:spacing w:before="0" w:after="0" w:line="240"/>
              <w:ind w:right="0" w:left="360" w:hanging="36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acceso a la tecnología, licenciamiento, patentes </w:t>
            </w:r>
          </w:p>
          <w:p>
            <w:pPr>
              <w:numPr>
                <w:ilvl w:val="0"/>
                <w:numId w:val="127"/>
              </w:numPr>
              <w:spacing w:before="0" w:after="0" w:line="240"/>
              <w:ind w:right="0" w:left="360" w:hanging="360"/>
              <w:jc w:val="left"/>
              <w:rPr>
                <w:color w:val="auto"/>
                <w:spacing w:val="0"/>
                <w:position w:val="0"/>
              </w:rPr>
            </w:pPr>
            <w:r>
              <w:rPr>
                <w:rFonts w:ascii="Arial" w:hAnsi="Arial" w:cs="Arial" w:eastAsia="Arial"/>
                <w:color w:val="auto"/>
                <w:spacing w:val="0"/>
                <w:position w:val="0"/>
                <w:sz w:val="16"/>
                <w:shd w:fill="auto" w:val="clear"/>
              </w:rPr>
              <w:t xml:space="preserve">asuntos de propiedad intelectual</w:t>
            </w: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análisis FODA</w:t>
      </w:r>
    </w:p>
    <w:p>
      <w:pPr>
        <w:spacing w:before="0" w:after="0" w:line="360"/>
        <w:ind w:right="0" w:left="0" w:firstLine="0"/>
        <w:jc w:val="both"/>
        <w:rPr>
          <w:rFonts w:ascii="Cambria" w:hAnsi="Cambria" w:cs="Cambria" w:eastAsia="Cambria"/>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Porter (1985) describe el F.O.D.A como la evaluación general de las fortalezas, oportunidades, debilidades y amenazas para una empresa, el mismo funciona como método para analizar el entorno interno y externo de mercadeo. Al combinar las fortalezas con las oportunidades surgen las potencialidades, las cuales ayudan a crear las líneas de acción más prometedoras para la organización. Las limitaciones, determinadas por una combinación de debilidades y amenazas, develan advertencias. Mientras que los riesgos (combinación de fortalezas y amenazas) y los desafíos (combinación de debilidades y oportunidades), determinados por su correspondiente combinación de factores, exigirán un cuidadoso análisis para la empresa.</w:t>
      </w:r>
      <w:r>
        <w:rPr>
          <w:rFonts w:ascii="Arial" w:hAnsi="Arial" w:cs="Arial" w:eastAsia="Arial"/>
          <w:color w:val="202122"/>
          <w:spacing w:val="0"/>
          <w:position w:val="0"/>
          <w:sz w:val="21"/>
          <w:shd w:fill="FFFFFF" w:val="clear"/>
        </w:rPr>
        <w:t xml:space="preserve"> </w:t>
      </w:r>
    </w:p>
    <w:p>
      <w:pPr>
        <w:keepNext w:val="true"/>
        <w:keepLines w:val="true"/>
        <w:spacing w:before="480" w:after="1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2: EL SECTOR Y LA EMPRESA</w:t>
      </w: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keepLines w:val="true"/>
        <w:numPr>
          <w:ilvl w:val="0"/>
          <w:numId w:val="132"/>
        </w:numPr>
        <w:spacing w:before="200" w:after="100" w:line="240"/>
        <w:ind w:right="0" w:left="84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El sector: Las empresas de Ingeniería y Construcción en el mundo, Latinoamérica y en Argentina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procede a describir la situación de los últimos años de las empresas de Ingeniería y Construcción  en función de la demanda de mercado,   se hará un breve recuento yendo de lo macro a lo micro, desde el panorama mundial, regional hasta decantar en el mercado argentino, pero sin perder de vista la ventaja competitiva que posee TECHINT E&amp;C frente a las demás empresas a nivel nacional e internacional por ser parte de un conglomerado mundial que apalanca y magnifica las posibilidades de lograr potenciales negocios a pesar del contexto político en el que se encuentre cada país.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34"/>
        </w:numPr>
        <w:spacing w:before="200" w:after="100" w:line="240"/>
        <w:ind w:right="0" w:left="84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Análisis de la competencia </w:t>
      </w: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2.1.1 Los referentes: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Primeramente, previo a identificar los competidores de TECHINT E&amp;C es necesario identificar cuales no lo son, aquellas empresas que a pesar de que prestan la misma solución para el mismo problema, estas se encuentran en otro nivel de competición, con un nivel de expertise técnico y financiero más desarrollado y con procesos claramente definidos y estandarizados. Para ello se ha recurrido a hacer un breve análisis de aquellas compañías de EPC (Engineering, procurement &amp; Construction) que lideran el mercado mundial.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Mercado global de la construcción se ha mantenido con movimientos muy lentos desde hace ya varios años. Luego de los años de auge entre el 2012 al 2014 el mercado se detuvo dejando a muchas empresas constructoras en una situación comprometida. El escaso crecimiento durante esos años provocó que los clientes se hicieran más severos en evaluar el costo de oportunidad y eso ha derivado en consecuencias negativas para muchas empresas.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 embargo, en los últimos años se ha ido gestando una tendencia al aumento de proyectos. Las empresas líderes batallan contra la tradicional industria de pocas ganancias al invertir en nuevas tecnologías, mejorar sus procesos de industrialización e incrementando el control de riesgo en los procesos de licitación.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evolución de la industria de la construcción durante del 2020 fue condicionada por el impacto del COVID-19. Sin embargo, los efectos a corto plazo de la pandemia durante ese año fueron limitados, ya que en la mayoría de los países el rubro de la construcción fue considerado esencial.  No obstante, es posible que haya potenciales efectos a largo plazo de la pandemia que tengan un impacto en las nuevas tendencias como el cambio climático, aumento de población mundial, nuevas tecnologías lo que traería como consecuencia que las empresas que se encuentren preparadas pueden tener la oportunidad de responder rápido ante estas nuevas tendencias de mercado y aventajarse del resto siendo más competitivos y con claro compromiso con la innovación y sostenibilidad.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informe “GPoC 2020 Global Powers of Construction’, elaborado por Deloitte, de Julio 2021 se muestran las 100 principales empresas de construcción a nivel mundial. Entre las 100 primeras empresas, 74 registraron un aumento en las ventas, con 45 de ellas consiguiendo un crecimiento de doble dígito. Ver tabla 1 para mayor referencia.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Según el informe, Actividades de Construcción y Servicios (ACS) se ha alzado como la constructora española con mayor volumen de ingresos procedente de su actividad en el extranjero, por delante de otras grandes empresas del sector a nivel mundial, como las francesas Vinci y Bouygues.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total, entre las 100 mayores empresas constructoras del mundo se encuentran siete españolas: ACS, que ha aumentado un 10% sus ventas; (puesto 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ACCIONA, con 8.865 millones de dólares; (puesto 39),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Fomento de Construcciones y Contratas FCC, con 7.070 millones de dólares; (puesto 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FERROVIAL, con 6.773 millones de dólares; (puesto 43),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SACYR, con 4.481 millones de dólares; (puesto 55),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Obrascon Huarte Lain (OHL), con 3.432 millones de dólares (puesto 74)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 Grupo San José, con 895 millones de dólares (puesto 99).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 Top 100 Empresas de construcción mundiales. Ranking por ventas</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Reporte GPoC 2020 Global Power of Construction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facturación conjunta de estas siete empresas españolas anteriormente mencionadas supone el 5% del total de ventas en todo el mundo en el sector, lo que consolida a España en la sexta posición, por detrás de China, Japón, Estados Unidos, Francia y Corea del Sur.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geografía, las compañías de construcción más grandes tienen su base en: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China </w:t>
        <w:tab/>
        <w:tab/>
        <w:t xml:space="preserve">(41% de los ingresos totales),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Europa </w:t>
        <w:tab/>
        <w:t xml:space="preserve">(26%),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Japón </w:t>
        <w:tab/>
        <w:tab/>
        <w:t xml:space="preserve">(13%),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Estados Unidos (9%)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 Corea del Sur (7%).</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otro lado, en cuanto a Sudamérica, el reporte indica únicamente una empresa brasilera (0.4%).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predominio de las compañías chinas se debe, principalmente, al tamaño del mercado de la construcción en ese país. Sin embargo, las ventas internacionales de las compañías chinas, en porcentaje sobre las ventas totales, son inferiores a las de las constructoras europeas, que son las que tienen mayor presencia internacional.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acuerdo al informe de Deloitte, las perspectivas del sector a nivel global para los próximos años son buenas, se espera que el mercado crezca claramente por encima del crecimiento global del PIB.</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827 millones de dólares facturados al 2020, las ventas de Techint E &amp; C equivaldría a un 35% de las ventas totales de la empresa con más ventas a nivel mundial (China State Construction Engineering Corp.LTD con 233919 Millones de dólares) mientras que sería el 80% de las ventas de la empresa N° 100 del ranking (ELLAKTOR S.A con 1019 millones de dólares). Ver tabla 2 para mayor referencia.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8139" w:dyaOrig="5142">
          <v:rect xmlns:o="urn:schemas-microsoft-com:office:office" xmlns:v="urn:schemas-microsoft-com:vml" id="rectole0000000003" style="width:406.950000pt;height:257.1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2. TECHINT E&amp;C comparado con algunas de las empresas más importantes del mundo</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Aunque los ingresos de TECHINT E&amp;C se encuentran por debajo de la empresa con menos ventas indicado en el reporte, su estrategia a lo largo de los años ha sido no competir contra ellos directamente sino proponer alianzas estratégicas donde se encargaría de acotar sus servicios a pequeños paquetes del proyecto mientras que las grandes empresas se encargan de la mayor parte.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Esto genera reconocimiento en el mercado internacional al involucrarse en proyectos de gran envergadura, incluso el apalancamiento que tiene al ser parte del Grupo TECHINT le aventaja en la negociación al ofrecer la sinergia que permite el grupo, como por ejemplo proveer las tuberías sin soldadura para la construcción de ductos a través de TENARIS.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43"/>
        </w:numPr>
        <w:spacing w:before="200" w:after="100" w:line="240"/>
        <w:ind w:right="0" w:left="1200"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Competencia directa: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procede entonces a analizar los competidores directos, para ello se identifica la presencia de TECHINT E&amp;C en aquellos países donde ha ejecutado proyectos en los últimos años, se identifican los competidores líderes en aquellos mercados y se establecen las comparaciones respectivas.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acuerdo a la figura 3 se muestra que en los últimos años TECHINT E&amp;C ha tenido una participación en México, Brasil, Argentina y en menor proporción en Perú, Chile y otros. Esta investigación se delimitará a identificar los competidores en México, Brasil y Argentina.</w:t>
      </w:r>
    </w:p>
    <w:p>
      <w:pPr>
        <w:spacing w:before="0" w:after="0" w:line="360"/>
        <w:ind w:right="0" w:left="787" w:firstLine="0"/>
        <w:jc w:val="both"/>
        <w:rPr>
          <w:rFonts w:ascii="Times New Roman" w:hAnsi="Times New Roman" w:cs="Times New Roman" w:eastAsia="Times New Roman"/>
          <w:b/>
          <w:color w:val="auto"/>
          <w:spacing w:val="0"/>
          <w:position w:val="0"/>
          <w:sz w:val="24"/>
          <w:shd w:fill="auto" w:val="clear"/>
        </w:rPr>
      </w:pPr>
    </w:p>
    <w:p>
      <w:pPr>
        <w:keepNext w:val="true"/>
        <w:keepLines w:val="true"/>
        <w:numPr>
          <w:ilvl w:val="0"/>
          <w:numId w:val="146"/>
        </w:numPr>
        <w:spacing w:before="200" w:after="100" w:line="240"/>
        <w:ind w:right="0" w:left="1200"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Competidores en México: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9900" w:dyaOrig="5648">
          <v:rect xmlns:o="urn:schemas-microsoft-com:office:office" xmlns:v="urn:schemas-microsoft-com:vml" id="rectole0000000004" style="width:495.000000pt;height:282.4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Times New Roman" w:hAnsi="Times New Roman" w:cs="Times New Roman" w:eastAsia="Times New Roman"/>
          <w:color w:val="auto"/>
          <w:spacing w:val="0"/>
          <w:position w:val="0"/>
          <w:sz w:val="24"/>
          <w:shd w:fill="auto" w:val="clear"/>
        </w:rPr>
        <w:t xml:space="preserve">En el 2018 la cámara mexicana de la Industria de la Construcción (CMIC) emite el reporte “Ranking de empresas Constructoras a nivel nacional-2017” estableciendo una comparación entre las empresas y ventas generadas en 2012 y 2017.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3. Ranking de empresas Constructoras a nivel nacional-2017 México</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CMIC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este reporte se desprenden 2 hallazgos, el primero sugiere que hay una tendencia a aceptar la participación de constructoras extranjeras dentro del mercado mexicano. De hecho, el porcentaje de ventas pertenecientes a empresas extranjeras en el 2012 fue de 19% de las ventas totales por año registradas en el país mientras que en el 2017 fue de 31%.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segundo, muestra la presencia de TECHINT E&amp;C en el puesto 18 en el 2017. Por lo tanto, se establecerá que la competencia principal en México viene justamente de empresas extranjeras que buscan consolidarse en el mercado local.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OHL-México, Grupo ACS y Grupo Aldesa se identifican como las empresas españolas con presencia en México que compiten contra TECHINT E&amp;C por ganar proyectos, lo mismo sucede con Mota-Engil México de origen portugués (puesto 76 ranking mundial)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comparar estas empresas en relación a evolución de ventas en años pasados, posiciones ganadas o perdidas en el ranking, número de empleados para las especialidades similares se muestra una gran competitividad entre las mismas.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9091" w:dyaOrig="6054">
          <v:rect xmlns:o="urn:schemas-microsoft-com:office:office" xmlns:v="urn:schemas-microsoft-com:vml" id="rectole0000000005" style="width:454.550000pt;height:302.7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Especialidades: </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1 Edificación Residencial</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2 Edificación no Residencial</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3 Construcción de obras para el suministro de agua, petróleo, gas, energía eléctrica y telecomunicaciones</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4 División de terreno y construcción de obras de urbanización</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5 Construcción de vías de comunicación</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6 Otras Construcciones de Ingeniería Civil  </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7 Servicios de Arquitectura, Ingeniería y actividades relacionadas </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8 Diseño y decoración de interiores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16"/>
          <w:shd w:fill="auto" w:val="clear"/>
        </w:rPr>
        <w:t xml:space="preserve">9 Servicios Inmobiliarios</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4. Detalle de empresas mexicanas por especialidad</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CMIC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éxito de la diversificación de las empresas europeas en México, en este caso las españolas y portuguesas se ha caracterizado por implementar nuevos modelos de negocios eficientes que se distingan de los demás presentados en el país.  Esta es la razón por la cual también tiene presencia dentro de las primeras 100 empresas más importantes del mundo.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52"/>
        </w:numPr>
        <w:spacing w:before="200" w:after="100" w:line="240"/>
        <w:ind w:right="0" w:left="1200"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Competidores en Brasil: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tabla 5 se muestra el top 50 de las empresas de ingeniería y construcción en Brasil de acuerdo a la revista “O Empreiteiro” de 2018.  En la lista las principales empresas la componen compañias de origen local. La brasileña MRV Engenharia se encuentra en el tercer puesto, logrando a su vez ser la única empresa de este país en el top mundial al ubicarse en el puesto 95.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puesto 25 del top 50 de Brasil se encuentra ACCIONA (española en el puesto 39 en ranking mundial) y en el puesto 33 está TODA, (japonesa en el puesto 56 en ranking mundial).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décadas, los proyectos de infraestructura más grandes de Brasil casi siempre estuvieron en manos de unos cuantos conglomerados locales de construcción.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los últimos años, esta situación ha cambiado ya que la mayoría de ellos se han visto afectados negativamente por la investigación de corrupción Operación Lava Jato, lo que abre oportunidades para los actores locales más pequeños y las empresas multinacionales, rompiendo la barrera del idioma al poder entrar a un mercado que históricamente fue cerrado.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11176" w:dyaOrig="9314">
          <v:rect xmlns:o="urn:schemas-microsoft-com:office:office" xmlns:v="urn:schemas-microsoft-com:vml" id="rectole0000000006" style="width:558.800000pt;height:465.70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5. Ranking de empresas Constructoras a nivel nacional-2018 Brasil</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Revista O Empreiteiro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igual que las empresas locales, las multinacionales dependen en gran medida de que el gobierno de Brasil siga con los planes de concesiones y otros elementos, como los proyectos público-privados de saneamiento y el prometido nuevo programa de vivienda social, entre otros.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Cabe destacar que en el ranking local no aparece TECHINT E&amp;C.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56"/>
        </w:numPr>
        <w:spacing w:before="200" w:after="100" w:line="240"/>
        <w:ind w:right="0" w:left="1200"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Competidores en Argentina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acuerdo al sexto Ranking anual del Sector Inmobiliario y de la Construcción llevado adelante por Revista Mercado y Reporte Inmobiliario en el 2020, se muestra un sector de Empresas Constructoras liderado por TECHINT E&amp;C que consigue una puntuación de 71,1. En segundo lugar, se instala CAPUTO (54,6), seguida de cerca por CRIBA (53,5). La empresa que cierra las primeras 10 es J.Cartellone, con 23,9.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encuesta evalúa el desempeño de las compañías, teniendo en cuenta el nivel de conocimiento y la calificación recibida en tres atributos (Calidad de productos/servicio – Atención al cliente, Trayectoria en el mercado.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Además, engloba las obras de Construcción de todos los rubros y no exclusivamente de los que Techint E &amp; C se ha manejado en los últimos años.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CRIBA se ha desarrollado en el rubro de Obras Civiles mientras que CAPUTO plantas nucleares, obras no residenciales, petróleo y gas, hidroeléctrica, Actualmente fue vendida a TGLT en lo que se cree ser por razones políticas durante el gobierno de Mauricio Macri.</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TECHINT E&amp;C mantiene una ventaja competitiva al formar parte del Grupo TECHINT, teniendo presencia absoluta de todas las filiales del grupo en el país, y por sobretodo, mantiene presencia en el sur del país donde predomina el negocio explotación de gas y petróleo tanto convencional como no convencional a través de TECPETROL.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consultaron otras fuentes para comparar el ranking argentino, sin embargo, el resultado no variaba mucho en las primeras 3 empresas.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58"/>
        </w:numPr>
        <w:spacing w:before="200" w:after="100" w:line="240"/>
        <w:ind w:right="0" w:left="84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Volumen del mercado argentino en dinero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mercado de TECHINT E&amp;C está orientado principalmente a servicios para la industria del Oil&amp;Gas y energía, y en menor proporción también opera en mercados de minería, infraestructura y otros. Este capítulo delimitará investigación al mercado de Oil &amp; Gas en Argentina, asimismo se enmarcará en determinar el volumen del mercado local considerando que el total de la producción será para venta en el país.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Tomando como referencia el Reporte Informativo Semanal sobre la producción de Petróleo y Gas en 2020 emitido el 14 de mayo del 2021 por la Bolsa de Comercio de Rosario, se procedió a identificar el mercado de petróleo y gas.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análisis se inicia identificando geográficamente en el país donde se encuentra y en que aportan las cuencas de petróleo y gas a la producción nacional.  En la figura 3 se puede apreciar cinco cuencas principales apuntando como la Neuquina la que mayor aporta a la producción nacional, esto se debe a la explotación del Yacimiento Vaca Muerta.  En esta cuenca se establecieron muchas compañías locales e internacionales para tomar participación activa en el proceso.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El reporte indica que la producción de petróleo en Argentina se contrajo un 5% en 2020, poniendo fin a un crecimiento que se había sostenido durante los dos años anteriores. Según datos de la Secretaría de Energía de la Nación, en 2020 el país extrajo 28,2 millones de m3 (MMm3) de petróleo.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las cinco cuencas indicadas, cuatro de ellas obtuvieron menos petróleo que en 2019. La mayor caída en términos absolutos se dio en la cuenca Golfo San Jorge (Chubut, Santa Cruz y plataforma continental) que, con una participación del 45% sobre el total de petróleo producido, redujo su extracción en un 7%. Las cuencas Austral (Santa Cruz, Tierra del Fuego y plataforma continental) y Cuyana (Mendoza y San Juan) exhibieron caídas interanuales del 27 y 13% respectivamente, aunque su impacto agregado en términos absolutos fue menor al de la cuenca Golfo San Jorge. El desempeño de la cuenca Neuquina (Neuquén, Mendoza, Río Negro y La Pampa), rica en yacimientos de Shale oil (petróleo de extracción no convencional), se ha mantenido casi sin cambios en 2020 respecto de 2019, con una variación negativa menor al 1%. El año pasado, la cuenca Neuquina donde se encuentra Vaca Muerta, aportó el 48% de la producción de petróleo argentino. Por último, la cuenca del Noroeste (Jujuy, Salta, Tucumán, Santiago del Estero y Formosa) fue la única que mostró una variación interanual positiva, aunque su aporte al total es muy pequeño, de apenas el 1%.</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5426" w:dyaOrig="5831">
          <v:rect xmlns:o="urn:schemas-microsoft-com:office:office" xmlns:v="urn:schemas-microsoft-com:vml" id="rectole0000000007" style="width:271.300000pt;height:291.5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3. Participación de cada cuenca en la producción de Oil&amp;Gas natural en Argentina</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Boletín informativo semanal N 2002-14 de mayo 2021 Bolsa de Comercio de Rosario.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producción argentina de petróleo en 2020 se convirtió en el menor registro de los últimos 10 años, período que presenta una marcada tendencia descendente, acumulando una caída de 13 puntos porcentuales. Pasó de 32,5 millones de m3 en 2011 a 28,2 MMm3 en 2020. En la década considerada, la producción petrolera de la cuenca Neuquina cayó un 3%, proporcionalmente menos que el agregado nacional. Por otro lado, en el primer trimestre de 2021 la producción de petróleo fue un 6% menor a 2020, incluso a pesar de la crítica situación de precios y de caída de demanda registrada a inicios del año pasado. El desempeño petrolero en lo que va de 2021, se ubica un 2% por debajo del promedio producido en los primeros tres meses durante los últimos 3 años.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relación a la producción de gas natural, la producción en Argentina en 2020 totalizó 45.130 millones de m3 (MMm3). En la actualidad el país produce menor volumen de gas que diez años atrás, cuando su producción superaba los 45.000 MMm3. De forma análoga a lo sucedido con el petróleo, el 2020 –condicionado por la pandemia- marcó el final de una tendencia creciente de dos años. La caída interanual en la producción de gas fue del 9%, explicada en gran parte por el recorte productivo en la cuenca Neuquina que, con el 70% de participación en la producción nacional, redujo sus extracciones en un 10% interanual. La cuenca Neuquina, donde se encuentra la formación Vaca Muerta es clave en el aporte de Shale gas y Tight gas, su principal potencial y un indicador muy importante para el futuro argentino.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crecimiento de la producción no convencional de gas derivó en una mayor participación del shale gas y tight gas en el total de la producción nacional. El 2019 los no convencionales, que 10 años atrás tenían una participación marginal de sólo el 4%, representaron más del 40% del producto. De este modo, actualmente Argentina está cerca de equiparar la participación que tiene su producción convencional de gas (58%) con la no convencional.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desafiante año 2020, las producciones de ambos tipos se recortaron, aunque la caída de la convencional fue proporcionalmente mayor. A nivel agregado, en el primer trimestre de 2021, la producción de gas argentino estuvo un 11% por debajo tanto del registro para igual período de 2020 como para el promedio de los últimos tres años. Si se analiza la performance de la producción por tipo se tiene que, mientras la convencional cayó 9% interanual en 2021, la no convencional tuvo una merma aún mayor del 15%.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64"/>
        </w:numPr>
        <w:spacing w:before="200" w:after="100" w:line="240"/>
        <w:ind w:right="0" w:left="84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Empresas que encabezan a la producción de Petróleo y Gas Argentino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relación a la producción de Petróleo y de acuerdo a la información publicada por el Instituto Argentino de Petróleo y Gas (IAPG), YPF continuó liderando el ranking de empresas productoras de petróleo en Argentina durante 2020, concentrando el 45% de la producción nacional. Con una extracción anual de 12,8 MMm3, la empresa más que duplicó la producción de Pan American Energy (PAE), segundo operador petrolero del país. PAE extrajo en 2020 6,0 MMm3 de petróleo, equivalente al 21% del total. En tercer lugar, se ubicó Pluspetrol (1,4 MMm3) con una participación del 5%, y en el cuarto y quinto puesto aparecen Vista Oil &amp; Gas y Sinopec (China), con participaciones del 4 y 3%, respectivamente. De este modo, casi el 80% de la producción petrolera argentina en 2020 fue originada por las 5 empresas líderes; mientras que el 20% restante se repartió entre más de una decena de empresas con participaciones individuales del 2% y aún menores. Ver tabla 6 y tabla 7 para mayores referencias.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701" w:dyaOrig="3968">
          <v:rect xmlns:o="urn:schemas-microsoft-com:office:office" xmlns:v="urn:schemas-microsoft-com:vml" id="rectole0000000008" style="width:335.050000pt;height:198.4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6. Principales empresas productoras de petróleo en Argentina-2020</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Instituto Argentino de Petróleo y gas (IAPG)</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relación a la producción de gas, el IAPG indica que YPF es la mayor productora de gas natural en Argentina, originando en 2020 con 12.337 MMm3, lo que equivale al 27% del total. La segunda operadora en términos de producción de gas es Total Austral, que el año pasado originó 11.897 MMm3 que representan un 26% del gas extraído en Argentina. En tercer y cuarto lugar se ubican TECPETROL con 4.996 MMm3 y Pan American Energy con 4.793 MMm3, representando cada una el 11% del producto nacional. Completa el top 5 de extractoras de gas la empresa Pampa Energía, que con una producción anual de 2.216 MMm3 de gas logra una participación del 5%. De forma similar a los que sucede en el mercado del petróleo, las cinco principales empresas productoras de gas natural en Argentina originan el 80% del agregado nacional. Ver tabla 7 para mayores referencias.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762" w:dyaOrig="4049">
          <v:rect xmlns:o="urn:schemas-microsoft-com:office:office" xmlns:v="urn:schemas-microsoft-com:vml" id="rectole0000000009" style="width:338.100000pt;height:202.45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7. Principales empresas productoras de Gas en Argentina-2020</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Instituto Argentino de Petróleo y gas (IAPG)</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último, al no haber datos concretos sobre el volumen expresado en dinero, se procedió a investigar los precios internacionales de venta de petróleo y gas para así relacionarlos con a los valores de producción anteriormente hallados. Como premisa se asume que la producción será 100% dispuesta para exportar.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tomó como referencia el informe anual 2019 de hidrocarburos perteneciente al Instituto Argentino de la Energía IAE “General Mosconi” con vigencia a marzo 2020 y se hallaron los valores de los precios de venta del petróleo y del gas para el mercado local.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Precio local del petróleo: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mercado local, el precio del barril de petróleo del tipo Escalante cotizó en diciembre de 2019 USD/bbl 58,4. En el caso del petróleo del tipo Medanito, el barril cotizó USD/bbl 52 en diciembre de 2019.  Para la evaluación del mercado se considerará un promedio de ambos situados en 55.2 USD/bbl o su equivalente a 8.83 m3/usd.</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Precio local del Gas: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 cuanto al precio del gas natural, en diciembre 2019 el precio para venta en el mercado local fue de 3.34 dólares/MM BTU o su equivalente 8.53 m3/ usd.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dato está basado en ventas de cantidades de gas natural de 9.300 Kcal/m3, de origen convencional y no convencional, puestas en los Puntos de Ingreso a los Sistemas de Transporte y/o puntos previos a estos (sin incluir cargos por transporte, distribución, subsidios, impuestos o cargos financieros).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conclusión, el valor del mercado en dinero para la producción del petróleo es de aproximadamente 236,771,558.18 USD mientras que para el del gas natural es de 377,303,352.95 USD totalizando un mercado de 614,074,911.13 USD.A continuación, se resume gráficamente el volumen del mercado tanto en producción por rubro y por dinero.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782" w:dyaOrig="5608">
          <v:rect xmlns:o="urn:schemas-microsoft-com:office:office" xmlns:v="urn:schemas-microsoft-com:vml" id="rectole0000000010" style="width:339.100000pt;height:280.40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10" ShapeID="rectole0000000010" r:id="docRId21"/>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8. Producción petrolera-2020 por empresa de Oil&amp;Gas</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985" w:dyaOrig="5871">
          <v:rect xmlns:o="urn:schemas-microsoft-com:office:office" xmlns:v="urn:schemas-microsoft-com:vml" id="rectole0000000011" style="width:349.250000pt;height:293.55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1" ShapeID="rectole0000000011" r:id="docRId23"/>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9. Producción Gasífera-2020 por empresa de Oil&amp;Gas</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094" w:dyaOrig="3826">
          <v:rect xmlns:o="urn:schemas-microsoft-com:office:office" xmlns:v="urn:schemas-microsoft-com:vml" id="rectole0000000012" style="width:304.700000pt;height:191.30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2" ShapeID="rectole0000000012" r:id="docRId25"/>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9. Producción expresada en dólares americanos-2020</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keepNext w:val="true"/>
        <w:keepLines w:val="true"/>
        <w:numPr>
          <w:ilvl w:val="0"/>
          <w:numId w:val="177"/>
        </w:numPr>
        <w:spacing w:before="200" w:after="100" w:line="240"/>
        <w:ind w:right="0" w:left="84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Expectativas del sector energético en Argentina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describe el comportamiento del mercado argentino mediante la interpretación del reporte anual 2020 del Instituto del Instituto Nacional de Estadística y Censos de Argentina (INDEC), el cual prevé un aumento general en la demanda interna, así como de exportaciones y por lo consiguiente un aumento de inversiones que generarán oportunidades para las empresas de Servicio de Ingeniería y Construcción tanto del país como para extranjeras.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tres sectores energéticos principales (petróleo, gas y electricidad en sus distintos rubros) destinarán inversiones a mejorar la calidad del producto y servicio, aumentar la producción o el servicio e incorporar y renovar tecnología vinculada a la mejora del proceso productivo y distribución. La situación era de esperarse debido a las demoras en la ejecución de los proyectos (backlog) durante el 2020 a causa de la pandemia.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9091" w:dyaOrig="3259">
          <v:rect xmlns:o="urn:schemas-microsoft-com:office:office" xmlns:v="urn:schemas-microsoft-com:vml" id="rectole0000000013" style="width:454.550000pt;height:162.95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3" ShapeID="rectole0000000013" r:id="docRId27"/>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9091" w:dyaOrig="3158">
          <v:rect xmlns:o="urn:schemas-microsoft-com:office:office" xmlns:v="urn:schemas-microsoft-com:vml" id="rectole0000000014" style="width:454.550000pt;height:157.90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4" ShapeID="rectole0000000014" r:id="docRId29"/>
        </w:object>
      </w: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726" w:dyaOrig="3361">
          <v:rect xmlns:o="urn:schemas-microsoft-com:office:office" xmlns:v="urn:schemas-microsoft-com:vml" id="rectole0000000015" style="width:436.300000pt;height:168.05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5" ShapeID="rectole0000000015" r:id="docRId31"/>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10: Expectativas para el 3er trimestre 2021 respecto a igual periodo anterior. -Sector Energético-</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Informes técnicos / Vol. 5, n° 180 de INDEC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81"/>
        </w:numPr>
        <w:spacing w:before="200" w:after="100" w:line="240"/>
        <w:ind w:right="0" w:left="84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TECHINT Ingeniería y Construcción (TECHINT E&amp;C)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83"/>
        </w:numPr>
        <w:spacing w:before="200" w:after="100" w:line="240"/>
        <w:ind w:right="0" w:left="84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Situación actual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Grupo TECHINT es un conglomerado de empresas presente en más de 100 países con ingresos globales por US$ 26 mil millones y una filosofía común. A los efectos de esta investigación, el grupo se compone de cuatro empresas: TENARIS, TERNIUM, TECPETROL y TECHINT Compañía Técnica Internacional (TECHINT E&amp;C), que representan cerca del 80% de los ingresos del grupo a nivel mundial. Las cifras publicadas para el Grupo TECHINT fueron calculadas con fines estadísticos y se basan en la información proporcionada individualmente por cada una de las empresas previamente mencionadas.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bien las cuatro empresas comparten a sus principales accionistas y tomadores de decisión, sus balances se presentan por separado. Por lo tanto, el Grupo TECHINT fue creado ad-hoc a fin de cumplir con los requisitos metodológicos del proyecto según los cuales "un grupo o conglomerado es considerado como una sola empresa".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empresas presentadas en el marco del Grupo TECHINT son las cuatro principales empresas gestionadas desde Argentina y aquellas que han hecho los mayores avances en su proceso de internacionalización.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principales áreas de negocio son la fabricación de tubos de acero (TENARIS), de aceros planos y largos (TERNIUM), energía (TECPETROL) e ingeniería y construcción (TECHINT E &amp; C). TERNIUM cuenta con el mayor número de filiales en el extranjero (53 filiales en 16 países), seguida por TENARIS (26 filiales en el extranjero en 14 países), TECPETROL (tres filiales en tres países) y TECHINT Cia. Técnica Internacional (cuatro filiales en cuatro países, Ver figura 5). También cabe destacar que TENARIS y TERNIUM fueron los principales motores de la creciente presencia mundial del Grupo TECHINT durante las últimas dos décadas. En el siguiente cuadro se presenta el detalle de los activos locales y extranjeros, las ventas y el empleo para cada una de las cuatro empresas del grupo, Ver tabla 11 para referencias.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9091" w:dyaOrig="3239">
          <v:rect xmlns:o="urn:schemas-microsoft-com:office:office" xmlns:v="urn:schemas-microsoft-com:vml" id="rectole0000000016" style="width:454.550000pt;height:161.95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6" ShapeID="rectole0000000016" r:id="docRId33"/>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11. Principales variables de las empresas del grupo TECHINT (2008)</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Encuesta ProsperAr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2020 el Grupo TECHINT cuenta con una fuerza laboral de profesionales experimentados y trabajadores calificados compuesta por 70.900 empleados totales, de los cuales 55.500 son permanentes, los ingresos anuales del Grupo superan los 22.100 millones de dólares.  Fuente: Brochure Institucional TECHINT 2020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Asimismo, TECHINT E&amp;C posee 14.500 empleados entre personal directivo, gerencial, técnico, administrativo y operativo alrededor del mundo y generando ventas de 1.300 millones de dólares.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ingresos generados durante el 2020 ascendieron a 827 Millones de Dólares. Dentro de los países donde TECHINT E&amp;C tiene operaciones. Argentina es el que más ingresos ha generado (23%), seguido de Brasil y México (18%), mientras que, en cuanto a los mercados, más del 32 % de los ingresos corresponde al segmento de Oil&amp;Gas y 31% al segmento de energía.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8929" w:dyaOrig="6013">
          <v:rect xmlns:o="urn:schemas-microsoft-com:office:office" xmlns:v="urn:schemas-microsoft-com:vml" id="rectole0000000017" style="width:446.450000pt;height:300.6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7" ShapeID="rectole0000000017" r:id="docRId35"/>
        </w:object>
      </w:r>
      <w:r>
        <w:rPr>
          <w:rFonts w:ascii="Times New Roman" w:hAnsi="Times New Roman" w:cs="Times New Roman" w:eastAsia="Times New Roman"/>
          <w:color w:val="auto"/>
          <w:spacing w:val="0"/>
          <w:position w:val="0"/>
          <w:sz w:val="24"/>
          <w:shd w:fill="auto" w:val="clear"/>
        </w:rPr>
        <w:t xml:space="preserve">Figura 3. Ingresos por país y por segmento de mercado de TECHINT E&amp;C</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Brochure Institucional TECHINT 2020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resume la experiencia de TECHINT E&amp;C en los diferentes rubros de la industria:</w:t>
      </w:r>
    </w:p>
    <w:tbl>
      <w:tblPr/>
      <w:tblGrid>
        <w:gridCol w:w="3415"/>
        <w:gridCol w:w="5490"/>
      </w:tblGrid>
      <w:tr>
        <w:trPr>
          <w:trHeight w:val="1" w:hRule="atLeast"/>
          <w:jc w:val="center"/>
        </w:trPr>
        <w:tc>
          <w:tcPr>
            <w:tcW w:w="34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both"/>
              <w:rPr>
                <w:color w:val="auto"/>
                <w:spacing w:val="0"/>
                <w:position w:val="0"/>
              </w:rPr>
            </w:pPr>
            <w:r>
              <w:rPr>
                <w:rFonts w:ascii="Times New Roman" w:hAnsi="Times New Roman" w:cs="Times New Roman" w:eastAsia="Times New Roman"/>
                <w:b/>
                <w:color w:val="auto"/>
                <w:spacing w:val="0"/>
                <w:position w:val="0"/>
                <w:sz w:val="20"/>
                <w:shd w:fill="auto" w:val="clear"/>
              </w:rPr>
              <w:t xml:space="preserve">SECTOR DE LA INDUSTRIA</w:t>
            </w:r>
          </w:p>
        </w:tc>
        <w:tc>
          <w:tcPr>
            <w:tcW w:w="5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CANTIDAD DE PROYECTOS EJECUTADOS</w:t>
            </w:r>
          </w:p>
          <w:p>
            <w:pPr>
              <w:spacing w:before="0" w:after="0" w:line="36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(INGENIERÍA O INGENIERÍA Y CONSTRUCCIÓN)</w:t>
            </w:r>
          </w:p>
        </w:tc>
      </w:tr>
      <w:tr>
        <w:trPr>
          <w:trHeight w:val="1" w:hRule="atLeast"/>
          <w:jc w:val="center"/>
        </w:trPr>
        <w:tc>
          <w:tcPr>
            <w:tcW w:w="34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Plantas Industriales</w:t>
            </w:r>
          </w:p>
        </w:tc>
        <w:tc>
          <w:tcPr>
            <w:tcW w:w="5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Más de 560</w:t>
            </w:r>
          </w:p>
        </w:tc>
      </w:tr>
      <w:tr>
        <w:trPr>
          <w:trHeight w:val="1" w:hRule="atLeast"/>
          <w:jc w:val="center"/>
        </w:trPr>
        <w:tc>
          <w:tcPr>
            <w:tcW w:w="34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Minería </w:t>
            </w:r>
          </w:p>
          <w:p>
            <w:pPr>
              <w:spacing w:before="0" w:after="0" w:line="360"/>
              <w:ind w:right="0" w:left="0" w:firstLine="0"/>
              <w:jc w:val="both"/>
              <w:rPr>
                <w:color w:val="auto"/>
                <w:spacing w:val="0"/>
                <w:position w:val="0"/>
              </w:rPr>
            </w:pPr>
          </w:p>
        </w:tc>
        <w:tc>
          <w:tcPr>
            <w:tcW w:w="5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Más de 60</w:t>
            </w:r>
          </w:p>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Proyectos mineros de cobre, molibdeno, oro, plata, zinc, hierro, potasio y litio en distintos países de Latinoamérica</w:t>
            </w:r>
          </w:p>
        </w:tc>
      </w:tr>
      <w:tr>
        <w:trPr>
          <w:trHeight w:val="1" w:hRule="atLeast"/>
          <w:jc w:val="center"/>
        </w:trPr>
        <w:tc>
          <w:tcPr>
            <w:tcW w:w="34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Obras Civiles de Infraestructura</w:t>
            </w:r>
          </w:p>
        </w:tc>
        <w:tc>
          <w:tcPr>
            <w:tcW w:w="5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Más de 650</w:t>
            </w:r>
          </w:p>
        </w:tc>
      </w:tr>
      <w:tr>
        <w:trPr>
          <w:trHeight w:val="1" w:hRule="atLeast"/>
          <w:jc w:val="center"/>
        </w:trPr>
        <w:tc>
          <w:tcPr>
            <w:tcW w:w="34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Downstream y Plantas Petroquímicas</w:t>
            </w:r>
          </w:p>
        </w:tc>
        <w:tc>
          <w:tcPr>
            <w:tcW w:w="5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Más de 600</w:t>
            </w:r>
          </w:p>
        </w:tc>
      </w:tr>
      <w:tr>
        <w:trPr>
          <w:trHeight w:val="1" w:hRule="atLeast"/>
          <w:jc w:val="center"/>
        </w:trPr>
        <w:tc>
          <w:tcPr>
            <w:tcW w:w="34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Oil &amp; Gas</w:t>
            </w:r>
          </w:p>
        </w:tc>
        <w:tc>
          <w:tcPr>
            <w:tcW w:w="5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Más de 900</w:t>
            </w:r>
          </w:p>
        </w:tc>
      </w:tr>
      <w:tr>
        <w:trPr>
          <w:trHeight w:val="1" w:hRule="atLeast"/>
          <w:jc w:val="center"/>
        </w:trPr>
        <w:tc>
          <w:tcPr>
            <w:tcW w:w="34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Energía</w:t>
            </w:r>
          </w:p>
        </w:tc>
        <w:tc>
          <w:tcPr>
            <w:tcW w:w="5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Más de 14000 MW instalados en Centrales de Ciclo Combinado</w:t>
            </w:r>
          </w:p>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Mas de 200 Líneas de transmisión y Subestaciones Eléctricas.</w:t>
            </w:r>
          </w:p>
        </w:tc>
      </w:tr>
    </w:tbl>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12. Sectores industriales con presencia de TECHINT E&amp;C</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6236" w:dyaOrig="5932">
          <v:rect xmlns:o="urn:schemas-microsoft-com:office:office" xmlns:v="urn:schemas-microsoft-com:vml" id="rectole0000000018" style="width:311.800000pt;height:296.6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8" ShapeID="rectole0000000018" r:id="docRId37"/>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4. TECHINT E&amp;C en números</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Brochure Institucional TECHINT 2020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TECHINT E&amp;C posee distintas sedes a nivel nacional e internacional las cuales están posicionadas estratégicamente para ejecutar proyectos de gran envergadura.  </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9739" w:dyaOrig="5871">
          <v:rect xmlns:o="urn:schemas-microsoft-com:office:office" xmlns:v="urn:schemas-microsoft-com:vml" id="rectole0000000019" style="width:486.950000pt;height:293.5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9" ShapeID="rectole0000000019" r:id="docRId39"/>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5. Oficinas de TECHINT E&amp;C en el mundo</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Brochure Institucional TECHINT 2020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10"/>
        </w:numPr>
        <w:spacing w:before="200" w:after="100" w:line="240"/>
        <w:ind w:right="0" w:left="1680"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TECHINT E&amp;C en el contexto pandémico y el cambio de paradigma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Originalmente la verticalidad y burocracia de los procesos de TECHINT E&amp;C imposibilitaba la oportunidad de trabajo remoto. Sin embargo, la pandemia del COVID-19 iniciada en marzo 2020 obligó a la empresa a apostar por el desarrollo de proyectos apoyándose en herramientas digitales y comunicación efectiva. Hoy en día, transcurridos año y medio de haber iniciado la pandemia en el país, los empleados de la empresa continúan trabajando de forma remota, está programado un regreso escalonado a las oficinas, esta vez aplicando un régimen de trabajo combinado 3 en oficina / 2 en casa para los proyectos en fase de Ingeniería, mientras que ha reforzado las medidas sanitarias para continuar con aquellos proyectos que se encuentran en fase de construcción.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12"/>
        </w:numPr>
        <w:spacing w:before="200" w:after="100" w:line="240"/>
        <w:ind w:right="0" w:left="1680"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Análisis del Macroentorno con el método PEST</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considerar los diversos factores externos que afectan a Techint E &amp; C se procede a realizar un análisis PEST, en el que se describirán los agentes de orden Político, Económico, Social y Tecnológico en los que no puede evitar la compañía, pero si puede tomar decisiones que le permita protegerse ante las situaciones que estos desencadenen.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limitar el estudio se realizará el análisis considerando factores externos en Argentina.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Políticos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214"/>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Primeramente, la pandemia causada por el COVID-19 que llevó a la decisión durante el 2020 del presidente Alberto Fernández de aplicar cuarentena estricta repercutió en todos los rubros, y por algunos meses la industria presentó importantes pérdidas. Afortunadamente luego de varios meses muy duros para la industria y en especial para las PYMES empezaron a habilitar la continuidad de las obras en construcción. </w:t>
      </w:r>
    </w:p>
    <w:p>
      <w:pPr>
        <w:numPr>
          <w:ilvl w:val="0"/>
          <w:numId w:val="214"/>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inestabilidad política generada por elecciones administrativas de septiembre del 2021, que causa temor en el gobierno al percibir perdida de número de diputados adeptos al gobierno. </w:t>
      </w:r>
    </w:p>
    <w:p>
      <w:pPr>
        <w:numPr>
          <w:ilvl w:val="0"/>
          <w:numId w:val="214"/>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otro lado, Argentina no ha formulado políticas públicas específicas o instrumentos de apoyo financiero a las inversiones en el extranjero. Por lo tanto, las empresas han financiado sus inversiones internacionales, en su mayoría, con emisión de deuda o de capital en los mercados internacionales o a través de la reinversión de utilidades. La falta de financiación a largo plazo, así como la volatilidad macroeconómica en el pasado, han sido factores limitantes del crecimiento y la expansión internacional de las empresas argentinas. En particular, las compañías argentinas tienen mucho menor acceso al crédito doméstico respecto de las empresas de otros países de la región (como Brasil y Chile en América del Sur).  </w:t>
      </w:r>
    </w:p>
    <w:p>
      <w:pPr>
        <w:numPr>
          <w:ilvl w:val="0"/>
          <w:numId w:val="214"/>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gobierno de turno y su relación con otros gobernantes de la región y del mundo no impulsa la creación de negocios bilaterales y con ello reduce la posibilidad de tener grandes contratos e impulsar aún más la explotación de proyectos de energía, petróleo y gas y renovables. </w:t>
      </w:r>
    </w:p>
    <w:p>
      <w:pPr>
        <w:numPr>
          <w:ilvl w:val="0"/>
          <w:numId w:val="214"/>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Tendencia constante de aumento de la población, lo que deriva en demanda de servicios.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económicos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COVID-19 ha afectado al mundo, y en especial aquellos países en desarrollo que ya presentaban problemas económicos previos como Argentina. La situación ha causado que muchos proyectos se congelen y que aquellos que ya se tenían presenten pérdidas por toda la logística y cambio de paradigma que la empresa no estaba preparada para aplicarla. </w:t>
      </w: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inflación argentina es una de las más altas de la región lo que hace inviable la ejecución de muchos proyectos, a menos que los valores se dolaricen. </w:t>
      </w: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Elevados costos de importación y de mano de obra. </w:t>
      </w: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Política fiscal y carga fiscal asfixiante. </w:t>
      </w: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Déficit fiscal desbordado y empeorado por la pandemia y el afán del gobierno por mantenerse en el poder.  </w:t>
      </w: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Recesión económica perpetuada. </w:t>
      </w: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Aumentos y distorsiones de precios a nivel mundial. en energía (gas, petróleo, energía eléctrica) y de las commodities (cobre, carbón) y de ciertos productos industriales como el acero están muy por encima de su nivel máximo en los últimos años. </w:t>
      </w: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Incremento distorsionado en los costos de la logística internacional, </w:t>
      </w:r>
      <w:r>
        <w:rPr>
          <w:rFonts w:ascii="Cambria" w:hAnsi="Cambria" w:cs="Cambria" w:eastAsia="Cambria"/>
          <w:color w:val="000000"/>
          <w:spacing w:val="0"/>
          <w:position w:val="0"/>
          <w:sz w:val="24"/>
          <w:shd w:fill="auto" w:val="clear"/>
        </w:rPr>
        <w:t xml:space="preserve">así como el impacto que todo esto tiene en los tiempos de entrega producto de demoras en las cadenas de abastecimiento y en los puertos.</w:t>
      </w: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Aumento del nivel de producción de LNG (gas natural licuado), subió a más del doble en estos meses, impulsando, por ejemplo, el desarrollo de Vaca Muerta en Argentina con todo el potencial que tiene. Hoy Argentina está importando LNG durante los inviernos, y esto sumado a la caída de la producción de gas natural en Bolivia, impulsará la utilización creciente del gas de Vaca Muerta. </w:t>
      </w:r>
    </w:p>
    <w:p>
      <w:pPr>
        <w:numPr>
          <w:ilvl w:val="0"/>
          <w:numId w:val="21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Aumento de precios del petróleo en el mercado argentino.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Sociales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21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Aquellos proyectos que TECHINT E&amp;C tenía en el extranjero para el momento de la pandemia se relentecieron, si bien en Brasil la Industria se nombró como rubro esencial y no se detuvo, en Argentina no fue sino hasta varios meses después, por lo tanto, el proceso de rotación de Ingenieros de un país a otro se vio afectado por las pruebas PCR que debían aplicarse al entrar a cada país y el proceso de cuarentena que tenían que realizar, lo que traía retrasos para la incorporación del personal a las obras.</w:t>
      </w:r>
    </w:p>
    <w:p>
      <w:pPr>
        <w:numPr>
          <w:ilvl w:val="0"/>
          <w:numId w:val="21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situación gremial y los continuos paros que realiza el sector, específicamente los del gremio de Unión Obrera de la Construcción de la República Argentina (UOCRA) que repercuten en la terminación de proyectos.</w:t>
      </w:r>
    </w:p>
    <w:p>
      <w:pPr>
        <w:numPr>
          <w:ilvl w:val="0"/>
          <w:numId w:val="21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Pobreza de casi 50% de la población. </w:t>
      </w:r>
    </w:p>
    <w:p>
      <w:pPr>
        <w:numPr>
          <w:ilvl w:val="0"/>
          <w:numId w:val="21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Cambios de habito de trabajo a raíz de la pandemia, el ciudadano hoy en día valora mucho más el trabajo remoto a tener que desplazarse a la oficina como era antes del COVID, incluso, a pesar de que el gobierno haya comunicado una nueva modalidad de contrato “remoto” durante el 2020, este aun no entra en vigencia.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Tecnológicos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22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raíz de la pandemia, se le dio más importancia a la innovación y desarrollo tecnológico, muchas empresas no han estado a la altura de la situación. Se priorizan nuevos métodos de distribución, fabricación e incluso de logística.</w:t>
      </w:r>
    </w:p>
    <w:p>
      <w:pPr>
        <w:numPr>
          <w:ilvl w:val="0"/>
          <w:numId w:val="22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Gran apertura a start ups y negocios con gran poder digital.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22"/>
        </w:numPr>
        <w:spacing w:before="200" w:after="100" w:line="240"/>
        <w:ind w:right="0" w:left="1680"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Análisis del Microentorno: Matriz F.O.D.A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Considerando los factores externos desarrollados en la sección anterior se dispone a realizar un análisis del microentorno que rodea a TECHINT a través del análisis F.O.D.A al identificar las fortalezas, oportunidades, debilidades y amenazas de la compañía.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tbl>
      <w:tblPr/>
      <w:tblGrid>
        <w:gridCol w:w="4675"/>
        <w:gridCol w:w="4675"/>
      </w:tblGrid>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FORTALEZAS (internas)</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DEBILIDADES (internas)</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-Posicionamiento de la marca en el sector y en el mundo</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-Calidad de los proyectos encomendados, tanto en Ingeniería como en ejecución de obras.</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-Dispuestos al reto al encarar proyectos más complejos que sus competidores promedio.</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-Posee gran apalancamiento financiero y exposición mundial gracias a ser parte del conglomerado Techint.</w:t>
            </w:r>
          </w:p>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 Posee un departamento de Ingeniería y Construcción muy experimentado</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-El sector de ingeniería no posee un sistema de documentación estandarizada, lo que se traduce en retrabajos y tiempos perdidos. </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-Extrema burocracia en los procesos que se evidencian aún más en tiempos de pandemia. </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-la plantilla de trabajadores es de una elevada edad, donde una gran parte se está jubilando. </w:t>
            </w:r>
          </w:p>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-Aprensión al trabajar con otras oficinas en otros países, en algunas oportunidades es por el idioma, en otras por las diferencias culturales o por formas de trabajar distintas. </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OPORTUNIDADES (externas)</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AMENAZAS (externas)</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-Tipo de cambio favorable para ciertos proyectos llevados fuera del país. </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-El apalancamiento con el grupo TECHNT le facilita conseguir aliados en grandes proyectos.</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La suba del petróleo presenta grandes oportunidades locales para la producción, tratamiento y exportación; esto puede generar proyectos en toda la Cuenca Neuquina, sobre todo relacionados al petróleo no convencional.</w:t>
            </w:r>
          </w:p>
          <w:p>
            <w:pPr>
              <w:spacing w:before="0" w:after="0" w:line="360"/>
              <w:ind w:right="0" w:left="0" w:firstLine="0"/>
              <w:jc w:val="both"/>
              <w:rPr>
                <w:color w:val="auto"/>
                <w:spacing w:val="0"/>
                <w:position w:val="0"/>
              </w:rPr>
            </w:pP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-Situación económica y política argentina</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-Elevados costos impositivos en Argentina. </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El aumento de precios de energía (gas, petróleo, energía eléctrica), de las commodities (cobre, carbón) y de ciertos productos industriales sumado al incremento en los costos de la logística internacional, puede tener un fuerte impacto en el negocio en el corto y mediano plazo, en los proyectos en ejecución y en las ofertas que actualmente se están preparando. Asimismo, puede que estas mismas alteraciones logren producir oportunidades concretas de inversión y proyectos interesantes en las diferentes regiones</w:t>
            </w:r>
          </w:p>
          <w:p>
            <w:pPr>
              <w:spacing w:before="0" w:after="0" w:line="360"/>
              <w:ind w:right="0" w:left="0" w:firstLine="0"/>
              <w:jc w:val="both"/>
              <w:rPr>
                <w:color w:val="auto"/>
                <w:spacing w:val="0"/>
                <w:position w:val="0"/>
              </w:rPr>
            </w:pPr>
          </w:p>
        </w:tc>
      </w:tr>
    </w:tbl>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14. FODA </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luego de haber analizado el entorno de la competencia regional y nacional más relevantes, así como establecer la demanda del mercado de Oil &amp;Gas tomando como referencia Argentina, se puede concluir que TECHINT E&amp;C de la mano del conglomerado Techint posee un firme posicionamiento en el mercado siendo reconocido por los clientes, competidores y aliados. Tiene la estructura y apalancamiento tanto para permanecer siendo líder en el mercado de la construcción industrial en Argentina, así como para escalar aún más en proyectos complejos de escala mundial al tener presencia en las principales licitaciones que ofrecen clientes en el mercado de hidrocarburos.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keepNext w:val="true"/>
        <w:keepLines w:val="true"/>
        <w:spacing w:before="480" w:after="1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3: INVESTIGACIÓN Y RELEVAMIENTO</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3.1 Justificación de la investigación</w:t>
      </w:r>
    </w:p>
    <w:p>
      <w:pPr>
        <w:tabs>
          <w:tab w:val="left" w:pos="1520" w:leader="none"/>
        </w:tabs>
        <w:spacing w:before="0" w:after="0" w:line="240"/>
        <w:ind w:right="0" w:left="787"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el propósito de responder a la hipótesis planteada al comienzo de esta tesis, resulta necesario obtener un estado de la situación de cómo se llevan a cabo los procesos actualmente y así conseguir un punto de referencia para poder más adelante proponer cambios que deriven en procesos más eficientes.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tanto, este capítulo se centrará en describir el proceso de la elaboración de documentación técnica tal cual es actualmente (As is) mediante la aplicación del mapeo de procesos, utilizando la metodología del Value Stream Mapping aplicada esta vez a ingeniería. Se enmarcará dentro del departamento de Ingeniería de la sede principal de la compañía, ubicada en Buenos Aires, tomando como objeto de estudio una pequeña porción del personal los cuales se encuentran trabajando para un mismo proyecto específico. </w:t>
      </w:r>
    </w:p>
    <w:p>
      <w:pPr>
        <w:tabs>
          <w:tab w:val="left" w:pos="152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investigación pretende explicar las razones por las cuales resulta necesario implementar y difundir un sistema de manejo eficiente de la información técnica típica en el departamento de Ingeniería de TECHINT E&amp;C en Buenos Aires, al evidenciar los tiempos muertos, retrabajos y posibles errores de calidad técnica que realizan los encargados en el proceso para realizar un documento técnico a ser enviado al cliente.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3.2 Planteamiento del problema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parte del proceso medular del negocio, el departamento de Ingeniería de TECHINT E&amp;C, tiene la responsabilidad de desarrollar el trabajo intelectual de un proyecto ejecutado por ingenieros, proyectistas y dibujantes, todos profesionales en el desarrollo de proyectos, </w:t>
      </w:r>
      <w:r>
        <w:rPr>
          <w:rFonts w:ascii="Times New Roman" w:hAnsi="Times New Roman" w:cs="Times New Roman" w:eastAsia="Times New Roman"/>
          <w:color w:val="000000"/>
          <w:spacing w:val="0"/>
          <w:position w:val="0"/>
          <w:sz w:val="24"/>
          <w:shd w:fill="auto" w:val="clear"/>
        </w:rPr>
        <w:t xml:space="preserve">participando en ellos desde su concepción y la definición de procesos y especificación de equipos hasta la supervisión y administración de las obras que requiere su materialización, para terminar colaborando en su puesta en marcha. </w:t>
      </w:r>
      <w:r>
        <w:rPr>
          <w:rFonts w:ascii="Times New Roman" w:hAnsi="Times New Roman" w:cs="Times New Roman" w:eastAsia="Times New Roman"/>
          <w:color w:val="auto"/>
          <w:spacing w:val="0"/>
          <w:position w:val="0"/>
          <w:sz w:val="24"/>
          <w:shd w:fill="auto" w:val="clear"/>
        </w:rPr>
        <w:t xml:space="preserve">Este departamento transforma ideas en proyectos sustentables que implican el mejoramiento de la calidad de vida de la población., asimismo, es un recurso estratégico para el desarrollo económico de la empresa, al establecer la viabilidad de los proyectos a ser ejecutados.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vez ganado el proyecto y acordada la fase de ingeniería a desarrollar de acuerdo al nivel de precisión que requerido por el cliente, (Ingeniería Conceptual, Básica o de Detalle), la gerencia de ingeniería designa a un gerente de proyecto y a su vez a líderes por cada disciplina que intervenga en el proyecto (disciplinas civil, electricidad, mecánica, arquitectura, control de procesos industriales, entre otras), de la misma forma cada líder elige la cantidad de ingenieros y demás colaboradores que ellos requieran para cumplir con la lista de documentos técnicos que fueron ofertados durante la licitación del proyecto y que deberá ser completada para el cliente en los plazos acordados.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lista maestra de documentos (LMD) contiene la cantidad, descripción general de los documentos técnicos a realizar por el equipo de ingeniería, asimismo contiene las horas hombre (HH) estimadas para cada realizar cada elaborado, es con este método que se mide la productividad de cada equipo y finalmente del proyecto.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ciclo vida de un documento técnico puede llevar en promedio unas 4 revisiones del cliente antes de que su ciclo de emisión termine siendo finalmente aprobado. Esto dependerá de varios factores como lo son: nivel de detalle de ingeniería que el proyecto demande, calidad desarrollada e información disponible para el momento de la emisión.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Salvo casos excepcionales en los que se desarrolla ingeniería para proyectos no convencionales, el desarrollo de ingeniería de proyectos de Oil &amp; Gas  son bastantes similares de acuerdo al nivel del rubro que desee desarrollarse, así se desprende Upstream para proyectos de exploración y explotación, Midstream para transporte de hidrocarburos y estaciones de medición  y Downstream para proyectos de refinación, as su vez cada uno de estos tiene subdivisiones pero  en líneas generales la Lista maestra de documentos (LMD) de ingeniería mantiene un grupo de documentación base que se repite mayoritariamente en todos los proyectos.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 embargo, en el proceso de elaborar la documentación técnica que se ofertó para aprobación del cliente, se ha evidenciado un problema en los subprocesos que generan ineficiencias y retrasos que a primera vista pueden parecer pasar desapercibidos por los colaboradores y jefes de ingeniería, pero que al mediano plazo impacta en la planificación y entrega de los elaborados.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ha evidenciado que cuando un ingeniero inicia el proceso de elaboración de un documento debe buscar en otros proyectos documentación similar que le pueda servir de ayuda, sin embargo, muchas veces esta documentación no es controlada y puede arrastrar errores de un documento a otro. Adicionalmente los ingenieros no hacen revisión cruzada para verificar que todos lo que debiera estar en ese documento se encuentre correctamente detallado. Dan por hecho que lo que han tomado de otro proyecto puede aplicar igualmente para el que están desarrollando, sin considerar muchas veces que cada cliente tiene sus propios requerimientos específicos.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el error es detectado por el líder de la disciplina durante su revisión antes de enviar al cliente se corrigen los errores, pero se extendió demás en el tiempo de revisión estimado, sin embargo, muchas veces el error incluso es cometido desde el líder hacia sus colaboradores al promover el uso de documentación de otros proyectos y cuando este es el caso los errores no son detectados por el ingeniero a cargo de revisar lo que el ejecutante realizó. Todo esto deriva en improductividad medida cuando las HH gastadas resultan mayores a las ofertadas. </w:t>
      </w:r>
    </w:p>
    <w:p>
      <w:pPr>
        <w:tabs>
          <w:tab w:val="left" w:pos="152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52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3.3 Objetivo general de la investigación</w:t>
      </w:r>
    </w:p>
    <w:p>
      <w:pPr>
        <w:tabs>
          <w:tab w:val="left" w:pos="1520" w:leader="none"/>
        </w:tabs>
        <w:spacing w:before="0" w:after="0" w:line="240"/>
        <w:ind w:right="0" w:left="787"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Describir el proceso actual de la elaboración de documentación técnica en TECHINT E&amp;C con el objeto de encontrar oportunidades de mejora.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3.4 Diseño de la investigación y metodología aplicada</w:t>
      </w: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investigación tendrá un enfoque mayormente cuantitativo con algunas colaboraciones de la investigación cualitativa. En su alcance cuantitativo, será del tipo exploratorio y descriptivo, se tomará un pequeño grupo del personal de ingeniería del departamento de Electricidad e Instrumentación de la sede de Buenos Aires como objeto de estudio y se observará detalladamente como trabajan, se tomarán datos, se analizarán y se obtendrán resultados aprovechando la experiencia que tiene el investigador en el know-how de otras empresas del mismo rubro. Dentro del objeto de estudio no estará el sujeto investigador, el mismo se identificará como un agente externo a la realidad observada y declara no interferir como participante.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Adicionalmente, tomando de las investigaciones cualitativas, se decidió agregar la entrevista semiestructurada como herramienta para reforzar la búsqueda de información. Se entrevistó al gerente interino del departamento de Electricidad con el fin de obtener información relevante sobre el tema.  Para ello se elaboró una guía de preguntas abiertas basadas en los objetivos del estudio, y se pactó una fecha, lugar y condiciones de la misma para poderla llevar a cabo.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al proceso metodológico, esta investigación propone utilizar la observación directa como técnica principal para recolectar datos y se representará visualmente mediante la aplicación del Value Stream Mapping (VSM) aplicado a procesos de ingeniería o lean office, detallando el proceso de elaboración de documentación técnica como actualmente es (As is), en otras palabras, el VSM recogerá datos limitados sobre los procesos administrativos. Para mayor información sobre el procedimiento de mapeo de procesos referirse al capítulo 1.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software para representar el VSM será Microsoft Visio 2000.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3.5 Cálculo de la muestra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bien la investigación es cuantitativa basada en información interna de la empresa, no se puede establecer una muestra estadística ya que el grupo de estudio no es numéricamente representativo de toda la compañía. En su lugar, el VSM aplicado a Lean office pone el un alto énfasis sobre los datos para tomar decisiones basadas en los hechos y en la observación directa y esto contrasta con la realidad de la mayoría de las organizaciones, ya que recogen datos limitados sobre procesos administrativos.</w:t>
      </w:r>
    </w:p>
    <w:p>
      <w:pPr>
        <w:tabs>
          <w:tab w:val="left" w:pos="380" w:leader="none"/>
        </w:tabs>
        <w:spacing w:before="0" w:after="0" w:line="240"/>
        <w:ind w:right="133" w:left="0" w:firstLine="0"/>
        <w:jc w:val="center"/>
        <w:rPr>
          <w:rFonts w:ascii="Times New Roman" w:hAnsi="Times New Roman" w:cs="Times New Roman" w:eastAsia="Times New Roman"/>
          <w:b/>
          <w:color w:val="auto"/>
          <w:spacing w:val="0"/>
          <w:position w:val="0"/>
          <w:sz w:val="24"/>
          <w:shd w:fill="auto" w:val="clear"/>
        </w:rPr>
      </w:pPr>
    </w:p>
    <w:p>
      <w:pPr>
        <w:keepNext w:val="true"/>
        <w:keepLines w:val="true"/>
        <w:numPr>
          <w:ilvl w:val="0"/>
          <w:numId w:val="257"/>
        </w:numPr>
        <w:spacing w:before="200" w:after="10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Resultados </w:t>
      </w: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p>
    <w:p>
      <w:pPr>
        <w:keepNext w:val="true"/>
        <w:keepLines w:val="true"/>
        <w:numPr>
          <w:ilvl w:val="0"/>
          <w:numId w:val="259"/>
        </w:numPr>
        <w:spacing w:before="200" w:after="100" w:line="240"/>
        <w:ind w:right="0" w:left="360"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Procedimiento del mapeo de proceso actual (As is) </w:t>
      </w:r>
    </w:p>
    <w:p>
      <w:pPr>
        <w:spacing w:before="0" w:after="0" w:line="240"/>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detalla paso a paso el procedimiento de mapeo de procesos (As is) llevado a cabo en el departamento de electricidad de acuerdo a lo indicado en la sección 1.5 de capítulo 1: </w:t>
      </w:r>
    </w:p>
    <w:p>
      <w:pPr>
        <w:spacing w:before="0" w:after="0" w:line="240"/>
        <w:ind w:right="0" w:left="360" w:firstLine="0"/>
        <w:jc w:val="left"/>
        <w:rPr>
          <w:rFonts w:ascii="Cambria" w:hAnsi="Cambria" w:cs="Cambria" w:eastAsia="Cambria"/>
          <w:color w:val="auto"/>
          <w:spacing w:val="0"/>
          <w:position w:val="0"/>
          <w:sz w:val="24"/>
          <w:shd w:fill="auto" w:val="clear"/>
        </w:rPr>
      </w:pPr>
    </w:p>
    <w:p>
      <w:pPr>
        <w:spacing w:before="0" w:after="0" w:line="240"/>
        <w:ind w:right="0" w:left="360" w:firstLine="0"/>
        <w:jc w:val="left"/>
        <w:rPr>
          <w:rFonts w:ascii="Cambria" w:hAnsi="Cambria" w:cs="Cambria" w:eastAsia="Cambria"/>
          <w:color w:val="auto"/>
          <w:spacing w:val="0"/>
          <w:position w:val="0"/>
          <w:sz w:val="24"/>
          <w:shd w:fill="auto" w:val="clear"/>
        </w:rPr>
      </w:pPr>
    </w:p>
    <w:tbl>
      <w:tblPr/>
      <w:tblGrid>
        <w:gridCol w:w="3505"/>
        <w:gridCol w:w="5323"/>
      </w:tblGrid>
      <w:tr>
        <w:trPr>
          <w:trHeight w:val="1" w:hRule="atLeast"/>
          <w:jc w:val="left"/>
        </w:trPr>
        <w:tc>
          <w:tcPr>
            <w:tcW w:w="35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Lugar:</w:t>
            </w:r>
          </w:p>
        </w:tc>
        <w:tc>
          <w:tcPr>
            <w:tcW w:w="5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Departamento de Ingeniería de Electricidad, Buenos Aires, Argentina</w:t>
            </w:r>
          </w:p>
        </w:tc>
      </w:tr>
      <w:tr>
        <w:trPr>
          <w:trHeight w:val="1" w:hRule="atLeast"/>
          <w:jc w:val="left"/>
        </w:trPr>
        <w:tc>
          <w:tcPr>
            <w:tcW w:w="35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Nivel de expertise del sujeto de estudio</w:t>
            </w:r>
          </w:p>
        </w:tc>
        <w:tc>
          <w:tcPr>
            <w:tcW w:w="5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Ingeniero Senior con más de 10 años en la empresa</w:t>
            </w:r>
          </w:p>
        </w:tc>
      </w:tr>
      <w:tr>
        <w:trPr>
          <w:trHeight w:val="1" w:hRule="atLeast"/>
          <w:jc w:val="left"/>
        </w:trPr>
        <w:tc>
          <w:tcPr>
            <w:tcW w:w="35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Herramienta de investigación:</w:t>
            </w:r>
          </w:p>
        </w:tc>
        <w:tc>
          <w:tcPr>
            <w:tcW w:w="5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Observación directa / VSM aplicado a ingeniería</w:t>
            </w:r>
          </w:p>
        </w:tc>
      </w:tr>
      <w:tr>
        <w:trPr>
          <w:trHeight w:val="1" w:hRule="atLeast"/>
          <w:jc w:val="left"/>
        </w:trPr>
        <w:tc>
          <w:tcPr>
            <w:tcW w:w="35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Documentación a realizar:</w:t>
            </w:r>
          </w:p>
        </w:tc>
        <w:tc>
          <w:tcPr>
            <w:tcW w:w="5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Memoria de cálculo de cables </w:t>
            </w:r>
          </w:p>
        </w:tc>
      </w:tr>
      <w:tr>
        <w:trPr>
          <w:trHeight w:val="1" w:hRule="atLeast"/>
          <w:jc w:val="left"/>
        </w:trPr>
        <w:tc>
          <w:tcPr>
            <w:tcW w:w="35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Nivel de complejidad. </w:t>
            </w:r>
          </w:p>
        </w:tc>
        <w:tc>
          <w:tcPr>
            <w:tcW w:w="5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Intermedio</w:t>
            </w: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274"/>
        </w:numPr>
        <w:spacing w:before="0" w:after="160" w:line="256"/>
        <w:ind w:right="0" w:left="1080"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Criterios adoptados para definir los procesos </w:t>
      </w:r>
    </w:p>
    <w:p>
      <w:pPr>
        <w:spacing w:before="0" w:after="160" w:line="256"/>
        <w:ind w:right="0" w:left="1080" w:firstLine="0"/>
        <w:jc w:val="left"/>
        <w:rPr>
          <w:rFonts w:ascii="Times New Roman" w:hAnsi="Times New Roman" w:cs="Times New Roman" w:eastAsia="Times New Roman"/>
          <w:b/>
          <w:color w:val="auto"/>
          <w:spacing w:val="0"/>
          <w:position w:val="0"/>
          <w:sz w:val="24"/>
          <w:shd w:fill="auto" w:val="clear"/>
        </w:rPr>
      </w:pPr>
    </w:p>
    <w:p>
      <w:pPr>
        <w:numPr>
          <w:ilvl w:val="0"/>
          <w:numId w:val="276"/>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existe un producto físico como los normalmente vistos en los procesos de fabricación. En su lugar se considera el flujo de información de diseño como el producto “intangible” requerido para realizar la documentación técnica.  </w:t>
      </w:r>
    </w:p>
    <w:p>
      <w:pPr>
        <w:numPr>
          <w:ilvl w:val="0"/>
          <w:numId w:val="276"/>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realizará el ejercicio de VSM mostrando el nivel de subprocesos y procedimientos juntos, identificando el subproceso como elaboración de documentación de Ingeniería y el Procedimiento es el requerido para elaborar memorias de cálculo de cables. </w:t>
      </w:r>
    </w:p>
    <w:p>
      <w:pPr>
        <w:numPr>
          <w:ilvl w:val="0"/>
          <w:numId w:val="276"/>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define como unidad de medida las Horas Hombre (HH) aceptadas por el Cliente para poder entregar el documento técnico. Las mimas se indican en la Lista de documentos (LMD) del proyecto. </w:t>
      </w:r>
    </w:p>
    <w:p>
      <w:pPr>
        <w:numPr>
          <w:ilvl w:val="0"/>
          <w:numId w:val="276"/>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identificarán que tareas realiza cada persona involucrada y en que secuencia. Es decir, si varias tareas son realizadas por la misma persona se considera como varios elementos de trabajo dentro de un mismo proceso. Ejemplo, si un ingeniero revisa un plano de un cliente y posteriormente elabora una especificación técnica, crea una lista de materiales (BOM) y un plano de canalizaciones como un solo paso se considera un proceso.  Por otro lado, si el ingeniero revisa el plano del cliente y luego se lo pasa a alguien más para crear la lista de materiales y el plano de canalizaciones esto sería identificado como dos pasos dentro del mismo proceso. </w:t>
      </w:r>
    </w:p>
    <w:p>
      <w:pPr>
        <w:numPr>
          <w:ilvl w:val="0"/>
          <w:numId w:val="276"/>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proceso ocurre cuando el flujo de información de diseño se detiene y requiere información adicional para avanzar. Por lo tanto, el siguiente paso es administrar el flujo de información necesaria para poder pasar al siguiente paso dentro del proceso. </w:t>
      </w:r>
    </w:p>
    <w:p>
      <w:pPr>
        <w:numPr>
          <w:ilvl w:val="0"/>
          <w:numId w:val="276"/>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Muchas veces el flujo de información no será completamente lineal debido a las diferentes funciones y prioridades que gestiona el ingeniero mientras se encuentra en el proceso de elaborar un documento técnico.</w:t>
      </w:r>
    </w:p>
    <w:p>
      <w:pPr>
        <w:numPr>
          <w:ilvl w:val="0"/>
          <w:numId w:val="276"/>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manejarse información técnica como producto, resulta en muchas ocasiones complicado separar los tiempos de espera de los tiempos de procesamiento, ya que muchas veces los cálculos son iterativos o hay que regresar a solicitar nuevos datos a los proveedores internos, o bien, durante el desarrollo del cálculo las condiciones previas al mismo han sido modificadas debido al dinamismo que conlleva trabajar en etapa de proyectos de ingeniería. </w:t>
      </w:r>
    </w:p>
    <w:p>
      <w:pPr>
        <w:numPr>
          <w:ilvl w:val="0"/>
          <w:numId w:val="276"/>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método de medición de tiempos se utilizó la hoja de tiempo semanal que se carga al fin de semana para llevar el control de horas, se solicitó cargar en lugar de cada paso del proceso con sus respectivas horas consumidas. </w:t>
      </w: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79"/>
        </w:numPr>
        <w:spacing w:before="0" w:after="160" w:line="256"/>
        <w:ind w:right="0" w:left="1080"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Condiciones de inicio en el ejercicio: </w:t>
      </w:r>
    </w:p>
    <w:p>
      <w:pPr>
        <w:spacing w:before="0" w:after="160" w:line="256"/>
        <w:ind w:right="0" w:left="1080" w:firstLine="0"/>
        <w:jc w:val="both"/>
        <w:rPr>
          <w:rFonts w:ascii="Times New Roman" w:hAnsi="Times New Roman" w:cs="Times New Roman" w:eastAsia="Times New Roman"/>
          <w:b/>
          <w:color w:val="auto"/>
          <w:spacing w:val="0"/>
          <w:position w:val="0"/>
          <w:sz w:val="24"/>
          <w:shd w:fill="auto" w:val="clear"/>
        </w:rPr>
      </w:pPr>
    </w:p>
    <w:p>
      <w:pPr>
        <w:numPr>
          <w:ilvl w:val="0"/>
          <w:numId w:val="281"/>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sujeto de estudio elaborará un documento de memoria de cálculo de cables desde su etapa inicial.</w:t>
      </w:r>
    </w:p>
    <w:p>
      <w:pPr>
        <w:numPr>
          <w:ilvl w:val="0"/>
          <w:numId w:val="281"/>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sujeto posee experiencia en la realización de estos documentos en la empresa.</w:t>
      </w:r>
    </w:p>
    <w:p>
      <w:pPr>
        <w:numPr>
          <w:ilvl w:val="0"/>
          <w:numId w:val="281"/>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Utiliza como herramienta de cálculo una hoja de Excel que poseía previamente en sus registros, la cual proviene de otros proyectos. </w:t>
      </w:r>
    </w:p>
    <w:p>
      <w:pPr>
        <w:numPr>
          <w:ilvl w:val="0"/>
          <w:numId w:val="281"/>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demanda acordada por el cliente para la emisión de documentos es de 3 documentos por semana, por lo que el tiempo a dedicar en la emisión de esta memoria de cálculo se encuentra limitado ya que tiene que continuar con la emisión de los otros 2 restantes.</w:t>
      </w:r>
    </w:p>
    <w:p>
      <w:pPr>
        <w:numPr>
          <w:ilvl w:val="0"/>
          <w:numId w:val="281"/>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Jornada laboral de 40 Horas (5 días de 8 horas)</w:t>
      </w:r>
    </w:p>
    <w:p>
      <w:pPr>
        <w:numPr>
          <w:ilvl w:val="0"/>
          <w:numId w:val="281"/>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HH ofertadas para la emisión en revisión final del documento: 60 HH. Se considera 50% del valor total para poder emitir en primera revisión, es decir, 30 HH.</w:t>
      </w:r>
    </w:p>
    <w:p>
      <w:pPr>
        <w:numPr>
          <w:ilvl w:val="0"/>
          <w:numId w:val="281"/>
        </w:numPr>
        <w:spacing w:before="0" w:after="160" w:line="25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Cantidad de datos a procesar en la memoria de cálculo: entre 50 y 100 items.</w:t>
      </w: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283"/>
        </w:numPr>
        <w:spacing w:before="0" w:after="160" w:line="256"/>
        <w:ind w:right="0" w:left="1080"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Simbología a utilizar:</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simbología es la propia para VSM extraída de la biblioteca del Microsoft Visio.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863" w:dyaOrig="5811">
          <v:rect xmlns:o="urn:schemas-microsoft-com:office:office" xmlns:v="urn:schemas-microsoft-com:vml" id="rectole0000000020" style="width:343.150000pt;height:290.55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20" ShapeID="rectole0000000020" r:id="docRId41"/>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6. Simbología VSM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Microsoft Visio</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numPr>
          <w:ilvl w:val="0"/>
          <w:numId w:val="287"/>
        </w:numPr>
        <w:spacing w:before="0" w:after="160" w:line="256"/>
        <w:ind w:right="0" w:left="1080"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Mapeo del proceso actual (As Is)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presenta el mapeo de procesos: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línea segmentada Cian: Subproceso de Ingeniería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9597" w:dyaOrig="6681">
          <v:rect xmlns:o="urn:schemas-microsoft-com:office:office" xmlns:v="urn:schemas-microsoft-com:vml" id="rectole0000000021" style="width:479.850000pt;height:334.05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21" ShapeID="rectole0000000021" r:id="docRId43"/>
        </w:object>
      </w:r>
      <w:r>
        <w:rPr>
          <w:rFonts w:ascii="Times New Roman" w:hAnsi="Times New Roman" w:cs="Times New Roman" w:eastAsia="Times New Roman"/>
          <w:color w:val="auto"/>
          <w:spacing w:val="0"/>
          <w:position w:val="0"/>
          <w:sz w:val="24"/>
          <w:shd w:fill="auto" w:val="clear"/>
        </w:rPr>
        <w:t xml:space="preserve">En línea segmentada Roja: Procedimiento de realización de cálculo. </w:t>
      </w:r>
    </w:p>
    <w:p>
      <w:pPr>
        <w:spacing w:before="0" w:after="0" w:line="240"/>
        <w:ind w:right="0" w:left="108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108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108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7.</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Mapeo del Procedimiento actual de elaboración de procedimiento de memoria de cálculo de cables de Techint</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108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3.6.2 Análisis de los resultados en el mapeo del procedimiento de cálculo: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Proceso 1:</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Paso 1_Recopilación de información:</w:t>
      </w:r>
      <w:r>
        <w:rPr>
          <w:rFonts w:ascii="Times New Roman" w:hAnsi="Times New Roman" w:cs="Times New Roman" w:eastAsia="Times New Roman"/>
          <w:color w:val="auto"/>
          <w:spacing w:val="0"/>
          <w:position w:val="0"/>
          <w:sz w:val="24"/>
          <w:shd w:fill="auto" w:val="clear"/>
        </w:rPr>
        <w:t xml:space="preserve"> Se haya retrasos en entrega de información por parte de los proveedores internos debido a estar ocupados en otras tareas propias de su disciplina. Tampoco se consigue la información en los servidores ya que muchos de los colaboradores trabajan en sus PC personales antes de subir definitivamente la información a la red.</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Paso 2_Selección de Herramienta de cálculo</w:t>
      </w:r>
      <w:r>
        <w:rPr>
          <w:rFonts w:ascii="Times New Roman" w:hAnsi="Times New Roman" w:cs="Times New Roman" w:eastAsia="Times New Roman"/>
          <w:color w:val="auto"/>
          <w:spacing w:val="0"/>
          <w:position w:val="0"/>
          <w:sz w:val="24"/>
          <w:shd w:fill="auto" w:val="clear"/>
        </w:rPr>
        <w:t xml:space="preserve">: Se presentan retrasos cuando el colaborador elige la planilla de Excel que más se asemeje a los requerimientos de cálculo que solicita el cliente. Busca entre sus registros o solicita a otro colaborador una planilla para aplicar al proyecto.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Paso 3_Cálculo:</w:t>
      </w:r>
      <w:r>
        <w:rPr>
          <w:rFonts w:ascii="Times New Roman" w:hAnsi="Times New Roman" w:cs="Times New Roman" w:eastAsia="Times New Roman"/>
          <w:color w:val="auto"/>
          <w:spacing w:val="0"/>
          <w:position w:val="0"/>
          <w:sz w:val="24"/>
          <w:shd w:fill="auto" w:val="clear"/>
        </w:rPr>
        <w:t xml:space="preserve"> Se presentan retrasos y problemas de calidad al introducir los datos en la planilla de Excel, ya que muchas veces se encuentra modificada internamente por otros proyectos para hacer ejercicios de cálculos particulares los cuales no son aplicables al proyecto entrante. Se presenta retrasos al asignarle el formato del nuevo proyecto a la planilla de Excel. Además, se omiten procedimientos de verificación de cálculos que aseguren que el resultado sea el correcto.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Proceso 2: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Paso 4_Revisión con Líder/Incorporación de comentarios:</w:t>
      </w:r>
      <w:r>
        <w:rPr>
          <w:rFonts w:ascii="Times New Roman" w:hAnsi="Times New Roman" w:cs="Times New Roman" w:eastAsia="Times New Roman"/>
          <w:color w:val="auto"/>
          <w:spacing w:val="0"/>
          <w:position w:val="0"/>
          <w:sz w:val="24"/>
          <w:shd w:fill="auto" w:val="clear"/>
        </w:rPr>
        <w:t xml:space="preserve"> Retrasos en los tiempos del líder para poder revisar la información debido a que se encuentra con otras tareas con otros colaboradores, por lo que la información se queda a la espera por revisión. Adicionalmente, el Líder revisa al menos 2 veces, una primera vez sucede cuando el líder se desocupa de otras actividades y hace los ajustes de calidad que considere pertinentes.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segunda vez sucede cuando debe aprobar de forma definitiva el documento en el sistema automático de gestión de documentos. Revisa que los comentarios hayan sido incorporados por el colaborador.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Tiempos de espera y tiempos de procesamiento: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evidenciaron tiempos de espera excesivos debido a los retrabajos causados por: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302"/>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falta de información de entrada incompleta completa o desactualizada</w:t>
      </w:r>
    </w:p>
    <w:p>
      <w:pPr>
        <w:numPr>
          <w:ilvl w:val="0"/>
          <w:numId w:val="302"/>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Retrabajos en ubicación de errores en la planilla de Excel. </w:t>
      </w:r>
    </w:p>
    <w:p>
      <w:pPr>
        <w:numPr>
          <w:ilvl w:val="0"/>
          <w:numId w:val="302"/>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Tiempos de espera excesivos por aguardar a que el Líder revise el documento finalizado.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al considerar las premisas indicadas en el punto 3.6.1 como lo son demanda acordada a emitir de 3 documento por semana, 40 horas semanales de jornada laboral, y 30 HH (1) máximas disponibles para la primera revisión se obtuvo el siguiente resultado:</w:t>
      </w:r>
    </w:p>
    <w:p>
      <w:pPr>
        <w:numPr>
          <w:ilvl w:val="0"/>
          <w:numId w:val="304"/>
        </w:numPr>
        <w:spacing w:before="0" w:after="0" w:line="360"/>
        <w:ind w:right="0" w:left="114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Tiempo de espera total (tE): 40 Horas</w:t>
      </w:r>
    </w:p>
    <w:p>
      <w:pPr>
        <w:numPr>
          <w:ilvl w:val="0"/>
          <w:numId w:val="304"/>
        </w:numPr>
        <w:spacing w:before="0" w:after="0" w:line="360"/>
        <w:ind w:right="0" w:left="114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Tiempo de procesamiento (tP): 24.5 Horas</w:t>
      </w:r>
    </w:p>
    <w:p>
      <w:pPr>
        <w:numPr>
          <w:ilvl w:val="0"/>
          <w:numId w:val="304"/>
        </w:numPr>
        <w:spacing w:before="0" w:after="0" w:line="360"/>
        <w:ind w:right="0" w:left="114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Cantidad de procesos involucrados: 2</w:t>
      </w:r>
    </w:p>
    <w:p>
      <w:pPr>
        <w:numPr>
          <w:ilvl w:val="0"/>
          <w:numId w:val="304"/>
        </w:numPr>
        <w:spacing w:before="0" w:after="0" w:line="360"/>
        <w:ind w:right="0" w:left="114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Tiempo total gastado para poder emitir y enviar al cliente: 40 Horas</w:t>
      </w:r>
    </w:p>
    <w:p>
      <w:pPr>
        <w:numPr>
          <w:ilvl w:val="0"/>
          <w:numId w:val="304"/>
        </w:numPr>
        <w:spacing w:before="0" w:after="0" w:line="360"/>
        <w:ind w:right="0" w:left="114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acuerdo a los principios de Lean Manufacturing aplicados a procesos de oficina el tiempo de espera no es necesariamente tiempo perdido, sino que se concentra las actividades que complementan al tiempo de procesamiento, como validación de información de terceros, revisión de criterios para el cálculo, etc. Adicionalmente, el tiempo de procesamiento se considera parte del tiempo de espera. </w:t>
      </w:r>
    </w:p>
    <w:p>
      <w:pPr>
        <w:spacing w:before="0" w:after="0" w:line="360"/>
        <w:ind w:right="0" w:left="1147" w:firstLine="0"/>
        <w:jc w:val="both"/>
        <w:rPr>
          <w:rFonts w:ascii="Times New Roman" w:hAnsi="Times New Roman" w:cs="Times New Roman" w:eastAsia="Times New Roman"/>
          <w:color w:val="auto"/>
          <w:spacing w:val="0"/>
          <w:position w:val="0"/>
          <w:sz w:val="24"/>
          <w:shd w:fill="auto" w:val="clear"/>
        </w:rPr>
      </w:pPr>
    </w:p>
    <w:p>
      <w:pPr>
        <w:numPr>
          <w:ilvl w:val="0"/>
          <w:numId w:val="30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comparar las HH ofertadas para la primera revisión Vs la HH gastadas hay un desvío de 33% de las HH que representa un consumo adicional. </w:t>
      </w:r>
    </w:p>
    <w:p>
      <w:pPr>
        <w:numPr>
          <w:ilvl w:val="0"/>
          <w:numId w:val="306"/>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lo tanto, se puede observar que no será posible llegar a entregar a fin de la semana los 3 documentos comprometidos y que acciones correctivas deberán realizarse para compensar. Esto se debe principalmente a los largos periodos de espera al recabar la información para iniciar, así como en el cálculo mismo y la posterior espera para que el líder pueda revisar el documento, ya que no se cuenta con check list para verificación de los pasos en el cálculo.</w:t>
      </w:r>
    </w:p>
    <w:p>
      <w:pPr>
        <w:numPr>
          <w:ilvl w:val="0"/>
          <w:numId w:val="306"/>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evidenció tiempos de espera causados por proveedores internos como lo son las disciplinas que deben proporcionar la información de entrada para iniciar los cálculos (tiempos de espera variables para la recopilación de información dependiente de terceros que no se pueden controlar.)</w:t>
      </w:r>
    </w:p>
    <w:p>
      <w:pPr>
        <w:numPr>
          <w:ilvl w:val="0"/>
          <w:numId w:val="306"/>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resaltaron retrasos en la revisión y aprobación por parte del líder, ya que el mismo se conseguía en otras funciones con otros colaboradores. </w:t>
      </w:r>
    </w:p>
    <w:p>
      <w:pPr>
        <w:numPr>
          <w:ilvl w:val="0"/>
          <w:numId w:val="30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existe un flujograma de procesos que resuma cada paso a seguir en la elaboración de documentación técnica, en su lugar el líder de disciplina guía en el proceso al ingeniero desde el inicio para obtener la información. </w:t>
      </w:r>
    </w:p>
    <w:p>
      <w:pPr>
        <w:numPr>
          <w:ilvl w:val="0"/>
          <w:numId w:val="306"/>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se utilizan los procedimientos publicados en la intranet. En caso de que el ingeniero ya tenga experiencia en la empresa se encarga el mismo de buscar un documento típico que se asemeje a el que se debe emitir al cliente, en caso de que no consiga la documentación el líder de disciplina se encargará de facilitarle la información requerida para continuar con el proceso. </w:t>
      </w:r>
    </w:p>
    <w:p>
      <w:pPr>
        <w:spacing w:before="0" w:after="0" w:line="360"/>
        <w:ind w:right="0" w:left="787"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3.6.3 Entrevista al Gerente Interino del departamento de electricidad</w:t>
      </w:r>
    </w:p>
    <w:p>
      <w:pPr>
        <w:tabs>
          <w:tab w:val="left" w:pos="152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entrevista realizada al gerente interino del departamento de electricidad se obtuvo varios hallazgos que deben ser analizados, los cuales se describen a continuación: </w:t>
      </w:r>
    </w:p>
    <w:p>
      <w:pPr>
        <w:tabs>
          <w:tab w:val="left" w:pos="152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314"/>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gerencia de electricidad y de Instrumentación está consciente del problema de los retrabajos causados por distintas formas de elaborar un mismo documento técnico y el impacto que causa en la medición de productividad y eficiencia del departamento.</w:t>
      </w:r>
    </w:p>
    <w:p>
      <w:pPr>
        <w:numPr>
          <w:ilvl w:val="0"/>
          <w:numId w:val="314"/>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pasado se iniciaron acciones correctivas para solventar este problema al crear e intentar difundir ciertos procedimientos estándares para algunos documentos técnicos, sin embargo, el personal continuó trabajando como seguían haciéndolo.</w:t>
      </w:r>
    </w:p>
    <w:p>
      <w:pPr>
        <w:numPr>
          <w:ilvl w:val="0"/>
          <w:numId w:val="314"/>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eligió un grupo compuesto por personal de alto expertise técnico para llevar a cabo el proceso de estandarización de documentación, sin embargo, cada vez que la empresa tenía algún proyecto donde estas personas eran requeridas, se le solicitaba a las mismas que abandonaban sus funciones dentro de este grupo y se dedicaban nuevamente a los proyectos. Este cambio de prioridad hizo que la continuidad en el proceso de estandarización se perdiera, y con el tiempo el mismo se fue dejando a un lado. </w:t>
      </w:r>
    </w:p>
    <w:p>
      <w:pPr>
        <w:numPr>
          <w:ilvl w:val="0"/>
          <w:numId w:val="314"/>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forma extraoficial de trabajar actualmente: El gerente mencionó que, ante la ausencia de información estandarizada proveniente de la gerencia, empezó a surgir de forma espontánea pequeños grupos internos dentro del departamento que manejaban sus propios “estándares”. Estos en muchos casos eran confiables, sin embargo, siempre estaba el riesgo de que al no ser controlados en el traspaso de un ingeniero a otro se podía alterar involuntariamente la información del mismo ya que cada quien lo customizaba al cliente particular de cada proyecto.</w:t>
      </w:r>
    </w:p>
    <w:p>
      <w:pPr>
        <w:numPr>
          <w:ilvl w:val="0"/>
          <w:numId w:val="314"/>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misma situación mencionada arriba pasaba con las distintas oficinas de Techint en el mundo. Las oficinas de Mumbai, Milán, y México, manejaban documentos típicos propios para cada país, todos con diferente grado de detalle para un mismo tema. </w:t>
      </w:r>
    </w:p>
    <w:p>
      <w:pPr>
        <w:numPr>
          <w:ilvl w:val="0"/>
          <w:numId w:val="314"/>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Ninguna de la documentación anteriormente mencionada era controlada técnicamente por la gerencia. En su lugar, se tenía en mente en el futuro concentrar de alguna forma esta documentación para así eventualmente evaluarla y decidir si podían oficializarse. </w:t>
      </w:r>
    </w:p>
    <w:p>
      <w:pPr>
        <w:numPr>
          <w:ilvl w:val="0"/>
          <w:numId w:val="314"/>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la entrevista, el gerente informó que actualmente se retomó el tema de estandarización de procesos, sin embargo, confesó que, al no ser un equipo dedicado a estas tareas, a los ingenieros se les solicita cambiar sus prioridades y regresar a trabajar nuevamente en la ejecución de proyectos, dejando a un lado la continuidad en el análisis de estandarización. </w:t>
      </w:r>
    </w:p>
    <w:p>
      <w:pPr>
        <w:numPr>
          <w:ilvl w:val="0"/>
          <w:numId w:val="314"/>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relación a las nuevas contrataciones (experimentadas o no), no se le menciona a profundidad que hay documentación técnica típica debido a las desactualizaciones de la mismas. Asimismo, se evidenció que no existía al momento una guía resumen de las herramientas de la empresa para poder familiarizarse rápidamente, y así iniciar las tareas asignadas. En su lugar la responsabilidad de guiar al nuevo personal en el proceso técnico y en los procedimientos internos recae en el líder del proyecto.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520" w:leader="none"/>
        </w:tabs>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3.6.4 Revisión de los procedimientos actuales</w:t>
      </w:r>
    </w:p>
    <w:p>
      <w:pPr>
        <w:tabs>
          <w:tab w:val="left" w:pos="1520" w:leader="none"/>
        </w:tabs>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entrevista con la gerencia develó que ya se habían elaborado estándares típicos para algunos documentos para el departamento de electricidad. Se procedió entonces a investigar el estado de estos procesos: </w:t>
      </w:r>
    </w:p>
    <w:p>
      <w:pPr>
        <w:tabs>
          <w:tab w:val="left" w:pos="1520" w:leader="none"/>
        </w:tabs>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321"/>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intranet de la compañía existe una base documental que involucra las distintas disciplinas de la gerencia de Ingeniería, la misma concentra procedimientos que sirven de guía para la elaboración de ciertos documentos técnicos.  Estos procedimientos están divididos según el idioma de acuerdo a las principales sedes de la compañía (inglés, español, portugués e italiano). Desde el punto de vista de Ingeniería eléctrica, se concentran algunos procedimientos generales para elaborar los documentos técnicos principales. Se evidenció que faltan más procedimientos para completar la cantidad de documentación que realmente se realiza en un proyecto, asimismo todos están desactualizados al referirse a subprocesos que ya la compañía no realiza o los realiza de otra forma. </w:t>
      </w:r>
    </w:p>
    <w:p>
      <w:pPr>
        <w:numPr>
          <w:ilvl w:val="0"/>
          <w:numId w:val="321"/>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Asimismo, la intranet conserva una biblioteca de documentación típica para cada departamento para tomar como referencia al momento de iniciar un documento. Sin embargo, se pudo notar que no está completa ni tampoco actualizada. Además, no está organizada correctamente. </w:t>
      </w:r>
    </w:p>
    <w:p>
      <w:pPr>
        <w:numPr>
          <w:ilvl w:val="0"/>
          <w:numId w:val="321"/>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apoyo a la documentación típica y procedimientos, se evidenció que existen una biblioteca virtual que posee distinta información con el propósito de complementar el desarrollo de la ingeniería. </w:t>
      </w:r>
    </w:p>
    <w:p>
      <w:pPr>
        <w:numPr>
          <w:ilvl w:val="0"/>
          <w:numId w:val="321"/>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relación al apoyo de elaboración de documentación técnica, se observó que la biblioteca virtual estaba subclasificada en:</w:t>
      </w:r>
    </w:p>
    <w:p>
      <w:pPr>
        <w:numPr>
          <w:ilvl w:val="0"/>
          <w:numId w:val="321"/>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Documentos estándares </w:t>
      </w:r>
    </w:p>
    <w:p>
      <w:pPr>
        <w:numPr>
          <w:ilvl w:val="0"/>
          <w:numId w:val="321"/>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Catálogos de fabricantes</w:t>
      </w:r>
    </w:p>
    <w:p>
      <w:pPr>
        <w:numPr>
          <w:ilvl w:val="0"/>
          <w:numId w:val="321"/>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Normativas nacionales e internacionales</w:t>
      </w:r>
    </w:p>
    <w:p>
      <w:pPr>
        <w:numPr>
          <w:ilvl w:val="0"/>
          <w:numId w:val="321"/>
        </w:numPr>
        <w:spacing w:before="0" w:after="0" w:line="360"/>
        <w:ind w:right="0" w:left="78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Documentos de otros proyectos</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procedió a la revisión detallada de cada uno de los ítems arriba indicados y como resultado se observó que mucha información estaba desactualizada, repetida o incluso se tenía que solicitar acceso a servicio IT para poder visualizarlos. Particularmente enfocado a documentos asociados al departamento de Ingeniería de Electricidad la cantidad de documentación fue escasa. </w:t>
      </w:r>
    </w:p>
    <w:p>
      <w:pPr>
        <w:tabs>
          <w:tab w:val="left" w:pos="152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520" w:leader="none"/>
        </w:tabs>
        <w:spacing w:before="0" w:after="0" w:line="240"/>
        <w:ind w:right="0" w:left="787" w:firstLine="0"/>
        <w:jc w:val="left"/>
        <w:rPr>
          <w:rFonts w:ascii="Times New Roman" w:hAnsi="Times New Roman" w:cs="Times New Roman" w:eastAsia="Times New Roman"/>
          <w:b/>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3.6.5 Conclusiones y recomendaciones</w:t>
      </w:r>
    </w:p>
    <w:p>
      <w:pPr>
        <w:tabs>
          <w:tab w:val="left" w:pos="380" w:leader="none"/>
        </w:tabs>
        <w:spacing w:before="0" w:after="0" w:line="240"/>
        <w:ind w:right="133" w:left="0" w:firstLine="0"/>
        <w:jc w:val="center"/>
        <w:rPr>
          <w:rFonts w:ascii="Times New Roman" w:hAnsi="Times New Roman" w:cs="Times New Roman" w:eastAsia="Times New Roman"/>
          <w:b/>
          <w:color w:val="auto"/>
          <w:spacing w:val="0"/>
          <w:position w:val="0"/>
          <w:sz w:val="24"/>
          <w:shd w:fill="auto" w:val="clear"/>
        </w:rPr>
      </w:pPr>
    </w:p>
    <w:p>
      <w:pPr>
        <w:numPr>
          <w:ilvl w:val="0"/>
          <w:numId w:val="32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departamento de Ingeniería de TECHINT E&amp;C, en el afán por ser más competitivos en un mercado industrial Argentino dominado por la política siempre cambiante se ignoran procedimientos técnicos que aseguran la calidad del producto, y en lugar de seguirlos (cuando los hay) recurren a confiar en el reconocido expertise de los Ingenieros y copiar documentación técnica previamente realizada de otros proyectos para así customizarla, y es justamente allí donde la calidad del producto final se ve comprometida, ya que no hay forma de asegurar que la fuente donde se tomó la información base es la correcta, lo que deriva en varias revisiones antes de que el documento finalmente quede completo.</w:t>
      </w:r>
    </w:p>
    <w:p>
      <w:pPr>
        <w:numPr>
          <w:ilvl w:val="0"/>
          <w:numId w:val="32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Asimismo, este efecto se maximiza cuando la empresa ejecuta proyectos donde los mismos son elaborados de forma remota desde distintas sedes geográficamente separadas, incluso con cultura, características de mercado e idiomas distintos, al no existir una manera estandarizada para la elaboración de documentación técnica todas las sedes entregarán un producto final distinto. Sin embargo, esto podía no ser tan evidente si el proyecto se realizaba presencialmente en las oficinas de la casa matriz en Argentina. Pese a ello, la pandemia causada por el COVID-19 obligó a toda la compañía a cambiar a la nueva modalidad de trabajo a distancia y esto causó que la falta de procedimientos reglamentados se hiciera más evidente. Justamente, el problema de aplicar la solución típica a los problemas ateniéndose a lo conocido por todos sin un análisis previo de los impactos conlleva a lo que Senge llama el síndrome de “aquí se necesita un martillo más grande” agudizando la situación de acuerdo al principio del pensamiento sistémico.</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33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de resaltar que si bien, el problema se detectó en el departamento de ingeniería de Electricidad de TECHINT E&amp;C de la sede de Buenos Aires, esto se extiende a todas las oficinas que posee la compañía en el mundo, ya que todas poseen la misma estructura de trabajo. Por tanto, al implementar una mejora en los subprocesos de elaboración técnica donde todos realicen la documentación técnica de manera similar, facilitará el entorno colaborativo sin importar el lugar donde se encuentren los ingenieros. Así mismo podrá repercutir de manera positiva en la productividad del proyecto y a la larga en ganancias para la compañía.</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numPr>
          <w:ilvl w:val="0"/>
          <w:numId w:val="33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departamento de Ingeniería de Electricidad e Instrumentación se recomienda optimizar el proceso de elaboración de documentación técnica con el propósito de establecer procesos estandarizados.  De esa forma la empresa se hace más competitiva y eficiente optimizando los tiempos de ejecución y con ello obteniendo un producto final a tiempo, con la mejor calidad y a un costo medido y controlado. </w:t>
      </w:r>
    </w:p>
    <w:p>
      <w:pPr>
        <w:numPr>
          <w:ilvl w:val="0"/>
          <w:numId w:val="33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Asimismo, se recomienda realizar el mismo estudio para las diferentes gerencias técnicas que forman parte del Gerencia de Ingeniería, como lo son departamento de Civil y Estructuras, departamento de Procesos, Arquitectura, Mecánica y Tuberías con el fin de diagnosticar si se encuentra el mismo hallazgo. </w:t>
      </w:r>
    </w:p>
    <w:p>
      <w:pPr>
        <w:numPr>
          <w:ilvl w:val="0"/>
          <w:numId w:val="33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relación a la entrevista realizada, la misma tuvo gran impacto en la investigación, se puede concluir que, si bien hay pleno conocimiento del problema, las estrategias implementadas para resolverlo deben ser reformuladas. </w:t>
      </w:r>
    </w:p>
    <w:p>
      <w:pPr>
        <w:numPr>
          <w:ilvl w:val="0"/>
          <w:numId w:val="33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bien los procedimientos mostrados en la Intranet marcaban un punto de inicio para la elaboración, estos no estaban vinculados a otras actividades, diagramas de flujo de procesos y check list que resumieran los pasos a lo más elemental, de forma tal que se asegurara la aplicación de los mismos de forma semejante a como se propone en la figura 2. Esto trae como consecuencia que los procedimientos queden aislados y archivados en la intranet y no cumplan su propósito de guiar al ingeniero ejecutante. </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keepNext w:val="true"/>
        <w:keepLines w:val="true"/>
        <w:spacing w:before="480" w:after="1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CAPÍTULO 4: PROPUESTA DE MEJORA DEL PROCESO DE ELABORACIÓN DE DOCUMENTACIÓN TÉCNICA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 Propuesta de Mapa de flujo de procesos mejorado</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base a mapeo actual y los hallazgos de retrabajos debido a problemas de calidad, falta de información al inicio de cálculo y cuellos de botella causados por revisiones tardías, se procede a hacer una optimización del procedimiento.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llevar a cabo el proceso de mejora se procedió a lo siguiente: </w:t>
      </w:r>
    </w:p>
    <w:p>
      <w:pPr>
        <w:numPr>
          <w:ilvl w:val="0"/>
          <w:numId w:val="34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analizó los cuellos de botella identificados en los resultados del mapeo actual.</w:t>
      </w:r>
    </w:p>
    <w:p>
      <w:pPr>
        <w:numPr>
          <w:ilvl w:val="0"/>
          <w:numId w:val="34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ese análisis, se procedió a identificar físicamente en forma de estallidos KAIZEN aquellas áreas a resaltar como problemáticas que podrían implicar una oportunidad de mejora. Ver figura 1 para mayor detalle.</w:t>
      </w:r>
    </w:p>
    <w:p>
      <w:pPr>
        <w:numPr>
          <w:ilvl w:val="0"/>
          <w:numId w:val="34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Posteriormente se evaluó cada uno de los estallidos identificados en el proceso y se realizó una propuesta de mejora para cada uno. Ver figura 8 para mayor detalle. </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8038" w:dyaOrig="5345">
          <v:rect xmlns:o="urn:schemas-microsoft-com:office:office" xmlns:v="urn:schemas-microsoft-com:vml" id="rectole0000000022" style="width:401.900000pt;height:267.25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22" ShapeID="rectole0000000022" r:id="docRId45"/>
        </w:object>
      </w:r>
    </w:p>
    <w:p>
      <w:pPr>
        <w:spacing w:before="0" w:after="0" w:line="240"/>
        <w:ind w:right="0" w:left="108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8.</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Mapeo del Procedimiento mejorado de elaboración de procedimiento de memoria de cálculo de cables de Techint</w:t>
      </w:r>
    </w:p>
    <w:p>
      <w:pPr>
        <w:spacing w:before="0" w:after="0" w:line="240"/>
        <w:ind w:right="0" w:left="108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Elaboración propia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las propuestas de mejora indicadas en el punto anterior se realizó una prueba piloto incluyendo la utilización de un software de cálculo, un flujograma del proceso y un check list de validación de datos de entrada y resultados. Este último documento se debía adjuntar firmada por el líder y el ingeniero y ser adjuntada en la revisión del documento. Resultando así en una reducción significativa del tiempo de espera y del tiempo de procesamiento.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tbl>
      <w:tblPr/>
      <w:tblGrid>
        <w:gridCol w:w="564"/>
        <w:gridCol w:w="2226"/>
        <w:gridCol w:w="3865"/>
        <w:gridCol w:w="3240"/>
      </w:tblGrid>
      <w:tr>
        <w:trPr>
          <w:trHeight w:val="1" w:hRule="atLeast"/>
          <w:jc w:val="center"/>
        </w:trPr>
        <w:tc>
          <w:tcPr>
            <w:tcW w:w="5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both"/>
              <w:rPr>
                <w:spacing w:val="0"/>
                <w:position w:val="0"/>
              </w:rPr>
            </w:pPr>
            <w:r>
              <w:rPr>
                <w:rFonts w:ascii="Times New Roman" w:hAnsi="Times New Roman" w:cs="Times New Roman" w:eastAsia="Times New Roman"/>
                <w:b/>
                <w:color w:val="000000"/>
                <w:spacing w:val="0"/>
                <w:position w:val="0"/>
                <w:sz w:val="16"/>
                <w:shd w:fill="auto" w:val="clear"/>
              </w:rPr>
              <w:t xml:space="preserve">Item</w:t>
            </w:r>
          </w:p>
        </w:tc>
        <w:tc>
          <w:tcPr>
            <w:tcW w:w="22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rPr>
            </w:pPr>
            <w:r>
              <w:rPr>
                <w:rFonts w:ascii="Times New Roman" w:hAnsi="Times New Roman" w:cs="Times New Roman" w:eastAsia="Times New Roman"/>
                <w:b/>
                <w:color w:val="000000"/>
                <w:spacing w:val="0"/>
                <w:position w:val="0"/>
                <w:sz w:val="16"/>
                <w:shd w:fill="auto" w:val="clear"/>
              </w:rPr>
              <w:t xml:space="preserve">Hallazgo</w:t>
            </w:r>
          </w:p>
        </w:tc>
        <w:tc>
          <w:tcPr>
            <w:tcW w:w="38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rPr>
            </w:pPr>
            <w:r>
              <w:rPr>
                <w:rFonts w:ascii="Times New Roman" w:hAnsi="Times New Roman" w:cs="Times New Roman" w:eastAsia="Times New Roman"/>
                <w:b/>
                <w:color w:val="000000"/>
                <w:spacing w:val="0"/>
                <w:position w:val="0"/>
                <w:sz w:val="16"/>
                <w:shd w:fill="auto" w:val="clear"/>
              </w:rPr>
              <w:t xml:space="preserve">Propuesta de mejora/Acción</w:t>
            </w:r>
          </w:p>
        </w:tc>
        <w:tc>
          <w:tcPr>
            <w:tcW w:w="32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rPr>
            </w:pPr>
            <w:r>
              <w:rPr>
                <w:rFonts w:ascii="Times New Roman" w:hAnsi="Times New Roman" w:cs="Times New Roman" w:eastAsia="Times New Roman"/>
                <w:b/>
                <w:color w:val="000000"/>
                <w:spacing w:val="0"/>
                <w:position w:val="0"/>
                <w:sz w:val="16"/>
                <w:shd w:fill="auto" w:val="clear"/>
              </w:rPr>
              <w:t xml:space="preserve">Beneficio</w:t>
            </w:r>
          </w:p>
        </w:tc>
      </w:tr>
      <w:tr>
        <w:trPr>
          <w:trHeight w:val="1" w:hRule="atLeast"/>
          <w:jc w:val="center"/>
        </w:trPr>
        <w:tc>
          <w:tcPr>
            <w:tcW w:w="5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1</w:t>
            </w:r>
          </w:p>
        </w:tc>
        <w:tc>
          <w:tcPr>
            <w:tcW w:w="22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Falta de información completa proveniente de otras disciplinas.</w:t>
            </w:r>
          </w:p>
        </w:tc>
        <w:tc>
          <w:tcPr>
            <w:tcW w:w="38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Se instó a los líderes del proyecto a solicitar a sus colaboradores que no esperaran a que tuvieran la información definitiva para poder subirla al servidor, sino que trabajasen desde el inicio en el servidor de forma que otras disciplinas solo tengan que confirmar con el custodio de la información si la misma está actualizada o no:</w:t>
            </w:r>
          </w:p>
          <w:p>
            <w:pPr>
              <w:spacing w:before="0" w:after="0" w:line="360"/>
              <w:ind w:right="0" w:left="0" w:firstLine="0"/>
              <w:jc w:val="both"/>
              <w:rPr>
                <w:spacing w:val="0"/>
                <w:position w:val="0"/>
              </w:rPr>
            </w:pPr>
            <w:r>
              <w:rPr>
                <w:rFonts w:ascii="Times New Roman" w:hAnsi="Times New Roman" w:cs="Times New Roman" w:eastAsia="Times New Roman"/>
                <w:color w:val="auto"/>
                <w:spacing w:val="0"/>
                <w:position w:val="0"/>
                <w:sz w:val="16"/>
                <w:shd w:fill="auto" w:val="clear"/>
              </w:rPr>
              <w:t xml:space="preserve">1)Creación de procedimiento estándar de almacenamiento de información de ingeniería en el servidor</w:t>
            </w:r>
          </w:p>
        </w:tc>
        <w:tc>
          <w:tcPr>
            <w:tcW w:w="32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1) Todas las disciplinas tendrán la misma metodología para almacenar la información, así cualquier disciplina podrá conseguir la información en el servidor. </w:t>
              <w:br/>
              <w:t xml:space="preserve">2) Ahorro de tiempo en búsqueda de información</w:t>
            </w:r>
          </w:p>
        </w:tc>
      </w:tr>
      <w:tr>
        <w:trPr>
          <w:trHeight w:val="1" w:hRule="atLeast"/>
          <w:jc w:val="center"/>
        </w:trPr>
        <w:tc>
          <w:tcPr>
            <w:tcW w:w="5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2</w:t>
            </w:r>
          </w:p>
        </w:tc>
        <w:tc>
          <w:tcPr>
            <w:tcW w:w="22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Tiempo perdido ubicando la planilla de cálculo en Excel, validar los datos y customizarla al formato del nuevo proyecto. </w:t>
            </w:r>
          </w:p>
        </w:tc>
        <w:tc>
          <w:tcPr>
            <w:tcW w:w="38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Creación de una base estándar para cálculo:</w:t>
            </w:r>
          </w:p>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1)Implementación de softwares de cálculo aprobados y certificados por normativas internacionales y por los principales clientes</w:t>
            </w:r>
          </w:p>
        </w:tc>
        <w:tc>
          <w:tcPr>
            <w:tcW w:w="32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1) Ahorro de tiempo en realización de cálculos</w:t>
              <w:br/>
              <w:t xml:space="preserve">2) Reducción de tiempos de entrega</w:t>
              <w:br/>
              <w:t xml:space="preserve">3) Identificación visual de errores e inmediata corrección. </w:t>
            </w:r>
          </w:p>
        </w:tc>
      </w:tr>
      <w:tr>
        <w:trPr>
          <w:trHeight w:val="1" w:hRule="atLeast"/>
          <w:jc w:val="center"/>
        </w:trPr>
        <w:tc>
          <w:tcPr>
            <w:tcW w:w="5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3 y 4</w:t>
            </w:r>
          </w:p>
        </w:tc>
        <w:tc>
          <w:tcPr>
            <w:tcW w:w="22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Cuello de botella en la revisión de calidad entre Líder y el diseñador eléctrico</w:t>
            </w:r>
          </w:p>
        </w:tc>
        <w:tc>
          <w:tcPr>
            <w:tcW w:w="38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Creación de documentación estándar para guiar al diseñador:</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1) Creación de flujogramas del procedimiento.</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2)  Actualización de procedimientos de cálculo con el software utilizado. </w:t>
            </w:r>
          </w:p>
          <w:p>
            <w:pPr>
              <w:spacing w:before="0" w:after="0" w:line="36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3) Creación de un lugar en la intranet para documentos típicos de referencia.</w:t>
            </w:r>
          </w:p>
          <w:p>
            <w:pPr>
              <w:spacing w:before="0" w:after="0" w:line="360"/>
              <w:ind w:right="0" w:left="0" w:firstLine="0"/>
              <w:jc w:val="both"/>
              <w:rPr>
                <w:spacing w:val="0"/>
                <w:position w:val="0"/>
              </w:rPr>
            </w:pPr>
            <w:r>
              <w:rPr>
                <w:rFonts w:ascii="Times New Roman" w:hAnsi="Times New Roman" w:cs="Times New Roman" w:eastAsia="Times New Roman"/>
                <w:color w:val="auto"/>
                <w:spacing w:val="0"/>
                <w:position w:val="0"/>
                <w:sz w:val="16"/>
                <w:shd w:fill="auto" w:val="clear"/>
              </w:rPr>
              <w:t xml:space="preserve">4) Se solicita al personal de calidad, que para cada proyecto, se realiza un formato en Word o Excel general para todas las disciplinas el cual tenga la misma estructura general pero aplicada al proyecto en particular (introducción, objetivos generales, ubicación del proyecto) de esta forma el ingeniero no ocupa tiempo en llenar estas secciones que se repiten en cada proyecto.</w:t>
            </w:r>
          </w:p>
        </w:tc>
        <w:tc>
          <w:tcPr>
            <w:tcW w:w="32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1) Ahorro de tiempo en realización de cálculos</w:t>
              <w:br/>
              <w:t xml:space="preserve">2) Reducción de tiempos de entrega</w:t>
              <w:br/>
              <w:t xml:space="preserve">3) Identificación visual de errores e inmediata corrección.</w:t>
            </w:r>
          </w:p>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4) con la documentación estandarizada, el personal de calidad encargado de liberar al cliente el documento desde el Sistema automático de gestión de documentos realizará su trabajo en menor tiempo. Lo que se traduce en que el documento llegue más rápido al cliente. </w:t>
            </w:r>
          </w:p>
        </w:tc>
      </w:tr>
      <w:tr>
        <w:trPr>
          <w:trHeight w:val="1" w:hRule="atLeast"/>
          <w:jc w:val="center"/>
        </w:trPr>
        <w:tc>
          <w:tcPr>
            <w:tcW w:w="5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5</w:t>
            </w:r>
          </w:p>
        </w:tc>
        <w:tc>
          <w:tcPr>
            <w:tcW w:w="22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Doble revisión por parte del líder</w:t>
            </w:r>
          </w:p>
        </w:tc>
        <w:tc>
          <w:tcPr>
            <w:tcW w:w="38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color w:val="000000"/>
                <w:spacing w:val="0"/>
                <w:position w:val="0"/>
                <w:sz w:val="16"/>
                <w:shd w:fill="auto" w:val="clear"/>
              </w:rPr>
              <w:t xml:space="preserve">Facilitar la revisión en instancias previas a la final:</w:t>
            </w:r>
          </w:p>
          <w:p>
            <w:pPr>
              <w:spacing w:before="0" w:after="0" w:line="360"/>
              <w:ind w:right="0" w:left="0" w:firstLine="0"/>
              <w:jc w:val="both"/>
              <w:rPr>
                <w:spacing w:val="0"/>
                <w:position w:val="0"/>
              </w:rPr>
            </w:pPr>
            <w:r>
              <w:rPr>
                <w:rFonts w:ascii="Times New Roman" w:hAnsi="Times New Roman" w:cs="Times New Roman" w:eastAsia="Times New Roman"/>
                <w:color w:val="000000"/>
                <w:spacing w:val="0"/>
                <w:position w:val="0"/>
                <w:sz w:val="16"/>
                <w:shd w:fill="auto" w:val="clear"/>
              </w:rPr>
              <w:t xml:space="preserve">1) Creación de Check List para validar entre el diseñador y el líder los puntos más importantes que asegurar el correcto funcionamiento de cálculo.</w:t>
            </w:r>
          </w:p>
        </w:tc>
        <w:tc>
          <w:tcPr>
            <w:tcW w:w="32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left"/>
              <w:rPr>
                <w:spacing w:val="0"/>
                <w:position w:val="0"/>
              </w:rPr>
            </w:pPr>
            <w:r>
              <w:rPr>
                <w:rFonts w:ascii="Times New Roman" w:hAnsi="Times New Roman" w:cs="Times New Roman" w:eastAsia="Times New Roman"/>
                <w:color w:val="000000"/>
                <w:spacing w:val="0"/>
                <w:position w:val="0"/>
                <w:sz w:val="16"/>
                <w:shd w:fill="auto" w:val="clear"/>
              </w:rPr>
              <w:t xml:space="preserve">1) La check list obliga a tener una revisión cruzada con principales puntos importantes en el diseño lo cual asegura el correcto diseño en el cálculo.</w:t>
              <w:br/>
              <w:t xml:space="preserve">2) Reducción de tiempos de revision del lider</w:t>
            </w:r>
          </w:p>
        </w:tc>
      </w:tr>
    </w:tbl>
    <w:p>
      <w:pPr>
        <w:spacing w:before="0" w:after="0" w:line="240"/>
        <w:ind w:right="0" w:left="108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15. Análisis de estallidos KAIZEN en el proceso de mapeo mejorado</w:t>
      </w:r>
    </w:p>
    <w:p>
      <w:pPr>
        <w:spacing w:before="0" w:after="0" w:line="240"/>
        <w:ind w:right="0" w:left="108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 Creación de plan de implementación:</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propone a crear un plan de implementación de estandarización de procedimiento de documentación técnica con el objetivo de permitir un uso eficiente de los recursos, reduciendo así los tiempos perdidos por revisiones menores y por tiempos de investigación técnica propios de cada documento.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propone que la gerencia de electricidad contrate los servicios externos para realizar la creación del plan de implementación con el apoyo parcial de algunos ingenieros, proyectistas y líderes de la compañía quien guiarán en el proceso de creación. Este grupo seleccionado por la gerencia deberá comprometerse a ayudar al personal externo que realiza la investigación.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4.2.1 Objetivos del plan de implementación:</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373"/>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Completar, actualizar y organizar los procedimientos técnicos (ya existentes en la intranet) para elaborar documentos de acuerdo a las exigencias de los nuevos clientes. </w:t>
      </w:r>
    </w:p>
    <w:p>
      <w:pPr>
        <w:numPr>
          <w:ilvl w:val="0"/>
          <w:numId w:val="373"/>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Completar, actualizar y organizar los documentos típicos de referencia que acompañen a cada procedimiento. </w:t>
      </w:r>
    </w:p>
    <w:p>
      <w:pPr>
        <w:numPr>
          <w:ilvl w:val="0"/>
          <w:numId w:val="373"/>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Crear flujogramas de proceso que resuman los pasos a realizar en el procedimiento en no más de 1 hoja. </w:t>
      </w:r>
    </w:p>
    <w:p>
      <w:pPr>
        <w:numPr>
          <w:ilvl w:val="0"/>
          <w:numId w:val="373"/>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Crear listas cortas de revisión cruzada o Check list que aseguren que se han tomado todos los recaudos mínimos para poder realizar un documento técnico correcto y en el menor tiempo posible. Esta lista debe ser descargada exclusivamente desde la intranet y revisada y firmada por el líder y el ingeniero para finalmente adjuntarlo al documento a enviar al cliente. En casos donde no se cumpla con algún ítem se deberá evaluar las razones. Si hay puntos de atención en espera por ser atendidos se deberán declarar. </w:t>
      </w:r>
    </w:p>
    <w:p>
      <w:pPr>
        <w:numPr>
          <w:ilvl w:val="0"/>
          <w:numId w:val="373"/>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casos donde la elaboración de la documentación técnica requiera de elaborar cálculos matemáticos, utilizar un software especializado para certificado y avalado internacionalmente para agilizar los tiempos de entrega. El uso del software deberá incluir un curso introductorio básico la primera vez de su aplicación. </w:t>
      </w:r>
    </w:p>
    <w:p>
      <w:pPr>
        <w:numPr>
          <w:ilvl w:val="0"/>
          <w:numId w:val="373"/>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agilizar los procesos de revisión, crear, publicar y difundir regularmente los nombres de los referentes de la compañía que pueda puntualmente ayudar en la revisión de documentos a fin de reducir los tiempos de demora causados por retrasos en la revisión del líder de proyecto. </w:t>
      </w:r>
    </w:p>
    <w:p>
      <w:pPr>
        <w:numPr>
          <w:ilvl w:val="0"/>
          <w:numId w:val="373"/>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Aplicarlo a todas las sedes de la compañía a nivel nacional e internacional.</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4.2.2 Seguimiento y mejora continua de plan de implementación:</w:t>
      </w: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implantar el pensamiento “Lean” orientado a eliminación de desperdicios y de agregar tiempos de valor a los procesos se propone:</w:t>
      </w: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377"/>
        </w:numPr>
        <w:spacing w:before="0" w:after="0" w:line="24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Publicar y difundir periódicamente a través de la intranet los documentos técnicos de apoyo mencionados arriba.</w:t>
      </w:r>
    </w:p>
    <w:p>
      <w:pPr>
        <w:numPr>
          <w:ilvl w:val="0"/>
          <w:numId w:val="377"/>
        </w:numPr>
        <w:spacing w:before="0" w:after="0" w:line="24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Impartir charlas de forma regular en relación al mejoramiento de procesos de Ingeniería, con el fin de establecer un nuevo pensamiento crítico de los procesos realizados. Esto traerá como consecuencia que más personal aporte con más ideas de mejora. </w:t>
      </w:r>
    </w:p>
    <w:p>
      <w:pPr>
        <w:numPr>
          <w:ilvl w:val="0"/>
          <w:numId w:val="377"/>
        </w:numPr>
        <w:spacing w:before="0" w:after="0" w:line="24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Comprometer a los líderes de cada proyecto a que su equipo cumpla los nuevos requerimientos de utilización del plan de implementación. </w:t>
      </w:r>
    </w:p>
    <w:p>
      <w:pPr>
        <w:numPr>
          <w:ilvl w:val="0"/>
          <w:numId w:val="377"/>
        </w:numPr>
        <w:spacing w:before="0" w:after="0" w:line="24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Hacer un ejercicio de evaluación anualmente para validar el impacto en la implementación de la estandarización, hacer una lluvia de ideas y analizar si es necesario realizar otro VSM o bien analizar si en algunos casos es necesario regresar a como se hacía anteriormente.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4.2.3 KPI</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poder medir los beneficios de la implementación de un plan de estandarización es necesario luego de establecer las condiciones requeridas, realizar un minucioso control de horas en cada actividad que realiza el ejecutante. Para ello, además de solicitar indicar en las Hojas de tiempo entregadas semanalmente que carguen las HH al documento realizado, se deberá solicitar que se cargue detalladamente también las actividades como: solicitud de información a terceros, ejecución de cálculo, etc. Adicionalmente se medirá la calidad en los trabajos realizados. Esto se validará al llenar correctamente la lista de revisión cruzada. Por último, se tiene otro KPI que será la cantidad de revisiones con el cliente que el documento tendrá antes de su cierre definitivo. Para ello se evalúa el nivel de profundidad de los comentarios realizados por el cliente. La figura XX resume los 3 tipos de KPI utilizados. </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7066" w:dyaOrig="3948">
          <v:rect xmlns:o="urn:schemas-microsoft-com:office:office" xmlns:v="urn:schemas-microsoft-com:vml" id="rectole0000000023" style="width:353.300000pt;height:197.400000pt" o:preferrelative="t" o:ole="">
            <o:lock v:ext="edit"/>
            <v:imagedata xmlns:r="http://schemas.openxmlformats.org/officeDocument/2006/relationships" r:id="docRId48" o:title=""/>
          </v:rect>
          <o:OLEObject xmlns:r="http://schemas.openxmlformats.org/officeDocument/2006/relationships" xmlns:o="urn:schemas-microsoft-com:office:office" Type="Embed" ProgID="StaticMetafile" DrawAspect="Content" ObjectID="0000000023" ShapeID="rectole0000000023" r:id="docRId47"/>
        </w:object>
      </w:r>
    </w:p>
    <w:p>
      <w:pPr>
        <w:spacing w:before="0" w:after="0" w:line="240"/>
        <w:ind w:right="0" w:left="108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9. KPI aplicados</w:t>
      </w:r>
    </w:p>
    <w:p>
      <w:pPr>
        <w:spacing w:before="0" w:after="0" w:line="240"/>
        <w:ind w:right="0" w:left="108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240"/>
        <w:ind w:right="0" w:left="1080" w:firstLine="0"/>
        <w:jc w:val="center"/>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validar el mapeo de procesos mejorado se realizó una prueba piloto incluyendo la utilización de un software de cálculo, un flujograma del proceso y un check list de validación de datos de entrada y resultados. Adicionalmente, se eligió a una persona como referente eventual de revisión de la documentación en caso que el Líder del proyecto se encontrará en otras tareas igualmente prioritarias.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resultados fueron los siguientes:</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*HH: Horas-Hombre</w:t>
      </w:r>
    </w:p>
    <w:tbl>
      <w:tblPr/>
      <w:tblGrid>
        <w:gridCol w:w="2337"/>
        <w:gridCol w:w="2337"/>
        <w:gridCol w:w="2338"/>
        <w:gridCol w:w="2338"/>
      </w:tblGrid>
      <w:tr>
        <w:trPr>
          <w:trHeight w:val="1" w:hRule="atLeast"/>
          <w:jc w:val="left"/>
        </w:trPr>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Métrica</w:t>
            </w:r>
          </w:p>
        </w:tc>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Estado Actual (As is)</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Estado Mejorado (Futuro)</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Mejora proyectada (%)</w:t>
            </w:r>
          </w:p>
        </w:tc>
      </w:tr>
      <w:tr>
        <w:trPr>
          <w:trHeight w:val="1" w:hRule="atLeast"/>
          <w:jc w:val="left"/>
        </w:trPr>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Tiempo de espera (tE)</w:t>
            </w:r>
          </w:p>
        </w:tc>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40 HH</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22 HH</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55% menos de tiempo de procesamiento</w:t>
            </w:r>
          </w:p>
        </w:tc>
      </w:tr>
      <w:tr>
        <w:trPr>
          <w:trHeight w:val="1" w:hRule="atLeast"/>
          <w:jc w:val="left"/>
        </w:trPr>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Tiempo de Procesamiento (tP)</w:t>
            </w:r>
          </w:p>
        </w:tc>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24.5 HH</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18.5 HH</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75% menos de tiempo de procesamiento</w:t>
            </w:r>
          </w:p>
        </w:tc>
      </w:tr>
      <w:tr>
        <w:trPr>
          <w:trHeight w:val="1" w:hRule="atLeast"/>
          <w:jc w:val="left"/>
        </w:trPr>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Calidad interna en el proceso (retrabajos)</w:t>
            </w:r>
          </w:p>
        </w:tc>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Al menos 3 veces</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 vez, al final</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66% menos de retrabajos</w:t>
            </w:r>
          </w:p>
        </w:tc>
      </w:tr>
      <w:tr>
        <w:trPr>
          <w:trHeight w:val="1" w:hRule="atLeast"/>
          <w:jc w:val="left"/>
        </w:trPr>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Satisfacción del Cliente</w:t>
            </w:r>
          </w:p>
        </w:tc>
        <w:tc>
          <w:tcPr>
            <w:tcW w:w="2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 3 revisiones</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 revisiones</w:t>
            </w:r>
          </w:p>
        </w:tc>
        <w:tc>
          <w:tcPr>
            <w:tcW w:w="2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33% menos de revisiones</w:t>
            </w:r>
          </w:p>
        </w:tc>
      </w:tr>
    </w:tbl>
    <w:p>
      <w:pPr>
        <w:spacing w:before="0" w:after="0" w:line="240"/>
        <w:ind w:right="0" w:left="108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16. Resultados en KPI</w:t>
      </w:r>
    </w:p>
    <w:p>
      <w:pPr>
        <w:spacing w:before="0" w:after="0" w:line="240"/>
        <w:ind w:right="0" w:left="108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Adicionalmente se dio como resultado que, si bien aún un único colaborador no logra llegar al compromiso del forecast de realizar 3 documentos de 30 HH por semana debido a la complejidad de las tareas, con la aplicación del plan de estandarización las oportunidades de lograrlo aumentan significativamente.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4.3 Conclusiones y recomendaciones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se puede validar que se han cumplido los objetivos específicos de esta investigación al demostrar que la implementación de una mejora en el proceso de elaboración técnica en TECHINT E &amp; C ayudaría a aumentar la calidad de la ingeniería sin comprometer los tiempos de entrega.</w:t>
      </w:r>
    </w:p>
    <w:p>
      <w:pPr>
        <w:numPr>
          <w:ilvl w:val="0"/>
          <w:numId w:val="408"/>
        </w:numPr>
        <w:spacing w:before="0" w:after="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Resulta imprescindible realizar un proceso de estandarización para estar a la altura de las mejoras empresas de construcción a nivel mundial, siendo cada vez más competentes y eficientes. </w:t>
      </w:r>
    </w:p>
    <w:p>
      <w:pPr>
        <w:numPr>
          <w:ilvl w:val="0"/>
          <w:numId w:val="408"/>
        </w:numPr>
        <w:spacing w:before="0" w:after="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implementación de la estandarización en las distintas sedes mejorará el trabajo remoto entre sedes a nivel nacional e internacional. </w:t>
      </w:r>
    </w:p>
    <w:p>
      <w:pPr>
        <w:numPr>
          <w:ilvl w:val="0"/>
          <w:numId w:val="408"/>
        </w:numPr>
        <w:spacing w:before="0" w:after="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recomienda realizar charlas regularmente sobre Lean Engineering y aplicaciones en oficina a fin de establecer una nueva mentalidad en los empleados y así alentar la identificación de procesos que generen desperdicio y resaltar aquellos que generen valor</w:t>
      </w:r>
    </w:p>
    <w:p>
      <w:pPr>
        <w:numPr>
          <w:ilvl w:val="0"/>
          <w:numId w:val="408"/>
        </w:numPr>
        <w:spacing w:before="0" w:after="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recomienda extender el estudio de VSM a otros subprocesos donde ingeniería es cliente interno como el departamento de suministros, a fin de mejorar los procesos internos, ya que actualmente una gran parte de los trabajos de compra de materiales y equipos recae sobre ingeniería. </w:t>
      </w:r>
    </w:p>
    <w:p>
      <w:pPr>
        <w:numPr>
          <w:ilvl w:val="0"/>
          <w:numId w:val="408"/>
        </w:numPr>
        <w:spacing w:before="0" w:after="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Adicionalmente se recomienda utilizar el VSM para estandarizar procesos en el departamento de Construcción, siendo este el más importante de la compañía.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BIBLIOGRAFÍA</w:t>
      </w:r>
    </w:p>
    <w:p>
      <w:pPr>
        <w:spacing w:before="0" w:after="0" w:line="360"/>
        <w:ind w:right="0" w:left="720" w:hanging="720"/>
        <w:jc w:val="both"/>
        <w:rPr>
          <w:rFonts w:ascii="Times New Roman" w:hAnsi="Times New Roman" w:cs="Times New Roman" w:eastAsia="Times New Roman"/>
          <w:b/>
          <w:color w:val="auto"/>
          <w:spacing w:val="0"/>
          <w:position w:val="0"/>
          <w:sz w:val="24"/>
          <w:shd w:fill="auto" w:val="clear"/>
        </w:rPr>
      </w:pP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Brieño M. (2015). </w:t>
      </w:r>
      <w:r>
        <w:rPr>
          <w:rFonts w:ascii="Times New Roman" w:hAnsi="Times New Roman" w:cs="Times New Roman" w:eastAsia="Times New Roman"/>
          <w:i/>
          <w:color w:val="auto"/>
          <w:spacing w:val="0"/>
          <w:position w:val="0"/>
          <w:sz w:val="24"/>
          <w:shd w:fill="auto" w:val="clear"/>
        </w:rPr>
        <w:t xml:space="preserve">Organiza una empresa mapeando sus procesos</w:t>
      </w:r>
      <w:r>
        <w:rPr>
          <w:rFonts w:ascii="Times New Roman" w:hAnsi="Times New Roman" w:cs="Times New Roman" w:eastAsia="Times New Roman"/>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México D.F.: GR Porrúa.</w:t>
      </w:r>
    </w:p>
    <w:p>
      <w:pPr>
        <w:spacing w:before="0" w:after="0" w:line="36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Chapman A. (2005) </w:t>
      </w:r>
      <w:r>
        <w:rPr>
          <w:rFonts w:ascii="Times New Roman" w:hAnsi="Times New Roman" w:cs="Times New Roman" w:eastAsia="Times New Roman"/>
          <w:i/>
          <w:color w:val="auto"/>
          <w:spacing w:val="0"/>
          <w:position w:val="0"/>
          <w:sz w:val="24"/>
          <w:shd w:fill="auto" w:val="clear"/>
        </w:rPr>
        <w:t xml:space="preserve">PEST Market Analysis Tool</w:t>
      </w:r>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49">
        <w:r>
          <w:rPr>
            <w:rFonts w:ascii="Times New Roman" w:hAnsi="Times New Roman" w:cs="Times New Roman" w:eastAsia="Times New Roman"/>
            <w:color w:val="0000FF"/>
            <w:spacing w:val="0"/>
            <w:position w:val="0"/>
            <w:sz w:val="24"/>
            <w:u w:val="single"/>
            <w:shd w:fill="auto" w:val="clear"/>
          </w:rPr>
          <w:t xml:space="preserve">Businessballs.com</w:t>
        </w:r>
      </w:hyperlink>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Drucker P. (2002) </w:t>
      </w:r>
      <w:r>
        <w:rPr>
          <w:rFonts w:ascii="Times New Roman" w:hAnsi="Times New Roman" w:cs="Times New Roman" w:eastAsia="Times New Roman"/>
          <w:i/>
          <w:color w:val="auto"/>
          <w:spacing w:val="0"/>
          <w:position w:val="0"/>
          <w:sz w:val="24"/>
          <w:shd w:fill="auto" w:val="clear"/>
        </w:rPr>
        <w:t xml:space="preserve">The essential Drucker</w:t>
      </w:r>
      <w:r>
        <w:rPr>
          <w:rFonts w:ascii="Times New Roman" w:hAnsi="Times New Roman" w:cs="Times New Roman" w:eastAsia="Times New Roman"/>
          <w:color w:val="auto"/>
          <w:spacing w:val="0"/>
          <w:position w:val="0"/>
          <w:sz w:val="24"/>
          <w:shd w:fill="auto" w:val="clear"/>
        </w:rPr>
        <w:t xml:space="preserve">. México D.F.: Editorial Sudamericana S.A.</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Porter M. (1985). </w:t>
      </w:r>
      <w:r>
        <w:rPr>
          <w:rFonts w:ascii="Times New Roman" w:hAnsi="Times New Roman" w:cs="Times New Roman" w:eastAsia="Times New Roman"/>
          <w:i/>
          <w:color w:val="auto"/>
          <w:spacing w:val="0"/>
          <w:position w:val="0"/>
          <w:sz w:val="24"/>
          <w:shd w:fill="auto" w:val="clear"/>
        </w:rPr>
        <w:t xml:space="preserve">Ventaja Competitiva: Creación y sostenimiento de un desempeño superior</w:t>
      </w:r>
      <w:r>
        <w:rPr>
          <w:rFonts w:ascii="Times New Roman" w:hAnsi="Times New Roman" w:cs="Times New Roman" w:eastAsia="Times New Roman"/>
          <w:color w:val="auto"/>
          <w:spacing w:val="0"/>
          <w:position w:val="0"/>
          <w:sz w:val="24"/>
          <w:shd w:fill="auto" w:val="clear"/>
        </w:rPr>
        <w:t xml:space="preserve">. México D.F.: Editorial Patria</w:t>
      </w:r>
    </w:p>
    <w:p>
      <w:pPr>
        <w:spacing w:before="0" w:after="0" w:line="36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Rummler G. Brache A. (2012) </w:t>
      </w:r>
      <w:r>
        <w:rPr>
          <w:rFonts w:ascii="Times New Roman" w:hAnsi="Times New Roman" w:cs="Times New Roman" w:eastAsia="Times New Roman"/>
          <w:i/>
          <w:color w:val="auto"/>
          <w:spacing w:val="0"/>
          <w:position w:val="0"/>
          <w:sz w:val="24"/>
          <w:shd w:fill="auto" w:val="clear"/>
        </w:rPr>
        <w:t xml:space="preserve">Improving Performance</w:t>
      </w:r>
      <w:r>
        <w:rPr>
          <w:rFonts w:ascii="Times New Roman" w:hAnsi="Times New Roman" w:cs="Times New Roman" w:eastAsia="Times New Roman"/>
          <w:color w:val="auto"/>
          <w:spacing w:val="0"/>
          <w:position w:val="0"/>
          <w:sz w:val="24"/>
          <w:shd w:fill="auto" w:val="clear"/>
        </w:rPr>
        <w:t xml:space="preserve">. San Francisco: Editorial John Wiley &amp; Sons Inc</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Sapag, N.  Sapag R. (2008). </w:t>
      </w:r>
      <w:r>
        <w:rPr>
          <w:rFonts w:ascii="Times New Roman" w:hAnsi="Times New Roman" w:cs="Times New Roman" w:eastAsia="Times New Roman"/>
          <w:i/>
          <w:color w:val="auto"/>
          <w:spacing w:val="0"/>
          <w:position w:val="0"/>
          <w:sz w:val="24"/>
          <w:shd w:fill="auto" w:val="clear"/>
        </w:rPr>
        <w:t xml:space="preserve">Preparación y evaluación de proyectos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Quinta Edición.</w:t>
      </w:r>
      <w:r>
        <w:rPr>
          <w:rFonts w:ascii="Times New Roman" w:hAnsi="Times New Roman" w:cs="Times New Roman" w:eastAsia="Times New Roman"/>
          <w:color w:val="auto"/>
          <w:spacing w:val="0"/>
          <w:position w:val="0"/>
          <w:sz w:val="24"/>
          <w:shd w:fill="auto" w:val="clear"/>
        </w:rPr>
        <w:t xml:space="preserve">   México D.F.: McGraw – Hill Interamericana S.A.</w:t>
      </w:r>
    </w:p>
    <w:p>
      <w:pPr>
        <w:spacing w:before="0" w:after="0" w:line="36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Senge P. (1994) </w:t>
      </w:r>
      <w:r>
        <w:rPr>
          <w:rFonts w:ascii="Times New Roman" w:hAnsi="Times New Roman" w:cs="Times New Roman" w:eastAsia="Times New Roman"/>
          <w:i/>
          <w:color w:val="auto"/>
          <w:spacing w:val="0"/>
          <w:position w:val="0"/>
          <w:sz w:val="24"/>
          <w:shd w:fill="auto" w:val="clear"/>
        </w:rPr>
        <w:t xml:space="preserve">La quinta disciplina. </w:t>
      </w:r>
      <w:r>
        <w:rPr>
          <w:rFonts w:ascii="Times New Roman" w:hAnsi="Times New Roman" w:cs="Times New Roman" w:eastAsia="Times New Roman"/>
          <w:color w:val="auto"/>
          <w:spacing w:val="0"/>
          <w:position w:val="0"/>
          <w:sz w:val="24"/>
          <w:shd w:fill="auto" w:val="clear"/>
        </w:rPr>
        <w:t xml:space="preserve">Buenos Aires: Ediciones Granica S.A.</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TXM Lean Solutions     </w:t>
      </w:r>
      <w:hyperlink xmlns:r="http://schemas.openxmlformats.org/officeDocument/2006/relationships" r:id="docRId50">
        <w:r>
          <w:rPr>
            <w:rFonts w:ascii="Times New Roman" w:hAnsi="Times New Roman" w:cs="Times New Roman" w:eastAsia="Times New Roman"/>
            <w:color w:val="0000FF"/>
            <w:spacing w:val="0"/>
            <w:position w:val="0"/>
            <w:sz w:val="24"/>
            <w:u w:val="single"/>
            <w:shd w:fill="auto" w:val="clear"/>
          </w:rPr>
          <w:t xml:space="preserve">https://txm.com/about-us/</w:t>
        </w:r>
      </w:hyperlink>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480" w:after="1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CURRICULUM VITAE</w:t>
      </w:r>
    </w:p>
    <w:p>
      <w:pPr>
        <w:spacing w:before="0" w:after="0" w:line="240"/>
        <w:ind w:right="0" w:left="0" w:firstLine="0"/>
        <w:jc w:val="left"/>
        <w:rPr>
          <w:rFonts w:ascii="Verdana" w:hAnsi="Verdana" w:cs="Verdana" w:eastAsia="Verdana"/>
          <w:b/>
          <w:color w:val="000000"/>
          <w:spacing w:val="0"/>
          <w:position w:val="0"/>
          <w:sz w:val="32"/>
          <w:shd w:fill="auto" w:val="clear"/>
        </w:rPr>
      </w:pPr>
      <w:r>
        <w:rPr>
          <w:rFonts w:ascii="Verdana" w:hAnsi="Verdana" w:cs="Verdana" w:eastAsia="Verdana"/>
          <w:b/>
          <w:color w:val="000000"/>
          <w:spacing w:val="0"/>
          <w:position w:val="0"/>
          <w:sz w:val="32"/>
          <w:shd w:fill="auto" w:val="clear"/>
        </w:rPr>
        <w:t xml:space="preserve">Alexander FUGUET</w:t>
      </w:r>
    </w:p>
    <w:p>
      <w:pPr>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INGENIERO ELECTRICO</w:t>
      </w:r>
    </w:p>
    <w:p>
      <w:pPr>
        <w:spacing w:before="0" w:after="0" w:line="240"/>
        <w:ind w:right="0" w:left="0" w:firstLine="0"/>
        <w:jc w:val="left"/>
        <w:rPr>
          <w:rFonts w:ascii="Verdana" w:hAnsi="Verdana" w:cs="Verdana" w:eastAsia="Verdana"/>
          <w:b/>
          <w:i/>
          <w:color w:val="000000"/>
          <w:spacing w:val="0"/>
          <w:position w:val="0"/>
          <w:sz w:val="18"/>
          <w:shd w:fill="auto" w:val="clear"/>
        </w:rPr>
      </w:pPr>
      <w:r>
        <w:rPr>
          <w:rFonts w:ascii="Verdana" w:hAnsi="Verdana" w:cs="Verdana" w:eastAsia="Verdana"/>
          <w:b/>
          <w:i/>
          <w:color w:val="000000"/>
          <w:spacing w:val="0"/>
          <w:position w:val="0"/>
          <w:sz w:val="18"/>
          <w:shd w:fill="auto" w:val="clear"/>
        </w:rPr>
        <w:t xml:space="preserve">Ing. de Proyectos</w:t>
      </w:r>
    </w:p>
    <w:p>
      <w:pPr>
        <w:spacing w:before="0" w:after="0" w:line="240"/>
        <w:ind w:right="0" w:left="0" w:firstLine="0"/>
        <w:jc w:val="left"/>
        <w:rPr>
          <w:rFonts w:ascii="Verdana" w:hAnsi="Verdana" w:cs="Verdana" w:eastAsia="Verdana"/>
          <w:b/>
          <w:i/>
          <w:color w:val="000000"/>
          <w:spacing w:val="0"/>
          <w:position w:val="0"/>
          <w:sz w:val="20"/>
          <w:shd w:fill="auto" w:val="clear"/>
        </w:rPr>
      </w:pPr>
      <w:r>
        <w:rPr>
          <w:rFonts w:ascii="Verdana" w:hAnsi="Verdana" w:cs="Verdana" w:eastAsia="Verdana"/>
          <w:b/>
          <w:i/>
          <w:color w:val="000000"/>
          <w:spacing w:val="0"/>
          <w:position w:val="0"/>
          <w:sz w:val="18"/>
          <w:shd w:fill="auto" w:val="clear"/>
        </w:rPr>
        <w:t xml:space="preserve">Supervisor E&amp;I</w:t>
      </w:r>
      <w:r>
        <w:rPr>
          <w:rFonts w:ascii="Verdana" w:hAnsi="Verdana" w:cs="Verdana" w:eastAsia="Verdana"/>
          <w:b/>
          <w:i/>
          <w:color w:val="000000"/>
          <w:spacing w:val="0"/>
          <w:position w:val="0"/>
          <w:sz w:val="20"/>
          <w:shd w:fill="auto" w:val="clear"/>
        </w:rPr>
        <w:t xml:space="preserve"> </w:t>
      </w:r>
      <w:r>
        <w:rPr>
          <w:rFonts w:ascii="Verdana" w:hAnsi="Verdana" w:cs="Verdana" w:eastAsia="Verdana"/>
          <w:b/>
          <w:i/>
          <w:color w:val="000000"/>
          <w:spacing w:val="0"/>
          <w:position w:val="0"/>
          <w:sz w:val="18"/>
          <w:shd w:fill="auto" w:val="clear"/>
        </w:rPr>
        <w:t xml:space="preserve">de Construcción/Precommissioning-Commissioning. </w:t>
      </w:r>
    </w:p>
    <w:p>
      <w:pPr>
        <w:spacing w:before="0" w:after="0" w:line="240"/>
        <w:ind w:right="0" w:left="0" w:firstLine="0"/>
        <w:jc w:val="left"/>
        <w:rPr>
          <w:rFonts w:ascii="Verdana" w:hAnsi="Verdana" w:cs="Verdana" w:eastAsia="Verdana"/>
          <w:b/>
          <w:color w:val="000000"/>
          <w:spacing w:val="0"/>
          <w:position w:val="0"/>
          <w:sz w:val="20"/>
          <w:shd w:fill="auto" w:val="clear"/>
        </w:rPr>
      </w:pPr>
    </w:p>
    <w:p>
      <w:pPr>
        <w:spacing w:before="0" w:after="0" w:line="240"/>
        <w:ind w:right="0" w:left="0" w:firstLine="0"/>
        <w:jc w:val="left"/>
        <w:rPr>
          <w:rFonts w:ascii="Verdana" w:hAnsi="Verdana" w:cs="Verdana" w:eastAsia="Verdana"/>
          <w:b/>
          <w:color w:val="000000"/>
          <w:spacing w:val="0"/>
          <w:position w:val="0"/>
          <w:sz w:val="20"/>
          <w:shd w:fill="auto" w:val="clear"/>
        </w:rPr>
      </w:pPr>
    </w:p>
    <w:p>
      <w:pPr>
        <w:spacing w:before="0" w:after="0" w:line="240"/>
        <w:ind w:right="0" w:left="0" w:firstLine="0"/>
        <w:jc w:val="left"/>
        <w:rPr>
          <w:rFonts w:ascii="Verdana" w:hAnsi="Verdana" w:cs="Verdana" w:eastAsia="Verdana"/>
          <w:b/>
          <w:color w:val="000000"/>
          <w:spacing w:val="0"/>
          <w:position w:val="0"/>
          <w:sz w:val="20"/>
          <w:shd w:fill="auto" w:val="clear"/>
        </w:rPr>
      </w:pPr>
    </w:p>
    <w:p>
      <w:pPr>
        <w:spacing w:before="0" w:after="0" w:line="240"/>
        <w:ind w:right="0" w:left="0" w:firstLine="0"/>
        <w:jc w:val="center"/>
        <w:rPr>
          <w:rFonts w:ascii="Verdana" w:hAnsi="Verdana" w:cs="Verdana" w:eastAsia="Verdana"/>
          <w:b/>
          <w:color w:val="000000"/>
          <w:spacing w:val="0"/>
          <w:position w:val="0"/>
          <w:sz w:val="20"/>
          <w:shd w:fill="auto" w:val="clear"/>
        </w:rPr>
      </w:pPr>
    </w:p>
    <w:p>
      <w:pPr>
        <w:spacing w:before="0" w:after="0" w:line="240"/>
        <w:ind w:right="0" w:left="0" w:firstLine="0"/>
        <w:jc w:val="center"/>
        <w:rPr>
          <w:rFonts w:ascii="Verdana" w:hAnsi="Verdana" w:cs="Verdana" w:eastAsia="Verdana"/>
          <w:b/>
          <w:color w:val="000000"/>
          <w:spacing w:val="0"/>
          <w:position w:val="0"/>
          <w:sz w:val="20"/>
          <w:shd w:fill="auto" w:val="clear"/>
        </w:rPr>
      </w:pPr>
    </w:p>
    <w:p>
      <w:pPr>
        <w:spacing w:before="0" w:after="0" w:line="240"/>
        <w:ind w:right="0" w:left="0" w:firstLine="0"/>
        <w:jc w:val="left"/>
        <w:rPr>
          <w:rFonts w:ascii="Verdana" w:hAnsi="Verdana" w:cs="Verdana" w:eastAsia="Verdana"/>
          <w:b/>
          <w:color w:val="000000"/>
          <w:spacing w:val="0"/>
          <w:position w:val="0"/>
          <w:sz w:val="14"/>
          <w:shd w:fill="auto" w:val="clear"/>
        </w:rPr>
      </w:pPr>
      <w:r>
        <w:rPr>
          <w:rFonts w:ascii="Verdana" w:hAnsi="Verdana" w:cs="Verdana" w:eastAsia="Verdana"/>
          <w:b/>
          <w:color w:val="000000"/>
          <w:spacing w:val="0"/>
          <w:position w:val="0"/>
          <w:sz w:val="14"/>
          <w:shd w:fill="auto" w:val="clear"/>
        </w:rPr>
        <w:t xml:space="preserve">Email:</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fooguet@yahoo.com.ar</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alexander_fuguet@hotmail.com</w:t>
      </w:r>
    </w:p>
    <w:p>
      <w:pPr>
        <w:spacing w:before="0" w:after="0" w:line="240"/>
        <w:ind w:right="0" w:left="0" w:firstLine="0"/>
        <w:jc w:val="left"/>
        <w:rPr>
          <w:rFonts w:ascii="Verdana" w:hAnsi="Verdana" w:cs="Verdana" w:eastAsia="Verdana"/>
          <w:b/>
          <w:color w:val="000000"/>
          <w:spacing w:val="0"/>
          <w:position w:val="0"/>
          <w:sz w:val="20"/>
          <w:shd w:fill="auto" w:val="clear"/>
        </w:rPr>
      </w:pPr>
    </w:p>
    <w:p>
      <w:pPr>
        <w:spacing w:before="0" w:after="0" w:line="240"/>
        <w:ind w:right="0" w:left="0" w:firstLine="0"/>
        <w:jc w:val="center"/>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Experiencia en Proyectos y Construcción</w:t>
      </w:r>
    </w:p>
    <w:tbl>
      <w:tblPr/>
      <w:tblGrid>
        <w:gridCol w:w="1569"/>
        <w:gridCol w:w="2498"/>
        <w:gridCol w:w="1565"/>
        <w:gridCol w:w="3712"/>
      </w:tblGrid>
      <w:tr>
        <w:trPr>
          <w:trHeight w:val="1" w:hRule="atLeast"/>
          <w:jc w:val="center"/>
        </w:trPr>
        <w:tc>
          <w:tcPr>
            <w:tcW w:w="9344" w:type="dxa"/>
            <w:gridSpan w:val="4"/>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b/>
                <w:color w:val="000000"/>
                <w:spacing w:val="0"/>
                <w:position w:val="0"/>
                <w:sz w:val="16"/>
                <w:shd w:fill="auto" w:val="clear"/>
              </w:rPr>
            </w:pPr>
            <w:r>
              <w:rPr>
                <w:rFonts w:ascii="Verdana" w:hAnsi="Verdana" w:cs="Verdana" w:eastAsia="Verdana"/>
                <w:b/>
                <w:color w:val="000000"/>
                <w:spacing w:val="0"/>
                <w:position w:val="0"/>
                <w:sz w:val="16"/>
                <w:shd w:fill="C0C0C0" w:val="clear"/>
              </w:rPr>
              <w:t xml:space="preserve">TECHINT (2017-)</w:t>
            </w:r>
          </w:p>
          <w:tbl>
            <w:tblPr/>
            <w:tblGrid>
              <w:gridCol w:w="1577"/>
              <w:gridCol w:w="2512"/>
              <w:gridCol w:w="1574"/>
              <w:gridCol w:w="3607"/>
            </w:tblGrid>
            <w:tr>
              <w:trPr>
                <w:trHeight w:val="1" w:hRule="atLeast"/>
                <w:jc w:val="center"/>
              </w:trPr>
              <w:tc>
                <w:tcPr>
                  <w:tcW w:w="157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Fecha</w:t>
                  </w:r>
                </w:p>
              </w:tc>
              <w:tc>
                <w:tcPr>
                  <w:tcW w:w="25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Nombre del Proyecto</w:t>
                  </w:r>
                </w:p>
              </w:tc>
              <w:tc>
                <w:tcPr>
                  <w:tcW w:w="1574"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Posición Ocupada</w:t>
                  </w:r>
                </w:p>
              </w:tc>
              <w:tc>
                <w:tcPr>
                  <w:tcW w:w="360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Descripción Actividad Realizada</w:t>
                  </w:r>
                </w:p>
              </w:tc>
            </w:tr>
            <w:tr>
              <w:trPr>
                <w:trHeight w:val="693" w:hRule="auto"/>
                <w:jc w:val="center"/>
              </w:trPr>
              <w:tc>
                <w:tcPr>
                  <w:tcW w:w="157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May 2018-Abr-2019</w:t>
                  </w:r>
                </w:p>
              </w:tc>
              <w:tc>
                <w:tcPr>
                  <w:tcW w:w="25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i/>
                      <w:color w:val="000000"/>
                      <w:spacing w:val="0"/>
                      <w:position w:val="0"/>
                      <w:sz w:val="14"/>
                      <w:shd w:fill="auto" w:val="clear"/>
                    </w:rPr>
                  </w:pPr>
                  <w:r>
                    <w:rPr>
                      <w:rFonts w:ascii="Verdana" w:hAnsi="Verdana" w:cs="Verdana" w:eastAsia="Verdana"/>
                      <w:i/>
                      <w:color w:val="000000"/>
                      <w:spacing w:val="0"/>
                      <w:position w:val="0"/>
                      <w:sz w:val="14"/>
                      <w:shd w:fill="auto" w:val="clear"/>
                    </w:rPr>
                    <w:t xml:space="preserve">Parque Eolico Manantiales Behr (YPF)</w:t>
                  </w:r>
                </w:p>
                <w:p>
                  <w:pPr>
                    <w:spacing w:before="0" w:after="0" w:line="240"/>
                    <w:ind w:right="0" w:left="0" w:firstLine="0"/>
                    <w:jc w:val="left"/>
                    <w:rPr>
                      <w:spacing w:val="0"/>
                      <w:position w:val="0"/>
                    </w:rPr>
                  </w:pPr>
                  <w:r>
                    <w:rPr>
                      <w:rFonts w:ascii="Verdana" w:hAnsi="Verdana" w:cs="Verdana" w:eastAsia="Verdana"/>
                      <w:b/>
                      <w:i/>
                      <w:color w:val="000000"/>
                      <w:spacing w:val="0"/>
                      <w:position w:val="0"/>
                      <w:sz w:val="14"/>
                      <w:shd w:fill="auto" w:val="clear"/>
                    </w:rPr>
                    <w:t xml:space="preserve">ENERGIAS RENOVABLES</w:t>
                  </w:r>
                </w:p>
              </w:tc>
              <w:tc>
                <w:tcPr>
                  <w:tcW w:w="1574"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Eléctrico en obra / As Built Coordinator</w:t>
                  </w:r>
                </w:p>
              </w:tc>
              <w:tc>
                <w:tcPr>
                  <w:tcW w:w="360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Apoyo en obra para oficina técnica</w:t>
                  </w:r>
                </w:p>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Coordinador de planos Como Construido de todas las disciplinas en campo.</w:t>
                  </w:r>
                </w:p>
              </w:tc>
            </w:tr>
            <w:tr>
              <w:trPr>
                <w:trHeight w:val="520" w:hRule="auto"/>
                <w:jc w:val="center"/>
              </w:trPr>
              <w:tc>
                <w:tcPr>
                  <w:tcW w:w="157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Ago 2017-May 2018</w:t>
                  </w:r>
                </w:p>
              </w:tc>
              <w:tc>
                <w:tcPr>
                  <w:tcW w:w="25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i/>
                      <w:color w:val="000000"/>
                      <w:spacing w:val="0"/>
                      <w:position w:val="0"/>
                      <w:sz w:val="14"/>
                      <w:shd w:fill="auto" w:val="clear"/>
                    </w:rPr>
                    <w:t xml:space="preserve">Incahuasi Project. DEBOTTLENECKING  (TOTAL EP)</w:t>
                  </w:r>
                </w:p>
              </w:tc>
              <w:tc>
                <w:tcPr>
                  <w:tcW w:w="1574"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Eléctrico</w:t>
                  </w:r>
                </w:p>
              </w:tc>
              <w:tc>
                <w:tcPr>
                  <w:tcW w:w="360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Desarrollo de FEED.</w:t>
                  </w:r>
                </w:p>
              </w:tc>
            </w:tr>
            <w:tr>
              <w:trPr>
                <w:trHeight w:val="528" w:hRule="auto"/>
                <w:jc w:val="center"/>
              </w:trPr>
              <w:tc>
                <w:tcPr>
                  <w:tcW w:w="157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Ago 2017-May 2018</w:t>
                  </w:r>
                </w:p>
              </w:tc>
              <w:tc>
                <w:tcPr>
                  <w:tcW w:w="25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i/>
                      <w:color w:val="000000"/>
                      <w:spacing w:val="0"/>
                      <w:position w:val="0"/>
                      <w:sz w:val="14"/>
                      <w:shd w:fill="auto" w:val="clear"/>
                    </w:rPr>
                    <w:t xml:space="preserve">FENIX -Onshore (TOTAL EP)</w:t>
                  </w:r>
                </w:p>
              </w:tc>
              <w:tc>
                <w:tcPr>
                  <w:tcW w:w="1574"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Eléctrico</w:t>
                  </w:r>
                </w:p>
              </w:tc>
              <w:tc>
                <w:tcPr>
                  <w:tcW w:w="360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Desarrollo de Ing. Básica Eléctrica para el paquete Onshore. </w:t>
                  </w:r>
                </w:p>
              </w:tc>
            </w:tr>
          </w:tbl>
          <w:p>
            <w:pPr>
              <w:spacing w:before="0" w:after="0" w:line="240"/>
              <w:ind w:right="0" w:left="0" w:firstLine="0"/>
              <w:jc w:val="left"/>
              <w:rPr>
                <w:spacing w:val="0"/>
                <w:position w:val="0"/>
              </w:rPr>
            </w:pPr>
          </w:p>
        </w:tc>
      </w:tr>
      <w:tr>
        <w:trPr>
          <w:trHeight w:val="1" w:hRule="atLeast"/>
          <w:jc w:val="center"/>
        </w:trPr>
        <w:tc>
          <w:tcPr>
            <w:tcW w:w="9344" w:type="dxa"/>
            <w:gridSpan w:val="4"/>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b/>
                <w:color w:val="000000"/>
                <w:spacing w:val="0"/>
                <w:position w:val="0"/>
                <w:sz w:val="16"/>
                <w:shd w:fill="auto" w:val="clear"/>
              </w:rPr>
            </w:pPr>
            <w:r>
              <w:rPr>
                <w:rFonts w:ascii="Verdana" w:hAnsi="Verdana" w:cs="Verdana" w:eastAsia="Verdana"/>
                <w:b/>
                <w:color w:val="000000"/>
                <w:spacing w:val="0"/>
                <w:position w:val="0"/>
                <w:sz w:val="16"/>
                <w:shd w:fill="C0C0C0" w:val="clear"/>
              </w:rPr>
              <w:t xml:space="preserve">TOTAL EP BOLIVIE (2012-2017)</w:t>
            </w:r>
            <w:r>
              <w:rPr>
                <w:rFonts w:ascii="Verdana" w:hAnsi="Verdana" w:cs="Verdana" w:eastAsia="Verdana"/>
                <w:b/>
                <w:color w:val="000000"/>
                <w:spacing w:val="0"/>
                <w:position w:val="0"/>
                <w:sz w:val="16"/>
                <w:shd w:fill="auto" w:val="clear"/>
              </w:rPr>
              <w:t xml:space="preserve"> UPSTREAM</w:t>
            </w:r>
          </w:p>
          <w:tbl>
            <w:tblPr/>
            <w:tblGrid>
              <w:gridCol w:w="1577"/>
              <w:gridCol w:w="2512"/>
              <w:gridCol w:w="1574"/>
              <w:gridCol w:w="3607"/>
            </w:tblGrid>
            <w:tr>
              <w:trPr>
                <w:trHeight w:val="1" w:hRule="atLeast"/>
                <w:jc w:val="center"/>
              </w:trPr>
              <w:tc>
                <w:tcPr>
                  <w:tcW w:w="157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Fecha</w:t>
                  </w:r>
                </w:p>
              </w:tc>
              <w:tc>
                <w:tcPr>
                  <w:tcW w:w="25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Nombre del Proyecto</w:t>
                  </w:r>
                </w:p>
              </w:tc>
              <w:tc>
                <w:tcPr>
                  <w:tcW w:w="1574"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Posición Ocupada</w:t>
                  </w:r>
                </w:p>
              </w:tc>
              <w:tc>
                <w:tcPr>
                  <w:tcW w:w="360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Descripción Actividad Realizada</w:t>
                  </w:r>
                </w:p>
              </w:tc>
            </w:tr>
            <w:tr>
              <w:trPr>
                <w:trHeight w:val="1553" w:hRule="auto"/>
                <w:jc w:val="center"/>
              </w:trPr>
              <w:tc>
                <w:tcPr>
                  <w:tcW w:w="157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Feb 2017-Ago 2017</w:t>
                  </w:r>
                </w:p>
              </w:tc>
              <w:tc>
                <w:tcPr>
                  <w:tcW w:w="25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PROYECTO DESARROLLO CAMPO INCAHUASI Y CAMPO AQUIO</w:t>
                  </w:r>
                </w:p>
                <w:p>
                  <w:pPr>
                    <w:spacing w:before="0" w:after="0" w:line="240"/>
                    <w:ind w:right="0" w:left="0" w:firstLine="0"/>
                    <w:jc w:val="left"/>
                    <w:rPr>
                      <w:rFonts w:ascii="Verdana" w:hAnsi="Verdana" w:cs="Verdana" w:eastAsia="Verdana"/>
                      <w:b/>
                      <w:color w:val="000000"/>
                      <w:spacing w:val="0"/>
                      <w:position w:val="0"/>
                      <w:sz w:val="14"/>
                      <w:shd w:fill="auto" w:val="clear"/>
                    </w:rPr>
                  </w:pPr>
                  <w:r>
                    <w:rPr>
                      <w:rFonts w:ascii="Verdana" w:hAnsi="Verdana" w:cs="Verdana" w:eastAsia="Verdana"/>
                      <w:i/>
                      <w:color w:val="000000"/>
                      <w:spacing w:val="0"/>
                      <w:position w:val="0"/>
                      <w:sz w:val="14"/>
                      <w:shd w:fill="auto" w:val="clear"/>
                    </w:rPr>
                    <w:t xml:space="preserve">DEBOTTLENECKING / TANQUE Y BOMBAS DE GAS DE CONDENSADO</w:t>
                  </w:r>
                  <w:r>
                    <w:rPr>
                      <w:rFonts w:ascii="Verdana" w:hAnsi="Verdana" w:cs="Verdana" w:eastAsia="Verdana"/>
                      <w:color w:val="000000"/>
                      <w:spacing w:val="0"/>
                      <w:position w:val="0"/>
                      <w:sz w:val="14"/>
                      <w:shd w:fill="auto" w:val="clear"/>
                    </w:rPr>
                    <w:t xml:space="preserve">)- </w:t>
                  </w:r>
                  <w:r>
                    <w:rPr>
                      <w:rFonts w:ascii="Verdana" w:hAnsi="Verdana" w:cs="Verdana" w:eastAsia="Verdana"/>
                      <w:b/>
                      <w:color w:val="000000"/>
                      <w:spacing w:val="0"/>
                      <w:position w:val="0"/>
                      <w:sz w:val="14"/>
                      <w:shd w:fill="auto" w:val="clear"/>
                    </w:rPr>
                    <w:t xml:space="preserve">TOTAL BOLIVIE</w:t>
                  </w:r>
                </w:p>
                <w:p>
                  <w:pPr>
                    <w:spacing w:before="0" w:after="0" w:line="240"/>
                    <w:ind w:right="0" w:left="0" w:firstLine="0"/>
                    <w:jc w:val="left"/>
                    <w:rPr>
                      <w:spacing w:val="0"/>
                      <w:position w:val="0"/>
                    </w:rPr>
                  </w:pPr>
                </w:p>
              </w:tc>
              <w:tc>
                <w:tcPr>
                  <w:tcW w:w="1574"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Ingeniero eléctrico-</w:t>
                  </w:r>
                </w:p>
                <w:p>
                  <w:pPr>
                    <w:spacing w:before="0" w:after="0" w:line="240"/>
                    <w:ind w:right="0" w:left="0" w:firstLine="0"/>
                    <w:jc w:val="left"/>
                    <w:rPr>
                      <w:rFonts w:ascii="Verdana" w:hAnsi="Verdana" w:cs="Verdana" w:eastAsia="Verdana"/>
                      <w:i/>
                      <w:color w:val="000000"/>
                      <w:spacing w:val="0"/>
                      <w:position w:val="0"/>
                      <w:sz w:val="14"/>
                      <w:shd w:fill="auto" w:val="clear"/>
                    </w:rPr>
                  </w:pPr>
                  <w:r>
                    <w:rPr>
                      <w:rFonts w:ascii="Verdana" w:hAnsi="Verdana" w:cs="Verdana" w:eastAsia="Verdana"/>
                      <w:i/>
                      <w:color w:val="000000"/>
                      <w:spacing w:val="0"/>
                      <w:position w:val="0"/>
                      <w:sz w:val="14"/>
                      <w:shd w:fill="auto" w:val="clear"/>
                    </w:rPr>
                    <w:t xml:space="preserve">Asignación por </w:t>
                  </w:r>
                </w:p>
                <w:p>
                  <w:pPr>
                    <w:spacing w:before="0" w:after="0" w:line="240"/>
                    <w:ind w:right="0" w:left="0" w:firstLine="0"/>
                    <w:jc w:val="left"/>
                    <w:rPr>
                      <w:rFonts w:ascii="Verdana" w:hAnsi="Verdana" w:cs="Verdana" w:eastAsia="Verdana"/>
                      <w:i/>
                      <w:color w:val="000000"/>
                      <w:spacing w:val="0"/>
                      <w:position w:val="0"/>
                      <w:sz w:val="14"/>
                      <w:shd w:fill="auto" w:val="clear"/>
                    </w:rPr>
                  </w:pPr>
                  <w:r>
                    <w:rPr>
                      <w:rFonts w:ascii="Verdana" w:hAnsi="Verdana" w:cs="Verdana" w:eastAsia="Verdana"/>
                      <w:b/>
                      <w:i/>
                      <w:color w:val="000000"/>
                      <w:spacing w:val="0"/>
                      <w:position w:val="0"/>
                      <w:sz w:val="14"/>
                      <w:shd w:fill="auto" w:val="clear"/>
                    </w:rPr>
                    <w:t xml:space="preserve">TEPSI</w:t>
                  </w:r>
                </w:p>
                <w:p>
                  <w:pPr>
                    <w:spacing w:before="0" w:after="0" w:line="240"/>
                    <w:ind w:right="0" w:left="0" w:firstLine="0"/>
                    <w:jc w:val="left"/>
                    <w:rPr>
                      <w:spacing w:val="0"/>
                      <w:position w:val="0"/>
                    </w:rPr>
                  </w:pPr>
                </w:p>
              </w:tc>
              <w:tc>
                <w:tcPr>
                  <w:tcW w:w="360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Gerencia  de Ingeniería  FEED de subproyectos Debottlenecking y Tanque y Bombas de Condensado. </w:t>
                  </w:r>
                </w:p>
                <w:p>
                  <w:pPr>
                    <w:spacing w:before="0" w:after="0" w:line="240"/>
                    <w:ind w:right="0" w:left="0" w:firstLine="0"/>
                    <w:jc w:val="left"/>
                    <w:rPr>
                      <w:rFonts w:ascii="Verdana" w:hAnsi="Verdana" w:cs="Verdana" w:eastAsia="Verdana"/>
                      <w:color w:val="000000"/>
                      <w:spacing w:val="0"/>
                      <w:position w:val="0"/>
                      <w:sz w:val="14"/>
                      <w:shd w:fill="auto" w:val="clear"/>
                    </w:rPr>
                  </w:pP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Revisión de documentación técnica del FEED, identificación de desvíos de ingeniería, revisión de TQR, coordinación de proyecto. </w:t>
                  </w:r>
                </w:p>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Apoyo a actividades remanentes de construcción en obra.</w:t>
                  </w:r>
                </w:p>
              </w:tc>
            </w:tr>
          </w:tbl>
          <w:p>
            <w:pPr>
              <w:spacing w:before="0" w:after="0" w:line="240"/>
              <w:ind w:right="0" w:left="0" w:firstLine="0"/>
              <w:jc w:val="left"/>
              <w:rPr>
                <w:spacing w:val="0"/>
                <w:position w:val="0"/>
              </w:rPr>
            </w:pPr>
          </w:p>
        </w:tc>
      </w:tr>
      <w:tr>
        <w:trPr>
          <w:trHeight w:val="6233" w:hRule="auto"/>
          <w:jc w:val="center"/>
        </w:trPr>
        <w:tc>
          <w:tcPr>
            <w:tcW w:w="9344" w:type="dxa"/>
            <w:gridSpan w:val="4"/>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tbl>
            <w:tblPr/>
            <w:tblGrid>
              <w:gridCol w:w="1577"/>
              <w:gridCol w:w="2510"/>
              <w:gridCol w:w="1576"/>
              <w:gridCol w:w="3607"/>
            </w:tblGrid>
            <w:tr>
              <w:trPr>
                <w:trHeight w:val="5616" w:hRule="auto"/>
                <w:jc w:val="center"/>
              </w:trPr>
              <w:tc>
                <w:tcPr>
                  <w:tcW w:w="157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Oct 2013/2016</w:t>
                  </w:r>
                </w:p>
              </w:tc>
              <w:tc>
                <w:tcPr>
                  <w:tcW w:w="2510"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b/>
                      <w:color w:val="000000"/>
                      <w:spacing w:val="0"/>
                      <w:position w:val="0"/>
                      <w:sz w:val="14"/>
                      <w:shd w:fill="auto" w:val="clear"/>
                    </w:rPr>
                  </w:pPr>
                  <w:r>
                    <w:rPr>
                      <w:rFonts w:ascii="Verdana" w:hAnsi="Verdana" w:cs="Verdana" w:eastAsia="Verdana"/>
                      <w:color w:val="000000"/>
                      <w:spacing w:val="0"/>
                      <w:position w:val="0"/>
                      <w:sz w:val="14"/>
                      <w:shd w:fill="auto" w:val="clear"/>
                    </w:rPr>
                    <w:t xml:space="preserve">PROYECTO DESARROLLO CAMPO INCAHUASI Y CAMPO AQUIO (budget 1,100 MUSD)- </w:t>
                  </w:r>
                  <w:r>
                    <w:rPr>
                      <w:rFonts w:ascii="Verdana" w:hAnsi="Verdana" w:cs="Verdana" w:eastAsia="Verdana"/>
                      <w:b/>
                      <w:color w:val="000000"/>
                      <w:spacing w:val="0"/>
                      <w:position w:val="0"/>
                      <w:sz w:val="14"/>
                      <w:shd w:fill="auto" w:val="clear"/>
                    </w:rPr>
                    <w:t xml:space="preserve">TOTAL BOLIVIE</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Production expected: 6.5 MMsm3/d yearly average</w:t>
                  </w:r>
                </w:p>
                <w:p>
                  <w:pPr>
                    <w:spacing w:before="0" w:after="0" w:line="240"/>
                    <w:ind w:right="0" w:left="0" w:firstLine="0"/>
                    <w:jc w:val="left"/>
                    <w:rPr>
                      <w:spacing w:val="0"/>
                      <w:position w:val="0"/>
                    </w:rPr>
                  </w:pPr>
                </w:p>
              </w:tc>
              <w:tc>
                <w:tcPr>
                  <w:tcW w:w="1576"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Ingeniero eléctrico-</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-Supervisor de Construcción</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-Supervisor de Precommissioning</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-Apoyo a Commissioning </w:t>
                  </w:r>
                  <w:r>
                    <w:rPr>
                      <w:rFonts w:ascii="Verdana" w:hAnsi="Verdana" w:cs="Verdana" w:eastAsia="Verdana"/>
                      <w:i/>
                      <w:color w:val="000000"/>
                      <w:spacing w:val="0"/>
                      <w:position w:val="0"/>
                      <w:sz w:val="14"/>
                      <w:shd w:fill="auto" w:val="clear"/>
                    </w:rPr>
                    <w:t xml:space="preserve">Asignación  por </w:t>
                  </w:r>
                  <w:r>
                    <w:rPr>
                      <w:rFonts w:ascii="Verdana" w:hAnsi="Verdana" w:cs="Verdana" w:eastAsia="Verdana"/>
                      <w:b/>
                      <w:i/>
                      <w:color w:val="000000"/>
                      <w:spacing w:val="0"/>
                      <w:position w:val="0"/>
                      <w:sz w:val="14"/>
                      <w:shd w:fill="auto" w:val="clear"/>
                    </w:rPr>
                    <w:t xml:space="preserve">PENTECH AUSTRAL</w:t>
                  </w:r>
                  <w:r>
                    <w:rPr>
                      <w:rFonts w:ascii="Verdana" w:hAnsi="Verdana" w:cs="Verdana" w:eastAsia="Verdana"/>
                      <w:color w:val="000000"/>
                      <w:spacing w:val="0"/>
                      <w:position w:val="0"/>
                      <w:sz w:val="14"/>
                      <w:shd w:fill="auto" w:val="clear"/>
                    </w:rPr>
                    <w:t xml:space="preserve"> </w:t>
                  </w:r>
                </w:p>
                <w:p>
                  <w:pPr>
                    <w:spacing w:before="0" w:after="0" w:line="240"/>
                    <w:ind w:right="0" w:left="0" w:firstLine="0"/>
                    <w:jc w:val="left"/>
                    <w:rPr>
                      <w:spacing w:val="0"/>
                      <w:position w:val="0"/>
                    </w:rPr>
                  </w:pPr>
                </w:p>
              </w:tc>
              <w:tc>
                <w:tcPr>
                  <w:tcW w:w="360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Gerencia  de Ingeniería de detalles  y Construcción de CPF por Licitante ganador (TECNA) para el desarrollo del Campo de Incahuasi y campo AQUIO, (CPF o Central Proccessing facilities) cuyo objeto es realizar la exportación de gas y condensados mediante conexión a la red de exportación existente de Yacimientos Petrolíferos Fiscales Bolivianos (YPFB). </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Gerencia de la Ingeniería de contrato de PIPELINES.</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 Principales funciones:</w:t>
                  </w:r>
                </w:p>
                <w:p>
                  <w:pPr>
                    <w:numPr>
                      <w:ilvl w:val="0"/>
                      <w:numId w:val="453"/>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Seguimiento y coordinación de Ingeniería de detalles  y Construcción a Contratista TECNA como contrato de CPF.</w:t>
                  </w:r>
                </w:p>
                <w:p>
                  <w:pPr>
                    <w:numPr>
                      <w:ilvl w:val="0"/>
                      <w:numId w:val="453"/>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Seguimiento y coordinación de Ingeniería de detalles  y Construcción a Contratista SPIECAPAG como contrato de PIPELINES.</w:t>
                  </w:r>
                </w:p>
                <w:p>
                  <w:pPr>
                    <w:numPr>
                      <w:ilvl w:val="0"/>
                      <w:numId w:val="453"/>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Asistencia a la construcción y puesta en marcha.</w:t>
                  </w:r>
                </w:p>
                <w:p>
                  <w:pPr>
                    <w:numPr>
                      <w:ilvl w:val="0"/>
                      <w:numId w:val="453"/>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Revisión de Ingeniería de Vendors.</w:t>
                  </w:r>
                </w:p>
                <w:p>
                  <w:pPr>
                    <w:numPr>
                      <w:ilvl w:val="0"/>
                      <w:numId w:val="453"/>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Ejercicios de Costo-Beneficio, estudios de factibilidad preliminares.</w:t>
                  </w:r>
                </w:p>
                <w:p>
                  <w:pPr>
                    <w:numPr>
                      <w:ilvl w:val="0"/>
                      <w:numId w:val="453"/>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Asistencia eléctrica a revisión de documentación para instalación de Compresor magnético GE (ICL).</w:t>
                  </w:r>
                </w:p>
                <w:p>
                  <w:pPr>
                    <w:numPr>
                      <w:ilvl w:val="0"/>
                      <w:numId w:val="453"/>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Emisión de  dossiers RFC, RFSU para precommissioning y Commissioning. Manejo de ICAPS / OPERCOM</w:t>
                  </w:r>
                </w:p>
                <w:p>
                  <w:pPr>
                    <w:numPr>
                      <w:ilvl w:val="0"/>
                      <w:numId w:val="453"/>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Supervision de instalación en campo, Areas clasificadas, ingeniería de campo, precommissioning y apoyo a commissioning.</w:t>
                  </w:r>
                </w:p>
                <w:p>
                  <w:pPr>
                    <w:spacing w:before="0" w:after="0" w:line="240"/>
                    <w:ind w:right="0" w:left="0" w:firstLine="0"/>
                    <w:jc w:val="left"/>
                    <w:rPr>
                      <w:spacing w:val="0"/>
                      <w:position w:val="0"/>
                    </w:rPr>
                  </w:pPr>
                </w:p>
              </w:tc>
            </w:tr>
          </w:tbl>
          <w:p>
            <w:pPr>
              <w:spacing w:before="0" w:after="0" w:line="240"/>
              <w:ind w:right="0" w:left="0" w:firstLine="0"/>
              <w:jc w:val="left"/>
              <w:rPr>
                <w:rFonts w:ascii="Verdana" w:hAnsi="Verdana" w:cs="Verdana" w:eastAsia="Verdana"/>
                <w:b/>
                <w:color w:val="000000"/>
                <w:spacing w:val="0"/>
                <w:position w:val="0"/>
                <w:sz w:val="16"/>
                <w:shd w:fill="auto" w:val="clear"/>
              </w:rPr>
            </w:pPr>
          </w:p>
          <w:p>
            <w:pPr>
              <w:spacing w:before="0" w:after="0" w:line="240"/>
              <w:ind w:right="0" w:left="0" w:firstLine="0"/>
              <w:jc w:val="left"/>
              <w:rPr>
                <w:rFonts w:ascii="Verdana" w:hAnsi="Verdana" w:cs="Verdana" w:eastAsia="Verdana"/>
                <w:b/>
                <w:color w:val="000000"/>
                <w:spacing w:val="0"/>
                <w:position w:val="0"/>
                <w:sz w:val="16"/>
                <w:shd w:fill="auto" w:val="clear"/>
              </w:rPr>
            </w:pPr>
          </w:p>
          <w:p>
            <w:pPr>
              <w:spacing w:before="0" w:after="0" w:line="240"/>
              <w:ind w:right="0" w:left="0" w:firstLine="0"/>
              <w:jc w:val="left"/>
              <w:rPr>
                <w:rFonts w:ascii="Verdana" w:hAnsi="Verdana" w:cs="Verdana" w:eastAsia="Verdana"/>
                <w:b/>
                <w:color w:val="000000"/>
                <w:spacing w:val="0"/>
                <w:position w:val="0"/>
                <w:sz w:val="16"/>
                <w:shd w:fill="auto" w:val="clear"/>
              </w:rPr>
            </w:pPr>
          </w:p>
          <w:p>
            <w:pPr>
              <w:spacing w:before="0" w:after="0" w:line="240"/>
              <w:ind w:right="0" w:left="0" w:firstLine="0"/>
              <w:jc w:val="left"/>
              <w:rPr>
                <w:rFonts w:ascii="Verdana" w:hAnsi="Verdana" w:cs="Verdana" w:eastAsia="Verdana"/>
                <w:b/>
                <w:color w:val="000000"/>
                <w:spacing w:val="0"/>
                <w:position w:val="0"/>
                <w:sz w:val="16"/>
                <w:shd w:fill="auto" w:val="clear"/>
              </w:rPr>
            </w:pPr>
          </w:p>
          <w:p>
            <w:pPr>
              <w:spacing w:before="0" w:after="0" w:line="240"/>
              <w:ind w:right="0" w:left="0" w:firstLine="0"/>
              <w:jc w:val="left"/>
              <w:rPr>
                <w:spacing w:val="0"/>
                <w:position w:val="0"/>
              </w:rPr>
            </w:pPr>
          </w:p>
        </w:tc>
      </w:tr>
      <w:tr>
        <w:trPr>
          <w:trHeight w:val="1" w:hRule="atLeast"/>
          <w:jc w:val="center"/>
        </w:trPr>
        <w:tc>
          <w:tcPr>
            <w:tcW w:w="9344" w:type="dxa"/>
            <w:gridSpan w:val="4"/>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b/>
                <w:color w:val="000000"/>
                <w:spacing w:val="0"/>
                <w:position w:val="0"/>
                <w:sz w:val="16"/>
                <w:shd w:fill="auto" w:val="clear"/>
              </w:rPr>
            </w:pPr>
            <w:r>
              <w:rPr>
                <w:rFonts w:ascii="Verdana" w:hAnsi="Verdana" w:cs="Verdana" w:eastAsia="Verdana"/>
                <w:b/>
                <w:color w:val="000000"/>
                <w:spacing w:val="0"/>
                <w:position w:val="0"/>
                <w:sz w:val="16"/>
                <w:shd w:fill="C0C0C0" w:val="clear"/>
              </w:rPr>
              <w:t xml:space="preserve">INELECTRA INTERNATIONAL-ARGENTINA (2012-2013)</w:t>
            </w:r>
          </w:p>
          <w:p>
            <w:pPr>
              <w:spacing w:before="0" w:after="0" w:line="240"/>
              <w:ind w:right="0" w:left="0" w:firstLine="0"/>
              <w:jc w:val="left"/>
              <w:rPr>
                <w:spacing w:val="0"/>
                <w:position w:val="0"/>
              </w:rPr>
            </w:pP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Fecha</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Nombre del Proyecto</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Posición Ocupada</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Descripción Actividad Realizada</w:t>
            </w:r>
          </w:p>
        </w:tc>
      </w:tr>
      <w:tr>
        <w:trPr>
          <w:trHeight w:val="1553" w:hRule="auto"/>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Mar 2012/Oct 2013</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b/>
                <w:color w:val="000000"/>
                <w:spacing w:val="0"/>
                <w:position w:val="0"/>
                <w:sz w:val="14"/>
                <w:shd w:fill="auto" w:val="clear"/>
              </w:rPr>
            </w:pPr>
            <w:r>
              <w:rPr>
                <w:rFonts w:ascii="Verdana" w:hAnsi="Verdana" w:cs="Verdana" w:eastAsia="Verdana"/>
                <w:color w:val="000000"/>
                <w:spacing w:val="0"/>
                <w:position w:val="0"/>
                <w:sz w:val="14"/>
                <w:shd w:fill="auto" w:val="clear"/>
              </w:rPr>
              <w:t xml:space="preserve">PROYECTO DESARROLLO CAMPO INCAHUASI Y CAMPO AQUIO (budget 1,100 MUSD)- </w:t>
            </w:r>
            <w:r>
              <w:rPr>
                <w:rFonts w:ascii="Verdana" w:hAnsi="Verdana" w:cs="Verdana" w:eastAsia="Verdana"/>
                <w:b/>
                <w:color w:val="000000"/>
                <w:spacing w:val="0"/>
                <w:position w:val="0"/>
                <w:sz w:val="14"/>
                <w:shd w:fill="auto" w:val="clear"/>
              </w:rPr>
              <w:t xml:space="preserve">TOTAL BOLIVIE</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Production expected: 6.5 MMsm3/d yearly average</w:t>
            </w:r>
          </w:p>
          <w:p>
            <w:pPr>
              <w:spacing w:before="0" w:after="0" w:line="240"/>
              <w:ind w:right="0" w:left="0" w:firstLine="0"/>
              <w:jc w:val="left"/>
              <w:rPr>
                <w:spacing w:val="0"/>
                <w:position w:val="0"/>
              </w:rPr>
            </w:pP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Líder de disciplina Electricidad / TOTAL Engineering Risk Keeper. Asignación  a </w:t>
            </w:r>
            <w:r>
              <w:rPr>
                <w:rFonts w:ascii="Verdana" w:hAnsi="Verdana" w:cs="Verdana" w:eastAsia="Verdana"/>
                <w:b/>
                <w:color w:val="000000"/>
                <w:spacing w:val="0"/>
                <w:position w:val="0"/>
                <w:sz w:val="14"/>
                <w:shd w:fill="auto" w:val="clear"/>
              </w:rPr>
              <w:t xml:space="preserve">TOTAL E&amp;P BOLIVIE</w:t>
            </w:r>
            <w:r>
              <w:rPr>
                <w:rFonts w:ascii="Verdana" w:hAnsi="Verdana" w:cs="Verdana" w:eastAsia="Verdana"/>
                <w:color w:val="000000"/>
                <w:spacing w:val="0"/>
                <w:position w:val="0"/>
                <w:sz w:val="14"/>
                <w:shd w:fill="auto" w:val="clear"/>
              </w:rPr>
              <w:t xml:space="preserve"> </w:t>
            </w:r>
          </w:p>
          <w:p>
            <w:pPr>
              <w:spacing w:before="0" w:after="0" w:line="240"/>
              <w:ind w:right="0" w:left="0" w:firstLine="0"/>
              <w:jc w:val="left"/>
              <w:rPr>
                <w:spacing w:val="0"/>
                <w:position w:val="0"/>
              </w:rPr>
            </w:pP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Gerencia de 03 Ingenierías Básicas en paralelo CCFT elaborada por Licitantes distintos para el desarrollo del Campo de Incahuasi, (CPF) cuyo objeto es realizar la exportación de gas y condensados mediante conexión a la red de exportación existente YPFB. </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Gerencia de la Ingeniería de contrato de PIPELINES.</w:t>
            </w:r>
          </w:p>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 Principales funciones:</w:t>
            </w:r>
          </w:p>
          <w:p>
            <w:pPr>
              <w:numPr>
                <w:ilvl w:val="0"/>
                <w:numId w:val="466"/>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Revisión y calificación de ingeniería eléctrica desarrollada por contratistas y subcontratistas</w:t>
            </w:r>
          </w:p>
          <w:p>
            <w:pPr>
              <w:numPr>
                <w:ilvl w:val="0"/>
                <w:numId w:val="466"/>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Emisión de comentarios asociados a la ingeniería revisada en los tiempos asignados según la planificación</w:t>
            </w:r>
          </w:p>
          <w:p>
            <w:pPr>
              <w:numPr>
                <w:ilvl w:val="0"/>
                <w:numId w:val="466"/>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Revisión de dossiers y manuales de ingeniería</w:t>
            </w:r>
          </w:p>
          <w:p>
            <w:pPr>
              <w:numPr>
                <w:ilvl w:val="0"/>
                <w:numId w:val="466"/>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Participar en la ingeniería de valor y en tender bulletins, SCN y cambios de alcance  elaborados.</w:t>
            </w:r>
          </w:p>
          <w:p>
            <w:pPr>
              <w:numPr>
                <w:ilvl w:val="0"/>
                <w:numId w:val="466"/>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Evaluación de riesgos de diseño en ingeniería de CCFT (compensated call for tender) / elaboración y evaluación de matriz de riesgos para determinar que ingeniería es más riesgosa de construir. </w:t>
            </w:r>
          </w:p>
          <w:p>
            <w:pPr>
              <w:numPr>
                <w:ilvl w:val="0"/>
                <w:numId w:val="466"/>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Elaboración de ejercicios de reducción de costos.</w:t>
            </w:r>
          </w:p>
          <w:p>
            <w:pPr>
              <w:numPr>
                <w:ilvl w:val="0"/>
                <w:numId w:val="466"/>
              </w:numPr>
              <w:spacing w:before="0" w:after="0" w:line="240"/>
              <w:ind w:right="0" w:left="720" w:hanging="36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Coordinación de reuniones con Licitantes</w:t>
            </w:r>
          </w:p>
          <w:p>
            <w:pPr>
              <w:numPr>
                <w:ilvl w:val="0"/>
                <w:numId w:val="466"/>
              </w:numPr>
              <w:spacing w:before="0" w:after="0" w:line="240"/>
              <w:ind w:right="0" w:left="720" w:hanging="360"/>
              <w:jc w:val="left"/>
              <w:rPr>
                <w:spacing w:val="0"/>
                <w:position w:val="0"/>
              </w:rPr>
            </w:pPr>
            <w:r>
              <w:rPr>
                <w:rFonts w:ascii="Verdana" w:hAnsi="Verdana" w:cs="Verdana" w:eastAsia="Verdana"/>
                <w:color w:val="000000"/>
                <w:spacing w:val="0"/>
                <w:position w:val="0"/>
                <w:sz w:val="14"/>
                <w:shd w:fill="auto" w:val="clear"/>
              </w:rPr>
              <w:t xml:space="preserve">Elaboración de ingeniería del FEED para Lateral de Condensados del contrato de PIPELINES.</w:t>
            </w:r>
          </w:p>
        </w:tc>
      </w:tr>
      <w:tr>
        <w:trPr>
          <w:trHeight w:val="1796" w:hRule="auto"/>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Oct 2011/mar 2012</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PRIS Y BAJA PRESIÓN LLL- LOMA LA LATA</w:t>
            </w:r>
            <w:r>
              <w:rPr>
                <w:rFonts w:ascii="Verdana" w:hAnsi="Verdana" w:cs="Verdana" w:eastAsia="Verdana"/>
                <w:b/>
                <w:color w:val="000000"/>
                <w:spacing w:val="0"/>
                <w:position w:val="0"/>
                <w:sz w:val="14"/>
                <w:shd w:fill="auto" w:val="clear"/>
              </w:rPr>
              <w:t xml:space="preserve"> YPF</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Proyectos-SSr</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Elaboración de ingeniería Conceptual y Básica extendida para cubrir los requerimientos de expansión de las plantas USP-11, Batería N° 3 y el nuevo puente de cañerías en el cruce del río Neuquén. Incluye estudio de cargas, canalizaciones eléctricas, especificaciones técnicas de equipos, sistemas de puesta a tierra, sistemas de descargas atmosféricas, arranque de motores, según estándares YPF para instalaciones de exploración y producción.</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Oct 2011/mar 2012</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HIDROTRATAMIENTO DE NAFTAS HTN II CILC -</w:t>
            </w:r>
            <w:r>
              <w:rPr>
                <w:rFonts w:ascii="Verdana" w:hAnsi="Verdana" w:cs="Verdana" w:eastAsia="Verdana"/>
                <w:b/>
                <w:color w:val="000000"/>
                <w:spacing w:val="0"/>
                <w:position w:val="0"/>
                <w:sz w:val="14"/>
                <w:shd w:fill="auto" w:val="clear"/>
              </w:rPr>
              <w:t xml:space="preserve"> YPF</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Proyectos-SSr</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Elaboración de ingeniería Básica y Detalle para cubrir los requerimientos de expansión de la planta HTN en la empresa YPF para así obtener mejor calidad de naftas en el mercado. Elaboración de especificaciones técnicas de tableros, transformadores, diagramas y canalizaciones.</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Oct 2011/mar 2012</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LLP COMPRESSION PLANT AGUADA PICHANA </w:t>
            </w:r>
            <w:r>
              <w:rPr>
                <w:rFonts w:ascii="Verdana" w:hAnsi="Verdana" w:cs="Verdana" w:eastAsia="Verdana"/>
                <w:b/>
                <w:color w:val="000000"/>
                <w:spacing w:val="0"/>
                <w:position w:val="0"/>
                <w:sz w:val="14"/>
                <w:shd w:fill="auto" w:val="clear"/>
              </w:rPr>
              <w:t xml:space="preserve">- TOTAL AUSTRAL</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Proyectos-SSr</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both"/>
              <w:rPr>
                <w:spacing w:val="0"/>
                <w:position w:val="0"/>
              </w:rPr>
            </w:pPr>
            <w:r>
              <w:rPr>
                <w:rFonts w:ascii="Verdana" w:hAnsi="Verdana" w:cs="Verdana" w:eastAsia="Verdana"/>
                <w:color w:val="000000"/>
                <w:spacing w:val="0"/>
                <w:position w:val="0"/>
                <w:sz w:val="14"/>
                <w:shd w:fill="auto" w:val="clear"/>
              </w:rPr>
              <w:t xml:space="preserve">Elaboración de ingeniería Básica bajo estándares TOTAL en el yacimiento Aguada Pichana, Argentina. </w:t>
            </w:r>
          </w:p>
        </w:tc>
      </w:tr>
      <w:tr>
        <w:trPr>
          <w:trHeight w:val="356" w:hRule="auto"/>
          <w:jc w:val="center"/>
        </w:trPr>
        <w:tc>
          <w:tcPr>
            <w:tcW w:w="9344" w:type="dxa"/>
            <w:gridSpan w:val="4"/>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6"/>
                <w:shd w:fill="C0C0C0" w:val="clear"/>
              </w:rPr>
              <w:t xml:space="preserve">Y&amp;V INGENIERÍA Y CONSTRUCCIÓN-VENEZUELA (2005-2011)</w:t>
            </w:r>
            <w:r>
              <w:rPr>
                <w:rFonts w:ascii="Verdana" w:hAnsi="Verdana" w:cs="Verdana" w:eastAsia="Verdana"/>
                <w:b/>
                <w:color w:val="000000"/>
                <w:spacing w:val="0"/>
                <w:position w:val="0"/>
                <w:sz w:val="16"/>
                <w:shd w:fill="auto" w:val="clear"/>
              </w:rPr>
              <w:t xml:space="preserve">              DOWMSTREAM</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Dic/Junio 2010</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“Construcción del patio de tanques para almacenamiento y distribución de diluente en EPT-1 (PTDT)”</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Ingeniería Básica, desarrollo de especificaciones técnicas, estudios eléctricos. </w:t>
            </w:r>
            <w:r>
              <w:rPr>
                <w:rFonts w:ascii="Verdana" w:hAnsi="Verdana" w:cs="Verdana" w:eastAsia="Verdana"/>
                <w:b/>
                <w:color w:val="FFFFFF"/>
                <w:spacing w:val="0"/>
                <w:position w:val="0"/>
                <w:sz w:val="14"/>
                <w:shd w:fill="auto" w:val="clear"/>
              </w:rPr>
              <w:t xml:space="preserve">.</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2010-2011 </w:t>
            </w:r>
            <w:r>
              <w:rPr>
                <w:rFonts w:ascii="Verdana" w:hAnsi="Verdana" w:cs="Verdana" w:eastAsia="Verdana"/>
                <w:b/>
                <w:color w:val="FFFFFF"/>
                <w:spacing w:val="0"/>
                <w:position w:val="0"/>
                <w:sz w:val="14"/>
                <w:shd w:fill="auto" w:val="clear"/>
              </w:rPr>
              <w:t xml:space="preserve">.</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Verdana" w:hAnsi="Verdana" w:cs="Verdana" w:eastAsia="Verdana"/>
                <w:color w:val="000000"/>
                <w:spacing w:val="0"/>
                <w:position w:val="0"/>
                <w:sz w:val="14"/>
                <w:shd w:fill="auto" w:val="clear"/>
              </w:rPr>
            </w:pPr>
            <w:r>
              <w:rPr>
                <w:rFonts w:ascii="Verdana" w:hAnsi="Verdana" w:cs="Verdana" w:eastAsia="Verdana"/>
                <w:color w:val="000000"/>
                <w:spacing w:val="0"/>
                <w:position w:val="0"/>
                <w:sz w:val="14"/>
                <w:shd w:fill="auto" w:val="clear"/>
              </w:rPr>
              <w:t xml:space="preserve">"Expansión de la capacidad de carga hasta 750T/D de la unidad de Alquilación I Cardón". </w:t>
            </w:r>
          </w:p>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ALCANCE:</w:t>
            </w:r>
            <w:r>
              <w:rPr>
                <w:rFonts w:ascii="Verdana" w:hAnsi="Verdana" w:cs="Verdana" w:eastAsia="Verdana"/>
                <w:color w:val="000000"/>
                <w:spacing w:val="0"/>
                <w:position w:val="0"/>
                <w:sz w:val="14"/>
                <w:shd w:fill="auto" w:val="clear"/>
              </w:rPr>
              <w:t xml:space="preserve"> Desarrollo de la ingeniería básica y apoyo a la procura para la Expansión de la Unidad de Alquilación I de Cardón, a fin de adecuar las instalaciones y equipos existentes de la misma, para procesar 250 T/D de Olefinas adicionales provenientes de la unidad FCC renovada recientemente. (26000 HH)</w:t>
            </w:r>
            <w:r>
              <w:rPr>
                <w:rFonts w:ascii="Verdana" w:hAnsi="Verdana" w:cs="Verdana" w:eastAsia="Verdana"/>
                <w:b/>
                <w:color w:val="FFFFFF"/>
                <w:spacing w:val="0"/>
                <w:position w:val="0"/>
                <w:sz w:val="14"/>
                <w:shd w:fill="auto" w:val="clear"/>
              </w:rPr>
              <w:t xml:space="preserve">.</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Ingeniería Básica, desarrollo de especificaciones técnicas, estudios eléctricos. </w:t>
            </w:r>
            <w:r>
              <w:rPr>
                <w:rFonts w:ascii="Verdana" w:hAnsi="Verdana" w:cs="Verdana" w:eastAsia="Verdana"/>
                <w:b/>
                <w:color w:val="FFFFFF"/>
                <w:spacing w:val="0"/>
                <w:position w:val="0"/>
                <w:sz w:val="14"/>
                <w:shd w:fill="auto" w:val="clear"/>
              </w:rPr>
              <w:t xml:space="preserve">.</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Jul.2009 / Nov.2009</w:t>
            </w:r>
            <w:r>
              <w:rPr>
                <w:rFonts w:ascii="Verdana" w:hAnsi="Verdana" w:cs="Verdana" w:eastAsia="Verdana"/>
                <w:b/>
                <w:color w:val="FFFFFF"/>
                <w:spacing w:val="0"/>
                <w:position w:val="0"/>
                <w:sz w:val="14"/>
                <w:shd w:fill="auto" w:val="clear"/>
              </w:rPr>
              <w:t xml:space="preserve">.</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"Expansión Unidad HDS-Cardón." </w:t>
            </w:r>
            <w:r>
              <w:rPr>
                <w:rFonts w:ascii="Verdana" w:hAnsi="Verdana" w:cs="Verdana" w:eastAsia="Verdana"/>
                <w:b/>
                <w:color w:val="FFFFFF"/>
                <w:spacing w:val="0"/>
                <w:position w:val="0"/>
                <w:sz w:val="14"/>
                <w:shd w:fill="auto" w:val="clear"/>
              </w:rPr>
              <w:t xml:space="preserve">.</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Procura</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Asignación a PDVSA: Apoyo y seguimiento a proceso de procura de equipos y materiales multidisciplinarios, comunicaciones con fabricante/proveedor nacional e internacional. Selección de ofertas, Paquetes de contratación, Análisis de constructibilidad.</w:t>
            </w:r>
            <w:r>
              <w:rPr>
                <w:rFonts w:ascii="Verdana" w:hAnsi="Verdana" w:cs="Verdana" w:eastAsia="Verdana"/>
                <w:b/>
                <w:color w:val="FFFFFF"/>
                <w:spacing w:val="0"/>
                <w:position w:val="0"/>
                <w:sz w:val="14"/>
                <w:shd w:fill="auto" w:val="clear"/>
              </w:rPr>
              <w:t xml:space="preserve">.</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Ene.2009 / Oct.2009</w:t>
            </w:r>
            <w:r>
              <w:rPr>
                <w:rFonts w:ascii="Verdana" w:hAnsi="Verdana" w:cs="Verdana" w:eastAsia="Verdana"/>
                <w:b/>
                <w:color w:val="FFFFFF"/>
                <w:spacing w:val="0"/>
                <w:position w:val="0"/>
                <w:sz w:val="14"/>
                <w:shd w:fill="auto" w:val="clear"/>
              </w:rPr>
              <w:t xml:space="preserve">.</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"Expansión Unidad HDS-Cardón."       </w:t>
            </w:r>
            <w:r>
              <w:rPr>
                <w:rFonts w:ascii="Verdana" w:hAnsi="Verdana" w:cs="Verdana" w:eastAsia="Verdana"/>
                <w:b/>
                <w:color w:val="000000"/>
                <w:spacing w:val="0"/>
                <w:position w:val="0"/>
                <w:sz w:val="14"/>
                <w:shd w:fill="auto" w:val="clear"/>
              </w:rPr>
              <w:t xml:space="preserve">ALCANCE:</w:t>
            </w:r>
            <w:r>
              <w:rPr>
                <w:rFonts w:ascii="Verdana" w:hAnsi="Verdana" w:cs="Verdana" w:eastAsia="Verdana"/>
                <w:color w:val="000000"/>
                <w:spacing w:val="0"/>
                <w:position w:val="0"/>
                <w:sz w:val="14"/>
                <w:shd w:fill="auto" w:val="clear"/>
              </w:rPr>
              <w:t xml:space="preserve"> Reacondicionamiento y mejora de la actual unidad de HDS (Área 1.000) para lograr el aumento de la capacidad de procesamiento de gasoil sulfurado disponible en el CRP-Cardón (PDVSA) para obtener un producto final con menor contenido de azufre que el actual, con un mínimo de inversión. (22000 HH)</w:t>
            </w:r>
            <w:r>
              <w:rPr>
                <w:rFonts w:ascii="Verdana" w:hAnsi="Verdana" w:cs="Verdana" w:eastAsia="Verdana"/>
                <w:b/>
                <w:color w:val="FFFFFF"/>
                <w:spacing w:val="0"/>
                <w:position w:val="0"/>
                <w:sz w:val="14"/>
                <w:shd w:fill="auto" w:val="clear"/>
              </w:rPr>
              <w:t xml:space="preserve">.</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Desarrollo de Ingeniería de Detalles. </w:t>
            </w:r>
            <w:r>
              <w:rPr>
                <w:rFonts w:ascii="Verdana" w:hAnsi="Verdana" w:cs="Verdana" w:eastAsia="Verdana"/>
                <w:b/>
                <w:color w:val="FFFFFF"/>
                <w:spacing w:val="0"/>
                <w:position w:val="0"/>
                <w:sz w:val="14"/>
                <w:shd w:fill="auto" w:val="clear"/>
              </w:rPr>
              <w:t xml:space="preserve">.</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Ene.2009 / Jun.2009</w:t>
            </w:r>
            <w:r>
              <w:rPr>
                <w:rFonts w:ascii="Verdana" w:hAnsi="Verdana" w:cs="Verdana" w:eastAsia="Verdana"/>
                <w:b/>
                <w:color w:val="FFFFFF"/>
                <w:spacing w:val="0"/>
                <w:position w:val="0"/>
                <w:sz w:val="14"/>
                <w:shd w:fill="auto" w:val="clear"/>
              </w:rPr>
              <w:t xml:space="preserve">.</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"Nueva Unidad Hidroisomerizadora de Butano Butileno - Cardón". </w:t>
            </w:r>
            <w:r>
              <w:rPr>
                <w:rFonts w:ascii="Verdana" w:hAnsi="Verdana" w:cs="Verdana" w:eastAsia="Verdana"/>
                <w:b/>
                <w:color w:val="000000"/>
                <w:spacing w:val="0"/>
                <w:position w:val="0"/>
                <w:sz w:val="14"/>
                <w:shd w:fill="auto" w:val="clear"/>
              </w:rPr>
              <w:t xml:space="preserve">ALCANCE</w:t>
            </w:r>
            <w:r>
              <w:rPr>
                <w:rFonts w:ascii="Arial" w:hAnsi="Arial" w:cs="Arial" w:eastAsia="Arial"/>
                <w:b/>
                <w:color w:val="auto"/>
                <w:spacing w:val="0"/>
                <w:position w:val="0"/>
                <w:sz w:val="18"/>
                <w:shd w:fill="auto" w:val="clear"/>
              </w:rPr>
              <w:t xml:space="preserve">: </w:t>
            </w:r>
            <w:r>
              <w:rPr>
                <w:rFonts w:ascii="Verdana" w:hAnsi="Verdana" w:cs="Verdana" w:eastAsia="Verdana"/>
                <w:color w:val="000000"/>
                <w:spacing w:val="0"/>
                <w:position w:val="0"/>
                <w:sz w:val="14"/>
                <w:shd w:fill="auto" w:val="clear"/>
              </w:rPr>
              <w:t xml:space="preserve">cosntruir una planta de hidroizomerizadora que combine la hidrogenación selectiva e isomerización del Butano-1 al Buteno-2 de mayor valor en octanaje. Esta nueva unidad tendrá una capacidad de procesamiento de 1510 T/D de BB procedentes de las unidades del FCC y DCU en el CRP-Cardón. (13600 HH)</w:t>
            </w:r>
            <w:r>
              <w:rPr>
                <w:rFonts w:ascii="Verdana" w:hAnsi="Verdana" w:cs="Verdana" w:eastAsia="Verdana"/>
                <w:b/>
                <w:color w:val="FFFFFF"/>
                <w:spacing w:val="0"/>
                <w:position w:val="0"/>
                <w:sz w:val="14"/>
                <w:shd w:fill="auto" w:val="clear"/>
              </w:rPr>
              <w:t xml:space="preserve">.</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Desarrollo de Ingeniería Básica.</w:t>
            </w:r>
            <w:r>
              <w:rPr>
                <w:rFonts w:ascii="Verdana" w:hAnsi="Verdana" w:cs="Verdana" w:eastAsia="Verdana"/>
                <w:b/>
                <w:color w:val="FFFFFF"/>
                <w:spacing w:val="0"/>
                <w:position w:val="0"/>
                <w:sz w:val="14"/>
                <w:shd w:fill="auto" w:val="clear"/>
              </w:rPr>
              <w:t xml:space="preserve">.</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Sep.2007 / Dic.2008</w:t>
            </w:r>
            <w:r>
              <w:rPr>
                <w:rFonts w:ascii="Verdana" w:hAnsi="Verdana" w:cs="Verdana" w:eastAsia="Verdana"/>
                <w:b/>
                <w:color w:val="FFFFFF"/>
                <w:spacing w:val="0"/>
                <w:position w:val="0"/>
                <w:sz w:val="14"/>
                <w:shd w:fill="auto" w:val="clear"/>
              </w:rPr>
              <w:t xml:space="preserve">.</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“INGENIERIA BASICA EXTENDIDA Y DE DETALLE DE LA UNIDAD HNAY (Paquete “A”) Y OFFSITES, (Paquetes “B” y “C”) DEL PROYECTO NUEVA UNIDAD DE HIDROTRATAMIENTO DE NAFTAS EN AMUAY Y CARDÓN” </w:t>
            </w:r>
            <w:r>
              <w:rPr>
                <w:rFonts w:ascii="Verdana" w:hAnsi="Verdana" w:cs="Verdana" w:eastAsia="Verdana"/>
                <w:b/>
                <w:color w:val="000000"/>
                <w:spacing w:val="0"/>
                <w:position w:val="0"/>
                <w:sz w:val="14"/>
                <w:shd w:fill="auto" w:val="clear"/>
              </w:rPr>
              <w:t xml:space="preserve">ALCANCE:</w:t>
            </w:r>
            <w:r>
              <w:rPr>
                <w:rFonts w:ascii="Verdana" w:hAnsi="Verdana" w:cs="Verdana" w:eastAsia="Verdana"/>
                <w:color w:val="000000"/>
                <w:spacing w:val="0"/>
                <w:position w:val="0"/>
                <w:sz w:val="14"/>
                <w:shd w:fill="auto" w:val="clear"/>
              </w:rPr>
              <w:t xml:space="preserve"> Contempla el diseño de las instalaciones auxiliares y de servicios de la nueva planta HNAY (Offsites – Amuay / Cardón), para cubrir las necesidades de insumo, servicios, disposición de productos y subproductos, incluyendo almacenamiento y mezcla de gasolina de la nueva planta, envío de nafta hidrotratada y liviana desde Amuay a Cardón y demás infraestructura requerida para cumplir con los objetivos del proyecto. (37600 HH)</w:t>
            </w:r>
            <w:r>
              <w:rPr>
                <w:rFonts w:ascii="Verdana" w:hAnsi="Verdana" w:cs="Verdana" w:eastAsia="Verdana"/>
                <w:b/>
                <w:color w:val="FFFFFF"/>
                <w:spacing w:val="0"/>
                <w:position w:val="0"/>
                <w:sz w:val="14"/>
                <w:shd w:fill="auto" w:val="clear"/>
              </w:rPr>
              <w:t xml:space="preserve">.</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Desarrollo de disciplina de Electricidad (Ing. Básica y Detalles) en las interconexiones de servicios, facilidades para suministro de bombeo de Nafta en CRP-Amuay. Estudios de cortocircuito en 13.8 y 2.4 kV, diseño de sistema de descargas atmosféricas (DAS) y puesta a tierra en nuevo tanque TK-218, especificaciones técnicas varias, sistema de protección catódica. Coordinación de protecciones contra sobrecorrientes, memorias de cálculo, especificaciones de paneles IRP, diagramas de cableado, cómputos, partidas de obra.</w:t>
            </w:r>
            <w:r>
              <w:rPr>
                <w:rFonts w:ascii="Verdana" w:hAnsi="Verdana" w:cs="Verdana" w:eastAsia="Verdana"/>
                <w:b/>
                <w:color w:val="FFFFFF"/>
                <w:spacing w:val="0"/>
                <w:position w:val="0"/>
                <w:sz w:val="14"/>
                <w:shd w:fill="auto" w:val="clear"/>
              </w:rPr>
              <w:t xml:space="preserve">.</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Jul.2006 / Mar.2007</w:t>
            </w:r>
            <w:r>
              <w:rPr>
                <w:rFonts w:ascii="Verdana" w:hAnsi="Verdana" w:cs="Verdana" w:eastAsia="Verdana"/>
                <w:b/>
                <w:color w:val="FFFFFF"/>
                <w:spacing w:val="0"/>
                <w:position w:val="0"/>
                <w:sz w:val="14"/>
                <w:shd w:fill="auto" w:val="clear"/>
              </w:rPr>
              <w:t xml:space="preserve">.</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"Modernización de la S/E 9 de la Estación de Bombeo de Crudo del CRP-Amuay" . </w:t>
            </w:r>
            <w:r>
              <w:rPr>
                <w:rFonts w:ascii="Verdana" w:hAnsi="Verdana" w:cs="Verdana" w:eastAsia="Verdana"/>
                <w:b/>
                <w:color w:val="000000"/>
                <w:spacing w:val="0"/>
                <w:position w:val="0"/>
                <w:sz w:val="14"/>
                <w:shd w:fill="auto" w:val="clear"/>
              </w:rPr>
              <w:t xml:space="preserve">ALCANCE</w:t>
            </w:r>
            <w:r>
              <w:rPr>
                <w:rFonts w:ascii="Verdana" w:hAnsi="Verdana" w:cs="Verdana" w:eastAsia="Verdana"/>
                <w:color w:val="000000"/>
                <w:spacing w:val="0"/>
                <w:position w:val="0"/>
                <w:sz w:val="14"/>
                <w:shd w:fill="auto" w:val="clear"/>
              </w:rPr>
              <w:t xml:space="preserve">: Los trabajos eléctricos serán realizados en la S/E 9 que alimenta la estación de Bombeo de crudo de Recibo y Suministro ubicada en el bloque 5 de la Refinería de Amuay de Judibana Paraguaná, Estado Falcón. (6100 HH)</w:t>
            </w:r>
            <w:r>
              <w:rPr>
                <w:rFonts w:ascii="Verdana" w:hAnsi="Verdana" w:cs="Verdana" w:eastAsia="Verdana"/>
                <w:b/>
                <w:color w:val="FFFFFF"/>
                <w:spacing w:val="0"/>
                <w:position w:val="0"/>
                <w:sz w:val="14"/>
                <w:shd w:fill="auto" w:val="clear"/>
              </w:rPr>
              <w:t xml:space="preserve">.</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Desarrollo de disciplina de Electricidad en la fase de ingeniería Básica en el diseño de la nueva S/E # 9 en el bloque 5 de AMUAY encargada de suministrar energía eléctrica a la estación de bombeo de crudo. Desarrollo de especificaciones Técnicas para Switchgears en 2400 V y 13800 V, diagramas unifilares, especificaciones para transformadores de 5000 kVA 13800/2400 V y 750 kVA 2400/480 V, procedimientos de Tie ins eléctricos para conexión en 13800 V. Elaboración de planos de rutas de bancadas desde nueva s/e hasta casa de bombas.</w:t>
            </w:r>
            <w:r>
              <w:rPr>
                <w:rFonts w:ascii="Verdana" w:hAnsi="Verdana" w:cs="Verdana" w:eastAsia="Verdana"/>
                <w:b/>
                <w:color w:val="FFFFFF"/>
                <w:spacing w:val="0"/>
                <w:position w:val="0"/>
                <w:sz w:val="14"/>
                <w:shd w:fill="auto" w:val="clear"/>
              </w:rPr>
              <w:t xml:space="preserve">.</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May.2006 / Feb.2007</w:t>
            </w:r>
            <w:r>
              <w:rPr>
                <w:rFonts w:ascii="Verdana" w:hAnsi="Verdana" w:cs="Verdana" w:eastAsia="Verdana"/>
                <w:b/>
                <w:color w:val="FFFFFF"/>
                <w:spacing w:val="0"/>
                <w:position w:val="0"/>
                <w:sz w:val="14"/>
                <w:shd w:fill="auto" w:val="clear"/>
              </w:rPr>
              <w:t xml:space="preserve">.</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"Infraestructura de Clubes CRP." </w:t>
            </w:r>
            <w:r>
              <w:rPr>
                <w:rFonts w:ascii="Verdana" w:hAnsi="Verdana" w:cs="Verdana" w:eastAsia="Verdana"/>
                <w:b/>
                <w:color w:val="000000"/>
                <w:spacing w:val="0"/>
                <w:position w:val="0"/>
                <w:sz w:val="14"/>
                <w:shd w:fill="auto" w:val="clear"/>
              </w:rPr>
              <w:t xml:space="preserve">ALCANCE</w:t>
            </w:r>
            <w:r>
              <w:rPr>
                <w:rFonts w:ascii="Verdana" w:hAnsi="Verdana" w:cs="Verdana" w:eastAsia="Verdana"/>
                <w:color w:val="000000"/>
                <w:spacing w:val="0"/>
                <w:position w:val="0"/>
                <w:sz w:val="14"/>
                <w:shd w:fill="auto" w:val="clear"/>
              </w:rPr>
              <w:t xml:space="preserve">: Modernización de los clubes Manuare y Judibana del CRP-Cardón, construcción de gimnasio cubierto, modernización de cancha de basquet, reestructuración de acceso/estacionamiento/fachada de los clubes. sistema de riego a campo de beisbol y futbol. reconstrucción de pista de atletismo. (7100 HH)</w:t>
            </w:r>
            <w:r>
              <w:rPr>
                <w:rFonts w:ascii="Verdana" w:hAnsi="Verdana" w:cs="Verdana" w:eastAsia="Verdana"/>
                <w:b/>
                <w:color w:val="FFFFFF"/>
                <w:spacing w:val="0"/>
                <w:position w:val="0"/>
                <w:sz w:val="14"/>
                <w:shd w:fill="auto" w:val="clear"/>
              </w:rPr>
              <w:t xml:space="preserve">.</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Desarrollo de disciplina de Electricidad en la fase de ingeniería de Detalle en los nuevos requerimientos de infraestructura de los clubes Manaure y Judibana pertenecientes al CRP-PDVSA. Modelado de Software CYMTCC para estudios de coordinación, estudio de carga, diagramas unifilares, planos de detalles de conexión, especificaciones de tableros, especificaciones de construcción, lista y procedimientos de Tie ins eléctricos, sistemas de puesta a Tierra. Modelado en 3D de la iluminación propuesta del Gimnasio cubierto y cancha de basketball mediante software DIALUX.</w:t>
            </w:r>
            <w:r>
              <w:rPr>
                <w:rFonts w:ascii="Verdana" w:hAnsi="Verdana" w:cs="Verdana" w:eastAsia="Verdana"/>
                <w:b/>
                <w:color w:val="FFFFFF"/>
                <w:spacing w:val="0"/>
                <w:position w:val="0"/>
                <w:sz w:val="14"/>
                <w:shd w:fill="auto" w:val="clear"/>
              </w:rPr>
              <w:t xml:space="preserve">.</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Jun.2006 / Nov.2006</w:t>
            </w:r>
            <w:r>
              <w:rPr>
                <w:rFonts w:ascii="Verdana" w:hAnsi="Verdana" w:cs="Verdana" w:eastAsia="Verdana"/>
                <w:b/>
                <w:color w:val="FFFFFF"/>
                <w:spacing w:val="0"/>
                <w:position w:val="0"/>
                <w:sz w:val="14"/>
                <w:shd w:fill="auto" w:val="clear"/>
              </w:rPr>
              <w:t xml:space="preserve">.</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"Ampliación de comisarías de las Plantas DCAY, PSAY 3/4/5 y PTAY/PDAY en CRP-Amuay" (4000 HH)</w:t>
            </w:r>
            <w:r>
              <w:rPr>
                <w:rFonts w:ascii="Verdana" w:hAnsi="Verdana" w:cs="Verdana" w:eastAsia="Verdana"/>
                <w:b/>
                <w:color w:val="FFFFFF"/>
                <w:spacing w:val="0"/>
                <w:position w:val="0"/>
                <w:sz w:val="14"/>
                <w:shd w:fill="auto" w:val="clear"/>
              </w:rPr>
              <w:t xml:space="preserve">.</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de Proyectos</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Desarrollo de disciplina de Electricidad en la fase de ingeniería Básica para la construcción de la nueva comisaría de la planta DCAY en el bloque 26 de AMUAY así como en la ampliación de las comisarías existentes de las Plantas PSAY 3/4/5 y PTAY/PDAY (Lubricantes). Análisis de cortocircuito en las S/E 37B y 16T de AMUAY mediante software ETAP. Desarrollo de estudio de coordinación desde interruptor instalado en las S/E 37B y 16T hasta interruptor principal de tablero de servicios de las comisarías. Diagramas unifilares, estudios de carga, especificaciones de equipos, cómputos métricos, sistemas de puesta a tierra.</w:t>
            </w:r>
            <w:r>
              <w:rPr>
                <w:rFonts w:ascii="Verdana" w:hAnsi="Verdana" w:cs="Verdana" w:eastAsia="Verdana"/>
                <w:b/>
                <w:color w:val="FFFFFF"/>
                <w:spacing w:val="0"/>
                <w:position w:val="0"/>
                <w:sz w:val="14"/>
                <w:shd w:fill="auto" w:val="clear"/>
              </w:rPr>
              <w:t xml:space="preserve">.</w:t>
            </w:r>
          </w:p>
        </w:tc>
      </w:tr>
      <w:tr>
        <w:trPr>
          <w:trHeight w:val="1" w:hRule="atLeast"/>
          <w:jc w:val="center"/>
        </w:trPr>
        <w:tc>
          <w:tcPr>
            <w:tcW w:w="9344" w:type="dxa"/>
            <w:gridSpan w:val="4"/>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C0C0C0" w:val="clear"/>
              </w:rPr>
              <w:t xml:space="preserve">CARBONES DEL GUASARE (2004-2005)</w:t>
            </w:r>
            <w:r>
              <w:rPr>
                <w:rFonts w:ascii="Verdana" w:hAnsi="Verdana" w:cs="Verdana" w:eastAsia="Verdana"/>
                <w:b/>
                <w:color w:val="000000"/>
                <w:spacing w:val="0"/>
                <w:position w:val="0"/>
                <w:sz w:val="14"/>
                <w:shd w:fill="auto" w:val="clear"/>
              </w:rPr>
              <w:t xml:space="preserve">                                                                     MINERIA</w:t>
            </w:r>
          </w:p>
        </w:tc>
      </w:tr>
      <w:tr>
        <w:trPr>
          <w:trHeight w:val="1" w:hRule="atLeast"/>
          <w:jc w:val="center"/>
        </w:trPr>
        <w:tc>
          <w:tcPr>
            <w:tcW w:w="156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Jul.2004 / Sep.2005</w:t>
            </w:r>
            <w:r>
              <w:rPr>
                <w:rFonts w:ascii="Verdana" w:hAnsi="Verdana" w:cs="Verdana" w:eastAsia="Verdana"/>
                <w:b/>
                <w:color w:val="FFFFFF"/>
                <w:spacing w:val="0"/>
                <w:position w:val="0"/>
                <w:sz w:val="14"/>
                <w:shd w:fill="auto" w:val="clear"/>
              </w:rPr>
              <w:t xml:space="preserve">.</w:t>
            </w:r>
          </w:p>
        </w:tc>
        <w:tc>
          <w:tcPr>
            <w:tcW w:w="249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 Pasantías y Trabajo de Tesis de Grado en el Terminal de Embarque de Carbones del Guasare, Santa Cruz de Mara, Zulia. "(Empresa Minera) </w:t>
            </w:r>
            <w:r>
              <w:rPr>
                <w:rFonts w:ascii="Verdana" w:hAnsi="Verdana" w:cs="Verdana" w:eastAsia="Verdana"/>
                <w:b/>
                <w:color w:val="FFFFFF"/>
                <w:spacing w:val="0"/>
                <w:position w:val="0"/>
                <w:sz w:val="14"/>
                <w:shd w:fill="auto" w:val="clear"/>
              </w:rPr>
              <w:t xml:space="preserve">.</w:t>
            </w:r>
          </w:p>
        </w:tc>
        <w:tc>
          <w:tcPr>
            <w:tcW w:w="156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Pasante/Ingeniero de Mantenimiento</w:t>
            </w:r>
            <w:r>
              <w:rPr>
                <w:rFonts w:ascii="Verdana" w:hAnsi="Verdana" w:cs="Verdana" w:eastAsia="Verdana"/>
                <w:b/>
                <w:color w:val="FFFFFF"/>
                <w:spacing w:val="0"/>
                <w:position w:val="0"/>
                <w:sz w:val="14"/>
                <w:shd w:fill="auto" w:val="clear"/>
              </w:rPr>
              <w:t xml:space="preserve">.</w:t>
            </w:r>
          </w:p>
        </w:tc>
        <w:tc>
          <w:tcPr>
            <w:tcW w:w="371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Desarrollo de diagramas unifilares en autoCAD 2002 del sistema eléctrico del Terminal de Embarque, análisis de Cortocircuito del sistema eléctrico con el Software ETAP 4.0, redimensionamiento de dispositivos de protección, (interruptores termomagnéticos, relés térmicos y contactores) para Centros de Control de Motores de las cintas transportadoras. Estudio de coordinación de protecciones eléctricas contra sobrecorrientes en seis (6) Centros de control de motores en 480 VAC con el software CYMTCC. Meggeo de motores y pruebas de continuidad. Mantenimiento preventivo y correctivo de motores de inducción en cintas transportadoras.</w:t>
            </w:r>
            <w:r>
              <w:rPr>
                <w:rFonts w:ascii="Verdana" w:hAnsi="Verdana" w:cs="Verdana" w:eastAsia="Verdana"/>
                <w:b/>
                <w:color w:val="FFFFFF"/>
                <w:spacing w:val="0"/>
                <w:position w:val="0"/>
                <w:sz w:val="14"/>
                <w:shd w:fill="auto" w:val="clear"/>
              </w:rPr>
              <w:t xml:space="preserve">.</w:t>
            </w:r>
          </w:p>
        </w:tc>
      </w:tr>
    </w:tbl>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9239"/>
        <w:gridCol w:w="4630"/>
        <w:gridCol w:w="4548"/>
      </w:tblGrid>
      <w:tr>
        <w:trPr>
          <w:trHeight w:val="5624" w:hRule="auto"/>
          <w:jc w:val="left"/>
        </w:trPr>
        <w:tc>
          <w:tcPr>
            <w:tcW w:w="9239"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20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Educación Superior</w:t>
            </w:r>
          </w:p>
          <w:tbl>
            <w:tblPr/>
            <w:tblGrid>
              <w:gridCol w:w="535"/>
              <w:gridCol w:w="496"/>
              <w:gridCol w:w="1058"/>
              <w:gridCol w:w="1132"/>
              <w:gridCol w:w="1023"/>
              <w:gridCol w:w="515"/>
              <w:gridCol w:w="3197"/>
            </w:tblGrid>
            <w:tr>
              <w:trPr>
                <w:trHeight w:val="180" w:hRule="auto"/>
                <w:jc w:val="left"/>
              </w:trPr>
              <w:tc>
                <w:tcPr>
                  <w:tcW w:w="53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center"/>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Desde</w:t>
                  </w:r>
                </w:p>
              </w:tc>
              <w:tc>
                <w:tcPr>
                  <w:tcW w:w="496" w:type="dxa"/>
                  <w:tcBorders>
                    <w:top w:val="single" w:color="ffffff" w:sz="6"/>
                    <w:left w:val="single" w:color="ffffff" w:sz="6"/>
                    <w:bottom w:val="single" w:color="ffffff" w:sz="6"/>
                    <w:right w:val="single" w:color="ffffff" w:sz="6"/>
                  </w:tcBorders>
                  <w:shd w:color="000000" w:fill="ffffff" w:val="clear"/>
                  <w:tcMar>
                    <w:left w:w="2" w:type="dxa"/>
                    <w:right w:w="2" w:type="dxa"/>
                  </w:tcMar>
                  <w:vAlign w:val="center"/>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Hasta</w:t>
                  </w:r>
                </w:p>
              </w:tc>
              <w:tc>
                <w:tcPr>
                  <w:tcW w:w="105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center"/>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Institución</w:t>
                  </w:r>
                </w:p>
              </w:tc>
              <w:tc>
                <w:tcPr>
                  <w:tcW w:w="113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center"/>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Profesión</w:t>
                  </w:r>
                </w:p>
              </w:tc>
              <w:tc>
                <w:tcPr>
                  <w:tcW w:w="1023" w:type="dxa"/>
                  <w:tcBorders>
                    <w:top w:val="single" w:color="ffffff" w:sz="6"/>
                    <w:left w:val="single" w:color="ffffff" w:sz="6"/>
                    <w:bottom w:val="single" w:color="ffffff" w:sz="6"/>
                    <w:right w:val="single" w:color="ffffff" w:sz="6"/>
                  </w:tcBorders>
                  <w:shd w:color="000000" w:fill="ffffff" w:val="clear"/>
                  <w:tcMar>
                    <w:left w:w="2" w:type="dxa"/>
                    <w:right w:w="2" w:type="dxa"/>
                  </w:tcMar>
                  <w:vAlign w:val="center"/>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Especialidad</w:t>
                  </w:r>
                </w:p>
              </w:tc>
              <w:tc>
                <w:tcPr>
                  <w:tcW w:w="51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center"/>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Grado</w:t>
                  </w:r>
                </w:p>
              </w:tc>
              <w:tc>
                <w:tcPr>
                  <w:tcW w:w="319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center"/>
                </w:tcPr>
                <w:p>
                  <w:pPr>
                    <w:spacing w:before="0" w:after="0" w:line="240"/>
                    <w:ind w:right="0" w:left="0" w:firstLine="0"/>
                    <w:jc w:val="right"/>
                    <w:rPr>
                      <w:spacing w:val="0"/>
                      <w:position w:val="0"/>
                    </w:rPr>
                  </w:pPr>
                  <w:r>
                    <w:rPr>
                      <w:rFonts w:ascii="Verdana" w:hAnsi="Verdana" w:cs="Verdana" w:eastAsia="Verdana"/>
                      <w:b/>
                      <w:color w:val="000000"/>
                      <w:spacing w:val="0"/>
                      <w:position w:val="0"/>
                      <w:sz w:val="14"/>
                      <w:shd w:fill="auto" w:val="clear"/>
                    </w:rPr>
                    <w:t xml:space="preserve">Idiomas</w:t>
                  </w:r>
                </w:p>
              </w:tc>
            </w:tr>
            <w:tr>
              <w:trPr>
                <w:trHeight w:val="527" w:hRule="auto"/>
                <w:jc w:val="left"/>
              </w:trPr>
              <w:tc>
                <w:tcPr>
                  <w:tcW w:w="53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2011</w:t>
                  </w:r>
                </w:p>
              </w:tc>
              <w:tc>
                <w:tcPr>
                  <w:tcW w:w="496"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2013</w:t>
                  </w:r>
                </w:p>
              </w:tc>
              <w:tc>
                <w:tcPr>
                  <w:tcW w:w="105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UNIVERSIDAD DE PALERMO</w:t>
                  </w:r>
                </w:p>
              </w:tc>
              <w:tc>
                <w:tcPr>
                  <w:tcW w:w="113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MBA (Master in Business Administration)</w:t>
                  </w:r>
                </w:p>
              </w:tc>
              <w:tc>
                <w:tcPr>
                  <w:tcW w:w="1023"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 </w:t>
                  </w:r>
                  <w:r>
                    <w:rPr>
                      <w:rFonts w:ascii="Verdana" w:hAnsi="Verdana" w:cs="Verdana" w:eastAsia="Verdana"/>
                      <w:color w:val="000000"/>
                      <w:spacing w:val="0"/>
                      <w:position w:val="0"/>
                      <w:sz w:val="14"/>
                      <w:shd w:fill="auto" w:val="clear"/>
                    </w:rPr>
                    <w:t xml:space="preserve">Gerencia de Operaciones</w:t>
                  </w:r>
                </w:p>
              </w:tc>
              <w:tc>
                <w:tcPr>
                  <w:tcW w:w="51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En curso</w:t>
                  </w:r>
                </w:p>
              </w:tc>
              <w:tc>
                <w:tcPr>
                  <w:tcW w:w="319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right"/>
                    <w:rPr>
                      <w:spacing w:val="0"/>
                      <w:position w:val="0"/>
                    </w:rPr>
                  </w:pPr>
                  <w:r>
                    <w:rPr>
                      <w:rFonts w:ascii="Verdana" w:hAnsi="Verdana" w:cs="Verdana" w:eastAsia="Verdana"/>
                      <w:color w:val="000000"/>
                      <w:spacing w:val="0"/>
                      <w:position w:val="0"/>
                      <w:sz w:val="14"/>
                      <w:shd w:fill="auto" w:val="clear"/>
                    </w:rPr>
                    <w:t xml:space="preserve">INGLÉS Azanzado</w:t>
                  </w:r>
                  <w:r>
                    <w:rPr>
                      <w:rFonts w:ascii="Verdana" w:hAnsi="Verdana" w:cs="Verdana" w:eastAsia="Verdana"/>
                      <w:b/>
                      <w:color w:val="FFFFFF"/>
                      <w:spacing w:val="0"/>
                      <w:position w:val="0"/>
                      <w:sz w:val="14"/>
                      <w:shd w:fill="auto" w:val="clear"/>
                    </w:rPr>
                    <w:t xml:space="preserve">.</w:t>
                  </w:r>
                  <w:r>
                    <w:rPr>
                      <w:rFonts w:ascii="Verdana" w:hAnsi="Verdana" w:cs="Verdana" w:eastAsia="Verdana"/>
                      <w:color w:val="000000"/>
                      <w:spacing w:val="0"/>
                      <w:position w:val="0"/>
                      <w:sz w:val="14"/>
                      <w:shd w:fill="auto" w:val="clear"/>
                    </w:rPr>
                    <w:t xml:space="preserve"> </w:t>
                  </w:r>
                </w:p>
              </w:tc>
            </w:tr>
            <w:tr>
              <w:trPr>
                <w:trHeight w:val="512" w:hRule="auto"/>
                <w:jc w:val="left"/>
              </w:trPr>
              <w:tc>
                <w:tcPr>
                  <w:tcW w:w="53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1999 </w:t>
                  </w:r>
                  <w:r>
                    <w:rPr>
                      <w:rFonts w:ascii="Verdana" w:hAnsi="Verdana" w:cs="Verdana" w:eastAsia="Verdana"/>
                      <w:b/>
                      <w:color w:val="FFFFFF"/>
                      <w:spacing w:val="0"/>
                      <w:position w:val="0"/>
                      <w:sz w:val="14"/>
                      <w:shd w:fill="auto" w:val="clear"/>
                    </w:rPr>
                    <w:t xml:space="preserve">.</w:t>
                  </w:r>
                  <w:r>
                    <w:rPr>
                      <w:rFonts w:ascii="Verdana" w:hAnsi="Verdana" w:cs="Verdana" w:eastAsia="Verdana"/>
                      <w:color w:val="000000"/>
                      <w:spacing w:val="0"/>
                      <w:position w:val="0"/>
                      <w:sz w:val="14"/>
                      <w:shd w:fill="auto" w:val="clear"/>
                    </w:rPr>
                    <w:t xml:space="preserve"> </w:t>
                  </w:r>
                </w:p>
              </w:tc>
              <w:tc>
                <w:tcPr>
                  <w:tcW w:w="496"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2005 </w:t>
                  </w:r>
                  <w:r>
                    <w:rPr>
                      <w:rFonts w:ascii="Verdana" w:hAnsi="Verdana" w:cs="Verdana" w:eastAsia="Verdana"/>
                      <w:b/>
                      <w:color w:val="FFFFFF"/>
                      <w:spacing w:val="0"/>
                      <w:position w:val="0"/>
                      <w:sz w:val="14"/>
                      <w:shd w:fill="auto" w:val="clear"/>
                    </w:rPr>
                    <w:t xml:space="preserve">.</w:t>
                  </w:r>
                </w:p>
              </w:tc>
              <w:tc>
                <w:tcPr>
                  <w:tcW w:w="1058"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UNIVERSIDAD FERMIN TORO </w:t>
                  </w:r>
                  <w:r>
                    <w:rPr>
                      <w:rFonts w:ascii="Verdana" w:hAnsi="Verdana" w:cs="Verdana" w:eastAsia="Verdana"/>
                      <w:b/>
                      <w:color w:val="FFFFFF"/>
                      <w:spacing w:val="0"/>
                      <w:position w:val="0"/>
                      <w:sz w:val="14"/>
                      <w:shd w:fill="auto" w:val="clear"/>
                    </w:rPr>
                    <w:t xml:space="preserve">.</w:t>
                  </w:r>
                </w:p>
              </w:tc>
              <w:tc>
                <w:tcPr>
                  <w:tcW w:w="1132"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INGENIERO ELECTRICISTA </w:t>
                  </w:r>
                  <w:r>
                    <w:rPr>
                      <w:rFonts w:ascii="Verdana" w:hAnsi="Verdana" w:cs="Verdana" w:eastAsia="Verdana"/>
                      <w:b/>
                      <w:color w:val="FFFFFF"/>
                      <w:spacing w:val="0"/>
                      <w:position w:val="0"/>
                      <w:sz w:val="14"/>
                      <w:shd w:fill="auto" w:val="clear"/>
                    </w:rPr>
                    <w:t xml:space="preserve">.</w:t>
                  </w:r>
                </w:p>
              </w:tc>
              <w:tc>
                <w:tcPr>
                  <w:tcW w:w="1023"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POTENCIA </w:t>
                  </w:r>
                  <w:r>
                    <w:rPr>
                      <w:rFonts w:ascii="Verdana" w:hAnsi="Verdana" w:cs="Verdana" w:eastAsia="Verdana"/>
                      <w:b/>
                      <w:color w:val="FFFFFF"/>
                      <w:spacing w:val="0"/>
                      <w:position w:val="0"/>
                      <w:sz w:val="14"/>
                      <w:shd w:fill="auto" w:val="clear"/>
                    </w:rPr>
                    <w:t xml:space="preserve">.</w:t>
                  </w:r>
                </w:p>
              </w:tc>
              <w:tc>
                <w:tcPr>
                  <w:tcW w:w="515"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spacing w:val="0"/>
                      <w:position w:val="0"/>
                    </w:rPr>
                  </w:pPr>
                  <w:r>
                    <w:rPr>
                      <w:rFonts w:ascii="Verdana" w:hAnsi="Verdana" w:cs="Verdana" w:eastAsia="Verdana"/>
                      <w:color w:val="000000"/>
                      <w:spacing w:val="0"/>
                      <w:position w:val="0"/>
                      <w:sz w:val="14"/>
                      <w:shd w:fill="auto" w:val="clear"/>
                    </w:rPr>
                    <w:t xml:space="preserve">2006 </w:t>
                  </w:r>
                  <w:r>
                    <w:rPr>
                      <w:rFonts w:ascii="Verdana" w:hAnsi="Verdana" w:cs="Verdana" w:eastAsia="Verdana"/>
                      <w:b/>
                      <w:color w:val="FFFFFF"/>
                      <w:spacing w:val="0"/>
                      <w:position w:val="0"/>
                      <w:sz w:val="14"/>
                      <w:shd w:fill="auto" w:val="clear"/>
                    </w:rPr>
                    <w:t xml:space="preserve">.</w:t>
                  </w:r>
                  <w:r>
                    <w:rPr>
                      <w:rFonts w:ascii="Verdana" w:hAnsi="Verdana" w:cs="Verdana" w:eastAsia="Verdana"/>
                      <w:color w:val="000000"/>
                      <w:spacing w:val="0"/>
                      <w:position w:val="0"/>
                      <w:sz w:val="14"/>
                      <w:shd w:fill="auto" w:val="clear"/>
                    </w:rPr>
                    <w:t xml:space="preserve"> </w:t>
                  </w:r>
                </w:p>
              </w:tc>
              <w:tc>
                <w:tcPr>
                  <w:tcW w:w="3197" w:type="dxa"/>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right"/>
                    <w:rPr>
                      <w:spacing w:val="0"/>
                      <w:position w:val="0"/>
                    </w:rPr>
                  </w:pPr>
                  <w:r>
                    <w:rPr>
                      <w:rFonts w:ascii="Verdana" w:hAnsi="Verdana" w:cs="Verdana" w:eastAsia="Verdana"/>
                      <w:color w:val="000000"/>
                      <w:spacing w:val="0"/>
                      <w:position w:val="0"/>
                      <w:sz w:val="14"/>
                      <w:shd w:fill="auto" w:val="clear"/>
                    </w:rPr>
                    <w:t xml:space="preserve">FRANCÉS Básico</w:t>
                  </w:r>
                </w:p>
              </w:tc>
            </w:tr>
          </w:tbl>
          <w:p>
            <w:pPr>
              <w:spacing w:before="0" w:after="0" w:line="240"/>
              <w:ind w:right="0" w:left="0" w:firstLine="0"/>
              <w:jc w:val="left"/>
              <w:rPr>
                <w:rFonts w:ascii="Verdana" w:hAnsi="Verdana" w:cs="Verdana" w:eastAsia="Verdana"/>
                <w:b/>
                <w:color w:val="000000"/>
                <w:spacing w:val="0"/>
                <w:position w:val="0"/>
                <w:sz w:val="20"/>
                <w:shd w:fill="auto" w:val="clear"/>
              </w:rPr>
            </w:pPr>
          </w:p>
          <w:p>
            <w:pPr>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Cursos Realizados:</w:t>
            </w:r>
          </w:p>
          <w:p>
            <w:pPr>
              <w:spacing w:before="0" w:after="0" w:line="240"/>
              <w:ind w:right="0" w:left="0" w:firstLine="0"/>
              <w:jc w:val="left"/>
              <w:rPr>
                <w:rFonts w:ascii="Verdana" w:hAnsi="Verdana" w:cs="Verdana" w:eastAsia="Verdana"/>
                <w:color w:val="000000"/>
                <w:spacing w:val="0"/>
                <w:position w:val="0"/>
                <w:sz w:val="16"/>
                <w:shd w:fill="auto" w:val="clear"/>
              </w:rPr>
            </w:pPr>
            <w:r>
              <w:rPr>
                <w:rFonts w:ascii="Verdana" w:hAnsi="Verdana" w:cs="Verdana" w:eastAsia="Verdana"/>
                <w:color w:val="000000"/>
                <w:spacing w:val="0"/>
                <w:position w:val="0"/>
                <w:sz w:val="16"/>
                <w:shd w:fill="auto" w:val="clear"/>
              </w:rPr>
              <w:t xml:space="preserve">Diferentes cursos y talleres realizados a lo largo de los años como:</w:t>
            </w:r>
          </w:p>
          <w:p>
            <w:pPr>
              <w:spacing w:before="0" w:after="0" w:line="240"/>
              <w:ind w:right="0" w:left="0" w:firstLine="0"/>
              <w:jc w:val="left"/>
              <w:rPr>
                <w:rFonts w:ascii="Verdana" w:hAnsi="Verdana" w:cs="Verdana" w:eastAsia="Verdana"/>
                <w:b/>
                <w:color w:val="000000"/>
                <w:spacing w:val="0"/>
                <w:position w:val="0"/>
                <w:sz w:val="20"/>
                <w:shd w:fill="auto" w:val="clear"/>
              </w:rPr>
            </w:pPr>
          </w:p>
          <w:p>
            <w:pPr>
              <w:spacing w:before="0" w:after="0" w:line="240"/>
              <w:ind w:right="0" w:left="0" w:firstLine="0"/>
              <w:jc w:val="left"/>
              <w:rPr>
                <w:rFonts w:ascii="Verdana" w:hAnsi="Verdana" w:cs="Verdana" w:eastAsia="Verdana"/>
                <w:color w:val="000000"/>
                <w:spacing w:val="0"/>
                <w:position w:val="0"/>
                <w:sz w:val="16"/>
                <w:shd w:fill="auto" w:val="clear"/>
              </w:rPr>
            </w:pPr>
            <w:r>
              <w:rPr>
                <w:rFonts w:ascii="Verdana" w:hAnsi="Verdana" w:cs="Verdana" w:eastAsia="Verdana"/>
                <w:color w:val="000000"/>
                <w:spacing w:val="0"/>
                <w:position w:val="0"/>
                <w:sz w:val="16"/>
                <w:shd w:fill="auto" w:val="clear"/>
              </w:rPr>
              <w:t xml:space="preserve">Autocad 2D y 3D      /    </w:t>
            </w:r>
            <w:r>
              <w:rPr>
                <w:rFonts w:ascii="Cambria" w:hAnsi="Cambria" w:cs="Cambria" w:eastAsia="Cambria"/>
                <w:color w:val="auto"/>
                <w:spacing w:val="0"/>
                <w:position w:val="0"/>
                <w:sz w:val="24"/>
                <w:shd w:fill="auto" w:val="clear"/>
              </w:rPr>
              <w:t xml:space="preserve"> </w:t>
            </w:r>
            <w:r>
              <w:rPr>
                <w:rFonts w:ascii="Verdana" w:hAnsi="Verdana" w:cs="Verdana" w:eastAsia="Verdana"/>
                <w:color w:val="000000"/>
                <w:spacing w:val="0"/>
                <w:position w:val="0"/>
                <w:sz w:val="16"/>
                <w:shd w:fill="auto" w:val="clear"/>
              </w:rPr>
              <w:t xml:space="preserve">Evaluación de Peligros: APP, WHAT IF, HAZOP      / </w:t>
            </w:r>
            <w:r>
              <w:rPr>
                <w:rFonts w:ascii="Cambria" w:hAnsi="Cambria" w:cs="Cambria" w:eastAsia="Cambria"/>
                <w:color w:val="auto"/>
                <w:spacing w:val="0"/>
                <w:position w:val="0"/>
                <w:sz w:val="24"/>
                <w:shd w:fill="auto" w:val="clear"/>
              </w:rPr>
              <w:t xml:space="preserve"> </w:t>
            </w:r>
            <w:r>
              <w:rPr>
                <w:rFonts w:ascii="Verdana" w:hAnsi="Verdana" w:cs="Verdana" w:eastAsia="Verdana"/>
                <w:color w:val="000000"/>
                <w:spacing w:val="0"/>
                <w:position w:val="0"/>
                <w:sz w:val="16"/>
                <w:shd w:fill="auto" w:val="clear"/>
              </w:rPr>
              <w:t xml:space="preserve">Análisis de problemas- Toma de decisiones</w:t>
            </w:r>
          </w:p>
          <w:p>
            <w:pPr>
              <w:spacing w:before="0" w:after="0" w:line="240"/>
              <w:ind w:right="0" w:left="0" w:firstLine="0"/>
              <w:jc w:val="left"/>
              <w:rPr>
                <w:rFonts w:ascii="Verdana" w:hAnsi="Verdana" w:cs="Verdana" w:eastAsia="Verdana"/>
                <w:color w:val="000000"/>
                <w:spacing w:val="0"/>
                <w:position w:val="0"/>
                <w:sz w:val="16"/>
                <w:shd w:fill="auto" w:val="clear"/>
              </w:rPr>
            </w:pPr>
            <w:r>
              <w:rPr>
                <w:rFonts w:ascii="Verdana" w:hAnsi="Verdana" w:cs="Verdana" w:eastAsia="Verdana"/>
                <w:color w:val="000000"/>
                <w:spacing w:val="0"/>
                <w:position w:val="0"/>
                <w:sz w:val="16"/>
                <w:shd w:fill="auto" w:val="clear"/>
              </w:rPr>
              <w:t xml:space="preserve">   </w:t>
            </w:r>
          </w:p>
          <w:p>
            <w:pPr>
              <w:spacing w:before="0" w:after="0" w:line="240"/>
              <w:ind w:right="0" w:left="0" w:firstLine="0"/>
              <w:jc w:val="left"/>
              <w:rPr>
                <w:rFonts w:ascii="Verdana" w:hAnsi="Verdana" w:cs="Verdana" w:eastAsia="Verdana"/>
                <w:color w:val="000000"/>
                <w:spacing w:val="0"/>
                <w:position w:val="0"/>
                <w:sz w:val="16"/>
                <w:shd w:fill="auto" w:val="clear"/>
              </w:rPr>
            </w:pPr>
            <w:r>
              <w:rPr>
                <w:rFonts w:ascii="Verdana" w:hAnsi="Verdana" w:cs="Verdana" w:eastAsia="Verdana"/>
                <w:color w:val="000000"/>
                <w:spacing w:val="0"/>
                <w:position w:val="0"/>
                <w:sz w:val="16"/>
                <w:shd w:fill="auto" w:val="clear"/>
              </w:rPr>
              <w:t xml:space="preserve">Sistemas de Puesta a Tierra    /    Protección Catódica    /   Diseño Clasificación de Áreas Peligrosas.</w:t>
            </w:r>
          </w:p>
          <w:p>
            <w:pPr>
              <w:spacing w:before="0" w:after="0" w:line="240"/>
              <w:ind w:right="0" w:left="0" w:firstLine="0"/>
              <w:jc w:val="left"/>
              <w:rPr>
                <w:rFonts w:ascii="Verdana" w:hAnsi="Verdana" w:cs="Verdana" w:eastAsia="Verdana"/>
                <w:color w:val="000000"/>
                <w:spacing w:val="0"/>
                <w:position w:val="0"/>
                <w:sz w:val="16"/>
                <w:shd w:fill="auto" w:val="clear"/>
              </w:rPr>
            </w:pPr>
          </w:p>
          <w:p>
            <w:pPr>
              <w:spacing w:before="0" w:after="0" w:line="240"/>
              <w:ind w:right="0" w:left="0" w:firstLine="0"/>
              <w:jc w:val="left"/>
              <w:rPr>
                <w:rFonts w:ascii="Verdana" w:hAnsi="Verdana" w:cs="Verdana" w:eastAsia="Verdana"/>
                <w:color w:val="000000"/>
                <w:spacing w:val="0"/>
                <w:position w:val="0"/>
                <w:sz w:val="16"/>
                <w:shd w:fill="auto" w:val="clear"/>
              </w:rPr>
            </w:pPr>
            <w:r>
              <w:rPr>
                <w:rFonts w:ascii="Verdana" w:hAnsi="Verdana" w:cs="Verdana" w:eastAsia="Verdana"/>
                <w:color w:val="000000"/>
                <w:spacing w:val="0"/>
                <w:position w:val="0"/>
                <w:sz w:val="16"/>
                <w:shd w:fill="auto" w:val="clear"/>
              </w:rPr>
              <w:t xml:space="preserve">Sistemas de Puesta a Tierra    /    Canalizaciones Eléctricas para Obras Civiles   /     Operador de Plantas de Procesos</w:t>
            </w:r>
          </w:p>
          <w:p>
            <w:pPr>
              <w:spacing w:before="0" w:after="0" w:line="240"/>
              <w:ind w:right="0" w:left="0" w:firstLine="0"/>
              <w:jc w:val="left"/>
              <w:rPr>
                <w:rFonts w:ascii="Verdana" w:hAnsi="Verdana" w:cs="Verdana" w:eastAsia="Verdana"/>
                <w:color w:val="000000"/>
                <w:spacing w:val="0"/>
                <w:position w:val="0"/>
                <w:sz w:val="16"/>
                <w:shd w:fill="auto" w:val="clear"/>
              </w:rPr>
            </w:pPr>
          </w:p>
          <w:p>
            <w:pPr>
              <w:spacing w:before="0" w:after="0" w:line="240"/>
              <w:ind w:right="0" w:left="0" w:firstLine="0"/>
              <w:jc w:val="left"/>
              <w:rPr>
                <w:rFonts w:ascii="Verdana" w:hAnsi="Verdana" w:cs="Verdana" w:eastAsia="Verdana"/>
                <w:color w:val="000000"/>
                <w:spacing w:val="0"/>
                <w:position w:val="0"/>
                <w:sz w:val="16"/>
                <w:shd w:fill="auto" w:val="clear"/>
              </w:rPr>
            </w:pPr>
            <w:r>
              <w:rPr>
                <w:rFonts w:ascii="Verdana" w:hAnsi="Verdana" w:cs="Verdana" w:eastAsia="Verdana"/>
                <w:color w:val="000000"/>
                <w:spacing w:val="0"/>
                <w:position w:val="0"/>
                <w:sz w:val="16"/>
                <w:shd w:fill="auto" w:val="clear"/>
              </w:rPr>
              <w:t xml:space="preserve">PLC    /      Normas ISO 9000 Elaboración de manuales de calidad</w:t>
            </w:r>
          </w:p>
          <w:p>
            <w:pPr>
              <w:spacing w:before="0" w:after="0" w:line="240"/>
              <w:ind w:right="0" w:left="0" w:firstLine="0"/>
              <w:jc w:val="left"/>
              <w:rPr>
                <w:rFonts w:ascii="Verdana" w:hAnsi="Verdana" w:cs="Verdana" w:eastAsia="Verdana"/>
                <w:b/>
                <w:color w:val="000000"/>
                <w:spacing w:val="0"/>
                <w:position w:val="0"/>
                <w:sz w:val="20"/>
                <w:shd w:fill="auto" w:val="clear"/>
              </w:rPr>
            </w:pPr>
          </w:p>
          <w:p>
            <w:pPr>
              <w:spacing w:before="0" w:after="0" w:line="240"/>
              <w:ind w:right="0" w:left="0" w:firstLine="0"/>
              <w:jc w:val="left"/>
              <w:rPr>
                <w:rFonts w:ascii="Verdana" w:hAnsi="Verdana" w:cs="Verdana" w:eastAsia="Verdana"/>
                <w:b/>
                <w:color w:val="000000"/>
                <w:spacing w:val="0"/>
                <w:position w:val="0"/>
                <w:sz w:val="16"/>
                <w:shd w:fill="auto" w:val="clear"/>
              </w:rPr>
            </w:pPr>
          </w:p>
          <w:p>
            <w:pPr>
              <w:spacing w:before="0" w:after="0" w:line="240"/>
              <w:ind w:right="0" w:left="0" w:firstLine="0"/>
              <w:jc w:val="left"/>
              <w:rPr>
                <w:rFonts w:ascii="Verdana" w:hAnsi="Verdana" w:cs="Verdana" w:eastAsia="Verdana"/>
                <w:b/>
                <w:color w:val="000000"/>
                <w:spacing w:val="0"/>
                <w:position w:val="0"/>
                <w:sz w:val="16"/>
                <w:shd w:fill="auto" w:val="clear"/>
              </w:rPr>
            </w:pPr>
            <w:r>
              <w:rPr>
                <w:rFonts w:ascii="Verdana" w:hAnsi="Verdana" w:cs="Verdana" w:eastAsia="Verdana"/>
                <w:b/>
                <w:color w:val="000000"/>
                <w:spacing w:val="0"/>
                <w:position w:val="0"/>
                <w:sz w:val="16"/>
                <w:shd w:fill="auto" w:val="clear"/>
              </w:rPr>
              <w:t xml:space="preserve">MANEJO DE SOFTWARE         </w:t>
            </w:r>
            <w:r>
              <w:rPr>
                <w:rFonts w:ascii="Cambria" w:hAnsi="Cambria" w:cs="Cambria" w:eastAsia="Cambria"/>
                <w:color w:val="auto"/>
                <w:spacing w:val="0"/>
                <w:position w:val="0"/>
                <w:sz w:val="16"/>
                <w:shd w:fill="auto" w:val="clear"/>
              </w:rPr>
              <w:t xml:space="preserve">                     </w:t>
            </w:r>
            <w:r>
              <w:rPr>
                <w:rFonts w:ascii="Verdana" w:hAnsi="Verdana" w:cs="Verdana" w:eastAsia="Verdana"/>
                <w:b/>
                <w:color w:val="000000"/>
                <w:spacing w:val="0"/>
                <w:position w:val="0"/>
                <w:sz w:val="16"/>
                <w:shd w:fill="auto" w:val="clear"/>
              </w:rPr>
              <w:t xml:space="preserve">MANEJO DE ESTANDARES Y NORMATIVAS     </w:t>
            </w:r>
          </w:p>
          <w:p>
            <w:pPr>
              <w:spacing w:before="0" w:after="0" w:line="240"/>
              <w:ind w:right="0" w:left="0" w:firstLine="0"/>
              <w:jc w:val="left"/>
              <w:rPr>
                <w:rFonts w:ascii="Verdana" w:hAnsi="Verdana" w:cs="Verdana" w:eastAsia="Verdana"/>
                <w:color w:val="000000"/>
                <w:spacing w:val="0"/>
                <w:position w:val="0"/>
                <w:sz w:val="16"/>
                <w:shd w:fill="auto" w:val="clear"/>
              </w:rPr>
            </w:pPr>
            <w:r>
              <w:rPr>
                <w:rFonts w:ascii="Verdana" w:hAnsi="Verdana" w:cs="Verdana" w:eastAsia="Verdana"/>
                <w:color w:val="000000"/>
                <w:spacing w:val="0"/>
                <w:position w:val="0"/>
                <w:sz w:val="16"/>
                <w:shd w:fill="auto" w:val="clear"/>
              </w:rPr>
              <w:t xml:space="preserve">DIALUX                                                </w:t>
            </w:r>
            <w:r>
              <w:rPr>
                <w:rFonts w:ascii="Cambria" w:hAnsi="Cambria" w:cs="Cambria" w:eastAsia="Cambria"/>
                <w:color w:val="auto"/>
                <w:spacing w:val="0"/>
                <w:position w:val="0"/>
                <w:sz w:val="16"/>
                <w:shd w:fill="auto" w:val="clear"/>
              </w:rPr>
              <w:t xml:space="preserve"> </w:t>
            </w:r>
            <w:r>
              <w:rPr>
                <w:rFonts w:ascii="Verdana" w:hAnsi="Verdana" w:cs="Verdana" w:eastAsia="Verdana"/>
                <w:color w:val="000000"/>
                <w:spacing w:val="0"/>
                <w:position w:val="0"/>
                <w:sz w:val="16"/>
                <w:shd w:fill="auto" w:val="clear"/>
              </w:rPr>
              <w:t xml:space="preserve">ANSI/IEEE             EXXON                 REPSOL-YPF                      </w:t>
            </w:r>
          </w:p>
          <w:p>
            <w:pPr>
              <w:spacing w:before="0" w:after="0" w:line="240"/>
              <w:ind w:right="0" w:left="0" w:firstLine="0"/>
              <w:jc w:val="left"/>
              <w:rPr>
                <w:rFonts w:ascii="Verdana" w:hAnsi="Verdana" w:cs="Verdana" w:eastAsia="Verdana"/>
                <w:color w:val="000000"/>
                <w:spacing w:val="0"/>
                <w:position w:val="0"/>
                <w:sz w:val="16"/>
                <w:shd w:fill="auto" w:val="clear"/>
              </w:rPr>
            </w:pPr>
            <w:r>
              <w:rPr>
                <w:rFonts w:ascii="Verdana" w:hAnsi="Verdana" w:cs="Verdana" w:eastAsia="Verdana"/>
                <w:color w:val="000000"/>
                <w:spacing w:val="0"/>
                <w:position w:val="0"/>
                <w:sz w:val="16"/>
                <w:shd w:fill="auto" w:val="clear"/>
              </w:rPr>
              <w:t xml:space="preserve"> ETAP                                             </w:t>
            </w:r>
            <w:r>
              <w:rPr>
                <w:rFonts w:ascii="Cambria" w:hAnsi="Cambria" w:cs="Cambria" w:eastAsia="Cambria"/>
                <w:color w:val="auto"/>
                <w:spacing w:val="0"/>
                <w:position w:val="0"/>
                <w:sz w:val="16"/>
                <w:shd w:fill="auto" w:val="clear"/>
              </w:rPr>
              <w:t xml:space="preserve">         </w:t>
            </w:r>
            <w:r>
              <w:rPr>
                <w:rFonts w:ascii="Verdana" w:hAnsi="Verdana" w:cs="Verdana" w:eastAsia="Verdana"/>
                <w:color w:val="000000"/>
                <w:spacing w:val="0"/>
                <w:position w:val="0"/>
                <w:sz w:val="16"/>
                <w:shd w:fill="auto" w:val="clear"/>
              </w:rPr>
              <w:t xml:space="preserve">SHELL DEPs          NFPA70                 API /EXXON</w:t>
            </w:r>
          </w:p>
          <w:p>
            <w:pPr>
              <w:spacing w:before="0" w:after="0" w:line="240"/>
              <w:ind w:right="0" w:left="0" w:firstLine="0"/>
              <w:jc w:val="left"/>
              <w:rPr>
                <w:rFonts w:ascii="Verdana" w:hAnsi="Verdana" w:cs="Verdana" w:eastAsia="Verdana"/>
                <w:color w:val="000000"/>
                <w:spacing w:val="0"/>
                <w:position w:val="0"/>
                <w:sz w:val="16"/>
                <w:shd w:fill="auto" w:val="clear"/>
              </w:rPr>
            </w:pPr>
            <w:r>
              <w:rPr>
                <w:rFonts w:ascii="Verdana" w:hAnsi="Verdana" w:cs="Verdana" w:eastAsia="Verdana"/>
                <w:color w:val="000000"/>
                <w:spacing w:val="0"/>
                <w:position w:val="0"/>
                <w:sz w:val="16"/>
                <w:shd w:fill="auto" w:val="clear"/>
              </w:rPr>
              <w:t xml:space="preserve"> AUTOCAD                                                 IEC                  </w:t>
            </w:r>
            <w:r>
              <w:rPr>
                <w:rFonts w:ascii="Cambria" w:hAnsi="Cambria" w:cs="Cambria" w:eastAsia="Cambria"/>
                <w:color w:val="auto"/>
                <w:spacing w:val="0"/>
                <w:position w:val="0"/>
                <w:sz w:val="16"/>
                <w:shd w:fill="auto" w:val="clear"/>
              </w:rPr>
              <w:t xml:space="preserve"> </w:t>
            </w:r>
            <w:r>
              <w:rPr>
                <w:rFonts w:ascii="Verdana" w:hAnsi="Verdana" w:cs="Verdana" w:eastAsia="Verdana"/>
                <w:color w:val="000000"/>
                <w:spacing w:val="0"/>
                <w:position w:val="0"/>
                <w:sz w:val="16"/>
                <w:shd w:fill="auto" w:val="clear"/>
              </w:rPr>
              <w:t xml:space="preserve">TOTAL GS-NF           PDVSA        </w:t>
            </w:r>
          </w:p>
          <w:p>
            <w:pPr>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r>
          </w:p>
          <w:p>
            <w:pPr>
              <w:spacing w:before="0" w:after="0" w:line="240"/>
              <w:ind w:right="0" w:left="0" w:firstLine="0"/>
              <w:jc w:val="left"/>
              <w:rPr>
                <w:spacing w:val="0"/>
                <w:position w:val="0"/>
              </w:rPr>
            </w:pPr>
          </w:p>
        </w:tc>
        <w:tc>
          <w:tcPr>
            <w:tcW w:w="9178" w:type="dxa"/>
            <w:gridSpan w:val="2"/>
            <w:tcBorders>
              <w:top w:val="single" w:color="ffffff" w:sz="6"/>
              <w:left w:val="single" w:color="ffffff" w:sz="6"/>
              <w:bottom w:val="single" w:color="ffffff" w:sz="6"/>
              <w:right w:val="single" w:color="ffffff" w:sz="6"/>
            </w:tcBorders>
            <w:shd w:color="000000" w:fill="ffffff" w:val="clear"/>
            <w:tcMar>
              <w:left w:w="2" w:type="dxa"/>
              <w:right w:w="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3869" w:type="dxa"/>
            <w:gridSpan w:val="2"/>
            <w:tcBorders>
              <w:top w:val="single" w:color="000000" w:sz="6"/>
              <w:left w:val="single" w:color="000000" w:sz="6"/>
              <w:bottom w:val="single" w:color="000000" w:sz="6"/>
              <w:right w:val="single" w:color="000000" w:sz="6"/>
            </w:tcBorders>
            <w:shd w:color="000000" w:fill="ffffff" w:val="clear"/>
            <w:tcMar>
              <w:left w:w="14" w:type="dxa"/>
              <w:right w:w="14" w:type="dxa"/>
            </w:tcMar>
            <w:vAlign w:val="center"/>
          </w:tcPr>
          <w:p>
            <w:pPr>
              <w:spacing w:before="0" w:after="0" w:line="240"/>
              <w:ind w:right="0" w:left="0" w:firstLine="0"/>
              <w:jc w:val="left"/>
              <w:rPr>
                <w:spacing w:val="0"/>
                <w:position w:val="0"/>
              </w:rPr>
            </w:pPr>
            <w:r>
              <w:rPr>
                <w:rFonts w:ascii="Verdana" w:hAnsi="Verdana" w:cs="Verdana" w:eastAsia="Verdana"/>
                <w:b/>
                <w:color w:val="000000"/>
                <w:spacing w:val="0"/>
                <w:position w:val="0"/>
                <w:sz w:val="14"/>
                <w:shd w:fill="auto" w:val="clear"/>
              </w:rPr>
              <w:t xml:space="preserve">Resumen </w:t>
            </w:r>
            <w:r>
              <w:rPr>
                <w:rFonts w:ascii="Verdana" w:hAnsi="Verdana" w:cs="Verdana" w:eastAsia="Verdana"/>
                <w:color w:val="000000"/>
                <w:spacing w:val="0"/>
                <w:position w:val="0"/>
                <w:sz w:val="14"/>
                <w:shd w:fill="auto" w:val="clear"/>
              </w:rPr>
              <w:br/>
              <w:t xml:space="preserve"> Experiencia comprobada en el área elaborando proyectos de Oil &amp;Gas de clase mundial, desarrollando Ingeniería Básica y de Detalles análisis de riesgos, interfases y  gerencia de Ingeniería de variada complejidad para clientes como PDVSA, YPF y TOTAL . Análisis de Constructibilidad, Paquetes de contratación, Sólidos conocimientos en selección y elaboración procesos CCFT, ofertas técnicas y procesos de procura. Experiencia en el área de Minería desarrollando actividades de mantenimiento de motores y Centros de control de motores, así como estudios eléctricos de diversa complejidad.</w:t>
            </w:r>
          </w:p>
        </w:tc>
      </w:tr>
    </w:tbl>
    <w:p>
      <w:pPr>
        <w:spacing w:before="0" w:after="0" w:line="240"/>
        <w:ind w:right="0" w:left="0" w:firstLine="0"/>
        <w:jc w:val="left"/>
        <w:rPr>
          <w:rFonts w:ascii="Cambria" w:hAnsi="Cambria" w:cs="Cambria" w:eastAsia="Cambria"/>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num w:numId="30">
    <w:abstractNumId w:val="456"/>
  </w:num>
  <w:num w:numId="40">
    <w:abstractNumId w:val="450"/>
  </w:num>
  <w:num w:numId="49">
    <w:abstractNumId w:val="444"/>
  </w:num>
  <w:num w:numId="51">
    <w:abstractNumId w:val="438"/>
  </w:num>
  <w:num w:numId="53">
    <w:abstractNumId w:val="432"/>
  </w:num>
  <w:num w:numId="55">
    <w:abstractNumId w:val="426"/>
  </w:num>
  <w:num w:numId="57">
    <w:abstractNumId w:val="420"/>
  </w:num>
  <w:num w:numId="59">
    <w:abstractNumId w:val="414"/>
  </w:num>
  <w:num w:numId="61">
    <w:abstractNumId w:val="408"/>
  </w:num>
  <w:num w:numId="63">
    <w:abstractNumId w:val="402"/>
  </w:num>
  <w:num w:numId="65">
    <w:abstractNumId w:val="396"/>
  </w:num>
  <w:num w:numId="67">
    <w:abstractNumId w:val="390"/>
  </w:num>
  <w:num w:numId="69">
    <w:abstractNumId w:val="384"/>
  </w:num>
  <w:num w:numId="71">
    <w:abstractNumId w:val="378"/>
  </w:num>
  <w:num w:numId="73">
    <w:abstractNumId w:val="372"/>
  </w:num>
  <w:num w:numId="75">
    <w:abstractNumId w:val="366"/>
  </w:num>
  <w:num w:numId="77">
    <w:abstractNumId w:val="360"/>
  </w:num>
  <w:num w:numId="80">
    <w:abstractNumId w:val="354"/>
  </w:num>
  <w:num w:numId="82">
    <w:abstractNumId w:val="348"/>
  </w:num>
  <w:num w:numId="85">
    <w:abstractNumId w:val="342"/>
  </w:num>
  <w:num w:numId="91">
    <w:abstractNumId w:val="336"/>
  </w:num>
  <w:num w:numId="93">
    <w:abstractNumId w:val="330"/>
  </w:num>
  <w:num w:numId="95">
    <w:abstractNumId w:val="324"/>
  </w:num>
  <w:num w:numId="97">
    <w:abstractNumId w:val="318"/>
  </w:num>
  <w:num w:numId="99">
    <w:abstractNumId w:val="312"/>
  </w:num>
  <w:num w:numId="101">
    <w:abstractNumId w:val="306"/>
  </w:num>
  <w:num w:numId="103">
    <w:abstractNumId w:val="300"/>
  </w:num>
  <w:num w:numId="105">
    <w:abstractNumId w:val="294"/>
  </w:num>
  <w:num w:numId="107">
    <w:abstractNumId w:val="288"/>
  </w:num>
  <w:num w:numId="109">
    <w:abstractNumId w:val="282"/>
  </w:num>
  <w:num w:numId="111">
    <w:abstractNumId w:val="276"/>
  </w:num>
  <w:num w:numId="113">
    <w:abstractNumId w:val="270"/>
  </w:num>
  <w:num w:numId="115">
    <w:abstractNumId w:val="264"/>
  </w:num>
  <w:num w:numId="119">
    <w:abstractNumId w:val="258"/>
  </w:num>
  <w:num w:numId="121">
    <w:abstractNumId w:val="252"/>
  </w:num>
  <w:num w:numId="125">
    <w:abstractNumId w:val="246"/>
  </w:num>
  <w:num w:numId="127">
    <w:abstractNumId w:val="240"/>
  </w:num>
  <w:num w:numId="132">
    <w:abstractNumId w:val="234"/>
  </w:num>
  <w:num w:numId="134">
    <w:abstractNumId w:val="228"/>
  </w:num>
  <w:num w:numId="143">
    <w:abstractNumId w:val="222"/>
  </w:num>
  <w:num w:numId="146">
    <w:abstractNumId w:val="216"/>
  </w:num>
  <w:num w:numId="152">
    <w:abstractNumId w:val="210"/>
  </w:num>
  <w:num w:numId="156">
    <w:abstractNumId w:val="204"/>
  </w:num>
  <w:num w:numId="158">
    <w:abstractNumId w:val="198"/>
  </w:num>
  <w:num w:numId="164">
    <w:abstractNumId w:val="192"/>
  </w:num>
  <w:num w:numId="177">
    <w:abstractNumId w:val="186"/>
  </w:num>
  <w:num w:numId="181">
    <w:abstractNumId w:val="180"/>
  </w:num>
  <w:num w:numId="183">
    <w:abstractNumId w:val="174"/>
  </w:num>
  <w:num w:numId="210">
    <w:abstractNumId w:val="168"/>
  </w:num>
  <w:num w:numId="212">
    <w:abstractNumId w:val="162"/>
  </w:num>
  <w:num w:numId="214">
    <w:abstractNumId w:val="156"/>
  </w:num>
  <w:num w:numId="216">
    <w:abstractNumId w:val="150"/>
  </w:num>
  <w:num w:numId="218">
    <w:abstractNumId w:val="144"/>
  </w:num>
  <w:num w:numId="220">
    <w:abstractNumId w:val="138"/>
  </w:num>
  <w:num w:numId="222">
    <w:abstractNumId w:val="132"/>
  </w:num>
  <w:num w:numId="257">
    <w:abstractNumId w:val="126"/>
  </w:num>
  <w:num w:numId="259">
    <w:abstractNumId w:val="120"/>
  </w:num>
  <w:num w:numId="274">
    <w:abstractNumId w:val="114"/>
  </w:num>
  <w:num w:numId="276">
    <w:abstractNumId w:val="108"/>
  </w:num>
  <w:num w:numId="279">
    <w:abstractNumId w:val="102"/>
  </w:num>
  <w:num w:numId="281">
    <w:abstractNumId w:val="96"/>
  </w:num>
  <w:num w:numId="283">
    <w:abstractNumId w:val="90"/>
  </w:num>
  <w:num w:numId="287">
    <w:abstractNumId w:val="84"/>
  </w:num>
  <w:num w:numId="302">
    <w:abstractNumId w:val="78"/>
  </w:num>
  <w:num w:numId="304">
    <w:abstractNumId w:val="72"/>
  </w:num>
  <w:num w:numId="306">
    <w:abstractNumId w:val="66"/>
  </w:num>
  <w:num w:numId="314">
    <w:abstractNumId w:val="60"/>
  </w:num>
  <w:num w:numId="321">
    <w:abstractNumId w:val="54"/>
  </w:num>
  <w:num w:numId="328">
    <w:abstractNumId w:val="48"/>
  </w:num>
  <w:num w:numId="330">
    <w:abstractNumId w:val="42"/>
  </w:num>
  <w:num w:numId="332">
    <w:abstractNumId w:val="36"/>
  </w:num>
  <w:num w:numId="340">
    <w:abstractNumId w:val="30"/>
  </w:num>
  <w:num w:numId="373">
    <w:abstractNumId w:val="24"/>
  </w:num>
  <w:num w:numId="377">
    <w:abstractNumId w:val="18"/>
  </w:num>
  <w:num w:numId="408">
    <w:abstractNumId w:val="12"/>
  </w:num>
  <w:num w:numId="453">
    <w:abstractNumId w:val="6"/>
  </w:num>
  <w:num w:numId="46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3.bin" Id="docRId7" Type="http://schemas.openxmlformats.org/officeDocument/2006/relationships/oleObject"/><Relationship Target="media/image6.wmf" Id="docRId14" Type="http://schemas.openxmlformats.org/officeDocument/2006/relationships/image"/><Relationship Target="media/image16.wmf" Id="docRId34" Type="http://schemas.openxmlformats.org/officeDocument/2006/relationships/image"/><Relationship Target="embeddings/oleObject23.bin" Id="docRId47" Type="http://schemas.openxmlformats.org/officeDocument/2006/relationships/oleObject"/><Relationship Target="media/image10.wmf" Id="docRId22" Type="http://schemas.openxmlformats.org/officeDocument/2006/relationships/image"/><Relationship Target="embeddings/oleObject4.bin" Id="docRId9" Type="http://schemas.openxmlformats.org/officeDocument/2006/relationships/oleObject"/><Relationship Target="embeddings/oleObject0.bin" Id="docRId0" Type="http://schemas.openxmlformats.org/officeDocument/2006/relationships/oleObject"/><Relationship Target="embeddings/oleObject14.bin" Id="docRId29" Type="http://schemas.openxmlformats.org/officeDocument/2006/relationships/oleObject"/><Relationship Target="media/image17.wmf" Id="docRId36" Type="http://schemas.openxmlformats.org/officeDocument/2006/relationships/image"/><Relationship TargetMode="External" Target="http://www.businessballs.com/" Id="docRId49" Type="http://schemas.openxmlformats.org/officeDocument/2006/relationships/hyperlink"/><Relationship Target="embeddings/oleObject6.bin" Id="docRId13" Type="http://schemas.openxmlformats.org/officeDocument/2006/relationships/oleObject"/><Relationship Target="media/image9.wmf" Id="docRId20" Type="http://schemas.openxmlformats.org/officeDocument/2006/relationships/image"/><Relationship Target="media/image19.wmf" Id="docRId40" Type="http://schemas.openxmlformats.org/officeDocument/2006/relationships/image"/><Relationship Target="media/image8.wmf" Id="docRId18" Type="http://schemas.openxmlformats.org/officeDocument/2006/relationships/image"/><Relationship TargetMode="External" Target="https://my.linkedin.com/in/alexander-fuguet-130382" Id="docRId2" Type="http://schemas.openxmlformats.org/officeDocument/2006/relationships/hyperlink"/><Relationship Target="media/image18.wmf" Id="docRId38" Type="http://schemas.openxmlformats.org/officeDocument/2006/relationships/image"/><Relationship Target="numbering.xml" Id="docRId51" Type="http://schemas.openxmlformats.org/officeDocument/2006/relationships/numbering"/><Relationship Target="embeddings/oleObject5.bin" Id="docRId11" Type="http://schemas.openxmlformats.org/officeDocument/2006/relationships/oleObject"/><Relationship Target="embeddings/oleObject9.bin" Id="docRId19" Type="http://schemas.openxmlformats.org/officeDocument/2006/relationships/oleObject"/><Relationship Target="media/image12.wmf" Id="docRId26" Type="http://schemas.openxmlformats.org/officeDocument/2006/relationships/image"/><Relationship Target="embeddings/oleObject15.bin" Id="docRId31" Type="http://schemas.openxmlformats.org/officeDocument/2006/relationships/oleObject"/><Relationship Target="embeddings/oleObject19.bin" Id="docRId39" Type="http://schemas.openxmlformats.org/officeDocument/2006/relationships/oleObject"/><Relationship Target="media/image20.wmf" Id="docRId42" Type="http://schemas.openxmlformats.org/officeDocument/2006/relationships/image"/><Relationship Target="embeddings/oleObject2.bin" Id="docRId5" Type="http://schemas.openxmlformats.org/officeDocument/2006/relationships/oleObject"/><Relationship Target="media/image7.wmf" Id="docRId16" Type="http://schemas.openxmlformats.org/officeDocument/2006/relationships/image"/><Relationship Target="embeddings/oleObject12.bin" Id="docRId25" Type="http://schemas.openxmlformats.org/officeDocument/2006/relationships/oleObject"/><Relationship Target="media/image15.wmf" Id="docRId32" Type="http://schemas.openxmlformats.org/officeDocument/2006/relationships/image"/><Relationship Target="media/image1.wmf" Id="docRId4" Type="http://schemas.openxmlformats.org/officeDocument/2006/relationships/image"/><Relationship Target="embeddings/oleObject22.bin" Id="docRId45" Type="http://schemas.openxmlformats.org/officeDocument/2006/relationships/oleObject"/><Relationship Target="embeddings/oleObject8.bin" Id="docRId17" Type="http://schemas.openxmlformats.org/officeDocument/2006/relationships/oleObject"/><Relationship Target="media/image11.wmf" Id="docRId24" Type="http://schemas.openxmlformats.org/officeDocument/2006/relationships/image"/><Relationship Target="embeddings/oleObject16.bin" Id="docRId33" Type="http://schemas.openxmlformats.org/officeDocument/2006/relationships/oleObject"/><Relationship Target="media/image21.wmf" Id="docRId44" Type="http://schemas.openxmlformats.org/officeDocument/2006/relationships/image"/><Relationship Target="embeddings/oleObject11.bin" Id="docRId23" Type="http://schemas.openxmlformats.org/officeDocument/2006/relationships/oleObject"/><Relationship Target="media/image2.wmf" Id="docRId6" Type="http://schemas.openxmlformats.org/officeDocument/2006/relationships/image"/><Relationship Target="media/image0.wmf" Id="docRId1" Type="http://schemas.openxmlformats.org/officeDocument/2006/relationships/image"/><Relationship Target="embeddings/oleObject7.bin" Id="docRId15" Type="http://schemas.openxmlformats.org/officeDocument/2006/relationships/oleObject"/><Relationship Target="embeddings/oleObject17.bin" Id="docRId35" Type="http://schemas.openxmlformats.org/officeDocument/2006/relationships/oleObject"/><Relationship Target="media/image22.wmf" Id="docRId46" Type="http://schemas.openxmlformats.org/officeDocument/2006/relationships/image"/><Relationship Target="styles.xml" Id="docRId52" Type="http://schemas.openxmlformats.org/officeDocument/2006/relationships/styles"/><Relationship Target="media/image5.wmf" Id="docRId12" Type="http://schemas.openxmlformats.org/officeDocument/2006/relationships/image"/><Relationship Target="embeddings/oleObject10.bin" Id="docRId21" Type="http://schemas.openxmlformats.org/officeDocument/2006/relationships/oleObject"/><Relationship Target="embeddings/oleObject20.bin" Id="docRId41" Type="http://schemas.openxmlformats.org/officeDocument/2006/relationships/oleObject"/><Relationship Target="media/image3.wmf" Id="docRId8" Type="http://schemas.openxmlformats.org/officeDocument/2006/relationships/image"/><Relationship Target="media/image13.wmf" Id="docRId28" Type="http://schemas.openxmlformats.org/officeDocument/2006/relationships/image"/><Relationship Target="embeddings/oleObject1.bin" Id="docRId3" Type="http://schemas.openxmlformats.org/officeDocument/2006/relationships/oleObject"/><Relationship Target="embeddings/oleObject18.bin" Id="docRId37" Type="http://schemas.openxmlformats.org/officeDocument/2006/relationships/oleObject"/><Relationship Target="media/image23.wmf" Id="docRId48" Type="http://schemas.openxmlformats.org/officeDocument/2006/relationships/image"/><Relationship TargetMode="External" Target="https://txm.com/about-us/" Id="docRId50" Type="http://schemas.openxmlformats.org/officeDocument/2006/relationships/hyperlink"/><Relationship Target="media/image4.wmf" Id="docRId10" Type="http://schemas.openxmlformats.org/officeDocument/2006/relationships/image"/><Relationship Target="embeddings/oleObject13.bin" Id="docRId27" Type="http://schemas.openxmlformats.org/officeDocument/2006/relationships/oleObject"/><Relationship Target="media/image14.wmf" Id="docRId30" Type="http://schemas.openxmlformats.org/officeDocument/2006/relationships/image"/><Relationship Target="embeddings/oleObject21.bin" Id="docRId43" Type="http://schemas.openxmlformats.org/officeDocument/2006/relationships/oleObject"/></Relationships>
</file>