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3542" w:left="-2127" w:firstLine="0"/>
        <w:jc w:val="center"/>
        <w:rPr>
          <w:rFonts w:ascii="Arial" w:hAnsi="Arial" w:cs="Arial" w:eastAsia="Arial"/>
          <w:b/>
          <w:color w:val="auto"/>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24"/>
          <w:shd w:fill="auto" w:val="clear"/>
        </w:rPr>
      </w:pPr>
      <w:r>
        <w:object w:dxaOrig="1555" w:dyaOrig="1555">
          <v:rect xmlns:o="urn:schemas-microsoft-com:office:office" xmlns:v="urn:schemas-microsoft-com:vml" id="rectole0000000000" style="width:77.750000pt;height:7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Arial" w:hAnsi="Arial" w:cs="Arial" w:eastAsia="Arial"/>
          <w:b/>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Arial" w:hAnsi="Arial" w:cs="Arial" w:eastAsia="Arial"/>
          <w:b/>
          <w:color w:val="auto"/>
          <w:spacing w:val="0"/>
          <w:position w:val="0"/>
          <w:sz w:val="28"/>
          <w:shd w:fill="auto" w:val="clear"/>
        </w:rPr>
      </w:pPr>
    </w:p>
    <w:p>
      <w:pPr>
        <w:tabs>
          <w:tab w:val="center" w:pos="4320" w:leader="none"/>
          <w:tab w:val="left" w:pos="68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Universidad de Palermo</w:t>
      </w:r>
    </w:p>
    <w:p>
      <w:pPr>
        <w:tabs>
          <w:tab w:val="left" w:pos="508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Máster en Dirección de Empresas</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Tesis para optar al grado de Máster de la Universidad de Palermo en Dirección de Empresas</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“PROPUESTA DE UN PLAN DE NEGOCIOS PARA UNA</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PLATAFORMA TECNOLÓGICA C2C EN ARGENTINA ORIENTADA A INVESTIGADORES DE LAS CIENCIAS BIOLÓGICAS, DE LA SALUD Y CIENCIAS QUÍMICAS”</w:t>
      </w:r>
    </w:p>
    <w:p>
      <w:pPr>
        <w:spacing w:before="0" w:after="0" w:line="240"/>
        <w:ind w:right="0" w:left="0" w:firstLine="0"/>
        <w:jc w:val="left"/>
        <w:rPr>
          <w:rFonts w:ascii="Times New Roman" w:hAnsi="Times New Roman" w:cs="Times New Roman" w:eastAsia="Times New Roman"/>
          <w:b/>
          <w:color w:val="auto"/>
          <w:spacing w:val="0"/>
          <w:position w:val="0"/>
          <w:sz w:val="28"/>
          <w:u w:val="single"/>
          <w:shd w:fill="auto" w:val="clear"/>
        </w:rPr>
      </w:pPr>
    </w:p>
    <w:p>
      <w:pPr>
        <w:spacing w:before="0" w:after="0" w:line="240"/>
        <w:ind w:right="0" w:left="-2127"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Tesista: Verónica Del Priore, Ph.D.</w:t>
      </w: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center" w:pos="4153"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E-mail: verodelpriore@gmail.com</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Legajo: 0124700</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Director de Tesis: Jorge Almada</w:t>
      </w: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2023</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Buenos Aires – Argentina</w:t>
      </w:r>
    </w:p>
    <w:p>
      <w:pPr>
        <w:keepNext w:val="true"/>
        <w:keepLines w:val="true"/>
        <w:spacing w:before="48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EVALUACIÓN DEL COMITE</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spacing w:before="480" w:after="0" w:line="276"/>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spacing w:before="48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AGRADECIMIENTOS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En primer lugar, quisiera agradecer a mi familia y sobre todo a mis hijos, Matias y Agustina, por haberme brindado su apoyo y acompañamiento durante estos dos años de mi MBA. Su paciencia, comprensión y palabras de ánimo en momentos que requirieron gran compromiso fueron fundamentales en este proceso de crecimiento personal y profesional.</w: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 mi tutor Jorge Almada no tengo más que palabras de agradecimiento por ser mi guía y mi mentor en el complejo proceso de escribir esta tesis. Su orientación, apoyo y conocimiento fueron fundamentales para poder alcanzar este logro.</w: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Por último, quisiera agradecer a la Universidad de Palermo, profesores y compañeros por hacer más fructífera mi experiencia durante el MBA con su dedicación, apoyo, conocimientos compartidos y actitud colaborativa. Quería también mencionar muy especialmente a mi compañero Manuel Parra, él ha sido un pilar fundamental en estos dos años, donde tuvimos la oportunidad de aprender juntos, enriquecernos mutuamente y formar un gran equipo de trabajo, </w: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spacing w:before="48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RESUMEN DE LA TESIS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presente proyecto tiene como finalidad evaluar la viabilidad y rentabilidad de una plataforma tecnológica del tipo C2C, que permita conectar investigadores de la República Argentina en los campos de las ciencias químicas, biológicas y de la salud, y facilitar el proceso de compraventa de reactivos y servicios.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su desarrollo, se elaboró un análisis estratégico que incluyo análisis PESTEL, 5 Fuerzas de Porter y FODA, seguido de un Estudio de Mercado con entrevistas y encuestas a investigadores.  Se procedió luego a explicitar el Plan de Negocios a través de la Propuesta de Valor, el Plan de Marketing, el Plan de Recursos Humanos y el Plan Operativo.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se procedió a hacer la evaluación Económico-Financiera, arribando a través del análisis objetivo de los datos a resultados muy promisorios, que confirman en principio la factibilidad del proyecto.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8"/>
          <w:shd w:fill="auto" w:val="clear"/>
        </w:rPr>
      </w:pPr>
    </w:p>
    <w:p>
      <w:pPr>
        <w:spacing w:before="0" w:after="0" w:line="240"/>
        <w:ind w:right="0" w:left="0" w:firstLine="0"/>
        <w:jc w:val="left"/>
        <w:rPr>
          <w:rFonts w:ascii="Cambria" w:hAnsi="Cambria" w:cs="Cambria" w:eastAsia="Cambria"/>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INDICE DE ILUSTRACIONES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 Inversión en I+D en Argentina</w:t>
      </w:r>
      <w:r>
        <w:rPr>
          <w:rFonts w:ascii="Times New Roman" w:hAnsi="Times New Roman" w:cs="Times New Roman" w:eastAsia="Times New Roman"/>
          <w:color w:val="auto"/>
          <w:spacing w:val="0"/>
          <w:position w:val="0"/>
          <w:sz w:val="24"/>
          <w:shd w:fill="auto" w:val="clear"/>
        </w:rPr>
        <w:tab/>
        <w:t xml:space="preserve">6</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 Tipo de Cambio</w:t>
      </w:r>
      <w:r>
        <w:rPr>
          <w:rFonts w:ascii="Times New Roman" w:hAnsi="Times New Roman" w:cs="Times New Roman" w:eastAsia="Times New Roman"/>
          <w:color w:val="auto"/>
          <w:spacing w:val="0"/>
          <w:position w:val="0"/>
          <w:sz w:val="24"/>
          <w:shd w:fill="auto" w:val="clear"/>
        </w:rPr>
        <w:tab/>
        <w:t xml:space="preserve">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3: Índice de Precios al Consumidor (IPC)</w:t>
      </w:r>
      <w:r>
        <w:rPr>
          <w:rFonts w:ascii="Times New Roman" w:hAnsi="Times New Roman" w:cs="Times New Roman" w:eastAsia="Times New Roman"/>
          <w:color w:val="auto"/>
          <w:spacing w:val="0"/>
          <w:position w:val="0"/>
          <w:sz w:val="24"/>
          <w:shd w:fill="auto" w:val="clear"/>
        </w:rPr>
        <w:tab/>
        <w:t xml:space="preserve">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4: Plataformas Digitales</w:t>
      </w:r>
      <w:r>
        <w:rPr>
          <w:rFonts w:ascii="Times New Roman" w:hAnsi="Times New Roman" w:cs="Times New Roman" w:eastAsia="Times New Roman"/>
          <w:color w:val="auto"/>
          <w:spacing w:val="0"/>
          <w:position w:val="0"/>
          <w:sz w:val="24"/>
          <w:shd w:fill="auto" w:val="clear"/>
        </w:rPr>
        <w:tab/>
        <w:t xml:space="preserve">11</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5: Modelos de Negocio Digitales</w:t>
      </w:r>
      <w:r>
        <w:rPr>
          <w:rFonts w:ascii="Times New Roman" w:hAnsi="Times New Roman" w:cs="Times New Roman" w:eastAsia="Times New Roman"/>
          <w:color w:val="auto"/>
          <w:spacing w:val="0"/>
          <w:position w:val="0"/>
          <w:sz w:val="24"/>
          <w:shd w:fill="auto" w:val="clear"/>
        </w:rPr>
        <w:tab/>
        <w:t xml:space="preserve">12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6: Modelos de Negocio del Tipo Marketplace</w:t>
      </w:r>
      <w:r>
        <w:rPr>
          <w:rFonts w:ascii="Times New Roman" w:hAnsi="Times New Roman" w:cs="Times New Roman" w:eastAsia="Times New Roman"/>
          <w:color w:val="auto"/>
          <w:spacing w:val="0"/>
          <w:position w:val="0"/>
          <w:sz w:val="24"/>
          <w:shd w:fill="auto" w:val="clear"/>
        </w:rPr>
        <w:tab/>
        <w:t xml:space="preserve">13</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7: Modelos de Negocio C2C</w:t>
      </w:r>
      <w:r>
        <w:rPr>
          <w:rFonts w:ascii="Times New Roman" w:hAnsi="Times New Roman" w:cs="Times New Roman" w:eastAsia="Times New Roman"/>
          <w:color w:val="auto"/>
          <w:spacing w:val="0"/>
          <w:position w:val="0"/>
          <w:sz w:val="24"/>
          <w:shd w:fill="auto" w:val="clear"/>
        </w:rPr>
        <w:tab/>
        <w:t xml:space="preserve">14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8: Estado de Resultados eBay 2019-2022</w:t>
      </w:r>
      <w:r>
        <w:rPr>
          <w:rFonts w:ascii="Times New Roman" w:hAnsi="Times New Roman" w:cs="Times New Roman" w:eastAsia="Times New Roman"/>
          <w:color w:val="auto"/>
          <w:spacing w:val="0"/>
          <w:position w:val="0"/>
          <w:sz w:val="24"/>
          <w:shd w:fill="auto" w:val="clear"/>
        </w:rPr>
        <w:tab/>
        <w:t xml:space="preserve">17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9: Estado de Resultados eBay 2022-2023</w:t>
      </w:r>
      <w:r>
        <w:rPr>
          <w:rFonts w:ascii="Times New Roman" w:hAnsi="Times New Roman" w:cs="Times New Roman" w:eastAsia="Times New Roman"/>
          <w:color w:val="auto"/>
          <w:spacing w:val="0"/>
          <w:position w:val="0"/>
          <w:sz w:val="24"/>
          <w:shd w:fill="auto" w:val="clear"/>
        </w:rPr>
        <w:tab/>
        <w:t xml:space="preserve">17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10: Estado de Resultados Etsy Inc.  2019-2022</w:t>
      </w:r>
      <w:r>
        <w:rPr>
          <w:rFonts w:ascii="Times New Roman" w:hAnsi="Times New Roman" w:cs="Times New Roman" w:eastAsia="Times New Roman"/>
          <w:color w:val="auto"/>
          <w:spacing w:val="0"/>
          <w:position w:val="0"/>
          <w:sz w:val="24"/>
          <w:shd w:fill="auto" w:val="clear"/>
        </w:rPr>
        <w:tab/>
        <w:t xml:space="preserve">18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11: Estado de Resultados Etsy Inc. 2022-2023</w:t>
      </w:r>
      <w:r>
        <w:rPr>
          <w:rFonts w:ascii="Times New Roman" w:hAnsi="Times New Roman" w:cs="Times New Roman" w:eastAsia="Times New Roman"/>
          <w:color w:val="auto"/>
          <w:spacing w:val="0"/>
          <w:position w:val="0"/>
          <w:sz w:val="24"/>
          <w:shd w:fill="auto" w:val="clear"/>
        </w:rPr>
        <w:tab/>
        <w:t xml:space="preserve">18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12: Design Thinking</w:t>
      </w:r>
      <w:r>
        <w:rPr>
          <w:rFonts w:ascii="Times New Roman" w:hAnsi="Times New Roman" w:cs="Times New Roman" w:eastAsia="Times New Roman"/>
          <w:color w:val="auto"/>
          <w:spacing w:val="0"/>
          <w:position w:val="0"/>
          <w:sz w:val="24"/>
          <w:shd w:fill="auto" w:val="clear"/>
        </w:rPr>
        <w:tab/>
        <w:t xml:space="preserve">22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13: Mapa de Empatía</w:t>
      </w:r>
      <w:r>
        <w:rPr>
          <w:rFonts w:ascii="Times New Roman" w:hAnsi="Times New Roman" w:cs="Times New Roman" w:eastAsia="Times New Roman"/>
          <w:color w:val="auto"/>
          <w:spacing w:val="0"/>
          <w:position w:val="0"/>
          <w:sz w:val="24"/>
          <w:shd w:fill="auto" w:val="clear"/>
        </w:rPr>
        <w:tab/>
        <w:t xml:space="preserve">22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14: Método Persona</w:t>
      </w:r>
      <w:r>
        <w:rPr>
          <w:rFonts w:ascii="Times New Roman" w:hAnsi="Times New Roman" w:cs="Times New Roman" w:eastAsia="Times New Roman"/>
          <w:color w:val="auto"/>
          <w:spacing w:val="0"/>
          <w:position w:val="0"/>
          <w:sz w:val="24"/>
          <w:shd w:fill="auto" w:val="clear"/>
        </w:rPr>
        <w:tab/>
        <w:t xml:space="preserve">23</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15: Value Proposition CANVAS</w:t>
      </w:r>
      <w:r>
        <w:rPr>
          <w:rFonts w:ascii="Times New Roman" w:hAnsi="Times New Roman" w:cs="Times New Roman" w:eastAsia="Times New Roman"/>
          <w:color w:val="auto"/>
          <w:spacing w:val="0"/>
          <w:position w:val="0"/>
          <w:sz w:val="24"/>
          <w:shd w:fill="auto" w:val="clear"/>
        </w:rPr>
        <w:tab/>
        <w:t xml:space="preserve">24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16: Business Model CANVAS</w:t>
      </w:r>
      <w:r>
        <w:rPr>
          <w:rFonts w:ascii="Times New Roman" w:hAnsi="Times New Roman" w:cs="Times New Roman" w:eastAsia="Times New Roman"/>
          <w:color w:val="auto"/>
          <w:spacing w:val="0"/>
          <w:position w:val="0"/>
          <w:sz w:val="24"/>
          <w:shd w:fill="auto" w:val="clear"/>
        </w:rPr>
        <w:tab/>
        <w:t xml:space="preserve">24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12: Economía en las PASO 2023</w:t>
      </w:r>
      <w:r>
        <w:rPr>
          <w:rFonts w:ascii="Times New Roman" w:hAnsi="Times New Roman" w:cs="Times New Roman" w:eastAsia="Times New Roman"/>
          <w:color w:val="auto"/>
          <w:spacing w:val="0"/>
          <w:position w:val="0"/>
          <w:sz w:val="24"/>
          <w:shd w:fill="auto" w:val="clear"/>
        </w:rPr>
        <w:tab/>
        <w:t xml:space="preserve">32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13: Gráfico de Torta Compra de Insumos Importados</w:t>
      </w:r>
      <w:r>
        <w:rPr>
          <w:rFonts w:ascii="Times New Roman" w:hAnsi="Times New Roman" w:cs="Times New Roman" w:eastAsia="Times New Roman"/>
          <w:color w:val="auto"/>
          <w:spacing w:val="0"/>
          <w:position w:val="0"/>
          <w:sz w:val="24"/>
          <w:shd w:fill="auto" w:val="clear"/>
        </w:rPr>
        <w:tab/>
        <w:t xml:space="preserve">44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14: Gráfico de Pareto Compra de Insumos Importados</w:t>
      </w:r>
      <w:r>
        <w:rPr>
          <w:rFonts w:ascii="Times New Roman" w:hAnsi="Times New Roman" w:cs="Times New Roman" w:eastAsia="Times New Roman"/>
          <w:color w:val="auto"/>
          <w:spacing w:val="0"/>
          <w:position w:val="0"/>
          <w:sz w:val="24"/>
          <w:shd w:fill="auto" w:val="clear"/>
        </w:rPr>
        <w:tab/>
        <w:t xml:space="preserve">45</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15: Compra de Productos - Aspectos a Considerar</w:t>
      </w:r>
      <w:r>
        <w:rPr>
          <w:rFonts w:ascii="Times New Roman" w:hAnsi="Times New Roman" w:cs="Times New Roman" w:eastAsia="Times New Roman"/>
          <w:color w:val="auto"/>
          <w:spacing w:val="0"/>
          <w:position w:val="0"/>
          <w:sz w:val="24"/>
          <w:shd w:fill="auto" w:val="clear"/>
        </w:rPr>
        <w:tab/>
        <w:t xml:space="preserve">45</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16: Compra de Productos a Colegas</w:t>
      </w:r>
      <w:r>
        <w:rPr>
          <w:rFonts w:ascii="Times New Roman" w:hAnsi="Times New Roman" w:cs="Times New Roman" w:eastAsia="Times New Roman"/>
          <w:color w:val="auto"/>
          <w:spacing w:val="0"/>
          <w:position w:val="0"/>
          <w:sz w:val="24"/>
          <w:shd w:fill="auto" w:val="clear"/>
        </w:rPr>
        <w:tab/>
        <w:t xml:space="preserve">46</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17: Compra de Productos Abiertos/Usados a Colegas</w:t>
      </w:r>
      <w:r>
        <w:rPr>
          <w:rFonts w:ascii="Times New Roman" w:hAnsi="Times New Roman" w:cs="Times New Roman" w:eastAsia="Times New Roman"/>
          <w:color w:val="auto"/>
          <w:spacing w:val="0"/>
          <w:position w:val="0"/>
          <w:sz w:val="24"/>
          <w:shd w:fill="auto" w:val="clear"/>
        </w:rPr>
        <w:tab/>
        <w:t xml:space="preserve">47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18: Uso de Plataformas Digitales</w:t>
      </w:r>
      <w:r>
        <w:rPr>
          <w:rFonts w:ascii="Times New Roman" w:hAnsi="Times New Roman" w:cs="Times New Roman" w:eastAsia="Times New Roman"/>
          <w:color w:val="auto"/>
          <w:spacing w:val="0"/>
          <w:position w:val="0"/>
          <w:sz w:val="24"/>
          <w:shd w:fill="auto" w:val="clear"/>
        </w:rPr>
        <w:tab/>
        <w:t xml:space="preserve">47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19: Uso de Plataformas Digitales - Motivos</w:t>
      </w:r>
      <w:r>
        <w:rPr>
          <w:rFonts w:ascii="Times New Roman" w:hAnsi="Times New Roman" w:cs="Times New Roman" w:eastAsia="Times New Roman"/>
          <w:color w:val="auto"/>
          <w:spacing w:val="0"/>
          <w:position w:val="0"/>
          <w:sz w:val="24"/>
          <w:shd w:fill="auto" w:val="clear"/>
        </w:rPr>
        <w:tab/>
        <w:t xml:space="preserve">48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20: Segmentación por Edades</w:t>
      </w:r>
      <w:r>
        <w:rPr>
          <w:rFonts w:ascii="Times New Roman" w:hAnsi="Times New Roman" w:cs="Times New Roman" w:eastAsia="Times New Roman"/>
          <w:color w:val="auto"/>
          <w:spacing w:val="0"/>
          <w:position w:val="0"/>
          <w:sz w:val="24"/>
          <w:shd w:fill="auto" w:val="clear"/>
        </w:rPr>
        <w:tab/>
        <w:t xml:space="preserve">49</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21: Evaluación del Modelo de Negocio de Acuerdo con la Edad</w:t>
      </w:r>
      <w:r>
        <w:rPr>
          <w:rFonts w:ascii="Times New Roman" w:hAnsi="Times New Roman" w:cs="Times New Roman" w:eastAsia="Times New Roman"/>
          <w:color w:val="auto"/>
          <w:spacing w:val="0"/>
          <w:position w:val="0"/>
          <w:sz w:val="24"/>
          <w:shd w:fill="auto" w:val="clear"/>
        </w:rPr>
        <w:tab/>
        <w:t xml:space="preserve">51</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22: Evaluación del Modelo de Negocio de Acuerdo con la Edad (Muy Dispuesto/Dispuesto)</w:t>
      </w:r>
      <w:r>
        <w:rPr>
          <w:rFonts w:ascii="Times New Roman" w:hAnsi="Times New Roman" w:cs="Times New Roman" w:eastAsia="Times New Roman"/>
          <w:color w:val="auto"/>
          <w:spacing w:val="0"/>
          <w:position w:val="0"/>
          <w:sz w:val="24"/>
          <w:shd w:fill="auto" w:val="clear"/>
        </w:rPr>
        <w:tab/>
        <w:t xml:space="preserve">52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24: Mapa de Empatía</w:t>
      </w:r>
      <w:r>
        <w:rPr>
          <w:rFonts w:ascii="Times New Roman" w:hAnsi="Times New Roman" w:cs="Times New Roman" w:eastAsia="Times New Roman"/>
          <w:color w:val="auto"/>
          <w:spacing w:val="0"/>
          <w:position w:val="0"/>
          <w:sz w:val="24"/>
          <w:shd w:fill="auto" w:val="clear"/>
        </w:rPr>
        <w:tab/>
        <w:t xml:space="preserve">54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25: Método Persona</w:t>
      </w:r>
      <w:r>
        <w:rPr>
          <w:rFonts w:ascii="Times New Roman" w:hAnsi="Times New Roman" w:cs="Times New Roman" w:eastAsia="Times New Roman"/>
          <w:color w:val="auto"/>
          <w:spacing w:val="0"/>
          <w:position w:val="0"/>
          <w:sz w:val="24"/>
          <w:shd w:fill="auto" w:val="clear"/>
        </w:rPr>
        <w:tab/>
        <w:t xml:space="preserve">55</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30: CANVAS del Proyecto</w:t>
      </w:r>
      <w:r>
        <w:rPr>
          <w:rFonts w:ascii="Times New Roman" w:hAnsi="Times New Roman" w:cs="Times New Roman" w:eastAsia="Times New Roman"/>
          <w:color w:val="auto"/>
          <w:spacing w:val="0"/>
          <w:position w:val="0"/>
          <w:sz w:val="24"/>
          <w:shd w:fill="auto" w:val="clear"/>
        </w:rPr>
        <w:tab/>
        <w:t xml:space="preserve">58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31: Logo de la Marca</w:t>
      </w:r>
      <w:r>
        <w:rPr>
          <w:rFonts w:ascii="Times New Roman" w:hAnsi="Times New Roman" w:cs="Times New Roman" w:eastAsia="Times New Roman"/>
          <w:color w:val="auto"/>
          <w:spacing w:val="0"/>
          <w:position w:val="0"/>
          <w:sz w:val="24"/>
          <w:shd w:fill="auto" w:val="clear"/>
        </w:rPr>
        <w:tab/>
        <w:t xml:space="preserve">60</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32: Organigrama</w:t>
      </w:r>
      <w:r>
        <w:rPr>
          <w:rFonts w:ascii="Times New Roman" w:hAnsi="Times New Roman" w:cs="Times New Roman" w:eastAsia="Times New Roman"/>
          <w:color w:val="auto"/>
          <w:spacing w:val="0"/>
          <w:position w:val="0"/>
          <w:sz w:val="24"/>
          <w:shd w:fill="auto" w:val="clear"/>
        </w:rPr>
        <w:tab/>
        <w:t xml:space="preserve">68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Ilustración 33: Diagrama de flujo de una transacción</w:t>
      </w:r>
      <w:r>
        <w:rPr>
          <w:rFonts w:ascii="Times New Roman" w:hAnsi="Times New Roman" w:cs="Times New Roman" w:eastAsia="Times New Roman"/>
          <w:color w:val="auto"/>
          <w:spacing w:val="0"/>
          <w:position w:val="0"/>
          <w:sz w:val="24"/>
          <w:shd w:fill="auto" w:val="clear"/>
        </w:rPr>
        <w:tab/>
        <w:t xml:space="preserve">71</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INDICE DE TABLAS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 Acciones Digitales</w:t>
      </w:r>
      <w:r>
        <w:rPr>
          <w:rFonts w:ascii="Times New Roman" w:hAnsi="Times New Roman" w:cs="Times New Roman" w:eastAsia="Times New Roman"/>
          <w:color w:val="auto"/>
          <w:spacing w:val="0"/>
          <w:position w:val="0"/>
          <w:sz w:val="24"/>
          <w:shd w:fill="auto" w:val="clear"/>
        </w:rPr>
        <w:tab/>
        <w:t xml:space="preserve">67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2: Descripción de Puestos de Trabajo</w:t>
      </w:r>
      <w:r>
        <w:rPr>
          <w:rFonts w:ascii="Times New Roman" w:hAnsi="Times New Roman" w:cs="Times New Roman" w:eastAsia="Times New Roman"/>
          <w:color w:val="auto"/>
          <w:spacing w:val="0"/>
          <w:position w:val="0"/>
          <w:sz w:val="24"/>
          <w:shd w:fill="auto" w:val="clear"/>
        </w:rPr>
        <w:tab/>
        <w:t xml:space="preserve">71</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3: Descripción de las etapas de una transacción</w:t>
      </w:r>
      <w:r>
        <w:rPr>
          <w:rFonts w:ascii="Times New Roman" w:hAnsi="Times New Roman" w:cs="Times New Roman" w:eastAsia="Times New Roman"/>
          <w:color w:val="auto"/>
          <w:spacing w:val="0"/>
          <w:position w:val="0"/>
          <w:sz w:val="24"/>
          <w:shd w:fill="auto" w:val="clear"/>
        </w:rPr>
        <w:tab/>
        <w:t xml:space="preserve">74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4: Investigadores por Area del Conocimiento</w:t>
      </w:r>
      <w:r>
        <w:rPr>
          <w:rFonts w:ascii="Times New Roman" w:hAnsi="Times New Roman" w:cs="Times New Roman" w:eastAsia="Times New Roman"/>
          <w:color w:val="auto"/>
          <w:spacing w:val="0"/>
          <w:position w:val="0"/>
          <w:sz w:val="24"/>
          <w:shd w:fill="auto" w:val="clear"/>
        </w:rPr>
        <w:tab/>
        <w:t xml:space="preserve">76</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5: Becarios por Área del Conocimiento</w:t>
      </w:r>
      <w:r>
        <w:rPr>
          <w:rFonts w:ascii="Times New Roman" w:hAnsi="Times New Roman" w:cs="Times New Roman" w:eastAsia="Times New Roman"/>
          <w:color w:val="auto"/>
          <w:spacing w:val="0"/>
          <w:position w:val="0"/>
          <w:sz w:val="24"/>
          <w:shd w:fill="auto" w:val="clear"/>
        </w:rPr>
        <w:tab/>
        <w:t xml:space="preserve">76</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6: Consumo de Reactivos y Servicios por investigador</w:t>
      </w:r>
      <w:r>
        <w:rPr>
          <w:rFonts w:ascii="Times New Roman" w:hAnsi="Times New Roman" w:cs="Times New Roman" w:eastAsia="Times New Roman"/>
          <w:color w:val="auto"/>
          <w:spacing w:val="0"/>
          <w:position w:val="0"/>
          <w:sz w:val="24"/>
          <w:shd w:fill="auto" w:val="clear"/>
        </w:rPr>
        <w:tab/>
        <w:t xml:space="preserve">77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7: Consumo de Reactivos y Servicios Total de Investigadores</w:t>
      </w:r>
      <w:r>
        <w:rPr>
          <w:rFonts w:ascii="Times New Roman" w:hAnsi="Times New Roman" w:cs="Times New Roman" w:eastAsia="Times New Roman"/>
          <w:color w:val="auto"/>
          <w:spacing w:val="0"/>
          <w:position w:val="0"/>
          <w:sz w:val="24"/>
          <w:shd w:fill="auto" w:val="clear"/>
        </w:rPr>
        <w:tab/>
        <w:t xml:space="preserve">77</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8: Inversión Inicial</w:t>
      </w:r>
      <w:r>
        <w:rPr>
          <w:rFonts w:ascii="Times New Roman" w:hAnsi="Times New Roman" w:cs="Times New Roman" w:eastAsia="Times New Roman"/>
          <w:color w:val="auto"/>
          <w:spacing w:val="0"/>
          <w:position w:val="0"/>
          <w:sz w:val="24"/>
          <w:shd w:fill="auto" w:val="clear"/>
        </w:rPr>
        <w:tab/>
        <w:t xml:space="preserve">78</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9: Gastos Operativos</w:t>
      </w:r>
      <w:r>
        <w:rPr>
          <w:rFonts w:ascii="Times New Roman" w:hAnsi="Times New Roman" w:cs="Times New Roman" w:eastAsia="Times New Roman"/>
          <w:color w:val="auto"/>
          <w:spacing w:val="0"/>
          <w:position w:val="0"/>
          <w:sz w:val="24"/>
          <w:shd w:fill="auto" w:val="clear"/>
        </w:rPr>
        <w:tab/>
        <w:t xml:space="preserve">79</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10: Análisis Proyectado</w:t>
      </w:r>
      <w:r>
        <w:rPr>
          <w:rFonts w:ascii="Times New Roman" w:hAnsi="Times New Roman" w:cs="Times New Roman" w:eastAsia="Times New Roman"/>
          <w:color w:val="auto"/>
          <w:spacing w:val="0"/>
          <w:position w:val="0"/>
          <w:sz w:val="24"/>
          <w:shd w:fill="auto" w:val="clear"/>
        </w:rPr>
        <w:tab/>
        <w:t xml:space="preserve">80</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11: Capital de Trabajo Proyectado</w:t>
      </w:r>
      <w:r>
        <w:rPr>
          <w:rFonts w:ascii="Times New Roman" w:hAnsi="Times New Roman" w:cs="Times New Roman" w:eastAsia="Times New Roman"/>
          <w:color w:val="auto"/>
          <w:spacing w:val="0"/>
          <w:position w:val="0"/>
          <w:sz w:val="24"/>
          <w:shd w:fill="auto" w:val="clear"/>
        </w:rPr>
        <w:tab/>
        <w:t xml:space="preserve">81</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12: Estado de Resultados Proyectado</w:t>
      </w:r>
      <w:r>
        <w:rPr>
          <w:rFonts w:ascii="Times New Roman" w:hAnsi="Times New Roman" w:cs="Times New Roman" w:eastAsia="Times New Roman"/>
          <w:color w:val="auto"/>
          <w:spacing w:val="0"/>
          <w:position w:val="0"/>
          <w:sz w:val="24"/>
          <w:shd w:fill="auto" w:val="clear"/>
        </w:rPr>
        <w:tab/>
        <w:t xml:space="preserve">81</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13: Flujo de Fondos + Valor Residual</w:t>
      </w:r>
      <w:r>
        <w:rPr>
          <w:rFonts w:ascii="Times New Roman" w:hAnsi="Times New Roman" w:cs="Times New Roman" w:eastAsia="Times New Roman"/>
          <w:color w:val="auto"/>
          <w:spacing w:val="0"/>
          <w:position w:val="0"/>
          <w:sz w:val="24"/>
          <w:shd w:fill="auto" w:val="clear"/>
        </w:rPr>
        <w:tab/>
        <w:t xml:space="preserve">82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14: Punto de Equilibrio</w:t>
      </w:r>
      <w:r>
        <w:rPr>
          <w:rFonts w:ascii="Times New Roman" w:hAnsi="Times New Roman" w:cs="Times New Roman" w:eastAsia="Times New Roman"/>
          <w:color w:val="auto"/>
          <w:spacing w:val="0"/>
          <w:position w:val="0"/>
          <w:sz w:val="24"/>
          <w:shd w:fill="auto" w:val="clear"/>
        </w:rPr>
        <w:tab/>
        <w:t xml:space="preserve">82</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15: VAN, TIR y Período de Repago</w:t>
      </w:r>
      <w:r>
        <w:rPr>
          <w:rFonts w:ascii="Times New Roman" w:hAnsi="Times New Roman" w:cs="Times New Roman" w:eastAsia="Times New Roman"/>
          <w:color w:val="auto"/>
          <w:spacing w:val="0"/>
          <w:position w:val="0"/>
          <w:sz w:val="24"/>
          <w:shd w:fill="auto" w:val="clear"/>
        </w:rPr>
        <w:tab/>
        <w:t xml:space="preserve">83</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16: VAN, TIR y Período de Repago Escenario 1</w:t>
      </w:r>
      <w:r>
        <w:rPr>
          <w:rFonts w:ascii="Times New Roman" w:hAnsi="Times New Roman" w:cs="Times New Roman" w:eastAsia="Times New Roman"/>
          <w:color w:val="auto"/>
          <w:spacing w:val="0"/>
          <w:position w:val="0"/>
          <w:sz w:val="24"/>
          <w:shd w:fill="auto" w:val="clear"/>
        </w:rPr>
        <w:tab/>
        <w:t xml:space="preserve">84</w:t>
      </w:r>
    </w:p>
    <w:p>
      <w:pPr>
        <w:tabs>
          <w:tab w:val="right" w:pos="9350" w:leader="dot"/>
        </w:tabs>
        <w:spacing w:before="0" w:after="0" w:line="240"/>
        <w:ind w:right="0" w:left="0" w:firstLine="0"/>
        <w:jc w:val="left"/>
        <w:rPr>
          <w:rFonts w:ascii="Cambria" w:hAnsi="Cambria" w:cs="Cambria" w:eastAsia="Cambria"/>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Tabla 17: VAN, TIR y Período de Repago Escenario 2</w:t>
      </w:r>
      <w:r>
        <w:rPr>
          <w:rFonts w:ascii="Times New Roman" w:hAnsi="Times New Roman" w:cs="Times New Roman" w:eastAsia="Times New Roman"/>
          <w:color w:val="auto"/>
          <w:spacing w:val="0"/>
          <w:position w:val="0"/>
          <w:sz w:val="24"/>
          <w:shd w:fill="auto" w:val="clear"/>
        </w:rPr>
        <w:tab/>
        <w:t xml:space="preserve">85</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48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INTRODUCCIÓN </w:t>
      </w:r>
    </w:p>
    <w:p>
      <w:pPr>
        <w:keepNext w:val="true"/>
        <w:keepLines w:val="true"/>
        <w:numPr>
          <w:ilvl w:val="0"/>
          <w:numId w:val="35"/>
        </w:numPr>
        <w:spacing w:before="200" w:after="120" w:line="240"/>
        <w:ind w:right="0" w:left="714" w:hanging="357"/>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Justificación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 observar el contexto actual de la investigación científica en Argentina vemos que la misma se encuentra principalmente sostenida con recursos del Estado Nacional, y que un gran porcentaje de los mismos se destinan a las ciencias aplicadas. (Ilustración 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 Inversión en I+D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563" w:dyaOrig="5147">
          <v:rect xmlns:o="urn:schemas-microsoft-com:office:office" xmlns:v="urn:schemas-microsoft-com:vml" id="rectole0000000001" style="width:428.150000pt;height:25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Página web del Ministerio de Ciencia, Tecnología e Innovación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Debido a las sucesivas crisis económicas que ha vivido nuestro país en los últimos años, y centrándonos en los niveles de inflación y devaluación, como puede observarse en las ilustraciones 2 y 3, y sus efectos negativos sobre el financiamiento de la investigación científica,  correctamente expuestos en los artículos “Devaluación e inflación ahogan a ciencia argentina” publicado en junio de 2018  y AMÉRICA LATINA: LA INFLACIÓN ESTÁ DESINFLANDO LA CIENCIA” publicado en Octubre de 2022 , ambos en el sitio web SciNetDev en su edición para América Latina, podemos concluir que a un investigador del campo de las ciencias biológicas y químicas le es cada vez más costoso adquirir reactivos y equipos para desarrollar sus proyectos. A ello se suma el hecho de que la mayor parte de dichos insumos son importados y se comercializan en Argentina en dólares estadounidenses, según la información recogida de las principales empresas proveedoras del sector.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 Tipo de Cambio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563" w:dyaOrig="3291">
          <v:rect xmlns:o="urn:schemas-microsoft-com:office:office" xmlns:v="urn:schemas-microsoft-com:vml" id="rectole0000000002" style="width:428.150000pt;height:164.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Datos.gob.ar (2023)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https://www.datos.gob.ar/series/api</w:t>
        </w:r>
      </w:hyperlink>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3: Índice de Precios al Consumidor (IPC)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496" w:dyaOrig="3551">
          <v:rect xmlns:o="urn:schemas-microsoft-com:office:office" xmlns:v="urn:schemas-microsoft-com:vml" id="rectole0000000003" style="width:424.800000pt;height:177.5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Datos.gob.ar (2023) </w:t>
      </w:r>
      <w:hyperlink xmlns:r="http://schemas.openxmlformats.org/officeDocument/2006/relationships" r:id="docRId9">
        <w:r>
          <w:rPr>
            <w:rFonts w:ascii="Times New Roman" w:hAnsi="Times New Roman" w:cs="Times New Roman" w:eastAsia="Times New Roman"/>
            <w:color w:val="0000FF"/>
            <w:spacing w:val="0"/>
            <w:position w:val="0"/>
            <w:sz w:val="24"/>
            <w:u w:val="single"/>
            <w:shd w:fill="auto" w:val="clear"/>
          </w:rPr>
          <w:t xml:space="preserve">https://www.datos.gob.ar/series/api</w:t>
        </w:r>
      </w:hyperlink>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es de público conocimiento que las Normas que regulan  las importaciones en la República Argentina se ven afectadas por la coyuntura macroeconómica del país y la disponibilidad de reservas en dólares estadounidenses por parte del  Banco Central, como puede verse en los artículos publicados en los sitio web “iPROFESIONAL” </w:t>
      </w:r>
      <w:r>
        <w:rPr>
          <w:rFonts w:ascii="Cambria" w:hAnsi="Cambria" w:cs="Cambria" w:eastAsia="Cambria"/>
          <w:color w:val="auto"/>
          <w:spacing w:val="0"/>
          <w:position w:val="0"/>
          <w:sz w:val="24"/>
          <w:shd w:fill="auto" w:val="clear"/>
        </w:rPr>
        <w:t xml:space="preserve">,  “Bloomberg Línea” </w:t>
      </w:r>
      <w:r>
        <w:rPr>
          <w:rFonts w:ascii="Times New Roman" w:hAnsi="Times New Roman" w:cs="Times New Roman" w:eastAsia="Times New Roman"/>
          <w:color w:val="auto"/>
          <w:spacing w:val="0"/>
          <w:position w:val="0"/>
          <w:sz w:val="24"/>
          <w:shd w:fill="auto" w:val="clear"/>
        </w:rPr>
        <w:t xml:space="preserve"> ) y “BANCO CENTRAL DE LA REPÚBLICA ARGENTINA” – Publicaciones Estadísticas - Principales Variables -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los últimos años ha habido un importante auge de las plataformas digitales. Dentro de los distintos tipos de plataformas podemos encontrar aquellas abocadas al comercio electrónico como ser Mercado Libre, y otras más especializadas que permiten satisfacer las necesidades de un grupo específico de usuarios.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desarrollo de una plataforma tecnológica que permita conectar investigadores del campo de las ciencias biológicas y químicas que tengan necesidad de adquirir un reactivo o servicio para poder avanzar en su proyecto de investigación con otros que tengan la posibilidad de proveerlo constituiría una posible solución a los problemas mencionados anteriormente.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pregunta de investigación sería:</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¿Cómo se podría evaluar la viabilidad y rentabilidad económica de una plataforma tecnológica que conecte investigadores y promueva la compraventa de reactivos y servicios en Argentina, y cuyo objetivo final sea maximizar los recursos económicos de este grupo de estudio?</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43"/>
        </w:numPr>
        <w:spacing w:before="200" w:after="0" w:line="240"/>
        <w:ind w:right="0" w:left="720" w:hanging="36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 Objetivos</w:t>
      </w:r>
    </w:p>
    <w:p>
      <w:pPr>
        <w:keepNext w:val="true"/>
        <w:keepLines w:val="true"/>
        <w:numPr>
          <w:ilvl w:val="0"/>
          <w:numId w:val="43"/>
        </w:numPr>
        <w:spacing w:before="200" w:after="120" w:line="240"/>
        <w:ind w:right="0" w:left="1077" w:hanging="72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Objetivo general</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Desarrollar un plan de negocios para la puesta en funcionamiento de una plataforma tecnológica del tipo C2C que conecte investigadores, y promueva la compraventa de reactivos y servicios, en Argentina.</w:t>
      </w:r>
    </w:p>
    <w:p>
      <w:pPr>
        <w:keepNext w:val="true"/>
        <w:keepLines w:val="true"/>
        <w:numPr>
          <w:ilvl w:val="0"/>
          <w:numId w:val="46"/>
        </w:numPr>
        <w:spacing w:before="200" w:after="120" w:line="240"/>
        <w:ind w:right="0" w:left="1077" w:hanging="72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Objetivos específicos</w:t>
      </w:r>
    </w:p>
    <w:p>
      <w:pPr>
        <w:numPr>
          <w:ilvl w:val="0"/>
          <w:numId w:val="46"/>
        </w:numPr>
        <w:spacing w:before="0" w:after="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Investigar el sector, preferencias de usuarios e identificar usuarios clave.</w:t>
      </w:r>
    </w:p>
    <w:p>
      <w:pPr>
        <w:numPr>
          <w:ilvl w:val="0"/>
          <w:numId w:val="4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el modelo de negocio y la propuesta de valor. </w:t>
      </w:r>
    </w:p>
    <w:p>
      <w:pPr>
        <w:numPr>
          <w:ilvl w:val="0"/>
          <w:numId w:val="4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Analizar costos y retorno de la inversión del plan de negocio.</w:t>
      </w:r>
    </w:p>
    <w:p>
      <w:pPr>
        <w:keepNext w:val="true"/>
        <w:keepLines w:val="true"/>
        <w:numPr>
          <w:ilvl w:val="0"/>
          <w:numId w:val="46"/>
        </w:numPr>
        <w:spacing w:before="200" w:after="120" w:line="240"/>
        <w:ind w:right="0" w:left="714" w:hanging="357"/>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0"/>
          <w:position w:val="0"/>
          <w:sz w:val="26"/>
          <w:shd w:fill="auto" w:val="clear"/>
        </w:rPr>
        <w:t xml:space="preserve">Metodología de la Investigación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investigación tendrá un enfoque mixto, es decir, tomará tanto aspectos cualitativos como cuantitativos.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el análisis de la realidad actual en cuanto al contexto macro y microeconómico, y el acceso al financiamiento público-privado en el segmento de investigación científica en Argentina, y entrevistas a investigadores en ciencias biológicas y químicas, se intentará comprender cuáles son sus principales necesidades y expectativas.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Luego se apelará al uso de encuestas que permitirán conocer el grado de aceptación y percepción de valor de la propuesta por parte de la población objetivo.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una etapa inicial, la investigacion será de carácter exploratorio, con foco en la recolección de datos a través de entrevistas individuales primero, y luego encuestas a investigadores.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objetivo será medir el grado de aceptación de la idea de formar parte de una plataforma digital de comercio electrónico del tipo C2C o P2P.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se evaluará por medio de encuestas la probabilidad de uso de esta plataforma para la compraventa de productos y servicios.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unidad de análisis en este caso serán personas, más específicamente investigadores y ex investigadores en ciencias biológicas y químicas, y la muestra será del tipo no probabilístico. La recolección de datos se realizará a través de entrevistas y encuestas en Google Forms.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decisión de que la muestra sea no probabilística se debe a que no cualquier investigador va a estar dispuesto a participar de una entrevista o encuesta.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Pasada la etapa exploratoria y partiendo de una probabilidad aceptable de uso de la plataforma, se adoptará un tipo de investigación más descriptivo con el armado del modelo y plan de negocios que incluirá objetivos, estrategias, recursos y proyecciones.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365F91"/>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CAPÍTULO 1: MARCO TEÓRICO</w:t>
      </w:r>
      <w:r>
        <w:rPr>
          <w:rFonts w:ascii="Times New Roman" w:hAnsi="Times New Roman" w:cs="Times New Roman" w:eastAsia="Times New Roman"/>
          <w:b/>
          <w:color w:val="365F91"/>
          <w:spacing w:val="0"/>
          <w:position w:val="0"/>
          <w:sz w:val="28"/>
          <w:shd w:fill="auto" w:val="clear"/>
        </w:rPr>
        <w:tab/>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propósito del presente proyecto es desarrollar un plan de negocios que permita la puesta en funcionamiento de una plataforma tecnológica para la compraventa de reactivos químicos y biológicos, y diversos tipos de servicios rentados como préstamo de equipos, análisis de muestras, desarrollo de técnicas, conectando investigadores que tengan necesidad de estos productos y/o servicios con otros que tengan la posibilidad de ofrecerlos</w:t>
      </w:r>
      <w:r>
        <w:rPr>
          <w:rFonts w:ascii="Times New Roman" w:hAnsi="Times New Roman" w:cs="Times New Roman" w:eastAsia="Times New Roman"/>
          <w:b/>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 plataforma seguiría un modelo de negocio del tipo peer-to-peer o C2C Marketplace, en el cual compradores y vendedores, en este caso investigadores, interactuarían a través del comercio de productos tanto nuevos como usados, y ofreciendo distintos tipos de servicios.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52"/>
        </w:numPr>
        <w:spacing w:before="200" w:after="120" w:line="240"/>
        <w:ind w:right="0" w:left="714" w:hanging="357"/>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Plataformas Tecnológicas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proceso de encontrar nuevas oportunidades de negocio en el campo digital implica una cuidadosa consideración de los productos y servicios actuales en el mercado objetivo, y el papel que cumplen las tecnologías digitales en su provisión. Todo esto debe ser considerado desde el punto de vista del cliente, entendiendo sus necesidades y encontrando una respuesta a cómo la digitalización de productos y servicios actuales puede mejorar la capacidad de una empresa para satisfacer sus demandas. En particular, esto implica comprender los modelos comerciales presentes actualmente en el mercado y que generan valor, así como también considerar nuevas alternativas de modelos de negocio que agregarían aún más valor a los clientes.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muy importante prestar particular atención al tamaño del mercado (potencial) a la hora de considerar una oportunidad digital. Antes de empezar a considerar los beneficios de la oportunidad, debe quedar en claro que habrá una demanda razonable para el producto o servicio. Además, los responsables de desarrollar el negocio deben evaluar si pueden entregar el valor necesario de este producto en función de sus recursos.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han encontrado en la literatura distintas clasificaciones de plataformas digitales que varían de acuerdo con el autor. Una de ellas identifica 3 grupos: plataformas orientadas a transacciones, plataformas orientadas a la innovación y plataformas híbridas. Las plataformas orientadas a transacciones, generalmente denominadas “marketplaces”, ofrecen una configuración que permite unir personas que participan en la creación de la oferta con otras que son las que crean la demanda, con el objetivo de realizar transacciones por diferentes montos de dinero. La plataforma en sí no participa de las transacciones individuales, sino que solamente crea el entorno para que esto ocurra, a través de mecanismos y funcionalidades definidos. La principal propuesta de valor de este tipo de plataformas es facilitar y simplificar el encuentro entre los actores mencionados, con la premisa de reducir significativamente los costos de la transacción. Esto significa que la plataforma, a través de su papel como único punto de contacto, combina la oferta y la demanda de manera más eficiente, lo cual no sería posible sin la presencia de dicha plataforma. Como ejemplos de empresas que operan plataformas de transacciones se pueden mencionar eBay (artículos usados), SoundCloud (archivos de audio) o Deliveroo (entregas de comida).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w:t>
      </w:r>
      <w:r>
        <w:rPr>
          <w:rFonts w:ascii="Times New Roman" w:hAnsi="Times New Roman" w:cs="Times New Roman" w:eastAsia="Times New Roman"/>
          <w:b/>
          <w:color w:val="auto"/>
          <w:spacing w:val="0"/>
          <w:position w:val="0"/>
          <w:sz w:val="24"/>
          <w:shd w:fill="auto" w:val="clear"/>
        </w:rPr>
        <w:t xml:space="preserve">Cusumano et al</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las plataformas orientadas a transacciones generalmente crean y entregan valor facilitando la compraventa de bienes y servicios o posibilitando otro tipo de interacciones como permitir a los usuarios crear y compartir contenido. Las firmas que poseen este tipo de plataformas capturan valor principalmente mediante el cobro de tarifas por transacción. cobrando por publicidad, o ambos.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4: Plataformas Digitales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239" w:dyaOrig="4409">
          <v:rect xmlns:o="urn:schemas-microsoft-com:office:office" xmlns:v="urn:schemas-microsoft-com:vml" id="rectole0000000004" style="width:311.950000pt;height:220.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Cusumano et al (2019)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Gennaro Cuofano plantea un mapa de Modelos de Negocios Digitales (Ilustración 5) dentro del cual, el que más se ajustaría al proyecto sería el de Peer-to-Peer (P2P), two sided Marketplace. El mismo consiste en una plataforma en línea que conecta personas que quieren vender un producto o servicio con otras que precisan de ese producto o servicio. El objetivo del sitio web es simplemente ayudar a que estos dos grupos de gente se puedan encontrar unos a otros. Estos sitios se ocupan también de los pagos y ayudan a construir confianza entre las partes.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modelos P2P no necesitan invertir dinero en poseer ni suministrar ninguno de los productos o servicios ofrecidos en sus plataformas. Esto los hace visiblemente más baratos para iniciar un negocio de este tipo.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Además de Airbnb, otros ejemplos de empresas famosas incluyen el sitio web de venta de productos Etsy y la aplicación Uber. Casi cualquier producto o servicio se puede vender a través de una plataforma P2P.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5: Modelos de Negocio Digitales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501" w:dyaOrig="4556">
          <v:rect xmlns:o="urn:schemas-microsoft-com:office:office" xmlns:v="urn:schemas-microsoft-com:vml" id="rectole0000000005" style="width:325.050000pt;height:227.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Cuofano, G. (2022)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Rogers en su libro “The Digital Trnasformation Playbook” habla de cuatro tipos distintos de plataformas: Intercambio o Marketplaces (Ej. eBay). Sistemas de Transacción (Ej. PayPal), Medios Financiados por Publicidad (Ej. Facebook) y Estándares para Software/Hardware (Ej PlayStation).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Tecnologías digitales tales como la Web, computación en la nube a demanda o APIs (interfases de aplicación) están impulsando cuatro elementos claves de las plataformas: procesos de adquisición de clientes cada vez más sencillos, crecimiento escalable, velocidad y acceso a demanda, y confiabilidad.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“Marketplace” es una plataforma donde compradores y vendedores interactúan y realizan transacciones. La plataforma actúa como un mercado que generará ingresos a través del cobro de tarifas a una o todas las partes involucradas en la transacción. Por lo general, los mercados se pueden clasificar de diversas maneras, como aquellos que venden productos en función de los que venden servicios, o aquellos que conectan a compradores y vendedores del tipo B2B, B2C o C2C. Y esos mercados que conectan dos actores principales, o más.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6: Modelos de Negocio del Tipo Marketplace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393" w:dyaOrig="4682">
          <v:rect xmlns:o="urn:schemas-microsoft-com:office:office" xmlns:v="urn:schemas-microsoft-com:vml" id="rectole0000000006" style="width:319.650000pt;height:234.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Cuofano, G. (2023)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https://fourweekmba.com/peer-to-peer-economy/</w:t>
        </w:r>
      </w:hyperlink>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modelo de negocio C2C describe un ambiente de mercado en el que un cliente le compra a otro en una plataforma creada por un tercero, que tiene la facultad de manejar la transacción. Bajo el modelo C2C, tanto el vendedor como el comprador son considerados consumidores. Consumidor-a-consumidor (C2C) es, por lo tanto, un modelo de negocio donde los consumidores compran y venden directamente entre ellos. C2C se ha convertido en un modelo comercial que ha tomado mucha preponderancia últimamente, especialmente porque el uso de estos modelos en la web ha ayudado a reducir y hasta eliminar la intermediación en numerosas industrias.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7: Modelos de Negocio C2C</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object w:dxaOrig="6691" w:dyaOrig="4962">
          <v:rect xmlns:o="urn:schemas-microsoft-com:office:office" xmlns:v="urn:schemas-microsoft-com:vml" id="rectole0000000007" style="width:334.550000pt;height:248.1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7" ShapeID="rectole0000000007" r:id="docRId17"/>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Cuofano, G.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mayoría de las plataformas C2C ganan dinero cobrando a los vendedores una tarifa por los productos ofrecidos o recibiendo una pequeña comisión por cada transacción exitosa.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Algunos ejemplos de estas plataformas incluyen:</w:t>
      </w:r>
    </w:p>
    <w:p>
      <w:pPr>
        <w:numPr>
          <w:ilvl w:val="0"/>
          <w:numId w:val="6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Plataformas de intercambio de bienes:</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Conecta a compradores y vendedores que buscan intercambiar bienes físicos. Algunas de estas plataformas existen en forma de sitio web y aplicaciones, y permiten que ambas partes completen la transacción persona a persona. Como ejemplos se pueden mencionar eBay y Etsy. </w:t>
      </w:r>
    </w:p>
    <w:p>
      <w:pPr>
        <w:numPr>
          <w:ilvl w:val="0"/>
          <w:numId w:val="6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Plataformas de intercambio de servicios:</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tipo de plataformas, compradores y vendedores se unen para intercambiar servicios que tienen un costo. Plataformas freelance como Fiverr, Upwork, y 99designs son ejemplos comúnmente citados. Sin embargo, también hay plataformas que venden servicios de paseo de perros, cuidado de casas y empleo. </w:t>
      </w:r>
    </w:p>
    <w:p>
      <w:pPr>
        <w:numPr>
          <w:ilvl w:val="0"/>
          <w:numId w:val="6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Plataformas de subasta:</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Aquí, los vendedores ofrecen sus productos a un precio mínimo y permiten a los compradores hacer una oferta por ellos durante un período de tiempo determinado. Plataformas de subasta como eBay ofrecen una variedad de productos, mientras que otros son más especializados. Por ejemplo, Sotheby's es conocido por artículos de colección y de lujo, mientras que Copart vende vehículos usados y al por mayor.</w:t>
      </w:r>
    </w:p>
    <w:p>
      <w:pPr>
        <w:numPr>
          <w:ilvl w:val="0"/>
          <w:numId w:val="6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Plataformas de pago</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Estas plataformas C2C existen para facilitar las transacciones monetarias entre el comprador y el vendedor, y muchas también cobran una pequeña tarifa cuando los vendedores transfieren ganancias a sus cuentas bancarias. Como ejemplos podemos mencionar Stripe, PayPaly Payoneer.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Fortalezas y desafíos del modelo de negocio C2C</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Son numerosos los beneficios para compradores y vendedores que adhieren al modelo C2C:</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Mayor rentabilidad</w:t>
      </w:r>
      <w:r>
        <w:rPr>
          <w:rFonts w:ascii="Times New Roman" w:hAnsi="Times New Roman" w:cs="Times New Roman" w:eastAsia="Times New Roman"/>
          <w:color w:val="auto"/>
          <w:spacing w:val="0"/>
          <w:position w:val="0"/>
          <w:sz w:val="24"/>
          <w:shd w:fill="auto" w:val="clear"/>
        </w:rPr>
        <w:t xml:space="preserve"> – el modelo es atractivo para los vendedores porque evitan muchos de los costos asociados con el alquiler, poseer un sitio web, junto con el marketing y la distribución. Por ejemplo, un autónomo puede crear una cuenta gratis en una plataforma de servicios y comenzar a atraer clientes casi de inmediato.</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Mayor base de clientes</w:t>
      </w:r>
      <w:r>
        <w:rPr>
          <w:rFonts w:ascii="Times New Roman" w:hAnsi="Times New Roman" w:cs="Times New Roman" w:eastAsia="Times New Roman"/>
          <w:color w:val="auto"/>
          <w:spacing w:val="0"/>
          <w:position w:val="0"/>
          <w:sz w:val="24"/>
          <w:shd w:fill="auto" w:val="clear"/>
        </w:rPr>
        <w:t xml:space="preserve"> – Los comerciantes en línea también pueden vender sus productos a una gran audiencia en línea donde existe una demanda de artículos de nicho o menos populares. En la mayoría de los casos, el comerciante también obtiene acceso a la base de usuarios de la plataforma C2C cuando se registra para obtener una cuenta.</w:t>
      </w:r>
    </w:p>
    <w:p>
      <w:pPr>
        <w:numPr>
          <w:ilvl w:val="0"/>
          <w:numId w:val="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Credibilidad</w:t>
      </w:r>
      <w:r>
        <w:rPr>
          <w:rFonts w:ascii="Times New Roman" w:hAnsi="Times New Roman" w:cs="Times New Roman" w:eastAsia="Times New Roman"/>
          <w:color w:val="auto"/>
          <w:spacing w:val="0"/>
          <w:position w:val="0"/>
          <w:sz w:val="24"/>
          <w:shd w:fill="auto" w:val="clear"/>
        </w:rPr>
        <w:t xml:space="preserve"> – un inconveniente de los modelos de negocio cliente-a-cliente es el potencial de que existan transacciones fraudulentas por parte de vendedores no probados. Muchos vendedores que no tienen un historial comprobado pueden aprovechar la reputación de una plataforma C2C para construir reseñas positivas de los clientes y establecer una reputación de esa manera.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Puntos clave:</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modelo de negocio C2C permite a los consumidores comprar y vender directamente entre ellos. Esta estrategia se ha vuelto muy popular gracias a los avances en la tecnología de comercio electrónico y la economía colaborativa.</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plataformas cliente-a-cliente incluyen plataformas de intercambio de bienes, plataformas de intercambio de servicios, plataformas de subasta y plataformas de pago. Las terceras partes facilitadoras del proceso obtienen ingresos cobrando una tarifa por publicación, transacción o retiro. </w:t>
      </w:r>
    </w:p>
    <w:p>
      <w:pPr>
        <w:numPr>
          <w:ilvl w:val="0"/>
          <w:numId w:val="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modelo C2C reduce los sobrecostos y aumenta la rentabilidad para los vendedores. El acceso a una amplia audiencia en línea permite a los vendedores encontrar un mercado para artículos de nicho o artículos que de otro modo no viable su venta en una tienda física. Los compradores pueden realizar transacciones a través de plataformas C2C establecidas para reducir el potencial de transacciones fraudulentas.</w:t>
      </w: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76"/>
        </w:numPr>
        <w:spacing w:before="200" w:after="120" w:line="240"/>
        <w:ind w:right="0" w:left="714" w:hanging="357"/>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Rentabilidad de las Plataformas Tecnológicas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tomamos como ejemplo eBay, una empresa cuya operación se basa en un Modelo de Negocios de Plataformas del tipo peer-to-peer o C2C, y analizamos los resultados financieros de los últimos cuatro años, observamos que, excepto por el año 2022, la empresa cuenta con números muy sólidos. Obtuvo un resultado negativo en el año 2022, pero evidencia una recuperación desde finales del año 2022 y principios de 2023 (Ilustraciones 8 y 9)</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8: Estado de Resultados eBay 2019-2022</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object w:dxaOrig="8149" w:dyaOrig="4536">
          <v:rect xmlns:o="urn:schemas-microsoft-com:office:office" xmlns:v="urn:schemas-microsoft-com:vml" id="rectole0000000008" style="width:407.450000pt;height:226.8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8" ShapeID="rectole0000000008" r:id="docRId19"/>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investing.com</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9: Estado de Resultados eBay 2022-2023</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object w:dxaOrig="8148" w:dyaOrig="4366">
          <v:rect xmlns:o="urn:schemas-microsoft-com:office:office" xmlns:v="urn:schemas-microsoft-com:vml" id="rectole0000000009" style="width:407.400000pt;height:218.3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9" ShapeID="rectole0000000009" r:id="docRId21"/>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investing.com</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2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empresa mencionada en la bibliografía es Etsy Inc, Sus resultados financieros se muestran a continuación y son similares a los de eBay (Ilustraciones 10 y 11).</w:t>
      </w: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10: Estado de Resultados Etsy Inc.  2019-2022</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object w:dxaOrig="8146" w:dyaOrig="4274">
          <v:rect xmlns:o="urn:schemas-microsoft-com:office:office" xmlns:v="urn:schemas-microsoft-com:vml" id="rectole0000000010" style="width:407.300000pt;height:213.7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0" ShapeID="rectole0000000010" r:id="docRId23"/>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investing.com</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11: Estado de Resultados Etsy Inc. 2022-2023</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object w:dxaOrig="8167" w:dyaOrig="5013">
          <v:rect xmlns:o="urn:schemas-microsoft-com:office:office" xmlns:v="urn:schemas-microsoft-com:vml" id="rectole0000000011" style="width:408.350000pt;height:250.6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1" ShapeID="rectole0000000011" r:id="docRId25"/>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investing.com</w:t>
      </w:r>
    </w:p>
    <w:p>
      <w:pPr>
        <w:keepNext w:val="true"/>
        <w:keepLines w:val="true"/>
        <w:numPr>
          <w:ilvl w:val="0"/>
          <w:numId w:val="87"/>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El Comercio Electrónico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República Argentina no cuenta con una normativa jurídica orgánica con relación al comercio electrónico. Sin embargo, sobre aspectos en particular como: 1) libertad de contenidos (Decreto 1279/97 y Ley 26032 del 16.06.2005); 2) firma digital (principalmente, Ley 25506 de Firma Digital y Decreto 2628/2002) 3) dominios de Internet (Resolución 2226/2000 – MRE - Registro Dominio Internet, Acta de Modificación Reglas NIC-Argentina del 29.10.2001); 4) Proveedores de Servicios de Internet (Ley 25.690 – Obligaciones de las Empresas ISP de ofrecer software de protección que impida al acceso a sitios específicos, Ley 25873 - Sobre prestadores de servicios de telecomunicación), 5) protección del consumidor (Resolución 104/05 - SCT - Secretaría de Coordinación Técnica del Ministerio de Economía y Producción de la Nación - que incorpora la Resolución MERCOSUR relativa al Derecho de Información del Consumidor en las Transacciones Comerciales efectuadas a través de Internet); contrataciones públicas electrónicas (Decreto 1023/01 ) y 6) delitos informáticos (Modificaciones aprobadas por ley al Código Penal el 4 de junio 2008), entre otras.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la página web de estadísticas de la CACE (Cámara Argentina de Comercio Electrónico), el Estudio Mid Term de Comercio Electrónico en Argentina arrojó la siguiente información:</w:t>
      </w:r>
    </w:p>
    <w:p>
      <w:pPr>
        <w:numPr>
          <w:ilvl w:val="0"/>
          <w:numId w:val="8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industria de los negocios digitales del país facturó $2.459.030 millones de pesos, lo que representa un incremento del 125% con respecto al mismo período del año anterior.</w:t>
      </w:r>
    </w:p>
    <w:p>
      <w:pPr>
        <w:numPr>
          <w:ilvl w:val="0"/>
          <w:numId w:val="8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medios de pago, la tarjeta de crédito sigue manteniendo su importancia predominante, tal es así que un 75% de los usuarios consultados la eligen como medio de pago.</w:t>
      </w:r>
    </w:p>
    <w:p>
      <w:pPr>
        <w:numPr>
          <w:ilvl w:val="0"/>
          <w:numId w:val="8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referencia a la logística, el envío a domicilio continúa manteniendo su liderazgo siendo elegida por el 67% de los consumidores, cifra que coincide con el estudio MID 2022. Le sigue el retiro en punto de venta con un 25% y retiro en el correo con un 5%.</w:t>
      </w: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91"/>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Desarrollo de la Plataforma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mucho tiempo, la principal barrera para la puesta en marcha de un Marketplace del tipo P2P o C2C ha sido la complejidad que traía aparejada la construcción de un sitio que pudiese manejar tanto a compradores como a vendedores. El desarrollo era extremadamente costoso y requería de mucho tiempo, y un equipo de desarrolladores altamente calificados.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Pero la tecnología ha avanzado rápidamente en los últimos años, y ya no se necesita armar una plataforma desde cero, existen empresas dedicadas a desarrollar variedad de modelos de negocios digitales.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ejemplo se puede mencionar a la empresa Sharetribe, que ayuda a los emprendedores a lanzar sus propias plataformas P2P/C2C.  Sharetribe ofrece un software que permite diseñar una solución del tipo “Marketplace” de manera rápida y sencilla para diferentes aplicaciones, que van desde sitios para aquellos amantes de la miel (https://plateforme.laplateformedumiel.fr/) hasta experiencias de pesca (</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https://fishmyspot.com/</w:t>
        </w:r>
      </w:hyperlink>
      <w:r>
        <w:rPr>
          <w:rFonts w:ascii="Times New Roman" w:hAnsi="Times New Roman" w:cs="Times New Roman" w:eastAsia="Times New Roman"/>
          <w:color w:val="auto"/>
          <w:spacing w:val="0"/>
          <w:position w:val="0"/>
          <w:sz w:val="24"/>
          <w:shd w:fill="auto" w:val="clear"/>
        </w:rPr>
        <w:t xml:space="preserve">). Si bien se puede comenzar a construir una plataforma básica sin cargo, la empresa recomienda contratar los servicios de un desarrollador profesional.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alternativa es </w:t>
      </w:r>
      <w:r>
        <w:rPr>
          <w:rFonts w:ascii="Times New Roman" w:hAnsi="Times New Roman" w:cs="Times New Roman" w:eastAsia="Times New Roman"/>
          <w:color w:val="000000"/>
          <w:spacing w:val="0"/>
          <w:position w:val="0"/>
          <w:sz w:val="24"/>
          <w:shd w:fill="auto" w:val="clear"/>
        </w:rPr>
        <w:t xml:space="preserve">contactar </w:t>
      </w:r>
      <w:r>
        <w:rPr>
          <w:rFonts w:ascii="Times New Roman" w:hAnsi="Times New Roman" w:cs="Times New Roman" w:eastAsia="Times New Roman"/>
          <w:color w:val="auto"/>
          <w:spacing w:val="0"/>
          <w:position w:val="0"/>
          <w:sz w:val="24"/>
          <w:shd w:fill="auto" w:val="clear"/>
        </w:rPr>
        <w:t xml:space="preserve">empresas que hagan el desarrollo “llave en mano” de la página web y plataforma C2C. Existen en el mercado diversos jugadores, uno de ellos se llama eGrove Systems, y se trata de una organización líder en el desarrollo de productos de transformación digital con sede en Nueva Jersey, Estados Unidos. Dan soporte a todo tipo de empresas, incluyendo start ups, desarrollando aplicaciones, como ser software, páginas web o Marketplace, de manera rápida y a bajo costo, utilizando servicios de tecnología de punta. Se puede mencionar también a Hyperlink Infosystem, empresa con base en Ahmedabad, India, que ofrece una variedad de soluciones como ser desarrollo de aplicaciones móviles, páginas web, e-commerce.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93"/>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Plan de Negocios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plan de negocios es un documento, escrito de manera clara y precisa, en el que se describen las consideraciones relacionadas con la puesta en marcha del negocio.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objetivos de un plan de negocios son: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Identificar la naturaleza y el contexto de la oportunidad de negocios, es decir, ¿por qué existe una oportunidad así?</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Presentar el método que el emprendedor piensa adoptar para aprovechar dicha oportunidad.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Reconocer los factores que determinarán si esta nueva iniciativa de negocios tendrá éxito.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resumen, el plan de negocios ayuda a organizar las ideas y detallar que se desea hacer y que se necesita para desarrollar e implementar una idea de negocio. .</w:t>
      </w:r>
    </w:p>
    <w:p>
      <w:pPr>
        <w:keepNext w:val="true"/>
        <w:keepLines w:val="true"/>
        <w:numPr>
          <w:ilvl w:val="0"/>
          <w:numId w:val="95"/>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Análisis de la Oferta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plan de negocios requiere de un análisis estratégico de la oferta. Las herramientas por utilizar para este fin son el análisis de PESTEL, la Cruz de Porter y la Matriz FODA. Estos instrumentos de diagnóstico son de público conocimiento, por lo cual no se considera pertinente efectuar un desarrollo teórico de los mismos.</w:t>
      </w:r>
    </w:p>
    <w:p>
      <w:pPr>
        <w:keepNext w:val="true"/>
        <w:keepLines w:val="true"/>
        <w:numPr>
          <w:ilvl w:val="0"/>
          <w:numId w:val="97"/>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Análisis de la Demanda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través de un proceso de observación de la dinámica del mercado, complementado con entrevistas y encuestas, se puede analizar la demanda. El estudio de la demanda permite entender cuál es la cantidad de producto o servicio que el comprador está dispuesto a adquirir a un determinado precio para satisfacer una necesidad.</w:t>
      </w:r>
    </w:p>
    <w:p>
      <w:pPr>
        <w:keepNext w:val="true"/>
        <w:keepLines w:val="true"/>
        <w:numPr>
          <w:ilvl w:val="0"/>
          <w:numId w:val="99"/>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Propuesta de Valor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el análisis de la Propuesta de Valor se introducen conceptos de la Metodología de Trabajo Design Thinking. Tim Brown, ideólogo de esta, explica que es un enfoque centrado en el ser humano hacia la innovación, que toma el conjunto de herramientas del diseñador para integrarlas a las necesidades de la gente, las posibilidades de la tecnología, y los requerimientos de un negocio para que sea exitoso.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lo expone claramente la Ilustración 12, Design Thinking se encuentra en la intersección entre el deseo de llevar a cabo un proyecto debido a que se encontró una oportunidad de negocio, la factibilidad de realizarlo porque se cuenta con los medios, la tecnología y los recursos, y la viabilidad económica.</w:t>
      </w:r>
    </w:p>
    <w:p>
      <w:pPr>
        <w:keepNext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12: Design Thinking</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2467" w:dyaOrig="2784">
          <v:rect xmlns:o="urn:schemas-microsoft-com:office:office" xmlns:v="urn:schemas-microsoft-com:vml" id="rectole0000000012" style="width:123.350000pt;height:139.2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2" ShapeID="rectole0000000012" r:id="docRId28"/>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IDEO, por Tim Brown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de las herramientas más utilizadas en el proceso de Design Thinking es el Mapa de Empatía (Ilustración 13), que ayuda a mejorar la comprensión del público objetivo. Constituye una excelente manera de sintetizar las observaciones realizadas, y agruparlas en un formato sumamente visual, que permite rápidamente comprender al cliente en función de lo que piensa y siente, escucha y ve, dice y hace.  Teniendo conocimiento de su entorno, contexto, comportamiento, inquietudes, objeciones, preocupaciones, influencias y canales de contacto, se logra hacer una mejor evaluación y se puede ajustar la propuesta de valor a sus deseos, frustraciones y necesidades reales.</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13: Mapa de Empatía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5214" w:dyaOrig="3686">
          <v:rect xmlns:o="urn:schemas-microsoft-com:office:office" xmlns:v="urn:schemas-microsoft-com:vml" id="rectole0000000013" style="width:260.700000pt;height:184.3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3" ShapeID="rectole0000000013" r:id="docRId30"/>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Design Thinking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herramienta disponible dentro de la metodología Design Thinking, es la de Método Persona (Ilustración 14), que consiste en crear un personaje imaginario/ficticio representativo del público objetivo al cual se quiere dirigir la propuesta de valor.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14: Método Persona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5529" w:dyaOrig="3910">
          <v:rect xmlns:o="urn:schemas-microsoft-com:office:office" xmlns:v="urn:schemas-microsoft-com:vml" id="rectole0000000014" style="width:276.450000pt;height:195.5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4" ShapeID="rectole0000000014" r:id="docRId32"/>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Design Thinking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Propuesta de Valor Canvas fue creada por Alexander Osterwalder, de Strategyzer (Ilustración 15). Se utiliza para identificar, en el lado derecho, el grupo de tareas que el usuario está intentando llevar adelante en relación con un producto y/o servicio, los dolores que le generan los aspectos negativos de realizar esos trabajos, y las ganancias o resultados positivos que puede o espera obtener. En el lado derecho, se enumeran los productos y servicios, junto con los “pain relievers”, que describen formas en las que nuestro producto o servicio elimina o reduce los dolores de los clientes, y los “gain creators”, que describen de manera explícita de qué forma nuestro producto o servicio crea y aporta beneficios.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15: Value Proposition CANVAS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5539" w:dyaOrig="3727">
          <v:rect xmlns:o="urn:schemas-microsoft-com:office:office" xmlns:v="urn:schemas-microsoft-com:vml" id="rectole0000000015" style="width:276.950000pt;height:186.3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5" ShapeID="rectole0000000015" r:id="docRId34"/>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Strategyzer AG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10"/>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Modelo de Negocio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parte del desarrollo del Plan de Negocios, se trabajará con el Modelo de Negocio CANVAS, ideado por Alexander Osterwalder y Yves Pigneur , que permite mostrar de qué manera el negocio captura, crea y entrega valor, presentándolo en un formato visual, simple y fácil de comprender.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16: Business Model CANVAS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5662" w:dyaOrig="4004">
          <v:rect xmlns:o="urn:schemas-microsoft-com:office:office" xmlns:v="urn:schemas-microsoft-com:vml" id="rectole0000000016" style="width:283.100000pt;height:200.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6" ShapeID="rectole0000000016" r:id="docRId36"/>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Strategyzer AG (2023)</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bloques del lado derecho responden a la pregunta acerca de cómo se entregará la propuesta de valor al segmento de clientes foco, y de qué manera se efectuará la captura de ingresos. Los bloques ubicados en el lado izquierdo establecen que actividades, recursos y asociaciones se precisarán para poder entregar la propuesta de valor, y cuáles serán los costos asociados.</w:t>
      </w:r>
    </w:p>
    <w:p>
      <w:pPr>
        <w:keepNext w:val="true"/>
        <w:keepLines w:val="true"/>
        <w:numPr>
          <w:ilvl w:val="0"/>
          <w:numId w:val="113"/>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Plan de Marketing</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Philip Kotler, un plan de marketing es un documento escrito en el que se escogen los objetivos, las estrategias y los planes de acción relativos a los elementos del marketing Mix que facilitarán y posibilitarán el cumplimiento de la estrategia, año a año, paso a paso.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diferencia del plan de negocios, que ofrece un panorama amplio de la misión, los objetivos, la estrategia y la asignación de recursos de toda la organización, el plan de marketing tiene una cobertura más limitada. El plan de marketing sirve para documentar la forma en que se alcanzarán los objetivos de la organización mediante estrategias y tácticas de marketing específicas, partiendo del cliente. .</w:t>
      </w:r>
    </w:p>
    <w:p>
      <w:pPr>
        <w:keepNext w:val="true"/>
        <w:keepLines w:val="true"/>
        <w:numPr>
          <w:ilvl w:val="0"/>
          <w:numId w:val="115"/>
        </w:numPr>
        <w:spacing w:before="200" w:after="120" w:line="240"/>
        <w:ind w:right="0" w:left="1077"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Estrategia del Océano Azul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parte del Plan de Marketing, se introduce la Estrategia del Océano Azul. Según W. Chan Kim y René Mauborgne, autores de la idea, muchas empresas deciden optar por un pensamiento del tipo océano rojo y competir en un entorno altamente disputado, intentando ampliar su participación de mercado y buscando eliminar a la competencia. El resultado es que se entrega cada vez más valor sacrificando rentabilidad, y toda la estructura de la empresa se alinea en torno a una estrategia ya sea de diferenciación o de bajo costo.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estrategia del océano azul busca crear un espacio de mercado donde la competencia no exista o sea irrelevante, que posibilite crear y capturar nueva demanda, que no requiera elegir entre valor y costo, y que permita alinear las actividades de la empresa para la búsqueda de diferenciación y bajos costos..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17"/>
        </w:numPr>
        <w:spacing w:before="200" w:after="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Plan de Recursos Humanos</w:t>
      </w:r>
    </w:p>
    <w:p>
      <w:pPr>
        <w:keepNext w:val="true"/>
        <w:keepLines w:val="true"/>
        <w:numPr>
          <w:ilvl w:val="0"/>
          <w:numId w:val="117"/>
        </w:numPr>
        <w:spacing w:before="200" w:after="120" w:line="240"/>
        <w:ind w:right="0" w:left="1077"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Modelo Organizacional de Mintzberg</w:t>
      </w:r>
    </w:p>
    <w:p>
      <w:pPr>
        <w:spacing w:before="0" w:after="0" w:line="36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Henry Mintzberg señala cinco modelos organizacionales:</w:t>
      </w:r>
    </w:p>
    <w:p>
      <w:pPr>
        <w:numPr>
          <w:ilvl w:val="0"/>
          <w:numId w:val="120"/>
        </w:numPr>
        <w:spacing w:before="0" w:after="0" w:line="360"/>
        <w:ind w:right="0" w:left="720" w:hanging="36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Estructura simple: es una forma de organización básica que se observa en pequeñas empresas o Start Ups. En cuanto a la estructura jerárquica, la toma de decisiones es centralizada, y la comunicación directa y fluida. Existe una supervisión directa del dueño o líder de la empresa, y prevalece en muchos casos la informalidad. Se caracteriza por su flexibilidad y su capacidad de adaptación rápida a los cambios. Esta estructura debe evolucionar a medida que la organización va creciendo, de lo contrario puede volverse una limitante. </w:t>
      </w:r>
    </w:p>
    <w:p>
      <w:pPr>
        <w:numPr>
          <w:ilvl w:val="0"/>
          <w:numId w:val="120"/>
        </w:numPr>
        <w:spacing w:before="0" w:after="0" w:line="360"/>
        <w:ind w:right="0" w:left="720" w:hanging="36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Burocracia maquinal: es un tipo de organización altamente especializada y formalizada, con reglas y procedimientos establecidos. Presenta una estructura jerárquica mayormente verticalista, donde las decisiones son tomadas por la alta gerencia, y con roles altamente especializados. Existe una estandarización de procesos y tareas. Ideal para entornos estables y predecibles.</w:t>
      </w:r>
    </w:p>
    <w:p>
      <w:pPr>
        <w:numPr>
          <w:ilvl w:val="0"/>
          <w:numId w:val="120"/>
        </w:numPr>
        <w:spacing w:before="0" w:after="0" w:line="360"/>
        <w:ind w:right="0" w:left="720" w:hanging="36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Burocracia profesional: se basa en la especialización del conocimiento y el dominio de habilidades técnicas específicas. Los empleados de este tipo de estructuras son profesionales altamente calificados, y con un nivel de autonomía para la toma de decisiones importante. Si bien existe una jerarquía, la autoridad se basa más en la experiencia y el conocimiento que en la autoridad formal. Esta estructura es efectiva en campos como la medicina, la educación y el derecho.</w:t>
      </w:r>
    </w:p>
    <w:p>
      <w:pPr>
        <w:numPr>
          <w:ilvl w:val="0"/>
          <w:numId w:val="120"/>
        </w:numPr>
        <w:spacing w:before="0" w:after="0" w:line="360"/>
        <w:ind w:right="0" w:left="720" w:hanging="36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Forma divisionista: en este tipo de estructuras, la organización se divide en unidades autónomas, cada una con sus propios objetivos y tareas. Cada una de las divisiones puede estar enfocada en un producto, servicio o mercado específico, lo cual brinda una mayor orientación hacia el cliente. Una estructura centralizada coordina la relación entre cada una de las divisiones. Adecuada para empresas que operan en múltiples líneas de negocio.</w:t>
      </w:r>
    </w:p>
    <w:p>
      <w:pPr>
        <w:spacing w:before="0" w:after="0" w:line="360"/>
        <w:ind w:right="0" w:left="720" w:firstLine="0"/>
        <w:jc w:val="both"/>
        <w:rPr>
          <w:rFonts w:ascii="Times New Roman" w:hAnsi="Times New Roman" w:cs="Times New Roman" w:eastAsia="Times New Roman"/>
          <w:color w:val="auto"/>
          <w:spacing w:val="0"/>
          <w:position w:val="0"/>
          <w:sz w:val="26"/>
          <w:shd w:fill="auto" w:val="clear"/>
        </w:rPr>
      </w:pPr>
    </w:p>
    <w:p>
      <w:pPr>
        <w:numPr>
          <w:ilvl w:val="0"/>
          <w:numId w:val="122"/>
        </w:numPr>
        <w:spacing w:before="0" w:after="0" w:line="360"/>
        <w:ind w:right="0" w:left="720" w:hanging="36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Adhocracia: se trata de organizaciones altamente flexibles y adaptables, con enfoque en la innovación y la agilidad, y con orientación a proyectos. Los equipos de trabajo son multidisciplinarios y multifuncionales, y se valora la creatividad y la iniciativa individual. La autoridad se basa en el conocimiento y la experiencia y la toma de decisiones es descentralizada. Este modelo organizacional es común en industrias altamente innovadoras y creativas, como la tecnología, la consultoría y la investigación y desarrollo.</w:t>
      </w:r>
    </w:p>
    <w:p>
      <w:pPr>
        <w:spacing w:before="0" w:after="0" w:line="36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6"/>
          <w:shd w:fill="auto" w:val="clear"/>
        </w:rPr>
      </w:pPr>
    </w:p>
    <w:p>
      <w:pPr>
        <w:keepNext w:val="true"/>
        <w:keepLines w:val="true"/>
        <w:numPr>
          <w:ilvl w:val="0"/>
          <w:numId w:val="124"/>
        </w:numPr>
        <w:spacing w:before="200" w:after="120" w:line="240"/>
        <w:ind w:right="0" w:left="1077"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Plan Operativo</w:t>
      </w:r>
    </w:p>
    <w:p>
      <w:pPr>
        <w:keepNext w:val="true"/>
        <w:keepLines w:val="true"/>
        <w:numPr>
          <w:ilvl w:val="0"/>
          <w:numId w:val="124"/>
        </w:numPr>
        <w:spacing w:before="200" w:after="120" w:line="240"/>
        <w:ind w:right="0" w:left="1077" w:hanging="72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Comercio electrónico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comercio electrónico es, en un sentido amplio, el uso de redes informáticas para mejorar la actuación de la organización. Aumentar la rentabilidad, ganar participación de mercado, mejorar el servicio al cliente y entregar productos más rápidamente son algunas de las mejoras en el desempeño organizacional posibles con el comercio electrónico.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comercio electrónico es más que pedir productos de un catálogo en línea, involucra también todos los aspectos de las interacciones electrónicas de la organización con sus partes interesadas, las personas que determinan el futuro de la organización.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resumen, el comercio electrónico implica el uso de tecnología de la información para mejorar las comunicaciones y transacciones con todas las partes interesadas de una organización, incluyendo clientes, proveedores, reguladores gubernamentales, instituciones financieras, gerentes, empleados y el público en general.</w:t>
      </w:r>
    </w:p>
    <w:p>
      <w:pPr>
        <w:spacing w:before="0" w:after="0" w:line="360"/>
        <w:ind w:right="0" w:left="0" w:firstLine="0"/>
        <w:jc w:val="both"/>
        <w:rPr>
          <w:rFonts w:ascii="Times New Roman" w:hAnsi="Times New Roman" w:cs="Times New Roman" w:eastAsia="Times New Roman"/>
          <w:color w:val="auto"/>
          <w:spacing w:val="0"/>
          <w:position w:val="0"/>
          <w:sz w:val="26"/>
          <w:shd w:fill="auto" w:val="clear"/>
        </w:rPr>
      </w:pPr>
    </w:p>
    <w:p>
      <w:pPr>
        <w:keepNext w:val="true"/>
        <w:keepLines w:val="true"/>
        <w:numPr>
          <w:ilvl w:val="0"/>
          <w:numId w:val="126"/>
        </w:numPr>
        <w:spacing w:before="200" w:after="240" w:line="240"/>
        <w:ind w:right="0" w:left="1077"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Evaluación Económico-Financiera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se realiza una evaluación económico-financiera para medir la rentabilidad de la empresa o proyecto, que incluye la elaboración del Estado de Resultados y Flujo de Fondos Proyectados, junto con los cálculos del VAN, la TIR y el Período de Repago. Se incluye también un análisis de sensibilidad.</w:t>
      </w: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CAPÍTULO 2: El SECTOR </w:t>
      </w:r>
    </w:p>
    <w:p>
      <w:pPr>
        <w:keepNext w:val="true"/>
        <w:keepLines w:val="true"/>
        <w:numPr>
          <w:ilvl w:val="0"/>
          <w:numId w:val="129"/>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Investigación Científica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investigación científica en Argentina ha sido históricamente sostenida con recursos del Estado Nacional, y ha tenido su base de sustentación en las Universidades y el Consejo Nacional de Investigaciones Científicas y Técnicas (CONICET)</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CONICET es el principal organismo dedicado a la promoción de la Ciencia y la Tecnología en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su página web menciona que actualmente se desempeñan en el organismo más de 11.800 investigadores e investigadoras, más de 11.800 becarios de doctorado y postdoctorado, más de 2.900 técnicos, técnicas y profesionales de apoyo a la investigación y aproximadamente 1.500 administrativos. Cuenta con 16 Centros Científicos Tecnológicos (CCT), 10 Centros de Investigaciones y Transferencia (CIT), un Centro de Investigación Multidisciplinario y más de 300 Institutos y Centros exclusivos del CONICET y de doble y triple dependencia con universidades nacionales y otras instituciones, distribuidos a lo largo de todo el país.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 actividad se desarrolla en cuatro grandes áreas del conocimiento: Ciencias Agrarias, de Ingeniería y de Materiales, Ciencias Biológicas y de la Salud, Ciencias Exactas y Naturales, Ciencias Sociales y Humanidades.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disciplinas que integran esta gran área de Ciencias Biológicas y de la Salud son: Ciencias Médicas, Biología, Bioquímica y Biología Molecular y Veterinaria. Las mismas son de vital importancia para el mejoramiento de la calidad de vida de la sociedad y han adquirido una gran relevancia por su producción científica.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historia de la institución ha estado muy ligada a la investigación en las Ciencias Biológicas y de la Salud; de hecho, Bernardo Houssay, fundador del CONICET, pertenecía a esta área del conocimiento.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del área del conocimiento de Ciencias Exactas y Naturales conviven disciplinas diversas como matemática, astronomía o computación y química, entre otras.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CONICET financia proyectos y trabajos de investigación a través de diversas herramientas como son los Proyectos de Investigación Plurianuales (PIP), Proyectos de Investigación Bianuales (PIBAA) o los Proyectos de Investigación Orientada (PIO).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actor clave es el Ministerio de Ciencia, Tecnología e Innovación (MinCyT). En su página web indica que dentro de sus objetivos se encuentra el financiamiento de la investigación, proveer infraestructura, promover el vínculo armónico entre los sistemas académico y productivo y divulgar los conocimientos producidos por el quehacer científico-tecnológico y sus aplicaciones en la sociedad.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MinCyT posee una amplia oferta de instrumentos de financiamiento tales como las convocatorias de la Agencia Nacional de Promoción de la Investigación, el Desarrollo Tecnológico y la Innovación (Agencia I+D+I) para Proyectos de Investigación Científica y Tecnológica PICT o Proyectos de Investigación Científica y Tecnológica Orientados PICTO del Fondo para la Investigación Científica y Tecnológica FONCyT.</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país podemos encontrar cerca de cincuenta Universidades y Centros de Investigación públicos y privados que realizan investigación básica en Ciencias Biológicas, de la Salud y Químicas , siendo los más relevantes aquellos pertenecientes al sector público. Entre los más importantes podemos mencionar la Universidad de Buenos Aires, Universidad de San Martín, Universidad de Quilmes, Instituto de Biología y Medicina Experimental (IBYME), Administración de Laboratorios e Institutos de Salud (ANLIS).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informe sectorial titulado “Investigación y Desarrollo en las Universidades Públicas” del año 2019 arrojó los siguientes datos:</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 total del financiamiento en I+D el 62% pertenecía al sector público, el 26% al sector privado y el 10% es externo.</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inversión en I+D en relación con el PBI ha ido disminuyendo entre los años 1017 y 2019 del del 0,56% al 0,46%.</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Nuestro país contaba con un total de 90.747 investigadores (75% del total), 17.904 técnicos (15% del total) y 11.905 personas de apoyo (10% del total)</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 total de la inversión en I+D el 36% fue a investigación básica, el 57% a investigación aplicada y el 7% a investigación experimental.</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 total de la inversión en I+D, el 21% se realizó en la disciplina de las Ciencias Exactas y Naturales, el 11% en las Ciencias Médicas y el 11% en las Ciencias Agrícolas y Veterinarias. </w:t>
      </w:r>
    </w:p>
    <w:p>
      <w:pPr>
        <w:numPr>
          <w:ilvl w:val="0"/>
          <w:numId w:val="13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miramos por región, el 67% de los recursos para I+D se alocaron en la región Metropolitana y Centro, y el 22% en Cuyo y NOA.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 cara al futuro, los investigadores en el campo de las Ciencias Biológicas, de la Salud y de las Ciencias Químicas, enfrentan los siguientes desafíos:</w:t>
      </w:r>
    </w:p>
    <w:p>
      <w:pPr>
        <w:numPr>
          <w:ilvl w:val="0"/>
          <w:numId w:val="13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subsidios que reciben del Estado para adquirir los insumos para investigación a través de convocatorias como por ejemplo PICT, PIP, PIO, son en pesos argentinos,  las adjudicaciones demoran unos dos años en promedio, y no hay actualización por inflación y/o devaluación.</w:t>
      </w:r>
    </w:p>
    <w:p>
      <w:pPr>
        <w:numPr>
          <w:ilvl w:val="0"/>
          <w:numId w:val="13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Casi la totalidad de los reactivos que utilizan para sus investigaciones son importados y sus precios están dolarizados.</w:t>
      </w:r>
    </w:p>
    <w:p>
      <w:pPr>
        <w:numPr>
          <w:ilvl w:val="0"/>
          <w:numId w:val="13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importación de los reactivos está atada al contexto macroeconómico del país, con períodos donde es más sencilla la importación, en este caso estamos hablando de 30-45 días, y otros como el actual donde la importación puede demorar entre 90-120 días. </w:t>
      </w:r>
    </w:p>
    <w:p>
      <w:pPr>
        <w:numPr>
          <w:ilvl w:val="0"/>
          <w:numId w:val="13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precios dolarizados sumado a los problemas de importación hacen que sea sumamente complicado para un investigador local poder competir con un investigador de Estados Unidos o Europa, donde el precio de los reactivos esta expresado en moneda local, y la entrega se realiza entre 24-72 horas de colocado el pedido.</w:t>
      </w:r>
    </w:p>
    <w:p>
      <w:pPr>
        <w:keepNext w:val="true"/>
        <w:keepLines w:val="true"/>
        <w:numPr>
          <w:ilvl w:val="0"/>
          <w:numId w:val="133"/>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Productos Químicos y Equipos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marco de este proyecto podemos decir que los productos químicos con fines de investigación son reactivos de origen químico o biológico que los científicos utilizan en su rutina diaria de laboratorio con el fin de llevar a cabo sus experimentos.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Uno de los mayores desafíos de un investigador es, a través de la experimentación, lograr resultados que puedan ser publicados en una revista científica. Estas publicaciones son las que les permiten en última instancia tener acceso al financiamiento. En este sentido, los reactivos químicos pasan a ser insumos críticos e indispensables para un investigador.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investigación científica demanda además de diversos tipos de equipamiento, siendo algunos de ellos muy difíciles de adquirir debido al alto costo en relación con el subsidio promedio de un investigador. Por tal motivo, un investigador poseedor de un equipo puede ofrecer el servicio de uso de este a otros investigadores.</w:t>
      </w:r>
    </w:p>
    <w:p>
      <w:pPr>
        <w:keepNext w:val="true"/>
        <w:keepLines w:val="true"/>
        <w:numPr>
          <w:ilvl w:val="0"/>
          <w:numId w:val="136"/>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Proveedores de Productos Químicos y Equipos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Existen en el mercado argentino diferentes proveedores de este tipo de productos y equipos. Entre ellos se puede mencionar a la empresa Merck que comercializa más de 300.000 reactivos químicos y productos biológicos, Thermo-Fisher con un portafolio muy completo de reactivos y equipos de laboratorio, y diversos representantes locales de marcas proveedoras de este segmento mundialmente reconocidas como Bio-Rad, Promega o Qiagen.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estrategia de comercialización de estas empresas es a través de una fuerza de ventas que puede ser de campo o digital. Ante el requerimiento concreto de un determinado producto, la empresa puede enviar una cotización o el investigador puede hacer la compra directa a través de la página web. La compra por la página web presenta algunos desafíos para estas empresas, las cuales todavía no han logrado alcanzar nivel de servicio para el comercio electrónico esperado por los usuarios.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Existen también algunos fabricantes locales, pero cuentan con un portafolio acotado en cuanto a la oferta de producto.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CAPÍTULO 3: ANALISIS ESTRATÉGICO</w:t>
      </w:r>
    </w:p>
    <w:p>
      <w:pPr>
        <w:keepNext w:val="true"/>
        <w:keepLines w:val="true"/>
        <w:numPr>
          <w:ilvl w:val="0"/>
          <w:numId w:val="139"/>
        </w:numPr>
        <w:spacing w:before="200" w:after="120" w:line="240"/>
        <w:ind w:right="0" w:left="714" w:hanging="357"/>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Análisis PESTEL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análisis de PESTEL es una herramienta de negocios que permite analizar factores macro ambientales que pueden tener impacto en el desenvolvimiento de una empresa. Se tienen en cuenta factores Políticos, Económicos, Sociales, Tecnológicos, Ambientales y Legales.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Políticos:</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año 2023 ha sido, desde el punto de vista político, un año muy intenso con elecciones generales para presidente. La participación de votantes en los procesos eleccionarios ha venido disminuyendo, evidenciando un descreimiento en la política tradicional.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candidato de la coalición gobernante, que fue derrotada, es a su vez el ministro de economía de un país que está atravesando una severa crisis económica.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resultados del ballotage del mes de noviembre han demostrado un corrimiento del electorado hacia una alternativa de derecha. El frente electoral que ganó de manera contundente presenta una postura conservadora en cuestiones sociales y libertaria en temas económicos. Si bien durante la campaña propiciaban ideas muy rupturistas, una vez ganadas las elecciones, han moderado su discurso. Sin embargo, teniendo en cuenta el recorte en el gasto público que planea aplicar el nuevo gobierno resulta complicado pensar que vaya a llevar a cabo políticas de promoción de la investigación por parte del Estado.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referente en temas de ciencia del nuevo gobierno y posible presidente del CONICET ha planteado que hay que integrar el sistema científico con el sector privado, como así también incorporar financiamiento de este sector. Destaca también la importancia de la investigación aplicada, que lleve resultados concretos, más allá de generar nuevos conocimientos.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Económicos:</w:t>
      </w: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Según el Banco Mundial, Argentina es una de las economías más grandes de Latinoamérica con un PBI de aproximadamente 650 mil millones de dólares.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economía llegó a las PASO en una situación muy compleja.</w:t>
      </w:r>
    </w:p>
    <w:p>
      <w:pPr>
        <w:keepNext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12: Economía en las PASO 2023</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2829" w:dyaOrig="4809">
          <v:rect xmlns:o="urn:schemas-microsoft-com:office:office" xmlns:v="urn:schemas-microsoft-com:vml" id="rectole0000000017" style="width:141.450000pt;height:240.4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7" ShapeID="rectole0000000017" r:id="docRId38"/>
        </w:objec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infobae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variables económicas mas importantes han empeorado aún más desde ese momento. El valor del dólar blue se encuentra actualmente por encima de los 1.000 pesos, la tasa de interés es del 133% y la inflación proyectada para el 2023 se espera sea de alrededor del 170%.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el año 2024, se estima una situación económica más compleja aún con una disminución del 2,5% en la actividad económica y una disparada de la inflación anual hasta un 275%, según un informe de la calificadora Moody´s. Se espera también un fuerte ajuste del tipo de cambio para diciembre de 2023 y 2024.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combinación inflación-devaluación afecta de manera negativa los subsidios de los investigadores, disminuyendo su poder de compra.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Debido a la falta de divisas en moneda norteamericana, hay un excesivo control a las importaciones a través del sistema denominado SIRA, con lo cual se hace más complicada la importación de insumos para la investigación.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Sociales: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miramos el panorama social actual en Argentina y lo comparamos con el que existía hace unos 10 años, observamos que es hoy una sociedad mucho más desigual, polarizada, dividida y excluyente, con mayor cantidad de pobres, desocupados y personas que viven en una situación sumamente vulnerable.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nos concentramos en el perfil social de un investigador científico en Argentina, observamos que proviene mayormente de familias de clase media, que posee un alto nivel educativo y es consciente de la importancia de preservar los derechos adquiridos. Está ocurriendo un cambio generacional, donde se observa que las nuevas generaciones de investigadores son más digitales, y están optando por llevar a cabo temáticas de investigación científica más relacionadas con las ciencias aplicadas, que les permitan conseguir el financiamiento privado que el Estado no les puede proveer. Esto queda evidenciado, por ejemplo, en el auge de las Start Ups.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Argentina está viviendo un proceso de gran expansión del segmento de las llamadas Start Ups. Se ha puesto en marcha un ecosistema que incluye investigadores, empresas, gobierno, incubadoras y aceleradoras, que permite el acceso al financiamiento privado a proyectos de diversa índole que van desde el desarrollo de un kit para diagnóstico de cáncer hasta soluciones digitales.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Tecnológicos: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Argentina posee una infraestructura tecnológica sólida que permite a su población el acceso rápido y sencillo al mundo digital. Datos del INDEC muestran que un 62,6% de los hogares tiene acceso a una computadora y un 92,1% a internet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dato interesante es que casi un 80% de la población utiliza herramientas digitales, siendo la cuarta nación latinoamericana con mayor tasa de penetración.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sitio web MARKETING ECOMMERCE publicó este año un artículo titulado Radiografía del eCommerce en Argentina, donde menciona que Argentina fue el mercado latinoamericano de mayor crecimiento en comercio electrónico en el año 2022. Según datos de la Cámara Argentina de Comercio Electrónico (CACE) el eCommerce creció un 73% respecto del año anterior y los ingresos por ventas electrónicas se ubicaron en 117.240 millones de pesos. Cabe señalar que el 64% de las empresas online ven de manera positiva el futuro del eCommerce. Según datos del Digital 2023, en Argentina existen 45,60 millones de personas y 61,01 millones de móviles (+133%). Los Marketplaces locales favoritos son Mercado Libre, OLX, Dafiti, Facebook Marketplace, Cordoba Vende.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ENACOM anunció recientemente la asignación de la banda de espectro para el uso y desarrollo de la tecnología WIFI 6. Esta decisión, estratégica para la Argentina, permite darle impulso a la economía del conocimiento, a las PyMEs y a los sectores del mundo digital que necesitan valerse de un WIFI de mayor calidad, que soporte la evolución tecnológica.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Ambientales: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tema de debate en la actualidad cual será el impacto a mediano y largo plazo de las tecnologías digitales en el medioambiente. No debemos olvidar que el uso de tecnologías requiere de un cierto consumo de energía, y por lo tanto hay contaminación.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Existe en las compañías de base tecnológica conciencia de esta situación, que queda evidenciada en acciones en favor de prácticas más sostenibles de empresas como Google.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Factores Legales: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punto hay tres cuestiones importantes a destacar, la primera es la ausencia de una regulación específica respecto del comercio electrónico en Argentina. La segunda es la presión impositiva en Argentina sobre las empresas. En un artículo publicado en el Diario La Nación se señala que la misma ronda el 34% del PBI en el año 2022 según el FMI y es en Sudamérica la segunda después de Ecuador. Una de las principales causas es la relación que existe entre el gasto público a financiar y la economía informal, motivo por el cual la presión impositiva sobre el sector formal termina siendo muy superior a la de cualquier país desarrollado.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segunda cuestión son los costos laborales, que son de los más altos de la región. Aproximadamente, por cada $100 que recibe un empleado el empleador paga $150, es decir que casi un tercio del salario se lo llevan los aportes a la jubilación, la obra social y las contribuciones patronales, entre otros.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44"/>
        </w:numPr>
        <w:spacing w:before="200" w:after="120" w:line="240"/>
        <w:ind w:right="0" w:left="714" w:hanging="357"/>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Cruz de Porter</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Uno de los grandes desafíos que tiene una empresa es alcanzar niveles de rentabilidad y competitividad que le permitan sostenerse en el tiempo. Para que una empresa pueda explotar al máximo sus capacidades, recursos y oportunidades tiene que adoptar una estrategia genérica que le permita enfrentar las 5 fuerzas planteadas por Michael Porter. </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este proyecto, la estrategia genérica a adoptar es la de enfoque, es decir, una estrategia de diferenciación para un segmento de mercado acotado.</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Ahora la pregunta a responder sería como esta estrategia genérica va a permitir enfrentar las 5 fuerzas competitivas de Porter.</w:t>
      </w:r>
    </w:p>
    <w:p>
      <w:pPr>
        <w:tabs>
          <w:tab w:val="left" w:pos="15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tabs>
          <w:tab w:val="left" w:pos="1520" w:leader="none"/>
        </w:tabs>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Poder de negociación de los compradores</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potenciales usuarios de la plataforma tienen un poder de negociación moderado a bajo, debido a que no tienen forma de monetizar el intercambio de productos y servicios entre ellos debido a que no son dueños de sus fondos, sino que necesitan rendir sus gastos a través de una factura.</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este modelo de negocio plantea desafíos en cuanto a que es fundamental desarrollar una propuesta de valor adecuada para el público objetivo, que son los investigadores científicos, quienes tienen una mentalidad más del estilo comunitario y no están acostumbrados a la búsqueda de la obtención de beneficios del tipo monetario.</w:t>
      </w:r>
    </w:p>
    <w:p>
      <w:pPr>
        <w:tabs>
          <w:tab w:val="left" w:pos="152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520" w:leader="none"/>
        </w:tabs>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Amenaza de nuevos entrantes</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amenaza de nuevos competidores es baja debido a que es un segmento de mercado pequeño y muy específico. Además, se puede decir que una barrera de entrada es el hecho de que hay que conocer la mentalidad y particularidades de los investigadores y para ello se requiere tener años de experiencia en el contacto con investigadores para entender sus necesidades.</w:t>
      </w:r>
    </w:p>
    <w:p>
      <w:pPr>
        <w:tabs>
          <w:tab w:val="left" w:pos="152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Otra barrera de entrada está dada por el hecho de que hay que conocer como es el flujo de los fondos, es decir, cuáles son los distintos tipos de subsidios, montos y quienes son los principales destinatarios de estos, los llamados “Key Opinion Leader”, para enfocar las acciones de marketing.</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Poder de negociación de los proveedores:</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poder de negociación de los proveedores es alto. Ya sea se decida, para el diseño del Marketplace, recurrir a un enlatado o se contrate una empresa, una vez lanzado, los costos para cambiar de proveedor son elevados. </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cambio de proveedor implicaría, por ejemplo, que el nuevo proveedor tuviese que transitar una curva de aprendizaje para comprender el modelo del negocio y adaptar la propuesta, lo cual implica tiempo y dinero. Por otro lado, existiría también una necesidad de capacitación en la nueva herramienta.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Amenaza de productos o servicios sustitutos:</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efectos del análisis, se toma como una posible sustitución, la compra a empresas o distribuidores del sector por los canales más tradicionales. El proceso de compra consiste en que el investigador solicite una cotización o haga un requerimiento a través de una página web de un reactivo a una empresa como Merck o Invitrogen.</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poder de negociación en este caso moderado a alto debido a que estas empresas tienen un gran prestigio en el mercado y una larga trayectoria en el suministro de insumos para la investigación científica. Se hace difícil para un nuevo jugador encontrar la mejor forma de posicionarse, para ello es crítico contar con una propuesta de valor realmente diferenciadora.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desafíos que presentan estas empresas son los tiempos de entrega elevados debido a que tienen que importar los productos. Los niveles de competitividad que existen en la ciencia requieren de una inmediata disponibilidad de producto. En Estados Unidos, por ejemplo, los tiempos de entrega se reducen a 24-48 horas.</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Rivalidad entre competidores existentes:</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actualidad no existe en el mercado argentino una empresa que este ofreciendo la misma propuesta. Justamente por tratarse de un segmento de nicho, puede no resultar una alternativa atractiva para importantes firmas del sector.</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compañía como Mercado Libre tiene la estructura y el conocimiento como para ofrecer el mismo tipo de servicio, pero se duda que le interese porque el segmento no les sería atractivo y no le agregaría un valor adicional a la marca.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Existen si laboratorios dentro de Universidades y Centros de investigación que prestan servicios. Para estos casos, la plataforma les daría acceso a nuevos mercados, con lo cual se podrían incorporar al sistema.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todos los motivos expuestos arriba se considera que la rivalidad entre competidores existentes es baja.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49"/>
        </w:numPr>
        <w:spacing w:before="200" w:after="120" w:line="240"/>
        <w:ind w:right="0" w:left="714" w:hanging="357"/>
        <w:jc w:val="both"/>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Matriz FODA</w:t>
      </w: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Fortalezas:</w:t>
      </w:r>
    </w:p>
    <w:p>
      <w:pPr>
        <w:numPr>
          <w:ilvl w:val="0"/>
          <w:numId w:val="151"/>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Probado conocimiento del sector de investigación científica, incluyendo desafíos y necesidades.</w:t>
      </w:r>
    </w:p>
    <w:p>
      <w:pPr>
        <w:numPr>
          <w:ilvl w:val="0"/>
          <w:numId w:val="151"/>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Experiencia de 10 años en la venta de productos y servicios a ese segmento de mercado desde una empresa multinacional.</w:t>
      </w:r>
    </w:p>
    <w:p>
      <w:pPr>
        <w:numPr>
          <w:ilvl w:val="0"/>
          <w:numId w:val="151"/>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Desarrollo de carrera en posiciones comerciales, trabajando en el armado de planes de marketing y ventas.</w:t>
      </w:r>
    </w:p>
    <w:p>
      <w:pPr>
        <w:numPr>
          <w:ilvl w:val="0"/>
          <w:numId w:val="151"/>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Red de contactos en Universidades, Centros de Investigación, Gobierno, Empresas del Sector.</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Oportunidades:</w:t>
      </w:r>
    </w:p>
    <w:p>
      <w:pPr>
        <w:numPr>
          <w:ilvl w:val="0"/>
          <w:numId w:val="153"/>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Elevados plazos de entrega de productos debido a las restricciones, sumado a los procesos normales de importación de productos. Antes de la implementación de la SIRA el plazo de entrega era de 45-60 días desde la orden de compra</w:t>
      </w:r>
    </w:p>
    <w:p>
      <w:pPr>
        <w:numPr>
          <w:ilvl w:val="0"/>
          <w:numId w:val="153"/>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Indicios del comienzo de un nuevo ciclo político donde el financiamiento a la investigación va a reducirse.</w:t>
      </w:r>
    </w:p>
    <w:p>
      <w:pPr>
        <w:numPr>
          <w:ilvl w:val="0"/>
          <w:numId w:val="153"/>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Cambios en el perfil del investigador científico, con las nuevas generaciones siendo más digitales y abiertas a nuevos modelos de adquisición de productos.</w:t>
      </w:r>
    </w:p>
    <w:p>
      <w:pPr>
        <w:numPr>
          <w:ilvl w:val="0"/>
          <w:numId w:val="153"/>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Inversiones en la actualización de la infraestructura tecnológica en Argentina.</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Debilidades:</w:t>
      </w:r>
    </w:p>
    <w:p>
      <w:pPr>
        <w:numPr>
          <w:ilvl w:val="0"/>
          <w:numId w:val="155"/>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Falta de conocimiento y experiencia con plataformas del tipo Marketplace, no como usuario sino como desarrollador.</w:t>
      </w:r>
    </w:p>
    <w:p>
      <w:pPr>
        <w:numPr>
          <w:ilvl w:val="0"/>
          <w:numId w:val="155"/>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Experiencia limitada en marketing digital.</w:t>
      </w:r>
    </w:p>
    <w:p>
      <w:pPr>
        <w:numPr>
          <w:ilvl w:val="0"/>
          <w:numId w:val="155"/>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Capital inicial acotado.</w:t>
      </w:r>
    </w:p>
    <w:p>
      <w:pPr>
        <w:numPr>
          <w:ilvl w:val="0"/>
          <w:numId w:val="155"/>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Equipo de trabajo reducido.</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Amenazas:</w:t>
      </w:r>
    </w:p>
    <w:p>
      <w:pPr>
        <w:numPr>
          <w:ilvl w:val="0"/>
          <w:numId w:val="157"/>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Elevada presión impositiva que dificulta la creación de nuevas sociedades.</w:t>
      </w:r>
    </w:p>
    <w:p>
      <w:pPr>
        <w:numPr>
          <w:ilvl w:val="0"/>
          <w:numId w:val="157"/>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Altos costos laborales que limitan la capacidad de contratar personal. </w:t>
      </w:r>
    </w:p>
    <w:p>
      <w:pPr>
        <w:numPr>
          <w:ilvl w:val="0"/>
          <w:numId w:val="157"/>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Empresas proveedoras de reactivos para el segmento de investigación con sólida trayectoria y recursos financieros, que pueden decidir tomar alguna acción defensiva.</w:t>
      </w:r>
    </w:p>
    <w:p>
      <w:pPr>
        <w:numPr>
          <w:ilvl w:val="0"/>
          <w:numId w:val="157"/>
        </w:numPr>
        <w:tabs>
          <w:tab w:val="left" w:pos="600" w:leader="none"/>
        </w:tabs>
        <w:spacing w:before="0" w:after="0" w:line="360"/>
        <w:ind w:right="112"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segmento de investigación está entrando en una etapa de reconversión, lo cual podría alargar el proceso de implementación.</w:t>
      </w: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both"/>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tabs>
          <w:tab w:val="left" w:pos="600" w:leader="none"/>
        </w:tabs>
        <w:spacing w:before="0" w:after="0" w:line="360"/>
        <w:ind w:right="112"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CAPÌTULO 4: INVESTIGACIÓN DE MERCADO</w:t>
      </w:r>
    </w:p>
    <w:p>
      <w:pPr>
        <w:keepNext w:val="true"/>
        <w:keepLines w:val="true"/>
        <w:numPr>
          <w:ilvl w:val="0"/>
          <w:numId w:val="161"/>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Justificación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presente investigación de mercado se lleva a cabo debido a que resulta imprescindible evaluar la viabilidad y factibilidad de la propuesta de negocio, atendiendo a los rasgos distintivos de la población de estudio, y los factores externos que entran en juego, y que ya fueron abordados en capítulos anteriores.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63"/>
        </w:numPr>
        <w:spacing w:before="200" w:after="120" w:line="240"/>
        <w:ind w:right="0" w:left="714" w:hanging="357"/>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Problema de la Investigación de Mercado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segmento de mercado dentro del ámbito de la investigación científica en Argentina que es objeto del presente trabajo está definido por aquellos investigadores que desarrollan sus actividades en áreas relacionadas con las Ciencias Biológicas y de la Salud, y Ciencias Exactas y Naturales.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estudio de mercado cubrirá todo el país, sin segmentación geográfica, y se realizará una segmentación demográfica por rango de edades, para tener en cuenta las particularidades generacionales de la población.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pregunta que intenta responder la presente investigación de mercado es, ¿Cuáles son las características de la población de estudio en relación con el proyecto de negocio que queremos desarrollar?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65"/>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Objetivos de la Investigación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objetivos de la presente investigación de mercado son los siguientes:</w:t>
      </w:r>
    </w:p>
    <w:p>
      <w:pPr>
        <w:numPr>
          <w:ilvl w:val="0"/>
          <w:numId w:val="1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Establecer cuál es el grado de aceptación de un investigador a la hora de adquirir productos, ya sean nuevos o usados, y/o servicios ofrecidos por otro colega investigador. </w:t>
      </w:r>
    </w:p>
    <w:p>
      <w:pPr>
        <w:numPr>
          <w:ilvl w:val="0"/>
          <w:numId w:val="1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Medir la probabilidad de uso por parte de los investigadores de plataformas digitales del tipo Marketplace para la compraventa de reactivos y servicios.</w:t>
      </w:r>
    </w:p>
    <w:p>
      <w:pPr>
        <w:numPr>
          <w:ilvl w:val="0"/>
          <w:numId w:val="1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Recopilar información para alimentar la propuesta de valor y el plan de marketing.</w:t>
      </w:r>
    </w:p>
    <w:p>
      <w:pPr>
        <w:numPr>
          <w:ilvl w:val="0"/>
          <w:numId w:val="1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Definir valores numéricos para la cantidad de reactivos y servicios que consume en promedio un investigador al año junto con el costo promedio de los mismos, para utilizarlos como base para el análisis económico-financiero.</w:t>
      </w:r>
    </w:p>
    <w:p>
      <w:pPr>
        <w:keepNext w:val="true"/>
        <w:keepLines w:val="true"/>
        <w:numPr>
          <w:ilvl w:val="0"/>
          <w:numId w:val="167"/>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Diseño de la Investigación</w:t>
      </w: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Para lograr estos objetivos, se realizará una entrevista exploratoria a un número limitado de investigadores, y se enviará una encuesta en Google Forms a investigadores de todo el país por correo electrónico, utilizando una base de datos previamente establecida. Tanto para la entrevista como para la encuesta se solicitará también el apoyo en la difusión a colegas que provienen del mundo académico.</w:t>
      </w: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 espera tener un nivel de respuesta a la encuesta de unos 200 investigadores como mínimo.</w:t>
      </w: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La investigación será del tipo cualitativo a través de entrevistas y observación del segmento, y cuantitativo con una encuesta que sea representativa del segmento de mercado foco.</w:t>
      </w:r>
    </w:p>
    <w:p>
      <w:pPr>
        <w:keepNext w:val="true"/>
        <w:keepLines w:val="true"/>
        <w:numPr>
          <w:ilvl w:val="0"/>
          <w:numId w:val="170"/>
        </w:numPr>
        <w:spacing w:before="200" w:after="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Desarrollo de la Metodología</w:t>
      </w:r>
    </w:p>
    <w:p>
      <w:pPr>
        <w:keepNext w:val="true"/>
        <w:keepLines w:val="true"/>
        <w:numPr>
          <w:ilvl w:val="0"/>
          <w:numId w:val="170"/>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Entrevista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primer paso consistió en realizar una entrevista exploratoria a 5 investigadores que indagaba acerca de los desafíos de la investigación científica y el uso de plataformas digitales.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entrevista incluyó 8 preguntas. A continuación, se hace un resumen los aspectos más destacados:</w:t>
      </w:r>
    </w:p>
    <w:p>
      <w:pPr>
        <w:numPr>
          <w:ilvl w:val="0"/>
          <w:numId w:val="1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mayores desafíos que enfrentan los investigadores a la hora de adquirir reactivos y/o servicios para realizar su proyecto de investigación están relacionados con: </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falta de disponibilidad de stock local por parte de las empresas comercializadoras,</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caso de los reactivos importados, el plazo de entrega en función de las numerosas trabas para importar un producto, </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elevados precios de los reactivos en relación con los subsidios que recibe un investigador,</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oferta limitada de proveedores de reactivos,</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trabas para la transferencia de divisas al exterior cuando se compran reactivos por el mecanismo de ROECYT,</w:t>
      </w:r>
    </w:p>
    <w:p>
      <w:pPr>
        <w:numPr>
          <w:ilvl w:val="0"/>
          <w:numId w:val="17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falta de insumos por ruptura de algunas cadenas productivas durante la pandemia.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7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Algunas de las posibles soluciones a los desafíos planteados anteriormente serían:</w:t>
      </w:r>
    </w:p>
    <w:p>
      <w:pPr>
        <w:numPr>
          <w:ilvl w:val="0"/>
          <w:numId w:val="17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existan opciones de producción nacional para algunos de los reactivos,</w:t>
      </w:r>
    </w:p>
    <w:p>
      <w:pPr>
        <w:numPr>
          <w:ilvl w:val="0"/>
          <w:numId w:val="17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el estado implemente mecanismos que faciliten y agilicen la compra de insumos al exterior,</w:t>
      </w:r>
    </w:p>
    <w:p>
      <w:pPr>
        <w:numPr>
          <w:ilvl w:val="0"/>
          <w:numId w:val="17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los subsidios a investigadores estén más alineados con los precios de los reactivos,</w:t>
      </w:r>
    </w:p>
    <w:p>
      <w:pPr>
        <w:numPr>
          <w:ilvl w:val="0"/>
          <w:numId w:val="17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mayores niveles de stock local por parte de las empresas importadoras,</w:t>
      </w:r>
    </w:p>
    <w:p>
      <w:pPr>
        <w:numPr>
          <w:ilvl w:val="0"/>
          <w:numId w:val="17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exista una red social de investigadores que aborde la problemática del sector y permita poner en marcha mecanismos de colaboración.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7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experiencia de los entrevistados en el uso de las plataformas digitales en su trabajo es muy positiva y recomendable. Las utilizan para compras de reactivos ya sea localmente o al exterior, para análisis o búsquedas bibliográficas, dejar constancia de protocolos, tareas diarias del laboratorio.</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181"/>
        </w:numPr>
        <w:spacing w:before="0" w:after="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al uso en particular de las plataformas de compraventa, los entrevistados manifiestan que la mayoría de los proveedores locales tiene habilitada solamente la opción de compras offline, solo la empresa Merck posee una plataforma de e-commerce. La opinión general es que sería muy positivo que más proveedores comenzaran a ofrecer alguna alternativa de compra online.</w:t>
      </w:r>
    </w:p>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b/>
          <w:color w:val="auto"/>
          <w:spacing w:val="0"/>
          <w:position w:val="0"/>
          <w:sz w:val="24"/>
          <w:shd w:fill="auto" w:val="clear"/>
        </w:rPr>
      </w:pPr>
    </w:p>
    <w:p>
      <w:pPr>
        <w:numPr>
          <w:ilvl w:val="0"/>
          <w:numId w:val="184"/>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al uso de plataformas online las opiniones son variadas, algunos refieren al e-commerce de la empresa Merck o a sitios de compra web de empresas en el exterior, y otros a una diversidad de alternativas dentro del mundo digital que incluyen Mercado Libre, Mercado Pago, LinkedIn, Whatsapp, Zoom o Netflix.</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18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 las funcionalidades que, a criterio de los entrevistados, debería tener una plataforma digital de compraventa para que les sea de utilidad en su trabajo, las recomendaciones son las siguientes:</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permita armar presupuestos de manera de poder emplear esos documentos en la presentación de proyectos,</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permita la autonomía de realizar las búsquedas y compras pero que cuente con un buen servicio de respaldo en caso de necesitar contactarse con atención al cliente (de manera fluida y práctica),</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poder tener acceso al seguimiento en términos de facturas pendientes o actualizaciones del estado de entrega de los productos para contar con mayor previsibilidad,</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muestre no solo el resultado del producto buscado sino también productos similares con precios, disponibilidad y tiempos de entrega,</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 tenga vinculado un bot por si surge alguna duda o consulta, así la misma puede ser contestada en el momento sin la necesidad de tener que contactar a una persona y que se demore el proceso,</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caso de servicios, que este linkeado a papers/linkedin/website etc de la persona/institución que brinda el servicio,</w:t>
      </w:r>
    </w:p>
    <w:p>
      <w:pPr>
        <w:numPr>
          <w:ilvl w:val="0"/>
          <w:numId w:val="18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variedad de oferta, claridad de la propuesta, garantía, opinión de compradores luego de la compra.</w:t>
      </w:r>
    </w:p>
    <w:p>
      <w:pPr>
        <w:spacing w:before="0" w:after="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8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cuanto al uso de un sistema de suscripción para la compraventa de reactivos y servicios, la gran mayoría manifiesta que no adhiere a este tipo de modelo. Al menos en una primera etapa, prefieren que se cobre por transacción.</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19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entrevistados visualizan un futuro de gran expansión de las plataformas digitales, con un uso cotidiano de las mismas, con ofertas más completas en la cantidad de servicios que ofrecen, y adaptables a los distintos tipos de dispositivos electrónicos, </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193"/>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Encuesta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encuesta, que incluyó un total de 11 preguntas, se realizó utilizando Google forms y se envió vía correo electrónico o WhatsApp. Se obtuvieron 274 respuestas de investigadores de todo el país.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202124"/>
          <w:spacing w:val="3"/>
          <w:position w:val="0"/>
          <w:sz w:val="24"/>
          <w:shd w:fill="FFFFFF" w:val="clear"/>
        </w:rPr>
      </w:pPr>
      <w:r>
        <w:rPr>
          <w:rFonts w:ascii="Times New Roman" w:hAnsi="Times New Roman" w:cs="Times New Roman" w:eastAsia="Times New Roman"/>
          <w:color w:val="202124"/>
          <w:spacing w:val="3"/>
          <w:position w:val="0"/>
          <w:sz w:val="24"/>
          <w:shd w:fill="FFFFFF" w:val="clear"/>
        </w:rPr>
        <w:t xml:space="preserve">El objetivo de la primera pregunta fue definir cuantos reactivos en promedio compraba un investigador al año. Los investigadores debían introducir en este campo un resultado numérico. Una vez finalizada la encuesta, se recopiló y analizó la información, arribando a la conclusión de que la compra anual promedio era de 32 reactivos químicos y productos biológicos.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segunda pregunta, asociada a la primera, estaba destinada a conocer el monto de dinero en dólares estadounidenses que invertía anualmente en la compra de reactivos químicos y productos biológicos. El análisis arrojó un promedio de aproximadamente 8.800 dólares estadounidenses.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Tanto para la pregunta 1 como para la pregunta 2 las respuestas fueron muy dispares, con investigadores que contaban con sumas interesantes de dinero para invertir en la compra reactivos, y otros que tenían una alta dependencia de subsidios del Estado Nacional, y que mostraban un poder de compra limitado.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13: Gráfico de Torta Compra de Insumos Importados</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object w:dxaOrig="5853" w:dyaOrig="3846">
          <v:rect xmlns:o="urn:schemas-microsoft-com:office:office" xmlns:v="urn:schemas-microsoft-com:vml" id="rectole0000000018" style="width:292.650000pt;height:192.3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8" ShapeID="rectole0000000018" r:id="docRId40"/>
        </w:objec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pregunta 3 tuvo como objetivo revalidar la hipótesis que refiere a la alta dependencia de insumos importados por parte de los investigadores. Los resultados muestran que, para el 72% de los encuestados, el 80% o más de los reactivos que compran son importados.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siguiente gráfico de Pareto muestra de una manera más contundente la realidad arriba expuesta.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14: Gráfico de Pareto Compra de Insumos Importados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921" w:dyaOrig="4156">
          <v:rect xmlns:o="urn:schemas-microsoft-com:office:office" xmlns:v="urn:schemas-microsoft-com:vml" id="rectole0000000019" style="width:346.050000pt;height:207.8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19" ShapeID="rectole0000000019" r:id="docRId42"/>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15: Compra de Productos - Aspectos a Considerar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85" w:dyaOrig="2552">
          <v:rect xmlns:o="urn:schemas-microsoft-com:office:office" xmlns:v="urn:schemas-microsoft-com:vml" id="rectole0000000020" style="width:449.250000pt;height:127.6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0" ShapeID="rectole0000000020" r:id="docRId44"/>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propósito de esta pregunta residió en intentar identificar cuáles eran los factores que más influían en la decisión de compra de reactivos, y cuál era la importancia de cada uno de ellos. Los resultados señalan al precio y la calidad como los elementos más críticos, seguidos del tiempo de entrega y la aplicación. Cabe destacar que, si bien es importante la marca del producto, el proveedor no es considerado como un aspecto tan significativo. El 66,4% de los encuestados consideró a los costos de disposición final un tema importante o muy importante a tener en cuenta.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preguntas 7 y 8</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tuvieron como objeto estimar el número de servicios que un investigador contrata al año, y el gasto en servicios expresado en dólares estadounidenses.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ámbito de formulación de la pregunta fue muy amplio por lo cual las respuestas fueron dispares. Teniendo en cuenta el tipo de servicio contratado, por ejemplo, reparación de un equipo o una secuenciación, los valores numéricos reportados tenían variaciones importantes. Se hizo un análisis de los datos que arrojó como resultado que se contrataban en promedio 7 servicios anuales con un gasto promedio de aproximadamente 3.300 dólares estadounidenses.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Ilustración 16: Compra de Productos a Colegas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85" w:dyaOrig="4070">
          <v:rect xmlns:o="urn:schemas-microsoft-com:office:office" xmlns:v="urn:schemas-microsoft-com:vml" id="rectole0000000021" style="width:449.250000pt;height:203.5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1" ShapeID="rectole0000000021" r:id="docRId46"/>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17: Compra de Productos Abiertos/Usados a Colegas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85" w:dyaOrig="4070">
          <v:rect xmlns:o="urn:schemas-microsoft-com:office:office" xmlns:v="urn:schemas-microsoft-com:vml" id="rectole0000000022" style="width:449.250000pt;height:203.5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2" ShapeID="rectole0000000022" r:id="docRId48"/>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18: Uso de Plataformas Digitales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85" w:dyaOrig="4070">
          <v:rect xmlns:o="urn:schemas-microsoft-com:office:office" xmlns:v="urn:schemas-microsoft-com:vml" id="rectole0000000023" style="width:449.250000pt;height:203.5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3" ShapeID="rectole0000000023" r:id="docRId50"/>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objetivo de las preguntas 5. 6 y 9 fue evaluar el modelo de negocio.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resultados muestran que el 84,3% de los encuestados están dispuestos (“Muy Dispuesto”+”Dispuesto”) a comprar reactivos a colegas. Este porcentaje disminuye solamente cinco puntos y medio alcanzando el 78,8% cuando se trata de reactivos abiertos y/o usados con garantía del vendedor. Como conclusión podemos indicar que los datos evidencian un alto nivel de aceptación por parte de los encuestados a la propuesta de comprar reactivos a colegas, ya sean en envase cerrado o abiertos y/o usados.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la aceptación (“Muy Dispuesto”+”Dispuesto”) a usar una plataforma digital de pago del tipo Marketplace para la compraventa de reactivos fue del 79,2%. Se observa que un 5,1% de los encuestados estuvo menos abierto (“Muy Dispuesto”+”Dispuesto”) a utilizar una plataforma digital de pago que a comprar reactivos a colegas.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resultados obtenidos de las preguntas formuladas arriba validan la hipótesis de que hay un mercado potencial interesante para este tipo de negocio.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19: Uso de Plataformas Digitales - Motivos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85" w:dyaOrig="4560">
          <v:rect xmlns:o="urn:schemas-microsoft-com:office:office" xmlns:v="urn:schemas-microsoft-com:vml" id="rectole0000000024" style="width:449.250000pt;height:228.0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4" ShapeID="rectole0000000024" r:id="docRId52"/>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pregunta 10 se evaluaron los motivos que llevarían a un investigador a utilizar una plataforma del tipo Marketplace.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el 75,2% de los encuestados la motivación principal sería el precio, en línea con las respuestas observadas a la pregunta 4. El segundo punto más valorado, con el 56,2% de los votos a favor, refirió a los tiempos de entrega, validando nuevamente lo expresado en la pregunta 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Cuestiones que tuvieron que ver más con la plataforma propiamente dicha, como ser la facilidad de pago, la flexibilidad y la calidad de la información, tuvieron adhesiones que fueron desde el 47,8% en cuanto a la flexibilidad, al 35% en cantidad y calidad de la información.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20: Segmentación por Edades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931" w:dyaOrig="4166">
          <v:rect xmlns:o="urn:schemas-microsoft-com:office:office" xmlns:v="urn:schemas-microsoft-com:vml" id="rectole0000000025" style="width:346.550000pt;height:208.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5" ShapeID="rectole0000000025" r:id="docRId54"/>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última pregunta estuvo orientada a entender cuáles eran los rangos de edades de los investigadores que respondieron la encuesta.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mayor cantidad de respuestas estuvo en la franja que se ubica entre los 41 y 50 años con el 38% de los encuestados, seguida por 31 a 40 años con el 27% de los encuestados y luego por 51 a 60 años, con el 23% de los encuestados. Los rangos de edades de 20 a 30 años y de +60 años mostraron porcentajes mucho más bajos de respuesta, 5% en el primer caso y 7% en el segundo.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se realizó un análisis más profundo de los datos, para comprender cual era el nivel de aceptación del modelo de negocio en función de la edad. Para ello se sumaron los valores numéricos de las preguntas 5,6 y 9, y se elaboró un gráfico de barras que medía el porcentaje de aceptación con respecto al total, segmentado por rango de edades. Los resultados se muestran a continuación (Ilustración 21).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21: Evaluación del Modelo de Negocio de Acuerdo con la Edad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6939" w:dyaOrig="4267">
          <v:rect xmlns:o="urn:schemas-microsoft-com:office:office" xmlns:v="urn:schemas-microsoft-com:vml" id="rectole0000000026" style="width:346.950000pt;height:213.3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6" ShapeID="rectole0000000026" r:id="docRId56"/>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datos revelan que, en términos generales, a medida que disminuye la edad de los encuestados, mayor es el porcentaje de investigadores que están “Muy Dispuesto” y “Dispuesto” a la propuesta.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Haciendo foco en las alternativas “Poco Dispuesto” y “Nada Dispuesto”, como era de esperar, ocurre lo inverso, a medida que aumenta la edad de los encuestados, aumenta el porcentaje.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dato que llama la atención es que, en el rango de edad que va entre los 31 y los 40 años, hay menos encuestados, de lo que se esperaría de acuerdo con la edad, que eligieron la opción “Muy Dispuesto” y más encuestados que optaron por la alternativa “Dispuesto” a la propuesta de negocios.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comprender mejor la causa de este hallazgo, se elaboró un nuevo gráfico sumando los valores de aquellos investigadores que optaron por las alternativas “Muy Dispuesto” y “Dispuesto”, pero separando las preguntas 5., 6. y 9. (Ilustración 22)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22: Evaluación del Modelo de Negocio de Acuerdo con la Edad (Muy Dispuesto/Dispuesto)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7382" w:dyaOrig="4765">
          <v:rect xmlns:o="urn:schemas-microsoft-com:office:office" xmlns:v="urn:schemas-microsoft-com:vml" id="rectole0000000027" style="width:369.100000pt;height:238.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7" ShapeID="rectole0000000027" r:id="docRId58"/>
        </w:object>
      </w:r>
    </w:p>
    <w:p>
      <w:pPr>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resultados del gráfico J indican que, cuanto mayor es la edad de los encuestados menor es la disposición (“Muy Dispuesto”+”Dispuesto”) a utilizar plataformas digitales, en sintonía con lo esperado.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Haciendo foco en el rango de edad de 31 a 40 años, y respecto de la compra de reactivos a colegas abiertos/usados, se observa que los encuestados están menos dispuestos a realizar este tipo de compra de lo que se esperaría, constituyendo esta la causa principal de las observaciones de la Ilustración 21.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pueden efectuar además las siguientes conclusiones a partir de las Ilustraciones 21 y 22:</w:t>
      </w:r>
    </w:p>
    <w:p>
      <w:pPr>
        <w:numPr>
          <w:ilvl w:val="0"/>
          <w:numId w:val="21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investigadores encuestados entre las edades de 20 y 30 años, si bien son los más abiertos a nuevas propuestas en relación con el modelo que se está planteando, constituyen un porcentaje bajo de la población.</w:t>
      </w:r>
    </w:p>
    <w:p>
      <w:pPr>
        <w:numPr>
          <w:ilvl w:val="0"/>
          <w:numId w:val="21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datos recopilados sobre los encuestados de edades entre los 41 y los 50 años, y haciendo foco en la disponibilidad para comprar reactivos nuevos versus reactivos abiertos/usados, muestran un comportamiento extraño, con un 1% de diferencia en favor de la segunda alternativa.</w:t>
      </w:r>
    </w:p>
    <w:p>
      <w:pPr>
        <w:numPr>
          <w:ilvl w:val="0"/>
          <w:numId w:val="21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encuestados de edades entre los 51 y los 60 años tienen mayor disponibilidad de lo esperado para comprar reactivos a colegas ya sean nuevos o abiertos/usados.</w:t>
      </w:r>
    </w:p>
    <w:p>
      <w:pPr>
        <w:numPr>
          <w:ilvl w:val="0"/>
          <w:numId w:val="219"/>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investigadores de +60 años son los más renuentes a las propuestas planteadas en la encuesta.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CAPÍTULO 5: PROPUESTA DEL PLAN DE NEGOCIOS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223"/>
        </w:numPr>
        <w:spacing w:before="200" w:after="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Propuesta de Valor</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Llevando a la práctica los conceptos de Design Thinking, el presente proyecto de tesis permite integrar la necesidad de los investigadores de contar con reactivos de calidad a un precio accesible para poder cumplir con las demandas de sus proyectos de investigación, con las posibilidades que brinda la tecnología al facilitar el desarrollo de una plataforma digital que pueda atender las necesidades de los usuarios, y con la premisa de llegar a una propuesta que sea económicamente rentable.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parte de las herramientas de Design Thinking, a continuación, se muestra el Mapa de Empatía aplicado a un investigador científico.</w:t>
      </w: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24: Mapa de Empatía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163" w:dyaOrig="4598">
          <v:rect xmlns:o="urn:schemas-microsoft-com:office:office" xmlns:v="urn:schemas-microsoft-com:vml" id="rectole0000000028" style="width:408.150000pt;height:229.9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28" ShapeID="rectole0000000028" r:id="docRId60"/>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Mapa de Empatía se puede completar y complementar con otra herramienta disponible dentro de la metodología Design Thinking, que es la de Método Persona (Ilustración 25).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25: Método Persona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973" w:dyaOrig="5047">
          <v:rect xmlns:o="urn:schemas-microsoft-com:office:office" xmlns:v="urn:schemas-microsoft-com:vml" id="rectole0000000029" style="width:448.650000pt;height:252.3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29" ShapeID="rectole0000000029" r:id="docRId62"/>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Tanto el Mapa de Empatía como la herramienta Método Persona permiten alimentar La Propuesta de Valor CANVAS.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segmento del cliente (investigador), ubicado del lado derecho de la propuesta de valor, se evalúan los siguientes aspectos relativos al público objetivo:</w:t>
      </w:r>
    </w:p>
    <w:p>
      <w:pPr>
        <w:numPr>
          <w:ilvl w:val="0"/>
          <w:numId w:val="230"/>
        </w:numPr>
        <w:spacing w:before="0" w:after="0" w:line="360"/>
        <w:ind w:right="0" w:left="77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Customer Jobs: en este punto se describen aquellas cuestiones que el investigador desea solucionar o tener resueltas con la plataforma digital:</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Diseñar experimentos para responder una pregunta científica de relevancia en el campo.</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Conseguir los reactivos para llevar a cabo los experimentos.</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Publicar en revistas científicas reconocidas para tener acceso a más fuentes de financiamiento.</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Liderar un equipo de investigación.</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Dictar clases prácticas en la Facultad.</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Sentir que a través de su investigación está contribuyendo al progreso de la sociedad.</w:t>
      </w:r>
    </w:p>
    <w:p>
      <w:pPr>
        <w:numPr>
          <w:ilvl w:val="0"/>
          <w:numId w:val="230"/>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 reconocido por sus pares y considerado líder de opinión.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33"/>
        </w:numPr>
        <w:spacing w:before="0" w:after="0" w:line="360"/>
        <w:ind w:right="0" w:left="77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Pains: son los costos no deseados y riesgos que el investigador experimenta antes, durante y después de tener la necesidad cubierta.</w:t>
      </w:r>
    </w:p>
    <w:p>
      <w:pPr>
        <w:numPr>
          <w:ilvl w:val="0"/>
          <w:numId w:val="233"/>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Conseguir, mediante publicaciones, subsidios para el funcionamiento del laboratorio.</w:t>
      </w:r>
    </w:p>
    <w:p>
      <w:pPr>
        <w:numPr>
          <w:ilvl w:val="0"/>
          <w:numId w:val="233"/>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Contar con los productos a tiempo para no retrasar el proyecto de investigación.</w:t>
      </w:r>
    </w:p>
    <w:p>
      <w:pPr>
        <w:numPr>
          <w:ilvl w:val="0"/>
          <w:numId w:val="233"/>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Gastar el dinero cuanto antes, teniendo en cuenta los plazos acotados para hacer uso del dinero de los subsidios, y la pérdida de poder de compra frente a la devaluación del peso.</w:t>
      </w:r>
    </w:p>
    <w:p>
      <w:pPr>
        <w:numPr>
          <w:ilvl w:val="0"/>
          <w:numId w:val="233"/>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Lidiar con la burocracia involucrada en la compra de reactivos.</w:t>
      </w:r>
    </w:p>
    <w:p>
      <w:pPr>
        <w:numPr>
          <w:ilvl w:val="0"/>
          <w:numId w:val="233"/>
        </w:numPr>
        <w:spacing w:before="0" w:after="0" w:line="360"/>
        <w:ind w:right="0" w:left="149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Tomar provecho de las nuevas tecnologías para agilizar los procesos de compra de reactivos.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36"/>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Gains: se describen los beneficios que el investigador espera, desea o le gustaría recibir a partir de la solución propuesta.</w:t>
      </w:r>
    </w:p>
    <w:p>
      <w:pPr>
        <w:numPr>
          <w:ilvl w:val="0"/>
          <w:numId w:val="23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Rápido acceso a productos de calidad, lo más económicos posible.</w:t>
      </w:r>
    </w:p>
    <w:p>
      <w:pPr>
        <w:numPr>
          <w:ilvl w:val="0"/>
          <w:numId w:val="23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Desburocratizar el proceso de compra de reactivos.</w:t>
      </w:r>
    </w:p>
    <w:p>
      <w:pPr>
        <w:numPr>
          <w:ilvl w:val="0"/>
          <w:numId w:val="23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Utilizar plataformas de e-commerce para agilizar las compras. Las mismas deberían tener las siguientes características:</w:t>
      </w:r>
    </w:p>
    <w:p>
      <w:pPr>
        <w:numPr>
          <w:ilvl w:val="0"/>
          <w:numId w:val="236"/>
        </w:numPr>
        <w:spacing w:before="0" w:after="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Información detallada de los productos, </w:t>
      </w:r>
    </w:p>
    <w:p>
      <w:pPr>
        <w:numPr>
          <w:ilvl w:val="0"/>
          <w:numId w:val="236"/>
        </w:numPr>
        <w:spacing w:before="0" w:after="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Disponibilidad y tiempos de entrega,</w:t>
      </w:r>
    </w:p>
    <w:p>
      <w:pPr>
        <w:numPr>
          <w:ilvl w:val="0"/>
          <w:numId w:val="236"/>
        </w:numPr>
        <w:spacing w:before="0" w:after="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Posibilidad de seguimiento de pedidos,</w:t>
      </w:r>
    </w:p>
    <w:p>
      <w:pPr>
        <w:numPr>
          <w:ilvl w:val="0"/>
          <w:numId w:val="236"/>
        </w:numPr>
        <w:spacing w:before="0" w:after="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Opinión de compradores luego de la compra.</w:t>
      </w:r>
    </w:p>
    <w:p>
      <w:pPr>
        <w:numPr>
          <w:ilvl w:val="0"/>
          <w:numId w:val="236"/>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Publicar en revistas científicas reconocidas internacionalmente.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lado izquierdo es el segmento de la propuesta de valor, donde se pueden identificar tres elementos:</w:t>
      </w:r>
    </w:p>
    <w:p>
      <w:pPr>
        <w:numPr>
          <w:ilvl w:val="0"/>
          <w:numId w:val="24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Products and services: que forman parte de la propuesta</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Plataforma digital del tipo Marketplace que permita:</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compra de reactivos a colegas,</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rápida disponibilidad de los productos,</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acceso a productos de calidad,</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Evitar que se desechen reactivos con todos los costos que ello implica,</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Contratar distintos tipos de servicios,</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Contar con información detallada de los productos y servicios ofrecidos,</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Calificar a los vendedores,</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Agilizar el proceso de facturación para rendición del gasto,</w:t>
      </w:r>
    </w:p>
    <w:p>
      <w:pPr>
        <w:numPr>
          <w:ilvl w:val="0"/>
          <w:numId w:val="243"/>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Proveer información adicional de calidad.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45"/>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Pain relievers: describe como la plataforma ayuda a aliviar los dolores del investigador.</w:t>
      </w:r>
    </w:p>
    <w:p>
      <w:pPr>
        <w:numPr>
          <w:ilvl w:val="0"/>
          <w:numId w:val="245"/>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Acceso a nuevas tecnologías que facilitan el proceso de compra de reactivos y contratación de servicios.</w:t>
      </w:r>
    </w:p>
    <w:p>
      <w:pPr>
        <w:numPr>
          <w:ilvl w:val="0"/>
          <w:numId w:val="245"/>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Disminución de tareas administrativas.</w:t>
      </w:r>
    </w:p>
    <w:p>
      <w:pPr>
        <w:numPr>
          <w:ilvl w:val="0"/>
          <w:numId w:val="245"/>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Disponibilidad inmediata de reactivos a un precio razonable.</w:t>
      </w:r>
    </w:p>
    <w:p>
      <w:pPr>
        <w:numPr>
          <w:ilvl w:val="0"/>
          <w:numId w:val="245"/>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Tiempos de publicación más cortos.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4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Gain creators: describe como la plataforma crea ganancias o beneficios para investigador</w:t>
      </w:r>
    </w:p>
    <w:p>
      <w:pPr>
        <w:numPr>
          <w:ilvl w:val="0"/>
          <w:numId w:val="248"/>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Avanzar rápidamente con la investigación para poder publicar.</w:t>
      </w:r>
    </w:p>
    <w:p>
      <w:pPr>
        <w:numPr>
          <w:ilvl w:val="0"/>
          <w:numId w:val="248"/>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Lograr más financiamiento para poder ampliar los proyectos de investigación del laboratorio.</w:t>
      </w:r>
    </w:p>
    <w:p>
      <w:pPr>
        <w:numPr>
          <w:ilvl w:val="0"/>
          <w:numId w:val="248"/>
        </w:numPr>
        <w:spacing w:before="0" w:after="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 reconocido por sus pares, y un referente dentro en su campo de investigación.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51"/>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Modelo de Negocio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vez delineada la propuesta de valor, el próximo paso es desarrollar el Modelo de Negocio utilizando la Metodología CANVAS (Ilustración 30).</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30: CANVAS del Proyecto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173" w:dyaOrig="5463">
          <v:rect xmlns:o="urn:schemas-microsoft-com:office:office" xmlns:v="urn:schemas-microsoft-com:vml" id="rectole0000000030" style="width:408.650000pt;height:273.1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0" ShapeID="rectole0000000030" r:id="docRId64"/>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255"/>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Plan de Marketing</w:t>
      </w:r>
    </w:p>
    <w:p>
      <w:pPr>
        <w:keepNext w:val="true"/>
        <w:keepLines w:val="true"/>
        <w:numPr>
          <w:ilvl w:val="0"/>
          <w:numId w:val="255"/>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Segmentación, Targeting y Marca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desarrollar los mejores planes de marketing, es necesario comprender qué hace que cada segmento sea único y diferente. Identificar y satisfacer los segmentos de mercado correctos es a menudo clave para el éxito del marketing.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del universo de investigadores, se ha identificado como segmento de interés para el proyecto aquellos que desarrollan su actividad en Universidades, Institutos y Centros de Investigación, estando la misma asociada a las áreas de Ciencias Químicas, Biológicas y de la Salud, y que además residen en la República Argentina. El siguiente paso consiste en definir, dentro de este grupo de clientes potenciales, donde va a estar el foco de los esfuerzos de las acciones de marketing. El estudio de mercado permitió realizar una segmentación demográfica por edades que sugiere centrarse en una primera etapa en investigadores entre los 31 y los 60 años. El razonamiento detrás de la elección tiene como sustento el hecho de que, al ser este conjunto de investigadores el más numeroso y el que cuenta con los recursos necesarios para comprar los reactivos y contratar los servicios, es quien mayoritariamente ha respondido la encuesta (88%).</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puede ubicar a este grupo de investigadores dentro de las llamadas Generación X y los Millenials. Analizando los comportamientos de las generaciones en relación con la tecnología, se encontró en un estudio comparativo entre la Generación X y los Millenials, que los segundos utilizaban y se involucraban principalmente con las tecnologías con fines de entretenimiento y hedonistas; mientras que los individuos de la Generación X estaban impulsados ​​esencialmente por motivaciones utilitarias y búsqueda de información..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Haciendo un resumen de lo expuesto anteriormente, se considera que el segmento foco del proyecto es mensurable, sustancial, accesible, diferenciable y accionable; y está constituido por investigadores de la República Argentina que trabajan en proyectos relacionados con las Ciencias Químicas, Biológicas y de la Salud, y cuyas edades se encuentran entre los 31 y los 60 años.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vez definido el segmento foco, el próximo paso es definir la estrategia de posicionamiento. Para ello hay que crear primero una identidad de marca, para luego entender cuál es el marco competitivo de referencia, y que lugar distintivo se pretende ocupar en la mente del cliente, en este caso del investigador científico.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Marketplace se promocionará bajo la marca ConCiencia, y simboliza el apoyo a la investigación y el compromiso con el progreso científico. Se desea transmitir una imagen de seriedad, confiabilidad, profesionalismo e innovación.</w:t>
      </w:r>
    </w:p>
    <w:p>
      <w:pPr>
        <w:keepNext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31: Logo de la Marca</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object w:dxaOrig="4418" w:dyaOrig="4560">
          <v:rect xmlns:o="urn:schemas-microsoft-com:office:office" xmlns:v="urn:schemas-microsoft-com:vml" id="rectole0000000031" style="width:220.900000pt;height:228.0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1" ShapeID="rectole0000000031" r:id="docRId66"/>
        </w:object>
      </w:r>
    </w:p>
    <w:p>
      <w:pPr>
        <w:spacing w:before="0" w:after="0" w:line="360"/>
        <w:ind w:right="0" w:left="1416" w:firstLine="708"/>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261"/>
        </w:numPr>
        <w:spacing w:before="200" w:after="120" w:line="240"/>
        <w:ind w:right="0" w:left="720" w:hanging="36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Estrategia del Océano Azul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se mencionó en el capítulo 3, al enumerarse las 5 fuerzas de Porter, no existe actualmente en el mercado argentino una empresa o plataforma que compita de manera directa con el modelo de negocio que se está proponiendo.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tal motivo, se decide introducir en este punto la estrategia del océano azul, entendiendo que sus postulados son aplicables.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negocio de venta de reactivos químicos, productos biológicos y equipos en el segmento de investigación científica consiste principalmente en la importación de dichos productos y equipos por parte de empresas multinacionales o representantes de marca, y su correspondiente comercialización en el mercado local. Existen también empresas que fabrican localmente algunos de los productos comercializados.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Todas estas empresas compiten entre sí en un océano rojo, teniendo que sacrificar rentabilidad cuando alguno de los jugadores adopta una estrategia agresiva de precios.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modelo de negocio que se está proponiendo cumple todos los requisitos de una estrategia del tipo océano azul. En primer lugar, se está creando un espacio de mercado donde no hay competencia, en el cual los investigadores se venden los productos y servicios unos a otros, y no son las empresas las que le venden los productos o servicios a los investigadores. En segundo lugar, se está capturando nueva demanda, porque anteriormente los investigadores se quedaban por años con los reactivos o los terminaban descartando cuando se vencían. En tercer lugar, el modelo de negocio no prevé sacrificar rentabilidad, ya que se cobra un porcentaje fijo de la venta. En cuarto lugar, se está llevando a cabo una clara estrategia de diferenciación y bajo costo, a partir de la plataforma digital.</w:t>
      </w:r>
    </w:p>
    <w:p>
      <w:pPr>
        <w:keepNext w:val="true"/>
        <w:keepLines w:val="true"/>
        <w:numPr>
          <w:ilvl w:val="0"/>
          <w:numId w:val="263"/>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Posicionamiento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poder posicionar correctamente la plataforma dentro de la mente del investigador científico hay que comprender primero que objetivos el uso de la plataforma le permite conseguir, y luego como lo puede ayudar a lograrlos de una manera que sea única.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consideramos los jugadores existentes actualmente en el mercado, que son las empresas comercializadoras de reactivos químicos, productos biológicos y equipos junto con servicios, podemos buscar puntos de paridad y puntos de diferencia. Como puntos de paridad podemos decir que, a través del Marketplace, se estarán poniendo a la venta productos de las mismas calidades que ellos ofrecen, ya que básicamente son sus productos y que estos productos van a tener una garantía por parte del vendedor como requisito para ofrecerlo en la plataforma. Como puntos de diferencia podemos indicar que la comercialización va a ser a través de una plataforma (solo una empresa Merck, tiene e-commerce), que el proceso de compraventa se va a dar entre pares en lugar de entre una empresa y un investigador, que va a estar habilitada la posibilidad de ofertar tanto productos nuevos como usados o abiertos, y que los precios van a estar fijados por los investigadores que ponen el producto o servicio a la venta.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Declaración de Posicionamiento de la Marca podría decir lo siguiente: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aquellos investigadores científicos de los campos de las ciencias químicas, biológicas y de la salud ponemos a disposición una plataforma digital de compraventa, que les permitirá acceder de manera rápida y sencilla a los productos y servicios de calidad, ofrecidos por sus colegas, necesarios para avanzar en sus experimentos y lograr publicaciones exitosas.”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65"/>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Productos y Servicios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productos que los investigadores podrán ofrecer a través de la plataforma se tratan en su mayoría de reactivos químicos y productos biológicos. El portafolio es muy amplio y variado. La empresa Merck, por ejemplo, cuenta con una oferta de más de 300.000 productos en su página web.</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ordenar la oferta, los productos pueden se pueden agrupar en las siguientes categorías: </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químicos utilizados en técnicas analíticas como HPLC, GC o Fotometría. Cada técnica tiene a su vez un portafolio especifico.</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químicos generales para laboratorio: ácidos, bases, bioquímicos, sales entre otros.</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Especialidades químicas:  catalizadores, reactivos para síntesis química, ciencia de los materiales, seguridad en el laboratorio, entre otros.</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para microbiología industrial: medios de cultivo para bacterias, filtración microbiológica, kits para detección de patógenos, entre otros.</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biológicos para cultivo: medios de cultivo, suplementos, dispositivos de filtración, frascos de cultivo, entre otros.</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biológicos para biología molecular: vectores de clonado, enzimas, kits de extracción de ácidos nucleicos, insumos para electroforesis, entre otros</w:t>
      </w:r>
    </w:p>
    <w:p>
      <w:pPr>
        <w:numPr>
          <w:ilvl w:val="0"/>
          <w:numId w:val="267"/>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Productos para biología de proteínas: kits de lisis celular y extracción de proteínas, insumos para electroforesis y western blot, soluciones de plataformas para inmunoensayos, proteínas y enzimas, entre otros.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todas las categorías de productos mencionadas arriba existen equipos asociados que también se podrían comercializar a través de la plataforma.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cuestión importante para considerar es el tema de la garantía. En el caso de los productos y equipos usados, se va a solicitar al investigador que publique la oferta, que contemple un período de garantía acorde con el producto o equipo que está ofreciendo. Por ejemplo, en el caso de los equipos, la garantía debería ser de 1 año.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entrega del producto al comprador será responsabilidad del vendedor y éste debe ser despachado en un embalaje acorde al tipo de producto y cumplir con las normativas vigentes.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servicios que se pueden ofrecer a través de la plataforma son de lo más variados, y pueden incluir terciarización de una técnica, derecho a uso de un equipo para realizar un ensayo, entrenamientos, consultoría, entre otros.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69"/>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Precio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precios de los productos y servicios serán fijados por los propios investigadores que realizarán la oferta a través de la plataforma.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establecerán por supuesto ciertos criterios para la fijación de precios por parte del vendedor:</w:t>
      </w:r>
    </w:p>
    <w:p>
      <w:pPr>
        <w:numPr>
          <w:ilvl w:val="0"/>
          <w:numId w:val="2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precio del producto, equipo o servicio deberá ser publicado en dólares estadounidenses.</w:t>
      </w:r>
    </w:p>
    <w:p>
      <w:pPr>
        <w:numPr>
          <w:ilvl w:val="0"/>
          <w:numId w:val="2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precio de un determinado producto o equipo ofrecido a través de la plataforma no podrá superar al del mismo producto o equipo publicado por el fabricante o importador; éste será tomado como precio de referencia.</w:t>
      </w:r>
    </w:p>
    <w:p>
      <w:pPr>
        <w:numPr>
          <w:ilvl w:val="0"/>
          <w:numId w:val="2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oferente tendrá la posibilidad de publicar una oferta de un producto, equipo o servicio, la cual deberá estar claramente identificada.</w:t>
      </w:r>
    </w:p>
    <w:p>
      <w:pPr>
        <w:numPr>
          <w:ilvl w:val="0"/>
          <w:numId w:val="2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podrán realizar subastas de productos y equipos cuando el vendedor considere dicha estrategia de comercialización como la más conveniente.</w:t>
      </w:r>
    </w:p>
    <w:p>
      <w:pPr>
        <w:numPr>
          <w:ilvl w:val="0"/>
          <w:numId w:val="271"/>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parte vendedora deberá incluir el costo del envío en el precio.</w:t>
      </w:r>
    </w:p>
    <w:p>
      <w:pPr>
        <w:spacing w:before="0" w:after="0" w:line="36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establecer el valor de la comisión que se va a cobrar a la parte vendedora, se investigó acerca de las comisiones que cobran algunos Marketplaces y plataformas C2C. Estos fueron los resultados:</w:t>
      </w:r>
    </w:p>
    <w:p>
      <w:pPr>
        <w:numPr>
          <w:ilvl w:val="0"/>
          <w:numId w:val="2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Amazon cobra entre el 8 y el 15% de comisión según la categoría del artículo vendido</w:t>
      </w:r>
    </w:p>
    <w:p>
      <w:pPr>
        <w:numPr>
          <w:ilvl w:val="0"/>
          <w:numId w:val="2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Ebay la comisión por venta realizada para la mayoría de las categorías es del 9% sobre la parte del importe total de la venta hasta 990 Eur (por artículo) y del 2% para la parte del importe total de la venta que supere los 990 Eur.</w:t>
      </w:r>
    </w:p>
    <w:p>
      <w:pPr>
        <w:numPr>
          <w:ilvl w:val="0"/>
          <w:numId w:val="2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Mercado libre cobra un costo fijo de entre el 12% y el 16,5% dependiendo de la categoría del producto, más $300 por unidad vendida si el producto cuesta menos de $10.000.</w:t>
      </w:r>
    </w:p>
    <w:p>
      <w:pPr>
        <w:numPr>
          <w:ilvl w:val="0"/>
          <w:numId w:val="2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Cabify cobra una comisión del 12,5% sobre el total de los viajes.</w:t>
      </w:r>
    </w:p>
    <w:p>
      <w:pPr>
        <w:numPr>
          <w:ilvl w:val="0"/>
          <w:numId w:val="273"/>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Uber cobra una comisión del 25% en promedio.</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plataforma le cobrará a la parte vendedora una comisión entre el 10% y el 15%</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del valor total de la venta dependiendo del valor del producto publicado, expresada en dólares estadounidenses. En el caso de los equipos cuyo precio supere los 5.000 dólares estadounidenses, la comisión será del 5%. La facturación se realizará en pesos argentinos al tipo de cambio fijado por el Banco Central el día anterior a la operación.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76"/>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Plaza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canal para la entrega de la propuesta de valor es la plataforma propiamente dicha. Son los mismos usuarios (investigadores) los que crean los perfiles y publican los productos en el Marketplace. La propuesta de valor se exhibe a través de las distintas funcionalidades de la plataforma, entre las cuales se pueden mencionar:</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Facilidad de registro y creación de perfiles de usuario.</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Interfaz de usuario intuitiva para listar productos o servicios.</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Herramientas de búsqueda y filtrado para que los clientes encuentren lo que necesitan sin grandes dificultades.</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Comunicación segura entre compradores y vendedores a través de mensajes integrados.</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Transacciones seguras y opciones de pago en línea.</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Calificaciones y reseñas de usuarios para establecer confianza en el proceso.</w:t>
      </w:r>
    </w:p>
    <w:p>
      <w:pPr>
        <w:numPr>
          <w:ilvl w:val="0"/>
          <w:numId w:val="278"/>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Servicios de atención al cliente para resolver problemas o preguntas. Diferentes encuestas a consumidores han mostrado que una de las mayores causas de experiencias negativas en las compras online era la falta de respuesta por parte de representantes de la empresa.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Como conclusión, la plataforma actúa como el principal canal para la entrega de la propuesta de valor al conectar compradores con vendedores, facilitando transacciones y proporcionando un ambiente seguro y conveniente para las interacciones customer-to-customer.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podrá registrar en la plataforma cualquier investigador que resida en la República Argentina.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80"/>
        </w:numPr>
        <w:spacing w:before="200" w:after="120" w:line="240"/>
        <w:ind w:right="0" w:left="1080" w:hanging="72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Publicidad y Promoción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aplicación de las herramientas que brinda la tecnología al desarrollo de nuevos modelos de negocio ha producido grandes cambios en la forma en la que las empresas comunican la propuesta de valor y la manera en la que los consumidores procesan dichas comunicaciones. Este contexto ha dado lugar al surgimiento del llamado Marketing Digital.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actividades de promoción se llevarán a cabo principalmente a través de diversas tácticas digitales, como lo muestra la Tabla 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 Acciones Digitales</w:t>
      </w:r>
    </w:p>
    <w:tbl>
      <w:tblPr/>
      <w:tblGrid>
        <w:gridCol w:w="1696"/>
        <w:gridCol w:w="6798"/>
      </w:tblGrid>
      <w:tr>
        <w:trPr>
          <w:trHeight w:val="1" w:hRule="atLeast"/>
          <w:jc w:val="left"/>
        </w:trPr>
        <w:tc>
          <w:tcPr>
            <w:tcW w:w="1696"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Acción Digital</w:t>
            </w:r>
          </w:p>
        </w:tc>
        <w:tc>
          <w:tcPr>
            <w:tcW w:w="6798"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Descripción</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Marketing en Redes Sociales</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utilizarán plataformas como Facebook, Instagram, WhatsApp o LinkedIn, en las cuales se publicarán diversos tipos de anuncios y se compartirán historias de usuarios. Será de suma importancia utilizar contenido visual, atractivo y representativo del mundo de la investigación científica, para atraer el interés de la audiencia. Esta iniciativa será fundamental dado que, como vimos en la entrevista, los investigadores son usuarios asiduos de las redes sociales.</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Publicidad en Línea</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buscará invertir en publicidad en línea, como ser anuncios de búsqueda de Google o anuncios en redes sociales, para aumentar la visibilidad de la plataforma. Para lograr el éxito con esta táctica es de vital importancia realizar una correcta segmentación en Google Ads o Facebook Ads de los distintos públicos dentro de los investigadores, teniendo en cuenta por ejemplo que las acciones de marketing van a tener como destinatarios a dos generaciones, X y Millienials, a las cuales se precisa comunicar de manera diferente.</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Email Marketing</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Esta acción es una de las más utilizadas para el segmento de investigación científica. Para lograr un marketing más personalizado, es crítico contar con una base de datos completa y correctamente segmentada. Se buscará mantener a los investigadores informados sobre promociones, productos destacados y noticias del Marketplace.</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Programas de Referidos</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ofrecerán descuentos en la comisión a aquellos investigadores que atraigan a colegas a la plataforma.</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SEO (Optimización de Motores de Búsqueda)</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buscará optimizar el contenido del sitio web para que aparezca en los resultados de búsqueda relevantes. Para ello se elaborará un listado de las palabras clave más adecuadas para los productos y servicios que ofrece la plataforma.</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Contenido de Blog</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creará un sitio web dentro de la página para compartir consejos, guías de compra, historias de usuarios e información científica relevante. </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Publicidad nativa en el Marketplace</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buscará destacar productos o servicios específicos a través de recomendaciones personalizadas y banners promocionales. Se sondeará también la posibilidad de que las empresas fabricantes de los productos y equipos coloquen publicidad dentro de la plataforma.</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Promociones y Descuentos</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mostrarán ofertas especiales y descuentos temporales para incentivar a los usuarios a realizar compras en el Marketplace.</w:t>
            </w:r>
          </w:p>
        </w:tc>
      </w:tr>
      <w:tr>
        <w:trPr>
          <w:trHeight w:val="1" w:hRule="atLeast"/>
          <w:jc w:val="left"/>
        </w:trPr>
        <w:tc>
          <w:tcPr>
            <w:tcW w:w="16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Eventos y Comunidades en Línea</w:t>
            </w:r>
          </w:p>
        </w:tc>
        <w:tc>
          <w:tcPr>
            <w:tcW w:w="6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buscará realizar diferentes actividades como crear un calendario de eventos virtuales, armar grupos de discusión, comunidades en línea o marketing de influencers, todos ellos relacionados con la investigación científica en las áreas de química, biología y medicina, para fomentar la participación de los usuarios y promocionar la plataforma de manera más orgánica.</w:t>
            </w:r>
          </w:p>
        </w:tc>
      </w:tr>
    </w:tbl>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de vital importancia medir y analizar el rendimiento de las estrategias de promoción, definiendo KPIs y objetivos, para ajustar y optimizar continuamente los esfuerzos de marketing en función de los resultados logrados.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4. Plan de Recursos Humanos</w:t>
      </w: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Misión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Apoyar el progreso de la investigación científica en la Argentina, facilitando el acceso a productos y servicios, y creando una comunidad que fomente el intercambio de ideas entre investigadores.</w:t>
      </w: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 Visión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 la plataforma tecnológica líder en Argentina para la compraventa de productos y servicios para la investigación científica, como así también fuente de referencia y comunicación entre investigadores </w:t>
      </w:r>
    </w:p>
    <w:p>
      <w:pPr>
        <w:keepNext w:val="true"/>
        <w:keepLines w:val="true"/>
        <w:spacing w:before="2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 Valores</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valores pretenden emular aquellos que conforman los principios éticos y filosofía de vida más fundamentales de un investigador científico.</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Honestidad</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Respeto</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Pasión</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Colaboración</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Responsabilidad</w:t>
      </w:r>
    </w:p>
    <w:p>
      <w:pPr>
        <w:numPr>
          <w:ilvl w:val="0"/>
          <w:numId w:val="324"/>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Coraje</w:t>
      </w: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4.4. Estructura Organizativa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tratarse de la puesta en marcha de un proyecto nuevo e innovador, conformado por pocos colaboradores, el modelo de estructura organizacional simple con algunos matices de adhocracia es el que más se ajusta a la cultura de trabajo que se quiere promover. Las principales ventajas de este tipo de estructuras son:</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Agilidad: permite una rápida adaptación a los cambios, requisito fundamental en este tipo de negocio.</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Comunicación mejorada: fomenta una comunicación abierta y directa entre los colaboradores, lo cual impacta de manera positiva en factores que tienen que ver con la colaboración y la toma de decisiones. </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Empoderamiento de los empleados: si bien hay un líder del proyecto, la propuesta es desarrollar colaboradores con un mayor grado de autonomía y responsabilidad, aumentado su compromiso y satisfacción laboral.</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Toma de decisiones más rápida: la ausencia de niveles jerárquicos agiliza el proceso de toma de decisiones, fundamental en entornos dinámicos.</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Creatividad e innovación: se impulsa a que las ideas fluyan más libremente y se compartan entre los miembros del equipo.</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y mejor capacidad de respuesta al cliente: se eliminan los obstáculos que no agregan valor, permitiendo a la organización brindar un mejor servicio al cliente y satisfacer sus necesidades de manera más eficiente.</w:t>
      </w:r>
    </w:p>
    <w:p>
      <w:pPr>
        <w:numPr>
          <w:ilvl w:val="0"/>
          <w:numId w:val="327"/>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Menores costos operativos: se trata de maximizar la eficiencia y eficacia de la estructura para poder reducir los costos operativos.</w:t>
      </w:r>
    </w:p>
    <w:p>
      <w:pPr>
        <w:keepNext w:val="true"/>
        <w:keepLines w:val="true"/>
        <w:numPr>
          <w:ilvl w:val="0"/>
          <w:numId w:val="327"/>
        </w:numPr>
        <w:spacing w:before="200" w:after="120" w:line="240"/>
        <w:ind w:right="0" w:left="720" w:hanging="72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Organigrama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equipo de trabajo requerido para la puesta en marcha del proyecto estará conformado por 5 colaboradores. A continuación, se muestra el organigrama: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32: Organigrama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668" w:dyaOrig="3081">
          <v:rect xmlns:o="urn:schemas-microsoft-com:office:office" xmlns:v="urn:schemas-microsoft-com:vml" id="rectole0000000032" style="width:433.400000pt;height:154.0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2" ShapeID="rectole0000000032" r:id="docRId68"/>
        </w:objec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334"/>
        </w:numPr>
        <w:spacing w:before="200" w:after="12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Descripción de Roles y Responsabilidades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principales responsabilidades de cada uno de los puestos de trabajo se enumeran a continuación: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2: Descripción de Puestos de Trabajo</w:t>
      </w:r>
    </w:p>
    <w:tbl>
      <w:tblPr/>
      <w:tblGrid>
        <w:gridCol w:w="3114"/>
        <w:gridCol w:w="5386"/>
      </w:tblGrid>
      <w:tr>
        <w:trPr>
          <w:trHeight w:val="1" w:hRule="atLeast"/>
          <w:jc w:val="left"/>
        </w:trPr>
        <w:tc>
          <w:tcPr>
            <w:tcW w:w="3114"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Puesto de trabajo</w:t>
            </w:r>
          </w:p>
        </w:tc>
        <w:tc>
          <w:tcPr>
            <w:tcW w:w="5386"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Descripción</w:t>
            </w:r>
          </w:p>
        </w:tc>
      </w:tr>
      <w:tr>
        <w:trPr>
          <w:trHeight w:val="1" w:hRule="atLeast"/>
          <w:jc w:val="left"/>
        </w:trPr>
        <w:tc>
          <w:tcPr>
            <w:tcW w:w="3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Líder de Proyecto</w:t>
            </w:r>
          </w:p>
        </w:tc>
        <w:tc>
          <w:tcPr>
            <w:tcW w:w="5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Responsable de la Estrategia y Coordinación general:</w:t>
            </w:r>
          </w:p>
          <w:p>
            <w:pPr>
              <w:numPr>
                <w:ilvl w:val="0"/>
                <w:numId w:val="34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Diseño del plan estratégico alineado con la Misión, la Visión y los Valores.</w:t>
            </w:r>
          </w:p>
          <w:p>
            <w:pPr>
              <w:numPr>
                <w:ilvl w:val="0"/>
                <w:numId w:val="34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Organizar la comunicación entre los distintos sectores.</w:t>
            </w:r>
          </w:p>
          <w:p>
            <w:pPr>
              <w:numPr>
                <w:ilvl w:val="0"/>
                <w:numId w:val="34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Monitorear la evolución del negocio.</w:t>
            </w:r>
          </w:p>
          <w:p>
            <w:pPr>
              <w:numPr>
                <w:ilvl w:val="0"/>
                <w:numId w:val="34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Ser el vocero del proyecto ante los stakeholders.</w:t>
            </w:r>
          </w:p>
          <w:p>
            <w:pPr>
              <w:numPr>
                <w:ilvl w:val="0"/>
                <w:numId w:val="342"/>
              </w:numPr>
              <w:spacing w:before="0" w:after="0" w:line="24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Buscar fuentes de financiamiento.</w:t>
            </w:r>
          </w:p>
        </w:tc>
      </w:tr>
      <w:tr>
        <w:trPr>
          <w:trHeight w:val="1" w:hRule="atLeast"/>
          <w:jc w:val="left"/>
        </w:trPr>
        <w:tc>
          <w:tcPr>
            <w:tcW w:w="3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Analista en Sistemas</w:t>
            </w:r>
          </w:p>
        </w:tc>
        <w:tc>
          <w:tcPr>
            <w:tcW w:w="5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Responsable general por el funcionamiento de la plataforma y la página web:</w:t>
            </w:r>
          </w:p>
          <w:p>
            <w:pPr>
              <w:numPr>
                <w:ilvl w:val="0"/>
                <w:numId w:val="34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Relacionamiento con el desarrollador del software</w:t>
            </w:r>
          </w:p>
          <w:p>
            <w:pPr>
              <w:numPr>
                <w:ilvl w:val="0"/>
                <w:numId w:val="34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Implementación de mejoras</w:t>
            </w:r>
          </w:p>
          <w:p>
            <w:pPr>
              <w:numPr>
                <w:ilvl w:val="0"/>
                <w:numId w:val="34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Soporte técnico a clientes</w:t>
            </w:r>
          </w:p>
          <w:p>
            <w:pPr>
              <w:numPr>
                <w:ilvl w:val="0"/>
                <w:numId w:val="345"/>
              </w:numPr>
              <w:spacing w:before="0" w:after="0" w:line="24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Resolución de incidentes</w:t>
            </w:r>
          </w:p>
        </w:tc>
      </w:tr>
      <w:tr>
        <w:trPr>
          <w:trHeight w:val="1" w:hRule="atLeast"/>
          <w:jc w:val="left"/>
        </w:trPr>
        <w:tc>
          <w:tcPr>
            <w:tcW w:w="3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Analista de Servicio al Cliente</w:t>
            </w:r>
          </w:p>
        </w:tc>
        <w:tc>
          <w:tcPr>
            <w:tcW w:w="5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Responsable de todos los aspectos del servicio en relación con la página web y el Marketplace:</w:t>
            </w:r>
          </w:p>
          <w:p>
            <w:pPr>
              <w:numPr>
                <w:ilvl w:val="0"/>
                <w:numId w:val="34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Alta de clientes.</w:t>
            </w:r>
          </w:p>
          <w:p>
            <w:pPr>
              <w:numPr>
                <w:ilvl w:val="0"/>
                <w:numId w:val="34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Atención de consultas de investigadores.</w:t>
            </w:r>
          </w:p>
          <w:p>
            <w:pPr>
              <w:numPr>
                <w:ilvl w:val="0"/>
                <w:numId w:val="34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Resolución de problemas.</w:t>
            </w:r>
          </w:p>
          <w:p>
            <w:pPr>
              <w:numPr>
                <w:ilvl w:val="0"/>
                <w:numId w:val="348"/>
              </w:numPr>
              <w:spacing w:before="0" w:after="0" w:line="24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Operar herramienta de Live Chat</w:t>
            </w:r>
          </w:p>
        </w:tc>
      </w:tr>
      <w:tr>
        <w:trPr>
          <w:trHeight w:val="1" w:hRule="atLeast"/>
          <w:jc w:val="left"/>
        </w:trPr>
        <w:tc>
          <w:tcPr>
            <w:tcW w:w="3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Especialista de Marketing</w:t>
            </w:r>
          </w:p>
        </w:tc>
        <w:tc>
          <w:tcPr>
            <w:tcW w:w="5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Responsable de la estrategia de Marketing y Comercial:</w:t>
            </w:r>
          </w:p>
          <w:p>
            <w:pPr>
              <w:numPr>
                <w:ilvl w:val="0"/>
                <w:numId w:val="35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Liderazgo de campañas digitales</w:t>
            </w:r>
          </w:p>
          <w:p>
            <w:pPr>
              <w:numPr>
                <w:ilvl w:val="0"/>
                <w:numId w:val="35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Administración de redes sociales</w:t>
            </w:r>
          </w:p>
          <w:p>
            <w:pPr>
              <w:numPr>
                <w:ilvl w:val="0"/>
                <w:numId w:val="35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Análisis de datos y elaboración de reportes </w:t>
            </w:r>
          </w:p>
          <w:p>
            <w:pPr>
              <w:numPr>
                <w:ilvl w:val="0"/>
                <w:numId w:val="35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Participación en eventos científicos </w:t>
            </w:r>
          </w:p>
          <w:p>
            <w:pPr>
              <w:numPr>
                <w:ilvl w:val="0"/>
                <w:numId w:val="351"/>
              </w:numPr>
              <w:spacing w:before="0" w:after="0" w:line="24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Manejo del presupuesto (Ej. Google Ads)</w:t>
            </w:r>
          </w:p>
        </w:tc>
      </w:tr>
      <w:tr>
        <w:trPr>
          <w:trHeight w:val="1" w:hRule="atLeast"/>
          <w:jc w:val="left"/>
        </w:trPr>
        <w:tc>
          <w:tcPr>
            <w:tcW w:w="31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Asistente Administrativo</w:t>
            </w:r>
          </w:p>
        </w:tc>
        <w:tc>
          <w:tcPr>
            <w:tcW w:w="5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Responsable de las tareas administrativas generales incluyendo:</w:t>
            </w:r>
          </w:p>
          <w:p>
            <w:pPr>
              <w:numPr>
                <w:ilvl w:val="0"/>
                <w:numId w:val="35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Soporte administrativo a los otros sectores</w:t>
            </w:r>
          </w:p>
          <w:p>
            <w:pPr>
              <w:numPr>
                <w:ilvl w:val="0"/>
                <w:numId w:val="35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Compra de insumos </w:t>
            </w:r>
          </w:p>
          <w:p>
            <w:pPr>
              <w:numPr>
                <w:ilvl w:val="0"/>
                <w:numId w:val="35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Pago a proveedores</w:t>
            </w:r>
          </w:p>
          <w:p>
            <w:pPr>
              <w:numPr>
                <w:ilvl w:val="0"/>
                <w:numId w:val="354"/>
              </w:numPr>
              <w:spacing w:before="0" w:after="0" w:line="240"/>
              <w:ind w:right="0" w:left="720" w:hanging="36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Relacionamiento con el Estudio Contable (externo) y los bancos</w:t>
            </w:r>
          </w:p>
        </w:tc>
      </w:tr>
    </w:tbl>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numPr>
          <w:ilvl w:val="0"/>
          <w:numId w:val="358"/>
        </w:numPr>
        <w:spacing w:before="200" w:after="120" w:line="240"/>
        <w:ind w:right="0" w:left="720" w:hanging="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Estructura Legal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proyecto se va a inscribir ante la IGJ (Administración General de Justicia) como una Sociedad por Acciones Simplificadas (S.A.S.), que es un tipo de sociedad que surge de la Ley de Emprendedores. Como características destacadas podemos mencionar la posibilidad de tener un solo socio ya sea persona física o jurídica, un régimen simplificado de constitución y gestión, y una estructura flexible en cuanto a la distribución de ganancias y toma de decisiones. Además, las SAS tienen requisitos menos estrictos en términos de capital mínimo y pueden ser constituidas de manera ágil y con menos trámites que otros tipos de sociedades.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trámite de creación de una SAS es de muy bajo costo en comparación con la inscripción de otros tipos societarios: 25% de dos salarios mínimos vitales y móviles aproximadamente, incluida la publicación del edicto en el Boletín Oficial.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capital que hay que aportar es mínimo y equivale a dos Salarios Mínimos Vital y Móvil. El capital que se aporte será dividido en acciones, como en la Sociedad Anónima.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Las SAS tienen que pagar IVA (pueden diferir el pago en el tiempo) e Ingresos Brutos.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SAS, por no tratarse de una sociedad comprendida en la ley 19550, no se encuentra obligada frente al impuesto a los Bienes Personales, sino sus accionistas.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nombre con el cual se inscribirá la empresa ante la IGJ es Investigatech SAS.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5. Plan Operativo</w:t>
      </w: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 Espacios y herramientas de Trabajo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Teniendo en cuenta que el proyecto, en su operatoria diaria, no requiere de un espacio físico especialmente acondicionado, es que se decide adoptar una modalidad de trabajo del tipo Teletrabajo.  Por tal motivo, y cumpliendo con la Ley 27.555 (RÉGIMEN LEGAL DEL CONTRATO DE TELETRABAJO), a cada colaborador se le hará entrega de una computadora personal del tipo Tablet con accesorios (pantalla, mouse, mouse pad y vincha), como herramienta de trabajo.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Adicionalmente, la empresa se hará cargo de los siguientes gastos:</w:t>
      </w:r>
    </w:p>
    <w:p>
      <w:pPr>
        <w:numPr>
          <w:ilvl w:val="0"/>
          <w:numId w:val="36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Instalación y el abono mensual correspondiente al servicio de Internet provisto por dos empresas diferentes (Ej. Fibertel y Telecentro), para evitar que un corte en el servicio afecte el normal desarrollo de las actividades y genere inconvenientes con los usuarios de la plataforma. </w:t>
      </w:r>
    </w:p>
    <w:p>
      <w:pPr>
        <w:numPr>
          <w:ilvl w:val="0"/>
          <w:numId w:val="36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cada empleado se le hará entrega de un teléfono celular, y se cubrirá el abono mensual de la línea</w:t>
      </w:r>
    </w:p>
    <w:p>
      <w:pPr>
        <w:numPr>
          <w:ilvl w:val="0"/>
          <w:numId w:val="36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le hará llegar a cada empleado un escritorio con una silla ergonómica, como parte de los elementos necesarios para desarrollar la tarea.</w:t>
      </w:r>
    </w:p>
    <w:p>
      <w:pPr>
        <w:numPr>
          <w:ilvl w:val="0"/>
          <w:numId w:val="36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Gastos de papelería y cafetería.</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del 3er año del proyecto, se evaluará la posibilidad de alquilar un espacio de co-working</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Sitio Web y Plataforma Digital C2C</w:t>
      </w:r>
    </w:p>
    <w:p>
      <w:pPr>
        <w:spacing w:before="0" w:after="0" w:line="36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Se ha decidido dejar en manos de un tercero la creación de la página web y la plataforma digital C2C, con el objeto de reducir al máximo la contratación de personal, teniendo en cuenta los altos costos laborales que rigen en la República Argentina.</w:t>
      </w: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left"/>
        <w:rPr>
          <w:rFonts w:ascii="Cambria" w:hAnsi="Cambria" w:cs="Cambria" w:eastAsia="Cambria"/>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5.3. Operación del Negocio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muestra un diagrama de flujo simplificado de una transacción modelo (Ilustración 33), y una descripción de los aspectos más destacados de cada una de las etapas (Tabla 3).</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Ilustración 33: Diagrama de flujo de una transacción</w:t>
      </w:r>
    </w:p>
    <w:p>
      <w:pPr>
        <w:spacing w:before="0" w:after="0" w:line="360"/>
        <w:ind w:right="0" w:left="0" w:firstLine="0"/>
        <w:jc w:val="left"/>
        <w:rPr>
          <w:rFonts w:ascii="Cambria" w:hAnsi="Cambria" w:cs="Cambria" w:eastAsia="Cambria"/>
          <w:color w:val="FF0000"/>
          <w:spacing w:val="0"/>
          <w:position w:val="0"/>
          <w:sz w:val="24"/>
          <w:shd w:fill="auto" w:val="clear"/>
        </w:rPr>
      </w:pPr>
    </w:p>
    <w:p>
      <w:pPr>
        <w:spacing w:before="0" w:after="0" w:line="360"/>
        <w:ind w:right="0" w:left="0" w:firstLine="0"/>
        <w:jc w:val="left"/>
        <w:rPr>
          <w:rFonts w:ascii="Cambria" w:hAnsi="Cambria" w:cs="Cambria" w:eastAsia="Cambria"/>
          <w:color w:val="FF0000"/>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keepNext w:val="true"/>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3: Descripción de las etapas de una transacción</w:t>
      </w:r>
    </w:p>
    <w:tbl>
      <w:tblPr/>
      <w:tblGrid>
        <w:gridCol w:w="1536"/>
        <w:gridCol w:w="7974"/>
      </w:tblGrid>
      <w:tr>
        <w:trPr>
          <w:trHeight w:val="1" w:hRule="atLeast"/>
          <w:jc w:val="left"/>
        </w:trPr>
        <w:tc>
          <w:tcPr>
            <w:tcW w:w="1536"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Etapa</w:t>
            </w:r>
          </w:p>
        </w:tc>
        <w:tc>
          <w:tcPr>
            <w:tcW w:w="7974"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Descripción</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Publicación</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el investigador publica el producto o servicio en la plataforma digital. El precio lo define la parte vendedora, y se debe incluir además dentro de dicho valor los costos de envío y la comisión.</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Compra</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acuerda la transacción entre la parte vendedora y la parte compradora, previa comprensión y aceptación por parte de esta última de todas las condiciones comerciales, que incluyen forma de pago, requisitos de entrega, garantías, información adicional solicitada, entre otras.</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Facturación</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La facturación corre por cuenta y cargo de la empresa proveedora del servicio, en este caso Investigatech SAS. La parte compradora ingresa en la plataforma todos los datos necesarios para la correcta emisión de la factura electrónica.</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Pago</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El pago se puede efectuar con tarjeta de crédito o por transferencia.</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Entrega</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 acuerda entre las partes las condiciones de entrega (dirección, horario, contacto, etc.).</w:t>
            </w:r>
          </w:p>
        </w:tc>
      </w:tr>
      <w:tr>
        <w:trPr>
          <w:trHeight w:val="1" w:hRule="atLeast"/>
          <w:jc w:val="left"/>
        </w:trPr>
        <w:tc>
          <w:tcPr>
            <w:tcW w:w="15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Transferencia</w:t>
            </w:r>
          </w:p>
        </w:tc>
        <w:tc>
          <w:tcPr>
            <w:tcW w:w="79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Una vez entregado el producto o realizado el servicio, y con conformidad de la parte compradora, se transferirá a la parte vendedora, contra factura, el importe de la transacción descontando la comisión.</w:t>
            </w:r>
          </w:p>
        </w:tc>
      </w:tr>
    </w:tbl>
    <w:p>
      <w:pPr>
        <w:spacing w:before="6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5.2. Terciarización de Servicios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aquellas tareas que no formen parte del núcleo del negocio, se buscara la contratación de servicios externos. Se pueden incluir en este punto todos aquellos aspectos relativos a asuntos contables y financieras, asesoramiento legal y técnico, agencia digital para soporte de la estrategia de Marketing. </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CAPÍTULO 6: ANÁLISIS ECONÓMICO-FINANCIERO</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6.1. Estimación de la demanda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poder estimar la demanda, es necesario en primera instancia conocer el número de investigadores de las Áreas del Conocimiento de Ciencias Biológicas y de las Salud, y Ciencias Exactas y Naturales.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Análisis del Sector se indica que nuestro país contaba en el año 2019 con 90.747 investigadores incluyendo CONICET, Universidades e Institutos, entre otros. Como solamente el CONICET en su página web indica la cantidad de investigadores por área del conocimiento, a efectos del presente proyecto de tesis se va a trabajar solamente con este grupo para hacer el análisis económico-financiero.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se muestra una tabla publicada en la página del CONICET con el detalle del número de investigadores por área del conocimiento. (Tabla 4)</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4: Investigadores por Área del Conocimiento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7344" w:dyaOrig="3033">
          <v:rect xmlns:o="urn:schemas-microsoft-com:office:office" xmlns:v="urn:schemas-microsoft-com:vml" id="rectole0000000033" style="width:367.200000pt;height:151.6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3" ShapeID="rectole0000000033" r:id="docRId70"/>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Página Web del CONICET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la siguiente tabla, se muestra la cantidad de becarios de doctorado y post doctorado por área del conocimiento (Tabla 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5: Becarios por Área del Conocimiento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8163" w:dyaOrig="2116">
          <v:rect xmlns:o="urn:schemas-microsoft-com:office:office" xmlns:v="urn:schemas-microsoft-com:vml" id="rectole0000000034" style="width:408.150000pt;height:105.8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4" ShapeID="rectole0000000034" r:id="docRId72"/>
        </w:object>
      </w:r>
    </w:p>
    <w:p>
      <w:pPr>
        <w:spacing w:before="12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Página Web del CONICET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Sumando los valores de las tablas de arriba y teniendo en cuenta las Áreas del Conocimiento de interés, se llega a un total de 10.993 entre investigadores y becarios de doctorado y post doctorado.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otro lado, de los resultados de la encuesta, se obtuvo la siguiente información respecto de la cantidad de productos y servicios que los investigadores consumen anualmente y el precio promedio. (Tabla 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6: Consumo de Reactivos y Servicios por investigador</w:t>
      </w:r>
    </w:p>
    <w:tbl>
      <w:tblPr/>
      <w:tblGrid>
        <w:gridCol w:w="2831"/>
        <w:gridCol w:w="2831"/>
        <w:gridCol w:w="2832"/>
      </w:tblGrid>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Compra Anual (unidades/investigador)</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Compra Anual (USD/investigador)</w:t>
            </w:r>
          </w:p>
        </w:tc>
      </w:tr>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Reactivos Químicos y Productos Biológicos</w:t>
            </w: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8.800</w:t>
            </w:r>
          </w:p>
        </w:tc>
      </w:tr>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Servicios</w:t>
            </w: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3.300</w:t>
            </w:r>
          </w:p>
        </w:tc>
      </w:tr>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Total</w:t>
            </w: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39</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12.100</w:t>
            </w:r>
          </w:p>
        </w:tc>
      </w:tr>
    </w:tbl>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valor promedio por transacción es de 310 dólares estadounidenses, y surge de dividir la compra anual por investigador expresada en dólares estadounidenses entre las unidades, es decir 12.100 dividido entre 39.</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Multiplicando la compra por investigador por la cantidad total de investigadores, surge el potencial anual de compra en unidades y en dólares estadounidenses. (tabla 7)</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7: Consumo de Reactivos y Servicios Total de Investigadores</w:t>
      </w:r>
    </w:p>
    <w:tbl>
      <w:tblPr/>
      <w:tblGrid>
        <w:gridCol w:w="2831"/>
        <w:gridCol w:w="2831"/>
        <w:gridCol w:w="2832"/>
      </w:tblGrid>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Compra Anual (unidades)</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Compra Anual (USD)</w:t>
            </w:r>
          </w:p>
        </w:tc>
      </w:tr>
      <w:tr>
        <w:trPr>
          <w:trHeight w:val="1" w:hRule="atLeast"/>
          <w:jc w:val="left"/>
        </w:trPr>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Total</w:t>
            </w:r>
          </w:p>
        </w:tc>
        <w:tc>
          <w:tcPr>
            <w:tcW w:w="2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428.727</w:t>
            </w:r>
          </w:p>
        </w:tc>
        <w:tc>
          <w:tcPr>
            <w:tcW w:w="28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133 millones</w:t>
            </w:r>
          </w:p>
        </w:tc>
      </w:tr>
    </w:tbl>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6.2. Supuestos Financieros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supuestos financieros que serán utilizados para la proyección del negocio son los siguientes:</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el análisis económico-financiero se tomará como moneda el dólar estadounidense.</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Inflación proyectada: Como premisa, se contempla proyectar a moneda constante: Ceteris Paribus. No se considera inflación ni modificación de precio de venta o de costos.</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Sueldo básico según FAECYS (Empleado de Comercio – Administrativo) de 400.000 pesos + 30% de contribuciones patronales. Total, en dólares estadounidenses 1.425 (Tipo de cambio dólar Banco Nación 1 dólar = 365 pesos)</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Incremento de sueldos anual proyectado del 5% anual por incentivos. </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inversión inicial se realizará con fondos propios</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Tasa de descuento del proyecto: 15%</w:t>
      </w:r>
    </w:p>
    <w:p>
      <w:pPr>
        <w:numPr>
          <w:ilvl w:val="0"/>
          <w:numId w:val="43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Valor residual del proyecto: se considera como valor residual la mitad de la facturación del último año de medición.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6.3. Estimación Ingresos y Egresos</w:t>
      </w: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6.3.1. Inversión Inicial</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 continuación, se detalla la inversión inicial del proyecto. (Tabla 8)</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8: Inversión Inicial</w:t>
      </w:r>
    </w:p>
    <w:tbl>
      <w:tblPr/>
      <w:tblGrid>
        <w:gridCol w:w="4519"/>
        <w:gridCol w:w="1083"/>
        <w:gridCol w:w="1556"/>
        <w:gridCol w:w="1408"/>
      </w:tblGrid>
      <w:tr>
        <w:trPr>
          <w:trHeight w:val="1" w:hRule="atLeast"/>
          <w:jc w:val="left"/>
        </w:trPr>
        <w:tc>
          <w:tcPr>
            <w:tcW w:w="4519"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Concepto</w:t>
            </w:r>
          </w:p>
        </w:tc>
        <w:tc>
          <w:tcPr>
            <w:tcW w:w="1083"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Cantidad</w:t>
            </w:r>
          </w:p>
        </w:tc>
        <w:tc>
          <w:tcPr>
            <w:tcW w:w="1556"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Costo Unitario </w:t>
            </w:r>
          </w:p>
        </w:tc>
        <w:tc>
          <w:tcPr>
            <w:tcW w:w="1408" w:type="dxa"/>
            <w:tcBorders>
              <w:top w:val="single" w:color="000000" w:sz="4"/>
              <w:left w:val="single" w:color="000000" w:sz="4"/>
              <w:bottom w:val="single" w:color="000000" w:sz="4"/>
              <w:right w:val="single" w:color="000000" w:sz="4"/>
            </w:tcBorders>
            <w:shd w:color="auto" w:fill="ccc0d9"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Costo Total </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Conformación de la SAS Investigatech</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274</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274</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Registro de la marca ConCiencia</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Computadoras tipo Tablet y accesorios</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1.200</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6.000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Artículos de oficina (escritorio, silla, papelería)</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500</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Teléfono celular </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1.250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Página web y plataforma digital C2C</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15.000</w:t>
            </w: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15.000</w:t>
            </w:r>
          </w:p>
        </w:tc>
      </w:tr>
      <w:tr>
        <w:trPr>
          <w:trHeight w:val="1" w:hRule="atLeast"/>
          <w:jc w:val="left"/>
        </w:trPr>
        <w:tc>
          <w:tcPr>
            <w:tcW w:w="4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4519" w:type="dxa"/>
            <w:tcBorders>
              <w:top w:val="single" w:color="000000" w:sz="4"/>
              <w:left w:val="single" w:color="000000" w:sz="4"/>
              <w:bottom w:val="single" w:color="000000" w:sz="4"/>
              <w:right w:val="single" w:color="000000" w:sz="4"/>
            </w:tcBorders>
            <w:shd w:color="auto" w:fill="fef2cb"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Total</w:t>
            </w:r>
          </w:p>
        </w:tc>
        <w:tc>
          <w:tcPr>
            <w:tcW w:w="1083" w:type="dxa"/>
            <w:tcBorders>
              <w:top w:val="single" w:color="000000" w:sz="4"/>
              <w:left w:val="single" w:color="000000" w:sz="4"/>
              <w:bottom w:val="single" w:color="000000" w:sz="4"/>
              <w:right w:val="single" w:color="000000" w:sz="4"/>
            </w:tcBorders>
            <w:shd w:color="auto" w:fill="fef2cb"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6" w:type="dxa"/>
            <w:tcBorders>
              <w:top w:val="single" w:color="000000" w:sz="4"/>
              <w:left w:val="single" w:color="000000" w:sz="4"/>
              <w:bottom w:val="single" w:color="000000" w:sz="4"/>
              <w:right w:val="single" w:color="000000" w:sz="4"/>
            </w:tcBorders>
            <w:shd w:color="auto" w:fill="fef2cb"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17.244</w:t>
            </w:r>
          </w:p>
        </w:tc>
        <w:tc>
          <w:tcPr>
            <w:tcW w:w="1408" w:type="dxa"/>
            <w:tcBorders>
              <w:top w:val="single" w:color="000000" w:sz="4"/>
              <w:left w:val="single" w:color="000000" w:sz="4"/>
              <w:bottom w:val="single" w:color="000000" w:sz="4"/>
              <w:right w:val="single" w:color="000000" w:sz="4"/>
            </w:tcBorders>
            <w:shd w:color="auto" w:fill="fef2cb"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25.044</w:t>
            </w:r>
          </w:p>
        </w:tc>
      </w:tr>
    </w:tbl>
    <w:p>
      <w:pPr>
        <w:spacing w:before="12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6.3.2. Proyección de Gastos de Operación</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9: Gastos Operativos</w:t>
      </w:r>
    </w:p>
    <w:tbl>
      <w:tblPr>
        <w:tblInd w:w="75" w:type="dxa"/>
      </w:tblPr>
      <w:tblGrid>
        <w:gridCol w:w="3400"/>
        <w:gridCol w:w="1000"/>
        <w:gridCol w:w="1080"/>
        <w:gridCol w:w="1080"/>
        <w:gridCol w:w="1080"/>
        <w:gridCol w:w="1100"/>
      </w:tblGrid>
      <w:tr>
        <w:trPr>
          <w:trHeight w:val="300" w:hRule="auto"/>
          <w:jc w:val="left"/>
        </w:trPr>
        <w:tc>
          <w:tcPr>
            <w:tcW w:w="3400" w:type="dxa"/>
            <w:tcBorders>
              <w:top w:val="single" w:color="000000" w:sz="4"/>
              <w:left w:val="single" w:color="000000" w:sz="4"/>
              <w:bottom w:val="single" w:color="000000" w:sz="4"/>
              <w:right w:val="single" w:color="000000" w:sz="0"/>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p>
        </w:tc>
        <w:tc>
          <w:tcPr>
            <w:tcW w:w="1000" w:type="dxa"/>
            <w:tcBorders>
              <w:top w:val="single" w:color="000000" w:sz="4"/>
              <w:left w:val="single" w:color="000000" w:sz="4"/>
              <w:bottom w:val="single" w:color="000000" w:sz="4"/>
              <w:right w:val="single" w:color="000000" w:sz="0"/>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1</w:t>
            </w:r>
          </w:p>
        </w:tc>
        <w:tc>
          <w:tcPr>
            <w:tcW w:w="1080"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2</w:t>
            </w:r>
          </w:p>
        </w:tc>
        <w:tc>
          <w:tcPr>
            <w:tcW w:w="1080"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3</w:t>
            </w:r>
          </w:p>
        </w:tc>
        <w:tc>
          <w:tcPr>
            <w:tcW w:w="1080"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4</w:t>
            </w:r>
          </w:p>
        </w:tc>
        <w:tc>
          <w:tcPr>
            <w:tcW w:w="1100"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5</w:t>
            </w:r>
          </w:p>
        </w:tc>
      </w:tr>
      <w:tr>
        <w:trPr>
          <w:trHeight w:val="300" w:hRule="auto"/>
          <w:jc w:val="left"/>
        </w:trPr>
        <w:tc>
          <w:tcPr>
            <w:tcW w:w="3400" w:type="dxa"/>
            <w:tcBorders>
              <w:top w:val="single" w:color="000000" w:sz="0"/>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Detalle</w:t>
            </w:r>
          </w:p>
        </w:tc>
        <w:tc>
          <w:tcPr>
            <w:tcW w:w="1000" w:type="dxa"/>
            <w:tcBorders>
              <w:top w:val="single" w:color="000000" w:sz="0"/>
              <w:left w:val="single" w:color="000000" w:sz="0"/>
              <w:bottom w:val="single" w:color="000000" w:sz="4"/>
              <w:right w:val="single" w:color="000000" w:sz="4"/>
            </w:tcBorders>
            <w:shd w:color="auto" w:fill="ccc0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p>
        </w:tc>
        <w:tc>
          <w:tcPr>
            <w:tcW w:w="1080" w:type="dxa"/>
            <w:tcBorders>
              <w:top w:val="single" w:color="000000" w:sz="0"/>
              <w:left w:val="single" w:color="000000" w:sz="0"/>
              <w:bottom w:val="single" w:color="000000" w:sz="4"/>
              <w:right w:val="single" w:color="000000" w:sz="4"/>
            </w:tcBorders>
            <w:shd w:color="auto" w:fill="ccc0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4"/>
              <w:right w:val="single" w:color="000000" w:sz="4"/>
            </w:tcBorders>
            <w:shd w:color="auto" w:fill="ccc0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p>
        </w:tc>
        <w:tc>
          <w:tcPr>
            <w:tcW w:w="1080" w:type="dxa"/>
            <w:tcBorders>
              <w:top w:val="single" w:color="000000" w:sz="0"/>
              <w:left w:val="single" w:color="000000" w:sz="0"/>
              <w:bottom w:val="single" w:color="000000" w:sz="4"/>
              <w:right w:val="single" w:color="000000" w:sz="4"/>
            </w:tcBorders>
            <w:shd w:color="auto" w:fill="ccc0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4"/>
              <w:right w:val="single" w:color="000000" w:sz="4"/>
            </w:tcBorders>
            <w:shd w:color="auto" w:fill="ccc0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Roles - Costo Laboral</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85.500,0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89.775,0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94.263,8</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98.976,9</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103.925,8</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Servidor Base de Datos</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Mantenimiento App</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Telefonía Celular/Internet</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1.680,0</w:t>
            </w:r>
          </w:p>
        </w:tc>
      </w:tr>
      <w:tr>
        <w:trPr>
          <w:trHeight w:val="32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Outsourcing Contable/Legal</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r>
      <w:tr>
        <w:trPr>
          <w:trHeight w:val="32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Outsourcing Agencia Digital</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Gastos Bancarios</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 Working - Alquiler Semanal</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5.200,0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Mantenimiento App (hypercare)</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w:t>
            </w:r>
          </w:p>
        </w:tc>
      </w:tr>
      <w:tr>
        <w:trPr>
          <w:trHeight w:val="310" w:hRule="auto"/>
          <w:jc w:val="left"/>
        </w:trPr>
        <w:tc>
          <w:tcPr>
            <w:tcW w:w="3400" w:type="dxa"/>
            <w:tcBorders>
              <w:top w:val="single" w:color="000000" w:sz="0"/>
              <w:left w:val="single" w:color="000000" w:sz="4"/>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Papelería y Cafetería</w:t>
            </w:r>
          </w:p>
        </w:tc>
        <w:tc>
          <w:tcPr>
            <w:tcW w:w="1000" w:type="dxa"/>
            <w:tcBorders>
              <w:top w:val="single" w:color="000000" w:sz="0"/>
              <w:left w:val="single" w:color="000000" w:sz="4"/>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08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c>
          <w:tcPr>
            <w:tcW w:w="1100" w:type="dxa"/>
            <w:tcBorders>
              <w:top w:val="single" w:color="000000" w:sz="0"/>
              <w:left w:val="single" w:color="000000" w:sz="0"/>
              <w:bottom w:val="single" w:color="000000" w:sz="0"/>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r>
      <w:tr>
        <w:trPr>
          <w:trHeight w:val="310" w:hRule="auto"/>
          <w:jc w:val="left"/>
        </w:trPr>
        <w:tc>
          <w:tcPr>
            <w:tcW w:w="3400" w:type="dxa"/>
            <w:tcBorders>
              <w:top w:val="single" w:color="000000" w:sz="0"/>
              <w:left w:val="single" w:color="000000" w:sz="4"/>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Gastos de Representación</w:t>
            </w:r>
          </w:p>
        </w:tc>
        <w:tc>
          <w:tcPr>
            <w:tcW w:w="100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c>
          <w:tcPr>
            <w:tcW w:w="108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c>
          <w:tcPr>
            <w:tcW w:w="108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c>
          <w:tcPr>
            <w:tcW w:w="108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c>
          <w:tcPr>
            <w:tcW w:w="110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320" w:hRule="auto"/>
          <w:jc w:val="left"/>
        </w:trPr>
        <w:tc>
          <w:tcPr>
            <w:tcW w:w="340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Total, Gastos Fijos</w:t>
            </w:r>
          </w:p>
        </w:tc>
        <w:tc>
          <w:tcPr>
            <w:tcW w:w="100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107.580</w:t>
            </w:r>
          </w:p>
        </w:tc>
        <w:tc>
          <w:tcPr>
            <w:tcW w:w="108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111.855</w:t>
            </w:r>
          </w:p>
        </w:tc>
        <w:tc>
          <w:tcPr>
            <w:tcW w:w="108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116.744</w:t>
            </w:r>
          </w:p>
        </w:tc>
        <w:tc>
          <w:tcPr>
            <w:tcW w:w="108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121.457</w:t>
            </w:r>
          </w:p>
        </w:tc>
        <w:tc>
          <w:tcPr>
            <w:tcW w:w="1100" w:type="dxa"/>
            <w:tcBorders>
              <w:top w:val="single" w:color="000000" w:sz="4"/>
              <w:left w:val="single" w:color="000000" w:sz="4"/>
              <w:bottom w:val="single" w:color="000000" w:sz="4"/>
              <w:right w:val="single" w:color="000000" w:sz="4"/>
            </w:tcBorders>
            <w:shd w:color="auto"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126.406</w:t>
            </w: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24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Mantenimiento App: </w:t>
      </w:r>
      <w:r>
        <w:rPr>
          <w:rFonts w:ascii="Times New Roman" w:hAnsi="Times New Roman" w:cs="Times New Roman" w:eastAsia="Times New Roman"/>
          <w:color w:val="auto"/>
          <w:spacing w:val="0"/>
          <w:position w:val="0"/>
          <w:sz w:val="24"/>
          <w:shd w:fill="auto" w:val="clear"/>
        </w:rPr>
        <w:t xml:space="preserve">400 dólares. Se considera importante sostener el servicio los primeros 2 años para monitorear la operatividad de la App y tener una rápida respuesta en caso de que se presenten fallas.</w:t>
        <w:tab/>
        <w:tab/>
        <w:tab/>
        <w:tab/>
        <w:tab/>
        <w:tab/>
        <w:tab/>
        <w:tab/>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 Working:</w:t>
      </w:r>
      <w:r>
        <w:rPr>
          <w:rFonts w:ascii="Times New Roman" w:hAnsi="Times New Roman" w:cs="Times New Roman" w:eastAsia="Times New Roman"/>
          <w:color w:val="auto"/>
          <w:spacing w:val="0"/>
          <w:position w:val="0"/>
          <w:sz w:val="24"/>
          <w:shd w:fill="auto" w:val="clear"/>
        </w:rPr>
        <w:t xml:space="preserve"> Se proyecta utilizar el espacio a partir del 3er año. Los primeros 2 años se planea trabajar de manera remota.</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6.3.3. Análisis Proyectado</w:t>
      </w:r>
    </w:p>
    <w:p>
      <w:pPr>
        <w:spacing w:before="0" w:after="24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Supuestos</w:t>
      </w:r>
    </w:p>
    <w:p>
      <w:pPr>
        <w:spacing w:before="0" w:after="24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Ventas:</w:t>
      </w:r>
      <w:r>
        <w:rPr>
          <w:rFonts w:ascii="Times New Roman" w:hAnsi="Times New Roman" w:cs="Times New Roman" w:eastAsia="Times New Roman"/>
          <w:color w:val="auto"/>
          <w:spacing w:val="0"/>
          <w:position w:val="0"/>
          <w:sz w:val="24"/>
          <w:shd w:fill="auto" w:val="clear"/>
        </w:rPr>
        <w:t xml:space="preserve"> De acuerdo con los datos que arroja el estudio de mercado, el 31% de los investigadores estaría “Muy Dispuesto” a utilizar una plataforma digital para la compraventa de reactivos y servicios. Sin embargo, teniendo en cuenta que hay reactivos que aun necesitan ser comprados a las empresas porque no están disponibles localmente, y que no existe en el país una propuesta similar con la cual establecer una comparación, para el primer año se considera un escenario conservador en el que el 1% de todas las operaciones de compraventa (ver Tabla 7) se realizan a través de la plataforma. El crecimiento acumulado se estima en un 50% interanual.</w:t>
      </w:r>
    </w:p>
    <w:p>
      <w:pPr>
        <w:spacing w:before="120" w:after="24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Ingresos:</w:t>
      </w:r>
      <w:r>
        <w:rPr>
          <w:rFonts w:ascii="Times New Roman" w:hAnsi="Times New Roman" w:cs="Times New Roman" w:eastAsia="Times New Roman"/>
          <w:color w:val="auto"/>
          <w:spacing w:val="0"/>
          <w:position w:val="0"/>
          <w:sz w:val="24"/>
          <w:shd w:fill="auto" w:val="clear"/>
        </w:rPr>
        <w:t xml:space="preserve"> Como se trata de reventa de productos, ya sea nuevos o usados, se considera un escenario conservador donde la venta promedio será de USD 150, en lugar de USD 310. La comisión se definió tomando como base la comisión que cobra Mercado Libre que es de entre 12% y 16,5% de la venta. A efectos del análisis económico-financiero, se decide cobrar una comisión más baja, del 10%, por tratarse de un nuevo emprendimiento, y que la comisión es en dólares estadounidenses.</w:t>
      </w:r>
    </w:p>
    <w:p>
      <w:pPr>
        <w:spacing w:before="120" w:after="24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Costos:</w:t>
      </w:r>
      <w:r>
        <w:rPr>
          <w:rFonts w:ascii="Times New Roman" w:hAnsi="Times New Roman" w:cs="Times New Roman" w:eastAsia="Times New Roman"/>
          <w:color w:val="auto"/>
          <w:spacing w:val="0"/>
          <w:position w:val="0"/>
          <w:sz w:val="24"/>
          <w:shd w:fill="auto" w:val="clear"/>
        </w:rPr>
        <w:t xml:space="preserve"> Se toma el 1% porque es una plataforma elástica y cobra por transacción, y se adiciona el 3,5% de la pasarela de pago. Dentro de estos porcentajes se contempla un mínimo cargo bancario por el impuesto al crédito y al débito.</w:t>
      </w:r>
    </w:p>
    <w:p>
      <w:pPr>
        <w:spacing w:before="120" w:after="24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Depreciación:</w:t>
      </w:r>
      <w:r>
        <w:rPr>
          <w:rFonts w:ascii="Times New Roman" w:hAnsi="Times New Roman" w:cs="Times New Roman" w:eastAsia="Times New Roman"/>
          <w:color w:val="auto"/>
          <w:spacing w:val="0"/>
          <w:position w:val="0"/>
          <w:sz w:val="24"/>
          <w:shd w:fill="auto" w:val="clear"/>
        </w:rPr>
        <w:t xml:space="preserve"> Como política, la empresa toma una depreciación promedio del 20%.</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Dias de Cobranza:</w:t>
      </w:r>
      <w:r>
        <w:rPr>
          <w:rFonts w:ascii="Times New Roman" w:hAnsi="Times New Roman" w:cs="Times New Roman" w:eastAsia="Times New Roman"/>
          <w:color w:val="auto"/>
          <w:spacing w:val="0"/>
          <w:position w:val="0"/>
          <w:sz w:val="24"/>
          <w:shd w:fill="auto" w:val="clear"/>
        </w:rPr>
        <w:t xml:space="preserve"> Al trabajar con pasarelas de pago, el flujo de efectivo será muy rápido dado que las principales operadoras depositan el dinero a los 5 días post transacción. </w:t>
      </w:r>
    </w:p>
    <w:p>
      <w:pPr>
        <w:spacing w:before="12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Dias de Pago: </w:t>
      </w:r>
      <w:r>
        <w:rPr>
          <w:rFonts w:ascii="Times New Roman" w:hAnsi="Times New Roman" w:cs="Times New Roman" w:eastAsia="Times New Roman"/>
          <w:color w:val="auto"/>
          <w:spacing w:val="0"/>
          <w:position w:val="0"/>
          <w:sz w:val="24"/>
          <w:shd w:fill="auto" w:val="clear"/>
        </w:rPr>
        <w:t xml:space="preserve">Se plantea un tiempo de 20 días, dado que las principales obligaciones son mensuales y quizás los Outsourcing al principio serán pagos a 10/15 días, pero al realizar la ponderación, se observa que el principal gasto son los salarios a 30 días</w:t>
        <w:tab/>
        <w:tab/>
        <w:tab/>
        <w:tab/>
        <w:tab/>
        <w:tab/>
        <w:tab/>
        <w:tab/>
        <w:tab/>
        <w:tab/>
        <w:tab/>
        <w:tab/>
        <w:tab/>
        <w:tab/>
        <w:tab/>
        <w:tab/>
        <w:tab/>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10: Análisis Proyectado</w:t>
      </w:r>
    </w:p>
    <w:tbl>
      <w:tblPr>
        <w:tblInd w:w="75" w:type="dxa"/>
      </w:tblPr>
      <w:tblGrid>
        <w:gridCol w:w="3397"/>
        <w:gridCol w:w="992"/>
        <w:gridCol w:w="992"/>
        <w:gridCol w:w="993"/>
        <w:gridCol w:w="992"/>
        <w:gridCol w:w="992"/>
        <w:gridCol w:w="993"/>
      </w:tblGrid>
      <w:tr>
        <w:trPr>
          <w:trHeight w:val="315" w:hRule="auto"/>
          <w:jc w:val="left"/>
        </w:trPr>
        <w:tc>
          <w:tcPr>
            <w:tcW w:w="3397"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w:t>
            </w:r>
          </w:p>
        </w:tc>
        <w:tc>
          <w:tcPr>
            <w:tcW w:w="99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99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93"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99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99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993"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Transacciones</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4.287</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6.431</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9.647</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14.471</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21.707</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Precio promedio (USD)</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15,00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15,00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15,00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15,00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15,00</w:t>
            </w:r>
          </w:p>
        </w:tc>
      </w:tr>
      <w:tr>
        <w:trPr>
          <w:trHeight w:val="520"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CMV: Costo de operación de la Plataforma</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CMV: Pasarela de Pagos</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Gastos fijos (USD)</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107.580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111.855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116.744</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121.457</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126.406</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Intereses</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Impuestos</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35%</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Días cobranza</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Días de pago</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Otros datos:</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Tasa de descuento</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Inversiones de capital (USD)</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25.044</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Depreciación</w:t>
            </w:r>
            <w:r>
              <w:rPr>
                <w:rFonts w:ascii="Times New Roman" w:hAnsi="Times New Roman" w:cs="Times New Roman" w:eastAsia="Times New Roman"/>
                <w:b/>
                <w:color w:val="FF0000"/>
                <w:spacing w:val="0"/>
                <w:position w:val="0"/>
                <w:sz w:val="24"/>
                <w:shd w:fill="auto" w:val="clear"/>
              </w:rPr>
              <w:t xml:space="preserve"> </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Crecimiento anual</w:t>
            </w: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50%</w:t>
            </w:r>
          </w:p>
        </w:tc>
      </w:tr>
      <w:tr>
        <w:trPr>
          <w:trHeight w:val="315" w:hRule="auto"/>
          <w:jc w:val="left"/>
        </w:trPr>
        <w:tc>
          <w:tcPr>
            <w:tcW w:w="339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r>
        <w:rPr>
          <w:rFonts w:ascii="Cambria" w:hAnsi="Cambria" w:cs="Cambria" w:eastAsia="Cambria"/>
          <w:color w:val="auto"/>
          <w:spacing w:val="0"/>
          <w:position w:val="0"/>
          <w:sz w:val="24"/>
          <w:shd w:fill="auto" w:val="clear"/>
        </w:rPr>
        <w:tab/>
        <w:tab/>
        <w:tab/>
        <w:tab/>
        <w:tab/>
        <w:tab/>
        <w:tab/>
        <w:tab/>
        <w:tab/>
        <w:tab/>
        <w:tab/>
      </w: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6.3.4. Capital de Trabajo </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11: Capital de Trabajo Proyectado</w:t>
      </w:r>
      <w:r>
        <w:rPr>
          <w:rFonts w:ascii="Cambria" w:hAnsi="Cambria" w:cs="Cambria" w:eastAsia="Cambria"/>
          <w:i/>
          <w:color w:val="1F497D"/>
          <w:spacing w:val="0"/>
          <w:position w:val="0"/>
          <w:sz w:val="18"/>
          <w:shd w:fill="auto" w:val="clear"/>
        </w:rPr>
        <w:tab/>
      </w:r>
    </w:p>
    <w:tbl>
      <w:tblPr>
        <w:tblInd w:w="75" w:type="dxa"/>
      </w:tblPr>
      <w:tblGrid>
        <w:gridCol w:w="3578"/>
        <w:gridCol w:w="974"/>
        <w:gridCol w:w="975"/>
        <w:gridCol w:w="974"/>
        <w:gridCol w:w="975"/>
        <w:gridCol w:w="974"/>
        <w:gridCol w:w="975"/>
      </w:tblGrid>
      <w:tr>
        <w:trPr>
          <w:trHeight w:val="315" w:hRule="auto"/>
          <w:jc w:val="left"/>
        </w:trPr>
        <w:tc>
          <w:tcPr>
            <w:tcW w:w="3578"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Capital de trabajo</w:t>
            </w:r>
          </w:p>
        </w:tc>
        <w:tc>
          <w:tcPr>
            <w:tcW w:w="97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975"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97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975"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97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975"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Compras </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2.894</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4.341</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6.512</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9.768</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14.652</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Cuentas por cobrar </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893</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1.340</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2.010</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3.015</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4.522</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Mercaderías </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Proveedores </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161</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241</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362</w:t>
            </w:r>
          </w:p>
        </w:tc>
        <w:tc>
          <w:tcPr>
            <w:tcW w:w="974"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543</w:t>
            </w:r>
          </w:p>
        </w:tc>
        <w:tc>
          <w:tcPr>
            <w:tcW w:w="975"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814</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Capital de trabajo </w:t>
            </w:r>
          </w:p>
        </w:tc>
        <w:tc>
          <w:tcPr>
            <w:tcW w:w="974"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732</w:t>
            </w:r>
          </w:p>
        </w:tc>
        <w:tc>
          <w:tcPr>
            <w:tcW w:w="974"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1.099</w:t>
            </w:r>
          </w:p>
        </w:tc>
        <w:tc>
          <w:tcPr>
            <w:tcW w:w="975"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1.648</w:t>
            </w:r>
          </w:p>
        </w:tc>
        <w:tc>
          <w:tcPr>
            <w:tcW w:w="974"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2.472</w:t>
            </w:r>
          </w:p>
        </w:tc>
        <w:tc>
          <w:tcPr>
            <w:tcW w:w="975"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3.708</w:t>
            </w:r>
          </w:p>
        </w:tc>
      </w:tr>
      <w:tr>
        <w:trPr>
          <w:trHeight w:val="315" w:hRule="auto"/>
          <w:jc w:val="left"/>
        </w:trPr>
        <w:tc>
          <w:tcPr>
            <w:tcW w:w="3578" w:type="dxa"/>
            <w:tcBorders>
              <w:top w:val="single" w:color="000000" w:sz="0"/>
              <w:left w:val="single" w:color="000000" w:sz="4"/>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Inversión en Capital de trabajo </w:t>
            </w:r>
          </w:p>
        </w:tc>
        <w:tc>
          <w:tcPr>
            <w:tcW w:w="974"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975"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732</w:t>
            </w:r>
          </w:p>
        </w:tc>
        <w:tc>
          <w:tcPr>
            <w:tcW w:w="974"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366</w:t>
            </w:r>
          </w:p>
        </w:tc>
        <w:tc>
          <w:tcPr>
            <w:tcW w:w="975"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549</w:t>
            </w:r>
          </w:p>
        </w:tc>
        <w:tc>
          <w:tcPr>
            <w:tcW w:w="974"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824</w:t>
            </w:r>
          </w:p>
        </w:tc>
        <w:tc>
          <w:tcPr>
            <w:tcW w:w="975"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1.236</w:t>
            </w: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r>
        <w:rPr>
          <w:rFonts w:ascii="Cambria" w:hAnsi="Cambria" w:cs="Cambria" w:eastAsia="Cambria"/>
          <w:color w:val="auto"/>
          <w:spacing w:val="0"/>
          <w:position w:val="0"/>
          <w:sz w:val="24"/>
          <w:shd w:fill="auto" w:val="clear"/>
        </w:rPr>
        <w:tab/>
        <w:tab/>
        <w:tab/>
      </w: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6.4. Estado de Resultados</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12: Estado de Resultados Proyectado </w:t>
      </w:r>
    </w:p>
    <w:tbl>
      <w:tblPr>
        <w:tblInd w:w="70" w:type="dxa"/>
      </w:tblPr>
      <w:tblGrid>
        <w:gridCol w:w="2760"/>
        <w:gridCol w:w="217"/>
        <w:gridCol w:w="1275"/>
        <w:gridCol w:w="1276"/>
        <w:gridCol w:w="1276"/>
        <w:gridCol w:w="1276"/>
        <w:gridCol w:w="1276"/>
      </w:tblGrid>
      <w:tr>
        <w:trPr>
          <w:trHeight w:val="315" w:hRule="auto"/>
          <w:jc w:val="left"/>
        </w:trPr>
        <w:tc>
          <w:tcPr>
            <w:tcW w:w="276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276"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276"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276"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276"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r>
      <w:tr>
        <w:trPr>
          <w:trHeight w:val="315" w:hRule="auto"/>
          <w:jc w:val="left"/>
        </w:trPr>
        <w:tc>
          <w:tcPr>
            <w:tcW w:w="276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Ventas</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64.305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96.465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144.705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217.065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325.605</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 de la Plataforma</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643</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1.447</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2.171</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3.256</w:t>
            </w:r>
          </w:p>
        </w:tc>
      </w:tr>
      <w:tr>
        <w:trPr>
          <w:trHeight w:val="520"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Pasarela de Pagos</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2.251</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3.376</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5.065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7.597</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11.396</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Margen Bruto</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61.411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92.124</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138.193</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207.297</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310.953</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Costos Fijos</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107.580</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111.855</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116.744</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121.457</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126.406</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Depreciación</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EBIT</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51.178</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24.740</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16.441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80.831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179.538</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Intereses</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EBT</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51.178</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24.740</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16.441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80.831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179.538</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Impuestos</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17.912</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8.659</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5.754</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28.291</w:t>
            </w:r>
          </w:p>
        </w:tc>
        <w:tc>
          <w:tcPr>
            <w:tcW w:w="1276"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62.838</w:t>
            </w:r>
          </w:p>
        </w:tc>
      </w:tr>
      <w:tr>
        <w:trPr>
          <w:trHeight w:val="315" w:hRule="auto"/>
          <w:jc w:val="left"/>
        </w:trPr>
        <w:tc>
          <w:tcPr>
            <w:tcW w:w="2760"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Utilidad neta</w:t>
            </w:r>
          </w:p>
        </w:tc>
        <w:tc>
          <w:tcPr>
            <w:tcW w:w="21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33.265</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16.081</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10.686</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52.540</w:t>
            </w:r>
          </w:p>
        </w:tc>
        <w:tc>
          <w:tcPr>
            <w:tcW w:w="1276"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116.700</w:t>
            </w: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bien se observa una utilidad neta negativa en los primeros dos años, esto no es motivo de alarma dado que, aunque los gastos fijos de esos años son elevados en comparación con los ingresos, los mismos serán debidamente compensados por las ventas a partir del tercer año.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6.5. Flujo de Fondos</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13: Flujo de Fondos + Valor Residual </w:t>
      </w:r>
    </w:p>
    <w:tbl>
      <w:tblPr>
        <w:tblInd w:w="70" w:type="dxa"/>
      </w:tblPr>
      <w:tblGrid>
        <w:gridCol w:w="2065"/>
        <w:gridCol w:w="1047"/>
        <w:gridCol w:w="1047"/>
        <w:gridCol w:w="1047"/>
        <w:gridCol w:w="1047"/>
        <w:gridCol w:w="1047"/>
        <w:gridCol w:w="1047"/>
        <w:gridCol w:w="1048"/>
      </w:tblGrid>
      <w:tr>
        <w:trPr>
          <w:trHeight w:val="303" w:hRule="auto"/>
          <w:jc w:val="left"/>
        </w:trPr>
        <w:tc>
          <w:tcPr>
            <w:tcW w:w="2065"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47"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1047"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047"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047"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047"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047"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1048"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w:t>
            </w:r>
          </w:p>
        </w:tc>
      </w:tr>
      <w:tr>
        <w:trPr>
          <w:trHeight w:val="303" w:hRule="auto"/>
          <w:jc w:val="left"/>
        </w:trPr>
        <w:tc>
          <w:tcPr>
            <w:tcW w:w="2065" w:type="dxa"/>
            <w:tcBorders>
              <w:top w:val="single" w:color="000000" w:sz="4"/>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EBIT</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51.178</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24.740</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16.441</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80.831</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179.538</w:t>
            </w:r>
          </w:p>
        </w:tc>
        <w:tc>
          <w:tcPr>
            <w:tcW w:w="1048"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Depreciación</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5.009</w:t>
            </w:r>
          </w:p>
        </w:tc>
        <w:tc>
          <w:tcPr>
            <w:tcW w:w="1048"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EBITDA</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46.169</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19.731</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21.450</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85.840</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184.547</w:t>
            </w:r>
          </w:p>
        </w:tc>
        <w:tc>
          <w:tcPr>
            <w:tcW w:w="1048" w:type="dxa"/>
            <w:tcBorders>
              <w:top w:val="single" w:color="000000" w:sz="4"/>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Var. Cuentas a cobrar</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893</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447</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670</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1.005</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1.508</w:t>
            </w:r>
          </w:p>
        </w:tc>
        <w:tc>
          <w:tcPr>
            <w:tcW w:w="1048"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Var. Cuentas a pagar</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161</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181</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271</w:t>
            </w:r>
          </w:p>
        </w:tc>
        <w:tc>
          <w:tcPr>
            <w:tcW w:w="1048"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Inversión en Capital de Trabajo</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732</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366</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549</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824</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1.236</w:t>
            </w:r>
          </w:p>
        </w:tc>
        <w:tc>
          <w:tcPr>
            <w:tcW w:w="1048"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Impuestos s/EBIT</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17.912</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8.659</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5.754</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28.291</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62.838</w:t>
            </w:r>
          </w:p>
        </w:tc>
        <w:tc>
          <w:tcPr>
            <w:tcW w:w="1048"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Capex</w:t>
            </w:r>
          </w:p>
        </w:tc>
        <w:tc>
          <w:tcPr>
            <w:tcW w:w="1047"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25.044</w:t>
            </w: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8"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Free Cash Flow</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25.044</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27.524</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10.706</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16.245</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58.373</w:t>
            </w:r>
          </w:p>
        </w:tc>
        <w:tc>
          <w:tcPr>
            <w:tcW w:w="1047"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122.945</w:t>
            </w:r>
          </w:p>
        </w:tc>
        <w:tc>
          <w:tcPr>
            <w:tcW w:w="1048" w:type="dxa"/>
            <w:tcBorders>
              <w:top w:val="single" w:color="000000" w:sz="0"/>
              <w:left w:val="single" w:color="000000" w:sz="0"/>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3" w:hRule="auto"/>
          <w:jc w:val="left"/>
        </w:trPr>
        <w:tc>
          <w:tcPr>
            <w:tcW w:w="2065"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Valor residual</w:t>
            </w: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7"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48" w:type="dxa"/>
            <w:tcBorders>
              <w:top w:val="single" w:color="000000" w:sz="0"/>
              <w:left w:val="single" w:color="000000" w:sz="4"/>
              <w:bottom w:val="single" w:color="000000" w:sz="4"/>
              <w:right w:val="single" w:color="000000" w:sz="4"/>
            </w:tcBorders>
            <w:shd w:color="fef2cb" w:fill="fef2cb"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162.803</w:t>
            </w:r>
          </w:p>
        </w:tc>
      </w:tr>
      <w:tr>
        <w:trPr>
          <w:trHeight w:val="303" w:hRule="auto"/>
          <w:jc w:val="left"/>
        </w:trPr>
        <w:tc>
          <w:tcPr>
            <w:tcW w:w="2065" w:type="dxa"/>
            <w:tcBorders>
              <w:top w:val="single" w:color="000000" w:sz="0"/>
              <w:left w:val="single" w:color="000000" w:sz="4"/>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Free Cash Flow + VR</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25.044</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27.524</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10.706</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16.245</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58.373</w:t>
            </w:r>
          </w:p>
        </w:tc>
        <w:tc>
          <w:tcPr>
            <w:tcW w:w="1047" w:type="dxa"/>
            <w:tcBorders>
              <w:top w:val="single" w:color="000000" w:sz="4"/>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122.945</w:t>
            </w:r>
          </w:p>
        </w:tc>
        <w:tc>
          <w:tcPr>
            <w:tcW w:w="1048"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162.803</w:t>
            </w: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6.6. Punto de Equilibrio</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14: Punto de Equilibrio </w:t>
      </w:r>
    </w:p>
    <w:tbl>
      <w:tblPr>
        <w:tblInd w:w="75" w:type="dxa"/>
      </w:tblPr>
      <w:tblGrid>
        <w:gridCol w:w="3544"/>
        <w:gridCol w:w="1172"/>
        <w:gridCol w:w="1172"/>
        <w:gridCol w:w="1172"/>
        <w:gridCol w:w="1172"/>
        <w:gridCol w:w="1173"/>
      </w:tblGrid>
      <w:tr>
        <w:trPr>
          <w:trHeight w:val="349" w:hRule="auto"/>
          <w:jc w:val="left"/>
        </w:trPr>
        <w:tc>
          <w:tcPr>
            <w:tcW w:w="3544"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  </w:t>
            </w:r>
          </w:p>
        </w:tc>
        <w:tc>
          <w:tcPr>
            <w:tcW w:w="117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17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17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17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173"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Ventas</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64.305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96.465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144.705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217.065</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325.605</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Costo variable plataforma</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643</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1.447</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2.171</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3.256</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Costo variable pasarela de pago</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2.251</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3.376</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5.065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7.597</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11.396</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Ventas menos costos variables</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61.411</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92.124</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138.193</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207.297</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310.953</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Costos fijos</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107.580</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111.855</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116.744</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121.457</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126.406</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Contribución Marginal</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1172"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1173"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r>
      <w:tr>
        <w:trPr>
          <w:trHeight w:val="349" w:hRule="auto"/>
          <w:jc w:val="left"/>
        </w:trPr>
        <w:tc>
          <w:tcPr>
            <w:tcW w:w="3544" w:type="dxa"/>
            <w:tcBorders>
              <w:top w:val="single" w:color="000000" w:sz="0"/>
              <w:left w:val="single" w:color="000000" w:sz="4"/>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Punto de Equilibrio</w:t>
            </w:r>
          </w:p>
        </w:tc>
        <w:tc>
          <w:tcPr>
            <w:tcW w:w="1172"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112.649 </w:t>
            </w:r>
          </w:p>
        </w:tc>
        <w:tc>
          <w:tcPr>
            <w:tcW w:w="1172"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117.126 </w:t>
            </w:r>
          </w:p>
        </w:tc>
        <w:tc>
          <w:tcPr>
            <w:tcW w:w="1172"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122.245 </w:t>
            </w:r>
          </w:p>
        </w:tc>
        <w:tc>
          <w:tcPr>
            <w:tcW w:w="1172"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127.180 </w:t>
            </w:r>
          </w:p>
        </w:tc>
        <w:tc>
          <w:tcPr>
            <w:tcW w:w="1173" w:type="dxa"/>
            <w:tcBorders>
              <w:top w:val="single" w:color="000000" w:sz="0"/>
              <w:left w:val="single" w:color="000000" w:sz="0"/>
              <w:bottom w:val="single" w:color="000000" w:sz="4"/>
              <w:right w:val="single" w:color="000000" w:sz="4"/>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132.362 </w:t>
            </w:r>
          </w:p>
        </w:tc>
      </w:tr>
    </w:tbl>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6.7. Tasa Interna de Retorno (TIR) y Valor Actual Neto (VAN)</w:t>
      </w: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15: VAN, TIR y Período de Repago</w:t>
      </w:r>
    </w:p>
    <w:tbl>
      <w:tblPr>
        <w:tblInd w:w="75" w:type="dxa"/>
      </w:tblPr>
      <w:tblGrid>
        <w:gridCol w:w="2220"/>
        <w:gridCol w:w="1029"/>
        <w:gridCol w:w="1029"/>
        <w:gridCol w:w="1029"/>
        <w:gridCol w:w="1029"/>
        <w:gridCol w:w="1029"/>
        <w:gridCol w:w="1029"/>
        <w:gridCol w:w="1029"/>
      </w:tblGrid>
      <w:tr>
        <w:trPr>
          <w:trHeight w:val="313" w:hRule="auto"/>
          <w:jc w:val="left"/>
        </w:trPr>
        <w:tc>
          <w:tcPr>
            <w:tcW w:w="2220"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1029"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w:t>
            </w:r>
          </w:p>
        </w:tc>
      </w:tr>
      <w:tr>
        <w:trPr>
          <w:trHeight w:val="313" w:hRule="auto"/>
          <w:jc w:val="left"/>
        </w:trPr>
        <w:tc>
          <w:tcPr>
            <w:tcW w:w="222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Valor Actual</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25.044</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23.934</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8.095</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10.681</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33.375</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61.125</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70.384</w:t>
            </w:r>
          </w:p>
        </w:tc>
      </w:tr>
      <w:tr>
        <w:trPr>
          <w:trHeight w:val="313" w:hRule="auto"/>
          <w:jc w:val="left"/>
        </w:trPr>
        <w:tc>
          <w:tcPr>
            <w:tcW w:w="22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Período de Repago</w:t>
            </w:r>
          </w:p>
        </w:tc>
        <w:tc>
          <w:tcPr>
            <w:tcW w:w="1029"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4,2</w:t>
            </w:r>
          </w:p>
        </w:tc>
        <w:tc>
          <w:tcPr>
            <w:tcW w:w="1029" w:type="dxa"/>
            <w:tcBorders>
              <w:top w:val="single" w:color="000000" w:sz="0"/>
              <w:left w:val="single" w:color="000000" w:sz="0"/>
              <w:bottom w:val="single" w:color="000000" w:sz="0"/>
              <w:right w:val="single" w:color="000000" w:sz="0"/>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Años</w:t>
            </w: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VAN</w:t>
            </w:r>
          </w:p>
        </w:tc>
        <w:tc>
          <w:tcPr>
            <w:tcW w:w="1029"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118.492</w:t>
            </w: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TIR</w:t>
            </w:r>
          </w:p>
        </w:tc>
        <w:tc>
          <w:tcPr>
            <w:tcW w:w="1029"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49%</w:t>
            </w: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2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2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Flujo acumulado</w:t>
            </w:r>
          </w:p>
        </w:tc>
        <w:tc>
          <w:tcPr>
            <w:tcW w:w="1029"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29"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48.978</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57.073</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46.392</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13.017</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48.108</w:t>
            </w:r>
          </w:p>
        </w:tc>
        <w:tc>
          <w:tcPr>
            <w:tcW w:w="1029"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118.492</w:t>
            </w:r>
          </w:p>
        </w:tc>
      </w:tr>
    </w:tbl>
    <w:p>
      <w:pPr>
        <w:spacing w:before="0" w:after="0" w:line="240"/>
        <w:ind w:right="0" w:left="0" w:firstLine="0"/>
        <w:jc w:val="left"/>
        <w:rPr>
          <w:rFonts w:ascii="Cambria" w:hAnsi="Cambria" w:cs="Cambria" w:eastAsia="Cambria"/>
          <w:color w:val="auto"/>
          <w:spacing w:val="0"/>
          <w:position w:val="0"/>
          <w:sz w:val="24"/>
          <w:shd w:fill="auto" w:val="clear"/>
        </w:rPr>
      </w:pP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partir de los números obtenidos para el VAN y la TIR se puede inferir que el proyecto es rentable desde el punto de vista financiero.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cálculo de los resultados proyectados indica que el mismo generará un beneficio de 118.492 dólares estadounidenses, tomando como base una tasa de descuento del 15%.</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TIR alcanza un valor del 49%, ampliamente superior al de la tasa de descuento, convalidando la viabilidad del proyecto.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periodo de repago del proyecto es de 4 años y 3 meses aproximadamente.</w:t>
      </w: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both"/>
        <w:rPr>
          <w:rFonts w:ascii="Cambria" w:hAnsi="Cambria" w:cs="Cambria" w:eastAsia="Cambria"/>
          <w:color w:val="auto"/>
          <w:spacing w:val="0"/>
          <w:position w:val="0"/>
          <w:sz w:val="24"/>
          <w:shd w:fill="auto" w:val="clear"/>
        </w:rPr>
      </w:pPr>
    </w:p>
    <w:p>
      <w:pPr>
        <w:keepNext w:val="true"/>
        <w:keepLines w:val="true"/>
        <w:spacing w:before="200" w:after="12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6.8. Análisis de sensibilidad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desarrollar este punto se consideran dos escenarios: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Escenario 1</w:t>
      </w:r>
      <w:r>
        <w:rPr>
          <w:rFonts w:ascii="Times New Roman" w:hAnsi="Times New Roman" w:cs="Times New Roman" w:eastAsia="Times New Roman"/>
          <w:color w:val="auto"/>
          <w:spacing w:val="0"/>
          <w:position w:val="0"/>
          <w:sz w:val="24"/>
          <w:shd w:fill="auto" w:val="clear"/>
        </w:rPr>
        <w:t xml:space="preserve">: el crecimiento interanual en el número de transacciones es del 25% en lugar del 50%.</w:t>
      </w: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16: VAN, TIR y Período de Repago Escenario 1</w:t>
      </w:r>
    </w:p>
    <w:tbl>
      <w:tblPr>
        <w:tblInd w:w="75" w:type="dxa"/>
      </w:tblPr>
      <w:tblGrid>
        <w:gridCol w:w="2232"/>
        <w:gridCol w:w="1032"/>
        <w:gridCol w:w="1032"/>
        <w:gridCol w:w="1032"/>
        <w:gridCol w:w="1032"/>
        <w:gridCol w:w="1032"/>
        <w:gridCol w:w="1032"/>
        <w:gridCol w:w="1032"/>
      </w:tblGrid>
      <w:tr>
        <w:trPr>
          <w:trHeight w:val="313" w:hRule="auto"/>
          <w:jc w:val="left"/>
        </w:trPr>
        <w:tc>
          <w:tcPr>
            <w:tcW w:w="2232"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1032"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w:t>
            </w:r>
          </w:p>
        </w:tc>
      </w:tr>
      <w:tr>
        <w:trPr>
          <w:trHeight w:val="313" w:hRule="auto"/>
          <w:jc w:val="left"/>
        </w:trPr>
        <w:tc>
          <w:tcPr>
            <w:tcW w:w="2232"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Valor Actual</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25.044</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23.934</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15.781</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7.578</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609</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8.659</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33.942</w:t>
            </w:r>
          </w:p>
        </w:tc>
      </w:tr>
      <w:tr>
        <w:trPr>
          <w:trHeight w:val="313" w:hRule="auto"/>
          <w:jc w:val="left"/>
        </w:trPr>
        <w:tc>
          <w:tcPr>
            <w:tcW w:w="2232"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Payback</w:t>
            </w:r>
          </w:p>
        </w:tc>
        <w:tc>
          <w:tcPr>
            <w:tcW w:w="1032"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de 5</w:t>
            </w:r>
          </w:p>
        </w:tc>
        <w:tc>
          <w:tcPr>
            <w:tcW w:w="1032" w:type="dxa"/>
            <w:tcBorders>
              <w:top w:val="single" w:color="000000" w:sz="0"/>
              <w:left w:val="single" w:color="000000" w:sz="0"/>
              <w:bottom w:val="single" w:color="000000" w:sz="0"/>
              <w:right w:val="single" w:color="000000" w:sz="0"/>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Años</w:t>
            </w: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32"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VAN</w:t>
            </w:r>
          </w:p>
        </w:tc>
        <w:tc>
          <w:tcPr>
            <w:tcW w:w="1032"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29.127</w:t>
            </w: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32"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TIR</w:t>
            </w:r>
          </w:p>
        </w:tc>
        <w:tc>
          <w:tcPr>
            <w:tcW w:w="1032"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13" w:hRule="auto"/>
          <w:jc w:val="left"/>
        </w:trPr>
        <w:tc>
          <w:tcPr>
            <w:tcW w:w="2232"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Flujo acumulado</w:t>
            </w:r>
          </w:p>
        </w:tc>
        <w:tc>
          <w:tcPr>
            <w:tcW w:w="1032"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2"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48.978</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64.759</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72.337</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71.729</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63.069</w:t>
            </w:r>
          </w:p>
        </w:tc>
        <w:tc>
          <w:tcPr>
            <w:tcW w:w="1032"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29.127</w:t>
            </w:r>
          </w:p>
        </w:tc>
      </w:tr>
    </w:tbl>
    <w:p>
      <w:pPr>
        <w:spacing w:before="0" w:after="0" w:line="240"/>
        <w:ind w:right="0" w:left="0" w:firstLine="0"/>
        <w:jc w:val="left"/>
        <w:rPr>
          <w:rFonts w:ascii="Cambria" w:hAnsi="Cambria" w:cs="Cambria" w:eastAsia="Cambria"/>
          <w:color w:val="auto"/>
          <w:spacing w:val="0"/>
          <w:position w:val="0"/>
          <w:sz w:val="24"/>
          <w:shd w:fill="auto" w:val="clear"/>
        </w:rPr>
      </w:pP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Bajo estas condiciones, el proyecto deja de ser rentable, obteniéndose un valor de VAN negativo y de TIR por debajo de la tasa de descuento. Al mismo tiempo, el período de repago supera los 5 años.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Este análisis da cuenta de la gran importancia de alcanzar un número de transacciones adecuado. Para ello es necesario trabajar en una estrategia y plan táctico robusto de difusión de la plataforma.</w:t>
      </w:r>
    </w:p>
    <w:p>
      <w:pPr>
        <w:spacing w:before="0" w:after="0" w:line="240"/>
        <w:ind w:right="0" w:left="0" w:firstLine="0"/>
        <w:jc w:val="both"/>
        <w:rPr>
          <w:rFonts w:ascii="Cambria" w:hAnsi="Cambria" w:cs="Cambria" w:eastAsia="Cambria"/>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Escenario 2</w:t>
      </w:r>
      <w:r>
        <w:rPr>
          <w:rFonts w:ascii="Times New Roman" w:hAnsi="Times New Roman" w:cs="Times New Roman" w:eastAsia="Times New Roman"/>
          <w:color w:val="auto"/>
          <w:spacing w:val="0"/>
          <w:position w:val="0"/>
          <w:sz w:val="24"/>
          <w:shd w:fill="auto" w:val="clear"/>
        </w:rPr>
        <w:t xml:space="preserve">: el precio promedio de venta es la mitad de lo esperado, con lo cual la comisión por transacción es de 7,5 dólares estadounidenses en lugar de 15.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Tabla 17: VAN, TIR y Período de Repago Escenario 2</w:t>
      </w:r>
    </w:p>
    <w:tbl>
      <w:tblPr>
        <w:tblInd w:w="75" w:type="dxa"/>
      </w:tblPr>
      <w:tblGrid>
        <w:gridCol w:w="2231"/>
        <w:gridCol w:w="1034"/>
        <w:gridCol w:w="1034"/>
        <w:gridCol w:w="1034"/>
        <w:gridCol w:w="1034"/>
        <w:gridCol w:w="1034"/>
        <w:gridCol w:w="1034"/>
        <w:gridCol w:w="1034"/>
      </w:tblGrid>
      <w:tr>
        <w:trPr>
          <w:trHeight w:val="308" w:hRule="auto"/>
          <w:jc w:val="left"/>
        </w:trPr>
        <w:tc>
          <w:tcPr>
            <w:tcW w:w="2231" w:type="dxa"/>
            <w:tcBorders>
              <w:top w:val="single" w:color="000000" w:sz="4"/>
              <w:left w:val="single" w:color="000000" w:sz="4"/>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w:t>
            </w:r>
          </w:p>
        </w:tc>
        <w:tc>
          <w:tcPr>
            <w:tcW w:w="1034" w:type="dxa"/>
            <w:tcBorders>
              <w:top w:val="single" w:color="000000" w:sz="4"/>
              <w:left w:val="single" w:color="000000" w:sz="0"/>
              <w:bottom w:val="single" w:color="000000" w:sz="4"/>
              <w:right w:val="single" w:color="000000" w:sz="4"/>
            </w:tcBorders>
            <w:shd w:color="auto" w:fill="ccc0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w:t>
            </w:r>
          </w:p>
        </w:tc>
      </w:tr>
      <w:tr>
        <w:trPr>
          <w:trHeight w:val="308" w:hRule="auto"/>
          <w:jc w:val="left"/>
        </w:trPr>
        <w:tc>
          <w:tcPr>
            <w:tcW w:w="2231"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Valor Actual</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25.044</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41.608</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30.873</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19.030</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5.380</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10.573</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91.943</w:t>
            </w:r>
          </w:p>
        </w:tc>
      </w:tr>
      <w:tr>
        <w:trPr>
          <w:trHeight w:val="308" w:hRule="auto"/>
          <w:jc w:val="left"/>
        </w:trPr>
        <w:tc>
          <w:tcPr>
            <w:tcW w:w="2231"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Payback</w:t>
            </w:r>
          </w:p>
        </w:tc>
        <w:tc>
          <w:tcPr>
            <w:tcW w:w="1034" w:type="dxa"/>
            <w:tcBorders>
              <w:top w:val="single" w:color="000000" w:sz="0"/>
              <w:left w:val="single" w:color="000000" w:sz="0"/>
              <w:bottom w:val="single" w:color="000000" w:sz="0"/>
              <w:right w:val="single" w:color="000000" w:sz="0"/>
            </w:tcBorders>
            <w:shd w:color="e2efd9"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de 5</w:t>
            </w:r>
          </w:p>
        </w:tc>
        <w:tc>
          <w:tcPr>
            <w:tcW w:w="1034" w:type="dxa"/>
            <w:tcBorders>
              <w:top w:val="single" w:color="000000" w:sz="0"/>
              <w:left w:val="single" w:color="000000" w:sz="0"/>
              <w:bottom w:val="single" w:color="000000" w:sz="0"/>
              <w:right w:val="single" w:color="000000" w:sz="0"/>
            </w:tcBorders>
            <w:shd w:color="auto" w:fill="e2efd9"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Años</w:t>
            </w: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8" w:hRule="auto"/>
          <w:jc w:val="left"/>
        </w:trPr>
        <w:tc>
          <w:tcPr>
            <w:tcW w:w="2231"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VAN</w:t>
            </w:r>
          </w:p>
        </w:tc>
        <w:tc>
          <w:tcPr>
            <w:tcW w:w="1034"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19.419</w:t>
            </w: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8" w:hRule="auto"/>
          <w:jc w:val="left"/>
        </w:trPr>
        <w:tc>
          <w:tcPr>
            <w:tcW w:w="2231"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TIR</w:t>
            </w:r>
          </w:p>
        </w:tc>
        <w:tc>
          <w:tcPr>
            <w:tcW w:w="1034" w:type="dxa"/>
            <w:tcBorders>
              <w:top w:val="single" w:color="000000" w:sz="0"/>
              <w:left w:val="single" w:color="000000" w:sz="0"/>
              <w:bottom w:val="single" w:color="000000" w:sz="0"/>
              <w:right w:val="single" w:color="000000" w:sz="0"/>
            </w:tcBorders>
            <w:shd w:color="auto" w:fill="e2efd9"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w:t>
            </w: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8" w:hRule="auto"/>
          <w:jc w:val="left"/>
        </w:trPr>
        <w:tc>
          <w:tcPr>
            <w:tcW w:w="2231"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08" w:hRule="auto"/>
          <w:jc w:val="left"/>
        </w:trPr>
        <w:tc>
          <w:tcPr>
            <w:tcW w:w="2231"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Flujo acumulado</w:t>
            </w:r>
          </w:p>
        </w:tc>
        <w:tc>
          <w:tcPr>
            <w:tcW w:w="1034"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03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66.652</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97.525</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-116.555</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-121.935</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-111.362</w:t>
            </w:r>
          </w:p>
        </w:tc>
        <w:tc>
          <w:tcPr>
            <w:tcW w:w="1034"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19.419</w:t>
            </w:r>
          </w:p>
        </w:tc>
      </w:tr>
    </w:tbl>
    <w:p>
      <w:pPr>
        <w:spacing w:before="0" w:after="0" w:line="240"/>
        <w:ind w:right="0" w:left="0" w:firstLine="0"/>
        <w:jc w:val="left"/>
        <w:rPr>
          <w:rFonts w:ascii="Cambria" w:hAnsi="Cambria" w:cs="Cambria" w:eastAsia="Cambria"/>
          <w:color w:val="auto"/>
          <w:spacing w:val="0"/>
          <w:position w:val="0"/>
          <w:sz w:val="24"/>
          <w:shd w:fill="auto" w:val="clear"/>
        </w:rPr>
      </w:pPr>
    </w:p>
    <w:p>
      <w:pPr>
        <w:spacing w:before="120" w:after="24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Fuente: Elaboración Propia (2023)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este caso, si bien tanto el VAN como la TIR continúan siendo desfavorables, se advierte una evolución más ventajosa en comparación con el escenario 1, y reafirma la importancia de implementar acciones para que los investigadores conozcan y utilicen la plataforma, aunque los precios de las publicaciones no sean los esperados.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CONCLUSIONES Y RECOMENDACIONES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presente trabajo se propuso como objetivo evaluar la viabilidad y rentabilidad de una plataforma tecnológica del tipo C2C que conecte investigadores y promueva la compraventa de reactivos y servicios, en la República Argentina.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través de la encuesta, que fue respondida por 274 investigadores de todo el país, se pudo arribar a la conclusión de que un conjunto relevante de científicos estaría dispuesto a comprar reactivos químicos y productos biológicos tanto nuevos como usados, y contratar servicios a colegas a través de una plataforma digital. Estos datos confirman que existiría un público interesante hacia el cual, utilizando la estrategia correcta, se podría direccionar la oferta.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se llevó a cabo el desarrollo de la propuesta del plan de negocios que incluyó la propuesta de valor, el modelo de negocios y el plan de marketing, por un lado, y el plan de recursos humanos y el plan operativo por el otro.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análisis económico demostró que con una inversión inicial no muy elevada de aproximadamente 25.000 dólares estadounidenses sería posible articular el proyecto.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Estimando la demanda del primer año en 4.287 transacciones con un crecimiento interanual del 50%, y una comisión por transacción de 15 dólares estadounidenses, fue posible arribar al Estado de Resultados para los 5 años de medición del proyecto, obteniéndose una utilidad neta positiva a partir del tercer año.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Utilizando una tasa de descuento del 15% fue posible descontar los flujos de fondos futuros esperados, lo que permitió arribar a un Valor Actual Neto del proyecto igual a 118.492 dólares estadounidenses y a una Tasa Interna de Retorno del 49% incluyendo el valor residual, lo que permite validar la hipótesis formulada respecto a la rentabilidad de este emprendimiento.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Mediante el análisis de sensibilidad, se determinó que la operación es particularmente sensible al número de transacciones y, en menor medida, al monto de la transacción.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 bien a través del presente trabajo se logró responder de manera afirmativa a la pregunta planteada al inicio, es importante mencionar que, en caso de llevar el proyecto a la práctica, deberán considerarse también otros factores que se tornarán críticos para el correcto funcionamiento del emprendimiento, y que contribuirán a incrementar la probabilidad de éxito.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Uno de los elementos que deberá reverse en profundidad será el mecanismo de facturación, ya que los productos no pasarán de manera física por la empresa.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aspecto está relacionado con el intercambio del producto o servicio entre los investigadores. Será imperioso en ese caso establecer un procedimiento en caso de reclamos entre las partes, contando con el asesoramiento de un estudio de abogados.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Habrá que considerar también dentro del plan de marketing herramientas que permitan mantener un contacto estrecho con los usuarios de la plataforma, para comprender como varían sus necesidades y expectativas, y de ese modo poder realizar adecuaciones en la comunicación de la propuesta de valor, en caso de ser necesario.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monitoreo continuo de las publicaciones de los productos y servicios permitirá identificar puntos de mejora y adelantarse a posibles inconvenientes u obstáculos que pudiesen presentarse en el futuro.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Hay que tener en cuenta que el universo de investigadores es superior al considerado para el análisis económico-financiero, ya que no fueron incluidos investigadores dependientes de las Universidades, INTA, INTI, entre otros, con lo cual la oportunidad es aún mayor.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Finalmente, sería interesante evaluar la incorporación de pauta publicitaria proveniente de empresas proveedoras de reactivos y equipos, para poder contar con otra fuente de ingresos.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BIBLIOGRAFÍA</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ALTILLO.COM - El Portal de los Estudiantes</w:t>
      </w:r>
      <w:r>
        <w:rPr>
          <w:rFonts w:ascii="Times New Roman" w:hAnsi="Times New Roman" w:cs="Times New Roman" w:eastAsia="Times New Roman"/>
          <w:color w:val="auto"/>
          <w:spacing w:val="0"/>
          <w:position w:val="0"/>
          <w:sz w:val="24"/>
          <w:shd w:fill="auto" w:val="clear"/>
        </w:rPr>
        <w:t xml:space="preserve">. (2023). Obtenido de </w:t>
      </w:r>
      <w:hyperlink xmlns:r="http://schemas.openxmlformats.org/officeDocument/2006/relationships" r:id="docRId74">
        <w:r>
          <w:rPr>
            <w:rFonts w:ascii="Times New Roman" w:hAnsi="Times New Roman" w:cs="Times New Roman" w:eastAsia="Times New Roman"/>
            <w:color w:val="0000FF"/>
            <w:spacing w:val="0"/>
            <w:position w:val="0"/>
            <w:sz w:val="24"/>
            <w:u w:val="single"/>
            <w:shd w:fill="auto" w:val="clear"/>
          </w:rPr>
          <w:t xml:space="preserve">https://www.altillo.com/universidades/universidades_arg.asp</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Álvarez, J. P. (11 de Noviembre de 2022). </w:t>
      </w:r>
      <w:r>
        <w:rPr>
          <w:rFonts w:ascii="Times New Roman" w:hAnsi="Times New Roman" w:cs="Times New Roman" w:eastAsia="Times New Roman"/>
          <w:i/>
          <w:color w:val="auto"/>
          <w:spacing w:val="0"/>
          <w:position w:val="0"/>
          <w:sz w:val="24"/>
          <w:shd w:fill="auto" w:val="clear"/>
        </w:rPr>
        <w:t xml:space="preserve">Bloomberg Línea</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75">
        <w:r>
          <w:rPr>
            <w:rFonts w:ascii="Times New Roman" w:hAnsi="Times New Roman" w:cs="Times New Roman" w:eastAsia="Times New Roman"/>
            <w:color w:val="0000FF"/>
            <w:spacing w:val="0"/>
            <w:position w:val="0"/>
            <w:sz w:val="24"/>
            <w:u w:val="single"/>
            <w:shd w:fill="auto" w:val="clear"/>
          </w:rPr>
          <w:t xml:space="preserve">https://www.bloomberglinea.com/2022/10/21/asi-funciona-sira-el-regimen-importador-para-que-salgan-menos-dolares-de-argentina/</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Ambrosio, M. D. (1 de Junio de 2018). </w:t>
      </w:r>
      <w:r>
        <w:rPr>
          <w:rFonts w:ascii="Times New Roman" w:hAnsi="Times New Roman" w:cs="Times New Roman" w:eastAsia="Times New Roman"/>
          <w:i/>
          <w:color w:val="auto"/>
          <w:spacing w:val="0"/>
          <w:position w:val="0"/>
          <w:sz w:val="24"/>
          <w:shd w:fill="auto" w:val="clear"/>
        </w:rPr>
        <w:t xml:space="preserve">Sci Dev Net</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76">
        <w:r>
          <w:rPr>
            <w:rFonts w:ascii="Times New Roman" w:hAnsi="Times New Roman" w:cs="Times New Roman" w:eastAsia="Times New Roman"/>
            <w:color w:val="0000FF"/>
            <w:spacing w:val="0"/>
            <w:position w:val="0"/>
            <w:sz w:val="24"/>
            <w:u w:val="single"/>
            <w:shd w:fill="auto" w:val="clear"/>
          </w:rPr>
          <w:t xml:space="preserve">https://www.scidev.net/america-latina/news/devaluacion-e-inflacion-ahogan-a-ciencia-argentina/</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Astrid, R. (20 de Marzo de 2023). </w:t>
      </w:r>
      <w:r>
        <w:rPr>
          <w:rFonts w:ascii="Times New Roman" w:hAnsi="Times New Roman" w:cs="Times New Roman" w:eastAsia="Times New Roman"/>
          <w:i/>
          <w:color w:val="auto"/>
          <w:spacing w:val="0"/>
          <w:position w:val="0"/>
          <w:sz w:val="24"/>
          <w:shd w:fill="auto" w:val="clear"/>
        </w:rPr>
        <w:t xml:space="preserve">MARKETING ECOOMERCE</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77">
        <w:r>
          <w:rPr>
            <w:rFonts w:ascii="Times New Roman" w:hAnsi="Times New Roman" w:cs="Times New Roman" w:eastAsia="Times New Roman"/>
            <w:color w:val="0000FF"/>
            <w:spacing w:val="0"/>
            <w:position w:val="0"/>
            <w:sz w:val="24"/>
            <w:u w:val="single"/>
            <w:shd w:fill="auto" w:val="clear"/>
          </w:rPr>
          <w:t xml:space="preserve">https://marketing4ecommerce.net/radiografia-del-ecommerce-en-argentina-uno-de-los-mercados-mas-fuertes-de-sudamerica/</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BANCO CENTRAL DE LA REPÚBLICA ARGENTINA</w:t>
      </w:r>
      <w:r>
        <w:rPr>
          <w:rFonts w:ascii="Times New Roman" w:hAnsi="Times New Roman" w:cs="Times New Roman" w:eastAsia="Times New Roman"/>
          <w:color w:val="auto"/>
          <w:spacing w:val="0"/>
          <w:position w:val="0"/>
          <w:sz w:val="24"/>
          <w:shd w:fill="auto" w:val="clear"/>
        </w:rPr>
        <w:t xml:space="preserve">. (Julio de 2023). Obtenido de </w:t>
      </w:r>
      <w:hyperlink xmlns:r="http://schemas.openxmlformats.org/officeDocument/2006/relationships" r:id="docRId78">
        <w:r>
          <w:rPr>
            <w:rFonts w:ascii="Times New Roman" w:hAnsi="Times New Roman" w:cs="Times New Roman" w:eastAsia="Times New Roman"/>
            <w:color w:val="0000FF"/>
            <w:spacing w:val="0"/>
            <w:position w:val="0"/>
            <w:sz w:val="24"/>
            <w:u w:val="single"/>
            <w:shd w:fill="auto" w:val="clear"/>
          </w:rPr>
          <w:t xml:space="preserve">https://www.bcra.gob.ar/PublicacionesEstadisticas/Principales_variables.asp</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Calvo-Porral, C. y.-S. (2019). Generational differences in technology behaviour: Comparing Millennials and. </w:t>
      </w:r>
      <w:r>
        <w:rPr>
          <w:rFonts w:ascii="Times New Roman" w:hAnsi="Times New Roman" w:cs="Times New Roman" w:eastAsia="Times New Roman"/>
          <w:i/>
          <w:color w:val="auto"/>
          <w:spacing w:val="0"/>
          <w:position w:val="0"/>
          <w:sz w:val="24"/>
          <w:shd w:fill="auto" w:val="clear"/>
        </w:rPr>
        <w:t xml:space="preserve">Kybernetes</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CONICET. (2022). </w:t>
      </w:r>
      <w:r>
        <w:rPr>
          <w:rFonts w:ascii="Times New Roman" w:hAnsi="Times New Roman" w:cs="Times New Roman" w:eastAsia="Times New Roman"/>
          <w:i/>
          <w:color w:val="auto"/>
          <w:spacing w:val="0"/>
          <w:position w:val="0"/>
          <w:sz w:val="24"/>
          <w:shd w:fill="auto" w:val="clear"/>
        </w:rPr>
        <w:t xml:space="preserve">CONICET</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79">
        <w:r>
          <w:rPr>
            <w:rFonts w:ascii="Times New Roman" w:hAnsi="Times New Roman" w:cs="Times New Roman" w:eastAsia="Times New Roman"/>
            <w:color w:val="0000FF"/>
            <w:spacing w:val="0"/>
            <w:position w:val="0"/>
            <w:sz w:val="24"/>
            <w:u w:val="single"/>
            <w:shd w:fill="auto" w:val="clear"/>
          </w:rPr>
          <w:t xml:space="preserve">https://cifras.conicet.gov.ar/publica/grafico/show-publico/752</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CONICET. (2022). </w:t>
      </w:r>
      <w:r>
        <w:rPr>
          <w:rFonts w:ascii="Times New Roman" w:hAnsi="Times New Roman" w:cs="Times New Roman" w:eastAsia="Times New Roman"/>
          <w:i/>
          <w:color w:val="auto"/>
          <w:spacing w:val="0"/>
          <w:position w:val="0"/>
          <w:sz w:val="24"/>
          <w:shd w:fill="auto" w:val="clear"/>
        </w:rPr>
        <w:t xml:space="preserve">CONICET</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80">
        <w:r>
          <w:rPr>
            <w:rFonts w:ascii="Times New Roman" w:hAnsi="Times New Roman" w:cs="Times New Roman" w:eastAsia="Times New Roman"/>
            <w:color w:val="0000FF"/>
            <w:spacing w:val="0"/>
            <w:position w:val="0"/>
            <w:sz w:val="24"/>
            <w:u w:val="single"/>
            <w:shd w:fill="auto" w:val="clear"/>
          </w:rPr>
          <w:t xml:space="preserve">https://cifras.conicet.gov.ar/publica/grafico/show-publico/752</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CONICET. (2022). </w:t>
      </w:r>
      <w:r>
        <w:rPr>
          <w:rFonts w:ascii="Times New Roman" w:hAnsi="Times New Roman" w:cs="Times New Roman" w:eastAsia="Times New Roman"/>
          <w:i/>
          <w:color w:val="auto"/>
          <w:spacing w:val="0"/>
          <w:position w:val="0"/>
          <w:sz w:val="24"/>
          <w:shd w:fill="auto" w:val="clear"/>
        </w:rPr>
        <w:t xml:space="preserve">CONICET</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81">
        <w:r>
          <w:rPr>
            <w:rFonts w:ascii="Times New Roman" w:hAnsi="Times New Roman" w:cs="Times New Roman" w:eastAsia="Times New Roman"/>
            <w:color w:val="0000FF"/>
            <w:spacing w:val="0"/>
            <w:position w:val="0"/>
            <w:sz w:val="24"/>
            <w:u w:val="single"/>
            <w:shd w:fill="auto" w:val="clear"/>
          </w:rPr>
          <w:t xml:space="preserve">https://cifras.conicet.gov.ar/publica/detalle-tags/21</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Cuofano, G. (2022). </w:t>
      </w:r>
      <w:r>
        <w:rPr>
          <w:rFonts w:ascii="Times New Roman" w:hAnsi="Times New Roman" w:cs="Times New Roman" w:eastAsia="Times New Roman"/>
          <w:i/>
          <w:color w:val="auto"/>
          <w:spacing w:val="0"/>
          <w:position w:val="0"/>
          <w:sz w:val="24"/>
          <w:shd w:fill="auto" w:val="clear"/>
        </w:rPr>
        <w:t xml:space="preserve">Digital Business Models: Mastering The Digital Business World.</w:t>
      </w:r>
      <w:r>
        <w:rPr>
          <w:rFonts w:ascii="Times New Roman" w:hAnsi="Times New Roman" w:cs="Times New Roman" w:eastAsia="Times New Roman"/>
          <w:color w:val="auto"/>
          <w:spacing w:val="0"/>
          <w:position w:val="0"/>
          <w:sz w:val="24"/>
          <w:shd w:fill="auto" w:val="clear"/>
        </w:rPr>
        <w:t xml:space="preserve"> FourWeekMBA Publishing.</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Cuofano, G. (4 de Junio de 2023). </w:t>
      </w:r>
      <w:r>
        <w:rPr>
          <w:rFonts w:ascii="Times New Roman" w:hAnsi="Times New Roman" w:cs="Times New Roman" w:eastAsia="Times New Roman"/>
          <w:i/>
          <w:color w:val="auto"/>
          <w:spacing w:val="0"/>
          <w:position w:val="0"/>
          <w:sz w:val="24"/>
          <w:shd w:fill="auto" w:val="clear"/>
        </w:rPr>
        <w:t xml:space="preserve">FourWeekMBA</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82">
        <w:r>
          <w:rPr>
            <w:rFonts w:ascii="Times New Roman" w:hAnsi="Times New Roman" w:cs="Times New Roman" w:eastAsia="Times New Roman"/>
            <w:color w:val="0000FF"/>
            <w:spacing w:val="0"/>
            <w:position w:val="0"/>
            <w:sz w:val="24"/>
            <w:u w:val="single"/>
            <w:shd w:fill="auto" w:val="clear"/>
          </w:rPr>
          <w:t xml:space="preserve">https://fourweekmba.com/c2c-business-model/</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Cuofano, G. (31 de Enero de 2023). </w:t>
      </w:r>
      <w:r>
        <w:rPr>
          <w:rFonts w:ascii="Times New Roman" w:hAnsi="Times New Roman" w:cs="Times New Roman" w:eastAsia="Times New Roman"/>
          <w:i/>
          <w:color w:val="auto"/>
          <w:spacing w:val="0"/>
          <w:position w:val="0"/>
          <w:sz w:val="24"/>
          <w:shd w:fill="auto" w:val="clear"/>
        </w:rPr>
        <w:t xml:space="preserve">FourWeekMBA - What Is The Peer-To-Peer Economy? Peer-To-Peer Economy In A Nutshell</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83">
        <w:r>
          <w:rPr>
            <w:rFonts w:ascii="Times New Roman" w:hAnsi="Times New Roman" w:cs="Times New Roman" w:eastAsia="Times New Roman"/>
            <w:color w:val="0000FF"/>
            <w:spacing w:val="0"/>
            <w:position w:val="0"/>
            <w:sz w:val="24"/>
            <w:u w:val="single"/>
            <w:shd w:fill="auto" w:val="clear"/>
          </w:rPr>
          <w:t xml:space="preserve">https://fourweekmba.com/peer-to-peer-economy/</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Cusumano, M. A. (2019). </w:t>
      </w:r>
      <w:r>
        <w:rPr>
          <w:rFonts w:ascii="Times New Roman" w:hAnsi="Times New Roman" w:cs="Times New Roman" w:eastAsia="Times New Roman"/>
          <w:i/>
          <w:color w:val="auto"/>
          <w:spacing w:val="0"/>
          <w:position w:val="0"/>
          <w:sz w:val="24"/>
          <w:shd w:fill="auto" w:val="clear"/>
        </w:rPr>
        <w:t xml:space="preserve">The business of platforms.</w:t>
      </w:r>
      <w:r>
        <w:rPr>
          <w:rFonts w:ascii="Times New Roman" w:hAnsi="Times New Roman" w:cs="Times New Roman" w:eastAsia="Times New Roman"/>
          <w:color w:val="auto"/>
          <w:spacing w:val="0"/>
          <w:position w:val="0"/>
          <w:sz w:val="24"/>
          <w:shd w:fill="auto" w:val="clear"/>
        </w:rPr>
        <w:t xml:space="preserve"> Harper Business.</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ENACOM</w:t>
      </w:r>
      <w:r>
        <w:rPr>
          <w:rFonts w:ascii="Times New Roman" w:hAnsi="Times New Roman" w:cs="Times New Roman" w:eastAsia="Times New Roman"/>
          <w:color w:val="auto"/>
          <w:spacing w:val="0"/>
          <w:position w:val="0"/>
          <w:sz w:val="24"/>
          <w:shd w:fill="auto" w:val="clear"/>
        </w:rPr>
        <w:t xml:space="preserve">. (16 de Mayo de 2023). Obtenido de </w:t>
      </w:r>
      <w:hyperlink xmlns:r="http://schemas.openxmlformats.org/officeDocument/2006/relationships" r:id="docRId84">
        <w:r>
          <w:rPr>
            <w:rFonts w:ascii="Times New Roman" w:hAnsi="Times New Roman" w:cs="Times New Roman" w:eastAsia="Times New Roman"/>
            <w:color w:val="0000FF"/>
            <w:spacing w:val="0"/>
            <w:position w:val="0"/>
            <w:sz w:val="24"/>
            <w:u w:val="single"/>
            <w:shd w:fill="auto" w:val="clear"/>
          </w:rPr>
          <w:t xml:space="preserve">https://www.enacom.gob.ar/institucional/llega-wifi-6-a-la-argentina--una-tecnologia-que-garantizara-hogares-mas-y-mejor-conectados_n4379</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ENACOM</w:t>
      </w:r>
      <w:r>
        <w:rPr>
          <w:rFonts w:ascii="Times New Roman" w:hAnsi="Times New Roman" w:cs="Times New Roman" w:eastAsia="Times New Roman"/>
          <w:color w:val="auto"/>
          <w:spacing w:val="0"/>
          <w:position w:val="0"/>
          <w:sz w:val="24"/>
          <w:shd w:fill="auto" w:val="clear"/>
        </w:rPr>
        <w:t xml:space="preserve">. (16 de Mayo de 2023). Obtenido de </w:t>
      </w:r>
      <w:hyperlink xmlns:r="http://schemas.openxmlformats.org/officeDocument/2006/relationships" r:id="docRId85">
        <w:r>
          <w:rPr>
            <w:rFonts w:ascii="Times New Roman" w:hAnsi="Times New Roman" w:cs="Times New Roman" w:eastAsia="Times New Roman"/>
            <w:color w:val="0000FF"/>
            <w:spacing w:val="0"/>
            <w:position w:val="0"/>
            <w:sz w:val="24"/>
            <w:u w:val="single"/>
            <w:shd w:fill="auto" w:val="clear"/>
          </w:rPr>
          <w:t xml:space="preserve">https://www.enacom.gob.ar/institucional/llega-wifi-6-a-la-argentina--una-tecnologia-que-garantizara-hogares-mas-y-mejor-conectados_n4379</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FAPESP. (24 de Septiembre de 2019). </w:t>
      </w:r>
      <w:r>
        <w:rPr>
          <w:rFonts w:ascii="Times New Roman" w:hAnsi="Times New Roman" w:cs="Times New Roman" w:eastAsia="Times New Roman"/>
          <w:i/>
          <w:color w:val="auto"/>
          <w:spacing w:val="0"/>
          <w:position w:val="0"/>
          <w:sz w:val="24"/>
          <w:shd w:fill="auto" w:val="clear"/>
        </w:rPr>
        <w:t xml:space="preserve">FAPESP</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86">
        <w:r>
          <w:rPr>
            <w:rFonts w:ascii="Times New Roman" w:hAnsi="Times New Roman" w:cs="Times New Roman" w:eastAsia="Times New Roman"/>
            <w:color w:val="0000FF"/>
            <w:spacing w:val="0"/>
            <w:position w:val="0"/>
            <w:sz w:val="24"/>
            <w:u w:val="single"/>
            <w:shd w:fill="auto" w:val="clear"/>
          </w:rPr>
          <w:t xml:space="preserve">https://agencia.fapesp.br/pesquisador-do-icb-usp-lanca-plataforma-de-compartilhamento-de-reagentes/31529#.XYnGg0obTTo.whatsapp</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Honorable Cámara de Diputados de la República Argentina</w:t>
      </w:r>
      <w:r>
        <w:rPr>
          <w:rFonts w:ascii="Times New Roman" w:hAnsi="Times New Roman" w:cs="Times New Roman" w:eastAsia="Times New Roman"/>
          <w:color w:val="auto"/>
          <w:spacing w:val="0"/>
          <w:position w:val="0"/>
          <w:sz w:val="24"/>
          <w:shd w:fill="auto" w:val="clear"/>
        </w:rPr>
        <w:t xml:space="preserve">. (2023). Obtenido de </w:t>
      </w:r>
      <w:hyperlink xmlns:r="http://schemas.openxmlformats.org/officeDocument/2006/relationships" r:id="docRId87">
        <w:r>
          <w:rPr>
            <w:rFonts w:ascii="Times New Roman" w:hAnsi="Times New Roman" w:cs="Times New Roman" w:eastAsia="Times New Roman"/>
            <w:color w:val="0000FF"/>
            <w:spacing w:val="0"/>
            <w:position w:val="0"/>
            <w:sz w:val="24"/>
            <w:u w:val="single"/>
            <w:shd w:fill="auto" w:val="clear"/>
          </w:rPr>
          <w:t xml:space="preserve">https://www4.hcdn.gob.ar/dependencias/dsecretaria/Periodo2023/PDF2023/TP2023/0145-D-2023.pdf</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INDEC</w:t>
      </w:r>
      <w:r>
        <w:rPr>
          <w:rFonts w:ascii="Times New Roman" w:hAnsi="Times New Roman" w:cs="Times New Roman" w:eastAsia="Times New Roman"/>
          <w:color w:val="auto"/>
          <w:spacing w:val="0"/>
          <w:position w:val="0"/>
          <w:sz w:val="24"/>
          <w:shd w:fill="auto" w:val="clear"/>
        </w:rPr>
        <w:t xml:space="preserve">. (2022). Obtenido de </w:t>
      </w:r>
      <w:hyperlink xmlns:r="http://schemas.openxmlformats.org/officeDocument/2006/relationships" r:id="docRId88">
        <w:r>
          <w:rPr>
            <w:rFonts w:ascii="Times New Roman" w:hAnsi="Times New Roman" w:cs="Times New Roman" w:eastAsia="Times New Roman"/>
            <w:color w:val="0000FF"/>
            <w:spacing w:val="0"/>
            <w:position w:val="0"/>
            <w:sz w:val="24"/>
            <w:u w:val="single"/>
            <w:shd w:fill="auto" w:val="clear"/>
          </w:rPr>
          <w:t xml:space="preserve">https://www.indec.gob.ar/indec/web/Nivel3-Tema-4-26#:~:text=En%20el%20cuarto%20trimestre%20de,sea%20red%20fija%20o%20m%C3%B3vil</w:t>
        </w:r>
      </w:hyperlink>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INDEC</w:t>
      </w:r>
      <w:r>
        <w:rPr>
          <w:rFonts w:ascii="Times New Roman" w:hAnsi="Times New Roman" w:cs="Times New Roman" w:eastAsia="Times New Roman"/>
          <w:color w:val="auto"/>
          <w:spacing w:val="0"/>
          <w:position w:val="0"/>
          <w:sz w:val="24"/>
          <w:shd w:fill="auto" w:val="clear"/>
        </w:rPr>
        <w:t xml:space="preserve">. (2022). Obtenido de </w:t>
      </w:r>
      <w:hyperlink xmlns:r="http://schemas.openxmlformats.org/officeDocument/2006/relationships" r:id="docRId89">
        <w:r>
          <w:rPr>
            <w:rFonts w:ascii="Times New Roman" w:hAnsi="Times New Roman" w:cs="Times New Roman" w:eastAsia="Times New Roman"/>
            <w:color w:val="0000FF"/>
            <w:spacing w:val="0"/>
            <w:position w:val="0"/>
            <w:sz w:val="24"/>
            <w:u w:val="single"/>
            <w:shd w:fill="auto" w:val="clear"/>
          </w:rPr>
          <w:t xml:space="preserve">https://www.indec.gob.ar/indec/web/Nivel3-Tema-4-26#:~:text=En%20el%20cuarto%20trimestre%20de,sea%20red%20fija%20o%20m%C3%B3vil</w:t>
        </w:r>
      </w:hyperlink>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Juárez, V. (2021). </w:t>
      </w:r>
      <w:r>
        <w:rPr>
          <w:rFonts w:ascii="Times New Roman" w:hAnsi="Times New Roman" w:cs="Times New Roman" w:eastAsia="Times New Roman"/>
          <w:i/>
          <w:color w:val="auto"/>
          <w:spacing w:val="0"/>
          <w:position w:val="0"/>
          <w:sz w:val="24"/>
          <w:shd w:fill="auto" w:val="clear"/>
        </w:rPr>
        <w:t xml:space="preserve">INVESTIGACIÓN Y DESARROLLO EN UNIVERSIDADES PÚBLICAS.</w:t>
      </w:r>
      <w:r>
        <w:rPr>
          <w:rFonts w:ascii="Times New Roman" w:hAnsi="Times New Roman" w:cs="Times New Roman" w:eastAsia="Times New Roman"/>
          <w:color w:val="auto"/>
          <w:spacing w:val="0"/>
          <w:position w:val="0"/>
          <w:sz w:val="24"/>
          <w:shd w:fill="auto" w:val="clear"/>
        </w:rPr>
        <w:t xml:space="preserve"> https://www.argentina.gob.ar/sites/default/files/2020/12/informes_sectoriales_ract_upub_0.pdf: Ministerio de Ciencia, Tecnología e Innovación.</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Kanenguiser, M. (12 de Agosto de 2023). </w:t>
      </w:r>
      <w:r>
        <w:rPr>
          <w:rFonts w:ascii="Times New Roman" w:hAnsi="Times New Roman" w:cs="Times New Roman" w:eastAsia="Times New Roman"/>
          <w:i/>
          <w:color w:val="auto"/>
          <w:spacing w:val="0"/>
          <w:position w:val="0"/>
          <w:sz w:val="24"/>
          <w:shd w:fill="auto" w:val="clear"/>
        </w:rPr>
        <w:t xml:space="preserve">Infobae</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0">
        <w:r>
          <w:rPr>
            <w:rFonts w:ascii="Times New Roman" w:hAnsi="Times New Roman" w:cs="Times New Roman" w:eastAsia="Times New Roman"/>
            <w:color w:val="0000FF"/>
            <w:spacing w:val="0"/>
            <w:position w:val="0"/>
            <w:sz w:val="24"/>
            <w:u w:val="single"/>
            <w:shd w:fill="auto" w:val="clear"/>
          </w:rPr>
          <w:t xml:space="preserve">https://www.infobae.com/economia/2023/08/13/con-que-economia-llega-la-argentina-a-las-elecciones-primarias-2023/</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KANTAR, I. C. (Mid Term de 2023). </w:t>
      </w:r>
      <w:r>
        <w:rPr>
          <w:rFonts w:ascii="Times New Roman" w:hAnsi="Times New Roman" w:cs="Times New Roman" w:eastAsia="Times New Roman"/>
          <w:i/>
          <w:color w:val="auto"/>
          <w:spacing w:val="0"/>
          <w:position w:val="0"/>
          <w:sz w:val="24"/>
          <w:shd w:fill="auto" w:val="clear"/>
        </w:rPr>
        <w:t xml:space="preserve">Cámara Argentina de Comercio Electrónico (CACE)</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1">
        <w:r>
          <w:rPr>
            <w:rFonts w:ascii="Times New Roman" w:hAnsi="Times New Roman" w:cs="Times New Roman" w:eastAsia="Times New Roman"/>
            <w:color w:val="0000FF"/>
            <w:spacing w:val="0"/>
            <w:position w:val="0"/>
            <w:sz w:val="24"/>
            <w:u w:val="single"/>
            <w:shd w:fill="auto" w:val="clear"/>
          </w:rPr>
          <w:t xml:space="preserve">https://cace.org.ar/estadisticas/</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Keller, C. (2 de Junio de 2023). </w:t>
      </w:r>
      <w:r>
        <w:rPr>
          <w:rFonts w:ascii="Times New Roman" w:hAnsi="Times New Roman" w:cs="Times New Roman" w:eastAsia="Times New Roman"/>
          <w:i/>
          <w:color w:val="auto"/>
          <w:spacing w:val="0"/>
          <w:position w:val="0"/>
          <w:sz w:val="24"/>
          <w:shd w:fill="auto" w:val="clear"/>
        </w:rPr>
        <w:t xml:space="preserve">IPROFESIONAL</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2">
        <w:r>
          <w:rPr>
            <w:rFonts w:ascii="Times New Roman" w:hAnsi="Times New Roman" w:cs="Times New Roman" w:eastAsia="Times New Roman"/>
            <w:color w:val="0000FF"/>
            <w:spacing w:val="0"/>
            <w:position w:val="0"/>
            <w:sz w:val="24"/>
            <w:u w:val="single"/>
            <w:shd w:fill="auto" w:val="clear"/>
          </w:rPr>
          <w:t xml:space="preserve">https://www.iprofesional.com/economia/382598-alerta-entre-empresas-por-falta-de-dolares-cuanta-plata-deben</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Kim, W. C. (2005). </w:t>
      </w:r>
      <w:r>
        <w:rPr>
          <w:rFonts w:ascii="Times New Roman" w:hAnsi="Times New Roman" w:cs="Times New Roman" w:eastAsia="Times New Roman"/>
          <w:i/>
          <w:color w:val="auto"/>
          <w:spacing w:val="0"/>
          <w:position w:val="0"/>
          <w:sz w:val="24"/>
          <w:shd w:fill="auto" w:val="clear"/>
        </w:rPr>
        <w:t xml:space="preserve">Blue Ocean Strategy.</w:t>
      </w:r>
      <w:r>
        <w:rPr>
          <w:rFonts w:ascii="Times New Roman" w:hAnsi="Times New Roman" w:cs="Times New Roman" w:eastAsia="Times New Roman"/>
          <w:color w:val="auto"/>
          <w:spacing w:val="0"/>
          <w:position w:val="0"/>
          <w:sz w:val="24"/>
          <w:shd w:fill="auto" w:val="clear"/>
        </w:rPr>
        <w:t xml:space="preserve"> Boston: Harvard Business School Press.</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Kotler, P. a. (2012). </w:t>
      </w:r>
      <w:r>
        <w:rPr>
          <w:rFonts w:ascii="Times New Roman" w:hAnsi="Times New Roman" w:cs="Times New Roman" w:eastAsia="Times New Roman"/>
          <w:i/>
          <w:color w:val="auto"/>
          <w:spacing w:val="0"/>
          <w:position w:val="0"/>
          <w:sz w:val="24"/>
          <w:shd w:fill="auto" w:val="clear"/>
        </w:rPr>
        <w:t xml:space="preserve">Marketing Managment.</w:t>
      </w:r>
      <w:r>
        <w:rPr>
          <w:rFonts w:ascii="Times New Roman" w:hAnsi="Times New Roman" w:cs="Times New Roman" w:eastAsia="Times New Roman"/>
          <w:color w:val="auto"/>
          <w:spacing w:val="0"/>
          <w:position w:val="0"/>
          <w:sz w:val="24"/>
          <w:shd w:fill="auto" w:val="clear"/>
        </w:rPr>
        <w:t xml:space="preserve"> New Jersey: Prentice Hall.</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Kotler, P. y. (2012). </w:t>
      </w:r>
      <w:r>
        <w:rPr>
          <w:rFonts w:ascii="Times New Roman" w:hAnsi="Times New Roman" w:cs="Times New Roman" w:eastAsia="Times New Roman"/>
          <w:i/>
          <w:color w:val="auto"/>
          <w:spacing w:val="0"/>
          <w:position w:val="0"/>
          <w:sz w:val="24"/>
          <w:shd w:fill="auto" w:val="clear"/>
        </w:rPr>
        <w:t xml:space="preserve">Marketing.</w:t>
      </w:r>
      <w:r>
        <w:rPr>
          <w:rFonts w:ascii="Times New Roman" w:hAnsi="Times New Roman" w:cs="Times New Roman" w:eastAsia="Times New Roman"/>
          <w:color w:val="auto"/>
          <w:spacing w:val="0"/>
          <w:position w:val="0"/>
          <w:sz w:val="24"/>
          <w:shd w:fill="auto" w:val="clear"/>
        </w:rPr>
        <w:t xml:space="preserve"> México: Pearson Educación de México.</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Labnetwork. (31 de 3 de 2020). </w:t>
      </w:r>
      <w:r>
        <w:rPr>
          <w:rFonts w:ascii="Times New Roman" w:hAnsi="Times New Roman" w:cs="Times New Roman" w:eastAsia="Times New Roman"/>
          <w:i/>
          <w:color w:val="auto"/>
          <w:spacing w:val="0"/>
          <w:position w:val="0"/>
          <w:sz w:val="24"/>
          <w:shd w:fill="auto" w:val="clear"/>
        </w:rPr>
        <w:t xml:space="preserve">Labnetwork</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3">
        <w:r>
          <w:rPr>
            <w:rFonts w:ascii="Times New Roman" w:hAnsi="Times New Roman" w:cs="Times New Roman" w:eastAsia="Times New Roman"/>
            <w:color w:val="0000FF"/>
            <w:spacing w:val="0"/>
            <w:position w:val="0"/>
            <w:sz w:val="24"/>
            <w:u w:val="single"/>
            <w:shd w:fill="auto" w:val="clear"/>
          </w:rPr>
          <w:t xml:space="preserve">https://labnetwork.com.br/noticias/plataforma-conecta-cientistas-para-doacao-de-reagentes/</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Mendoza Farro, T. y. (2019). Plan de Negocios En Pocos Pasos. En T. y. Mendoza Farro, </w:t>
      </w:r>
      <w:r>
        <w:rPr>
          <w:rFonts w:ascii="Times New Roman" w:hAnsi="Times New Roman" w:cs="Times New Roman" w:eastAsia="Times New Roman"/>
          <w:i/>
          <w:color w:val="auto"/>
          <w:spacing w:val="0"/>
          <w:position w:val="0"/>
          <w:sz w:val="24"/>
          <w:shd w:fill="auto" w:val="clear"/>
        </w:rPr>
        <w:t xml:space="preserve">Plan de Negocios En Pocos Pasos</w:t>
      </w:r>
      <w:r>
        <w:rPr>
          <w:rFonts w:ascii="Times New Roman" w:hAnsi="Times New Roman" w:cs="Times New Roman" w:eastAsia="Times New Roman"/>
          <w:color w:val="auto"/>
          <w:spacing w:val="0"/>
          <w:position w:val="0"/>
          <w:sz w:val="24"/>
          <w:shd w:fill="auto" w:val="clear"/>
        </w:rPr>
        <w:t xml:space="preserve"> (pág. 15). Fondo Editorial.</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Mintzberg, H. (2005). </w:t>
      </w:r>
      <w:r>
        <w:rPr>
          <w:rFonts w:ascii="Times New Roman" w:hAnsi="Times New Roman" w:cs="Times New Roman" w:eastAsia="Times New Roman"/>
          <w:i/>
          <w:color w:val="auto"/>
          <w:spacing w:val="0"/>
          <w:position w:val="0"/>
          <w:sz w:val="24"/>
          <w:shd w:fill="auto" w:val="clear"/>
        </w:rPr>
        <w:t xml:space="preserve">La Estructuración de las Organizaciones.</w:t>
      </w:r>
      <w:r>
        <w:rPr>
          <w:rFonts w:ascii="Times New Roman" w:hAnsi="Times New Roman" w:cs="Times New Roman" w:eastAsia="Times New Roman"/>
          <w:color w:val="auto"/>
          <w:spacing w:val="0"/>
          <w:position w:val="0"/>
          <w:sz w:val="24"/>
          <w:shd w:fill="auto" w:val="clear"/>
        </w:rPr>
        <w:t xml:space="preserve"> Barcelona: Ariel.</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Osterwalder, A. P. (2010). </w:t>
      </w:r>
      <w:r>
        <w:rPr>
          <w:rFonts w:ascii="Times New Roman" w:hAnsi="Times New Roman" w:cs="Times New Roman" w:eastAsia="Times New Roman"/>
          <w:i/>
          <w:color w:val="auto"/>
          <w:spacing w:val="0"/>
          <w:position w:val="0"/>
          <w:sz w:val="24"/>
          <w:shd w:fill="auto" w:val="clear"/>
        </w:rPr>
        <w:t xml:space="preserve">Busness Model Generation.</w:t>
      </w:r>
      <w:r>
        <w:rPr>
          <w:rFonts w:ascii="Times New Roman" w:hAnsi="Times New Roman" w:cs="Times New Roman" w:eastAsia="Times New Roman"/>
          <w:color w:val="auto"/>
          <w:spacing w:val="0"/>
          <w:position w:val="0"/>
          <w:sz w:val="24"/>
          <w:shd w:fill="auto" w:val="clear"/>
        </w:rPr>
        <w:t xml:space="preserve"> Wiley.</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Portillo Zoraida, M. C. (11 de Octubre de 2022). </w:t>
      </w:r>
      <w:r>
        <w:rPr>
          <w:rFonts w:ascii="Times New Roman" w:hAnsi="Times New Roman" w:cs="Times New Roman" w:eastAsia="Times New Roman"/>
          <w:i/>
          <w:color w:val="auto"/>
          <w:spacing w:val="0"/>
          <w:position w:val="0"/>
          <w:sz w:val="24"/>
          <w:shd w:fill="auto" w:val="clear"/>
        </w:rPr>
        <w:t xml:space="preserve">Sci Dev Net</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4">
        <w:r>
          <w:rPr>
            <w:rFonts w:ascii="Times New Roman" w:hAnsi="Times New Roman" w:cs="Times New Roman" w:eastAsia="Times New Roman"/>
            <w:color w:val="0000FF"/>
            <w:spacing w:val="0"/>
            <w:position w:val="0"/>
            <w:sz w:val="24"/>
            <w:u w:val="single"/>
            <w:shd w:fill="auto" w:val="clear"/>
          </w:rPr>
          <w:t xml:space="preserve">https://www.scidev.net/america-latina/scidev-net-reportaje/america-latina-la-inflacion-esta-desinflando-a-la-ciencia/</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Pusseto, L. y. (22 de Marzo de 2023). </w:t>
      </w:r>
      <w:r>
        <w:rPr>
          <w:rFonts w:ascii="Times New Roman" w:hAnsi="Times New Roman" w:cs="Times New Roman" w:eastAsia="Times New Roman"/>
          <w:i/>
          <w:color w:val="auto"/>
          <w:spacing w:val="0"/>
          <w:position w:val="0"/>
          <w:sz w:val="24"/>
          <w:shd w:fill="auto" w:val="clear"/>
        </w:rPr>
        <w:t xml:space="preserve">Diario La Nación</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5">
        <w:r>
          <w:rPr>
            <w:rFonts w:ascii="Times New Roman" w:hAnsi="Times New Roman" w:cs="Times New Roman" w:eastAsia="Times New Roman"/>
            <w:color w:val="0000FF"/>
            <w:spacing w:val="0"/>
            <w:position w:val="0"/>
            <w:sz w:val="24"/>
            <w:u w:val="single"/>
            <w:shd w:fill="auto" w:val="clear"/>
          </w:rPr>
          <w:t xml:space="preserve">https://www.lanacion.com.ar/opinion/es-realmente-alta-la-presion-impositiva-en-argentina-nid22032023/</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Pussetto, L. y. (22 de Marzo de 2023). </w:t>
      </w:r>
      <w:r>
        <w:rPr>
          <w:rFonts w:ascii="Times New Roman" w:hAnsi="Times New Roman" w:cs="Times New Roman" w:eastAsia="Times New Roman"/>
          <w:i/>
          <w:color w:val="auto"/>
          <w:spacing w:val="0"/>
          <w:position w:val="0"/>
          <w:sz w:val="24"/>
          <w:shd w:fill="auto" w:val="clear"/>
        </w:rPr>
        <w:t xml:space="preserve">Diario La Nación</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6">
        <w:r>
          <w:rPr>
            <w:rFonts w:ascii="Times New Roman" w:hAnsi="Times New Roman" w:cs="Times New Roman" w:eastAsia="Times New Roman"/>
            <w:color w:val="0000FF"/>
            <w:spacing w:val="0"/>
            <w:position w:val="0"/>
            <w:sz w:val="24"/>
            <w:u w:val="single"/>
            <w:shd w:fill="auto" w:val="clear"/>
          </w:rPr>
          <w:t xml:space="preserve">https://www.lanacion.com.ar/opinion/es-realmente-alta-la-presion-impositiva-en-argentina-nid22032023/</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Rogers, D. L. (2016). The Digital Transformation Playbook. En D. L. Rogers, </w:t>
      </w:r>
      <w:r>
        <w:rPr>
          <w:rFonts w:ascii="Times New Roman" w:hAnsi="Times New Roman" w:cs="Times New Roman" w:eastAsia="Times New Roman"/>
          <w:i/>
          <w:color w:val="auto"/>
          <w:spacing w:val="0"/>
          <w:position w:val="0"/>
          <w:sz w:val="24"/>
          <w:shd w:fill="auto" w:val="clear"/>
        </w:rPr>
        <w:t xml:space="preserve">The Digital Transformation Playbook</w:t>
      </w:r>
      <w:r>
        <w:rPr>
          <w:rFonts w:ascii="Times New Roman" w:hAnsi="Times New Roman" w:cs="Times New Roman" w:eastAsia="Times New Roman"/>
          <w:color w:val="auto"/>
          <w:spacing w:val="0"/>
          <w:position w:val="0"/>
          <w:sz w:val="24"/>
          <w:shd w:fill="auto" w:val="clear"/>
        </w:rPr>
        <w:t xml:space="preserve"> (págs. 58-62). New York: Columbia University Press.</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Ruiz, A. (20 de Marzo de 2023). </w:t>
      </w:r>
      <w:r>
        <w:rPr>
          <w:rFonts w:ascii="Times New Roman" w:hAnsi="Times New Roman" w:cs="Times New Roman" w:eastAsia="Times New Roman"/>
          <w:i/>
          <w:color w:val="auto"/>
          <w:spacing w:val="0"/>
          <w:position w:val="0"/>
          <w:sz w:val="24"/>
          <w:shd w:fill="auto" w:val="clear"/>
        </w:rPr>
        <w:t xml:space="preserve">MARKETING ECOMMERCE</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97">
        <w:r>
          <w:rPr>
            <w:rFonts w:ascii="Times New Roman" w:hAnsi="Times New Roman" w:cs="Times New Roman" w:eastAsia="Times New Roman"/>
            <w:color w:val="0000FF"/>
            <w:spacing w:val="0"/>
            <w:position w:val="0"/>
            <w:sz w:val="24"/>
            <w:u w:val="single"/>
            <w:shd w:fill="auto" w:val="clear"/>
          </w:rPr>
          <w:t xml:space="preserve">https://marketing4ecommerce.net/radiografia-del-ecommerce-en-argentina-uno-de-los-mercados-mas-fuertes-de-sudamerica/</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SociaLab</w:t>
      </w:r>
      <w:r>
        <w:rPr>
          <w:rFonts w:ascii="Times New Roman" w:hAnsi="Times New Roman" w:cs="Times New Roman" w:eastAsia="Times New Roman"/>
          <w:color w:val="auto"/>
          <w:spacing w:val="0"/>
          <w:position w:val="0"/>
          <w:sz w:val="24"/>
          <w:shd w:fill="auto" w:val="clear"/>
        </w:rPr>
        <w:t xml:space="preserve">. (2019). Obtenido de </w:t>
      </w:r>
      <w:hyperlink xmlns:r="http://schemas.openxmlformats.org/officeDocument/2006/relationships" r:id="docRId98">
        <w:r>
          <w:rPr>
            <w:rFonts w:ascii="Times New Roman" w:hAnsi="Times New Roman" w:cs="Times New Roman" w:eastAsia="Times New Roman"/>
            <w:color w:val="0000FF"/>
            <w:spacing w:val="0"/>
            <w:position w:val="0"/>
            <w:sz w:val="24"/>
            <w:u w:val="single"/>
            <w:shd w:fill="auto" w:val="clear"/>
          </w:rPr>
          <w:t xml:space="preserve">https://www.socialab.com.br/</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Soltanifar M., G. L. (2020). Platform Business Models. En G. L. Soltanifar M., </w:t>
      </w:r>
      <w:r>
        <w:rPr>
          <w:rFonts w:ascii="Times New Roman" w:hAnsi="Times New Roman" w:cs="Times New Roman" w:eastAsia="Times New Roman"/>
          <w:i/>
          <w:color w:val="auto"/>
          <w:spacing w:val="0"/>
          <w:position w:val="0"/>
          <w:sz w:val="24"/>
          <w:shd w:fill="auto" w:val="clear"/>
        </w:rPr>
        <w:t xml:space="preserve">Digital Entrepreneurship - Impact on Business and Society</w:t>
      </w:r>
      <w:r>
        <w:rPr>
          <w:rFonts w:ascii="Times New Roman" w:hAnsi="Times New Roman" w:cs="Times New Roman" w:eastAsia="Times New Roman"/>
          <w:color w:val="auto"/>
          <w:spacing w:val="0"/>
          <w:position w:val="0"/>
          <w:sz w:val="24"/>
          <w:shd w:fill="auto" w:val="clear"/>
        </w:rPr>
        <w:t xml:space="preserve"> (pág. 89). Springer.</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Soltanifar M., G. L. (2020). Putting It All Together: The Digital Entrepreneurial. En G. L. Soltanifar M., </w:t>
      </w:r>
      <w:r>
        <w:rPr>
          <w:rFonts w:ascii="Times New Roman" w:hAnsi="Times New Roman" w:cs="Times New Roman" w:eastAsia="Times New Roman"/>
          <w:i/>
          <w:color w:val="auto"/>
          <w:spacing w:val="0"/>
          <w:position w:val="0"/>
          <w:sz w:val="24"/>
          <w:shd w:fill="auto" w:val="clear"/>
        </w:rPr>
        <w:t xml:space="preserve">Digital Entrepreneurship - Impact on Business and Society</w:t>
      </w:r>
      <w:r>
        <w:rPr>
          <w:rFonts w:ascii="Times New Roman" w:hAnsi="Times New Roman" w:cs="Times New Roman" w:eastAsia="Times New Roman"/>
          <w:color w:val="auto"/>
          <w:spacing w:val="0"/>
          <w:position w:val="0"/>
          <w:sz w:val="24"/>
          <w:shd w:fill="auto" w:val="clear"/>
        </w:rPr>
        <w:t xml:space="preserve"> (pág. 7). Springer.</w:t>
      </w:r>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Statista</w:t>
      </w:r>
      <w:r>
        <w:rPr>
          <w:rFonts w:ascii="Times New Roman" w:hAnsi="Times New Roman" w:cs="Times New Roman" w:eastAsia="Times New Roman"/>
          <w:color w:val="auto"/>
          <w:spacing w:val="0"/>
          <w:position w:val="0"/>
          <w:sz w:val="24"/>
          <w:shd w:fill="auto" w:val="clear"/>
        </w:rPr>
        <w:t xml:space="preserve">. (6 de Julio de 2023). Obtenido de </w:t>
      </w:r>
      <w:hyperlink xmlns:r="http://schemas.openxmlformats.org/officeDocument/2006/relationships" r:id="docRId99">
        <w:r>
          <w:rPr>
            <w:rFonts w:ascii="Times New Roman" w:hAnsi="Times New Roman" w:cs="Times New Roman" w:eastAsia="Times New Roman"/>
            <w:color w:val="0000FF"/>
            <w:spacing w:val="0"/>
            <w:position w:val="0"/>
            <w:sz w:val="24"/>
            <w:u w:val="single"/>
            <w:shd w:fill="auto" w:val="clear"/>
          </w:rPr>
          <w:t xml:space="preserve">https://es.statista.com/estadisticas/1218855/numero-de-usuarios-de-redes-sociales-argentina/#:~:text=En%20Argentina%2C%20por%20ejemplo%2C%20casi,usuarios%20alcance%20los%2040%20millones</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STATISTA</w:t>
      </w:r>
      <w:r>
        <w:rPr>
          <w:rFonts w:ascii="Times New Roman" w:hAnsi="Times New Roman" w:cs="Times New Roman" w:eastAsia="Times New Roman"/>
          <w:color w:val="auto"/>
          <w:spacing w:val="0"/>
          <w:position w:val="0"/>
          <w:sz w:val="24"/>
          <w:shd w:fill="auto" w:val="clear"/>
        </w:rPr>
        <w:t xml:space="preserve">. (6 de Julio de 2023). Obtenido de </w:t>
      </w:r>
      <w:hyperlink xmlns:r="http://schemas.openxmlformats.org/officeDocument/2006/relationships" r:id="docRId100">
        <w:r>
          <w:rPr>
            <w:rFonts w:ascii="Times New Roman" w:hAnsi="Times New Roman" w:cs="Times New Roman" w:eastAsia="Times New Roman"/>
            <w:color w:val="0000FF"/>
            <w:spacing w:val="0"/>
            <w:position w:val="0"/>
            <w:sz w:val="24"/>
            <w:u w:val="single"/>
            <w:shd w:fill="auto" w:val="clear"/>
          </w:rPr>
          <w:t xml:space="preserve">https://es.statista.com/estadisticas/1218855/numero-de-usuarios-de-redes-sociales-argentina/#:~:text=En%20Argentina%2C%20por%20ejemplo%2C%20casi,usuarios%20alcance%20los%2040%20millones</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Urian, P. (8 de Enero de 2017). </w:t>
      </w:r>
      <w:r>
        <w:rPr>
          <w:rFonts w:ascii="Times New Roman" w:hAnsi="Times New Roman" w:cs="Times New Roman" w:eastAsia="Times New Roman"/>
          <w:i/>
          <w:color w:val="auto"/>
          <w:spacing w:val="0"/>
          <w:position w:val="0"/>
          <w:sz w:val="24"/>
          <w:shd w:fill="auto" w:val="clear"/>
        </w:rPr>
        <w:t xml:space="preserve">Diario La Nación</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101">
        <w:r>
          <w:rPr>
            <w:rFonts w:ascii="Times New Roman" w:hAnsi="Times New Roman" w:cs="Times New Roman" w:eastAsia="Times New Roman"/>
            <w:color w:val="0000FF"/>
            <w:spacing w:val="0"/>
            <w:position w:val="0"/>
            <w:sz w:val="24"/>
            <w:u w:val="single"/>
            <w:shd w:fill="auto" w:val="clear"/>
          </w:rPr>
          <w:t xml:space="preserve">https://www.lanacion.com.ar/economia/empleos/los-costos-laborales-de-la-argentina-son-los-mas-altos-de-la-region-nid1974055/</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Urien, P. (8 de Enero de 2017). </w:t>
      </w:r>
      <w:r>
        <w:rPr>
          <w:rFonts w:ascii="Times New Roman" w:hAnsi="Times New Roman" w:cs="Times New Roman" w:eastAsia="Times New Roman"/>
          <w:i/>
          <w:color w:val="auto"/>
          <w:spacing w:val="0"/>
          <w:position w:val="0"/>
          <w:sz w:val="24"/>
          <w:shd w:fill="auto" w:val="clear"/>
        </w:rPr>
        <w:t xml:space="preserve">Diario La Nación</w:t>
      </w:r>
      <w:r>
        <w:rPr>
          <w:rFonts w:ascii="Times New Roman" w:hAnsi="Times New Roman" w:cs="Times New Roman" w:eastAsia="Times New Roman"/>
          <w:color w:val="auto"/>
          <w:spacing w:val="0"/>
          <w:position w:val="0"/>
          <w:sz w:val="24"/>
          <w:shd w:fill="auto" w:val="clear"/>
        </w:rPr>
        <w:t xml:space="preserve">. Obtenido de </w:t>
      </w:r>
      <w:hyperlink xmlns:r="http://schemas.openxmlformats.org/officeDocument/2006/relationships" r:id="docRId102">
        <w:r>
          <w:rPr>
            <w:rFonts w:ascii="Times New Roman" w:hAnsi="Times New Roman" w:cs="Times New Roman" w:eastAsia="Times New Roman"/>
            <w:color w:val="0000FF"/>
            <w:spacing w:val="0"/>
            <w:position w:val="0"/>
            <w:sz w:val="24"/>
            <w:u w:val="single"/>
            <w:shd w:fill="auto" w:val="clear"/>
          </w:rPr>
          <w:t xml:space="preserve">https://www.lanacion.com.ar/economia/empleos/los-costos-laborales-de-la-argentina-son-los-mas-altos-de-la-region-nid1974055/</w:t>
        </w:r>
      </w:hyperlink>
    </w:p>
    <w:p>
      <w:pPr>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Watson, R. (2011). An Introduction. En </w:t>
      </w:r>
      <w:r>
        <w:rPr>
          <w:rFonts w:ascii="Times New Roman" w:hAnsi="Times New Roman" w:cs="Times New Roman" w:eastAsia="Times New Roman"/>
          <w:i/>
          <w:color w:val="auto"/>
          <w:spacing w:val="0"/>
          <w:position w:val="0"/>
          <w:sz w:val="24"/>
          <w:shd w:fill="auto" w:val="clear"/>
        </w:rPr>
        <w:t xml:space="preserve">Electronic Commerce: The Strategic Perspective</w:t>
      </w:r>
      <w:r>
        <w:rPr>
          <w:rFonts w:ascii="Times New Roman" w:hAnsi="Times New Roman" w:cs="Times New Roman" w:eastAsia="Times New Roman"/>
          <w:color w:val="auto"/>
          <w:spacing w:val="0"/>
          <w:position w:val="0"/>
          <w:sz w:val="24"/>
          <w:shd w:fill="auto" w:val="clear"/>
        </w:rPr>
        <w:t xml:space="preserve"> (pág. 1). Minneapolis: BCcampus : Open Textbook Library.</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Anexo 1. Entrevista a investigadores</w:t>
      </w:r>
    </w:p>
    <w:p>
      <w:pPr>
        <w:numPr>
          <w:ilvl w:val="0"/>
          <w:numId w:val="850"/>
        </w:numPr>
        <w:tabs>
          <w:tab w:val="left" w:pos="1740" w:leader="none"/>
        </w:tabs>
        <w:spacing w:before="0" w:after="36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¿Cuáles son los mayores desafíos que enfrenta a la hora de adquirir reactivos o servicios para realizar su proyecto de investigación?</w:t>
      </w:r>
    </w:p>
    <w:p>
      <w:pPr>
        <w:tabs>
          <w:tab w:val="left" w:pos="1740" w:leader="none"/>
        </w:tabs>
        <w:spacing w:before="0" w:after="36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52"/>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¿Cuáles a su criterio serían algunas de las posibles soluciones a estos desafíos?</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54"/>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 es su experiencia en general en el uso de plataformas digitales en su trabajo?</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56"/>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 es su experiencia en el uso de plataformas digitales de compraventa en su trabajo?</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58"/>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¿Cuáles son las plataformas digitales que ha utilizado más frecuentemente y por qué las prefiere?</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60"/>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características o funcionalidades considera debería tener una plataforma digital de compraventa para que le pueda ser de utilidad en su trabajo de investigación?</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62"/>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¿Utilizaría una plataforma por suscripción para la compraventa de reactivos/servicios?</w:t>
      </w:r>
    </w:p>
    <w:p>
      <w:pPr>
        <w:tabs>
          <w:tab w:val="left" w:pos="1740" w:leader="none"/>
        </w:tabs>
        <w:spacing w:before="0" w:after="240" w:line="360"/>
        <w:ind w:right="0" w:left="714" w:firstLine="0"/>
        <w:jc w:val="left"/>
        <w:rPr>
          <w:rFonts w:ascii="Times New Roman" w:hAnsi="Times New Roman" w:cs="Times New Roman" w:eastAsia="Times New Roman"/>
          <w:color w:val="auto"/>
          <w:spacing w:val="0"/>
          <w:position w:val="0"/>
          <w:sz w:val="24"/>
          <w:shd w:fill="auto" w:val="clear"/>
        </w:rPr>
      </w:pPr>
    </w:p>
    <w:p>
      <w:pPr>
        <w:numPr>
          <w:ilvl w:val="0"/>
          <w:numId w:val="864"/>
        </w:numPr>
        <w:tabs>
          <w:tab w:val="left" w:pos="1740" w:leader="none"/>
        </w:tabs>
        <w:spacing w:before="0" w:after="240" w:line="360"/>
        <w:ind w:right="0" w:left="714" w:hanging="35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¿Cómo visualiza el futuro de las plataformas digitales en los próximos años?</w: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keepNext w:val="true"/>
        <w:keepLines w:val="true"/>
        <w:spacing w:before="480" w:after="12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Anexo 2. Encuesta a investigadores</w:t>
      </w:r>
    </w:p>
    <w:p>
      <w:pPr>
        <w:numPr>
          <w:ilvl w:val="0"/>
          <w:numId w:val="867"/>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¿Cuántos reactivos químicos y productos biológicos compras en promedio al año para tu investigación?</w:t>
      </w:r>
    </w:p>
    <w:p>
      <w:pPr>
        <w:tabs>
          <w:tab w:val="left" w:pos="1740" w:leader="none"/>
        </w:tabs>
        <w:spacing w:before="0" w:after="0" w:line="36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69"/>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¿Cuánto dinero expresado en dólares estadounidenses invertís en promedio al año en la compra de reactivos químicos y productos biológicos?</w: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871"/>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porcentaje de los reactivos químicos y productos biológicos que utilizas son importados?</w: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873"/>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aspectos tenes en cuenta a la hora de adquirir un reactivo químico o producto biológico?</w: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object w:dxaOrig="8985" w:dyaOrig="5510">
          <v:rect xmlns:o="urn:schemas-microsoft-com:office:office" xmlns:v="urn:schemas-microsoft-com:vml" id="rectole0000000035" style="width:449.250000pt;height:275.500000pt" o:preferrelative="t" o:ole="">
            <o:lock v:ext="edit"/>
            <v:imagedata xmlns:r="http://schemas.openxmlformats.org/officeDocument/2006/relationships" r:id="docRId104" o:title=""/>
          </v:rect>
          <o:OLEObject xmlns:r="http://schemas.openxmlformats.org/officeDocument/2006/relationships" xmlns:o="urn:schemas-microsoft-com:office:office" Type="Embed" ProgID="StaticMetafile" DrawAspect="Content" ObjectID="0000000035" ShapeID="rectole0000000035" r:id="docRId103"/>
        </w:objec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875"/>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tan dispuesto estás a comprar reactivos químicos, productos biológicos y equipamiento a colegas? Muy Dispuesto, Dispuesto, Poco Dispuesto, Nada Dispuesto</w:t>
      </w:r>
    </w:p>
    <w:p>
      <w:pPr>
        <w:tabs>
          <w:tab w:val="left" w:pos="1740" w:leader="none"/>
        </w:tabs>
        <w:spacing w:before="0" w:after="0" w:line="360"/>
        <w:ind w:right="0" w:left="72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77"/>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tan dispuesto estás a adquirir reactivos químicos, productos biológicos y equipamiento abiertos/usados de colegas con garantía del vendedor? Muy Dispuesto, Dispuesto, Poco Dispuesto, Nada Dispuesto</w:t>
      </w: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879"/>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¿Cuántos servicios contratas al año?  </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81"/>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¿Cuál es el monto anual en dólares estadounidenses que invertis en la contratación de servicios?  </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83"/>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tan dispuesto estás a utilizar una plataforma digital de pago tipo Marketplace para adquirir reactivos químicos, productos biológicos, equipamiento y/o contratar servicios? Muy Dispuesto, Dispuesto, Poco Dispuesto, Nada Dispuesto</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85"/>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¿Qué motivos te llevarían a utilizar una plataforma digital como la mencionada en la pregunta anterior? Seleccionar todos los que apliquen de Productos y/o servicios más económicos, Menores tiempos de entrega, Facilidad de pago, Mayor flexibilidad en la operatoria, Cantidad y calidad de la información que provee</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p>
    <w:p>
      <w:pPr>
        <w:numPr>
          <w:ilvl w:val="0"/>
          <w:numId w:val="887"/>
        </w:numPr>
        <w:tabs>
          <w:tab w:val="left" w:pos="1740" w:leader="none"/>
        </w:tabs>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qué rango de edad te encontras? 20-30 años, 31-40 años, 41-50 años, 51-60 años, +60 años</w:t>
      </w:r>
    </w:p>
    <w:p>
      <w:pPr>
        <w:tabs>
          <w:tab w:val="left" w:pos="1740" w:leader="none"/>
        </w:tabs>
        <w:spacing w:before="0" w:after="0" w:line="360"/>
        <w:ind w:right="0" w:left="72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CURRICULUM VITAE</w:t>
      </w: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2557" w:dyaOrig="2934">
          <v:rect xmlns:o="urn:schemas-microsoft-com:office:office" xmlns:v="urn:schemas-microsoft-com:vml" id="rectole0000000036" style="width:127.850000pt;height:146.700000pt" o:preferrelative="t" o:ole="">
            <o:lock v:ext="edit"/>
            <v:imagedata xmlns:r="http://schemas.openxmlformats.org/officeDocument/2006/relationships" r:id="docRId106" o:title=""/>
          </v:rect>
          <o:OLEObject xmlns:r="http://schemas.openxmlformats.org/officeDocument/2006/relationships" xmlns:o="urn:schemas-microsoft-com:office:office" Type="Embed" ProgID="StaticMetafile" DrawAspect="Content" ObjectID="0000000036" ShapeID="rectole0000000036" r:id="docRId105"/>
        </w:object>
      </w: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object w:dxaOrig="311" w:dyaOrig="311">
          <v:rect xmlns:o="urn:schemas-microsoft-com:office:office" xmlns:v="urn:schemas-microsoft-com:vml" id="rectole0000000037" style="width:15.550000pt;height:15.550000pt" o:preferrelative="t" o:ole="">
            <o:lock v:ext="edit"/>
            <v:imagedata xmlns:r="http://schemas.openxmlformats.org/officeDocument/2006/relationships" r:id="docRId108" o:title=""/>
          </v:rect>
          <o:OLEObject xmlns:r="http://schemas.openxmlformats.org/officeDocument/2006/relationships" xmlns:o="urn:schemas-microsoft-com:office:office" Type="Embed" ProgID="StaticMetafile" DrawAspect="Content" ObjectID="0000000037" ShapeID="rectole0000000037" r:id="docRId107"/>
        </w:object>
      </w:r>
      <w:r>
        <w:object w:dxaOrig="323" w:dyaOrig="323">
          <v:rect xmlns:o="urn:schemas-microsoft-com:office:office" xmlns:v="urn:schemas-microsoft-com:vml" id="rectole0000000038" style="width:16.150000pt;height:16.150000pt" o:preferrelative="t" o:ole="">
            <o:lock v:ext="edit"/>
            <v:imagedata xmlns:r="http://schemas.openxmlformats.org/officeDocument/2006/relationships" r:id="docRId110" o:title=""/>
          </v:rect>
          <o:OLEObject xmlns:r="http://schemas.openxmlformats.org/officeDocument/2006/relationships" xmlns:o="urn:schemas-microsoft-com:office:office" Type="Embed" ProgID="StaticMetafile" DrawAspect="Content" ObjectID="0000000038" ShapeID="rectole0000000038" r:id="docRId109"/>
        </w:object>
      </w:r>
      <w:r>
        <w:object w:dxaOrig="354" w:dyaOrig="354">
          <v:rect xmlns:o="urn:schemas-microsoft-com:office:office" xmlns:v="urn:schemas-microsoft-com:vml" id="rectole0000000039" style="width:17.700000pt;height:17.700000pt" o:preferrelative="t" o:ole="">
            <o:lock v:ext="edit"/>
            <v:imagedata xmlns:r="http://schemas.openxmlformats.org/officeDocument/2006/relationships" r:id="docRId112" o:title=""/>
          </v:rect>
          <o:OLEObject xmlns:r="http://schemas.openxmlformats.org/officeDocument/2006/relationships" xmlns:o="urn:schemas-microsoft-com:office:office" Type="Embed" ProgID="StaticMetafile" DrawAspect="Content" ObjectID="0000000039" ShapeID="rectole0000000039" r:id="docRId111"/>
        </w:object>
      </w:r>
    </w:p>
    <w:p>
      <w:pPr>
        <w:spacing w:before="0" w:after="0" w:line="240"/>
        <w:ind w:right="0" w:left="0" w:firstLine="0"/>
        <w:jc w:val="left"/>
        <w:rPr>
          <w:rFonts w:ascii="Cambria" w:hAnsi="Cambria" w:cs="Cambria" w:eastAsia="Cambria"/>
          <w:color w:val="auto"/>
          <w:spacing w:val="0"/>
          <w:position w:val="0"/>
          <w:sz w:val="24"/>
          <w:shd w:fill="auto" w:val="clear"/>
        </w:rPr>
      </w:pPr>
      <w:r>
        <w:object w:dxaOrig="289" w:dyaOrig="235">
          <v:rect xmlns:o="urn:schemas-microsoft-com:office:office" xmlns:v="urn:schemas-microsoft-com:vml" id="rectole0000000040" style="width:14.450000pt;height:11.750000pt" o:preferrelative="t" o:ole="">
            <o:lock v:ext="edit"/>
            <v:imagedata xmlns:r="http://schemas.openxmlformats.org/officeDocument/2006/relationships" r:id="docRId114" o:title=""/>
          </v:rect>
          <o:OLEObject xmlns:r="http://schemas.openxmlformats.org/officeDocument/2006/relationships" xmlns:o="urn:schemas-microsoft-com:office:office" Type="Embed" ProgID="StaticMetafile" DrawAspect="Content" ObjectID="0000000040" ShapeID="rectole0000000040" r:id="docRId113"/>
        </w:object>
      </w:r>
      <w:r>
        <w:object w:dxaOrig="397" w:dyaOrig="397">
          <v:rect xmlns:o="urn:schemas-microsoft-com:office:office" xmlns:v="urn:schemas-microsoft-com:vml" id="rectole0000000041" style="width:19.850000pt;height:19.850000pt" o:preferrelative="t" o:ole="">
            <o:lock v:ext="edit"/>
            <v:imagedata xmlns:r="http://schemas.openxmlformats.org/officeDocument/2006/relationships" r:id="docRId116" o:title=""/>
          </v:rect>
          <o:OLEObject xmlns:r="http://schemas.openxmlformats.org/officeDocument/2006/relationships" xmlns:o="urn:schemas-microsoft-com:office:office" Type="Embed" ProgID="StaticMetafile" DrawAspect="Content" ObjectID="0000000041" ShapeID="rectole0000000041" r:id="docRId115"/>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tabs>
          <w:tab w:val="left" w:pos="2731" w:leader="none"/>
        </w:tabs>
        <w:spacing w:before="0" w:after="0" w:line="240"/>
        <w:ind w:right="0" w:left="-567"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tabs>
          <w:tab w:val="left" w:pos="2731" w:leader="none"/>
        </w:tabs>
        <w:spacing w:before="0" w:after="0" w:line="240"/>
        <w:ind w:right="0" w:left="-567" w:firstLine="0"/>
        <w:jc w:val="left"/>
        <w:rPr>
          <w:rFonts w:ascii="Calibri" w:hAnsi="Calibri" w:cs="Calibri" w:eastAsia="Calibri"/>
          <w:color w:val="auto"/>
          <w:spacing w:val="0"/>
          <w:position w:val="0"/>
          <w:sz w:val="24"/>
          <w:shd w:fill="auto" w:val="clear"/>
        </w:rPr>
      </w:pPr>
    </w:p>
    <w:p>
      <w:pPr>
        <w:tabs>
          <w:tab w:val="left" w:pos="2731" w:leader="none"/>
        </w:tabs>
        <w:spacing w:before="0" w:after="0" w:line="240"/>
        <w:ind w:right="0" w:left="-567" w:firstLine="0"/>
        <w:jc w:val="left"/>
        <w:rPr>
          <w:rFonts w:ascii="Calibri" w:hAnsi="Calibri" w:cs="Calibri" w:eastAsia="Calibri"/>
          <w:color w:val="0563C1"/>
          <w:spacing w:val="0"/>
          <w:position w:val="0"/>
          <w:sz w:val="18"/>
          <w:u w:val="single"/>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tabs>
          <w:tab w:val="left" w:pos="2731" w:leader="none"/>
        </w:tabs>
        <w:spacing w:before="0" w:after="0" w:line="240"/>
        <w:ind w:right="0" w:left="-567"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tabs>
          <w:tab w:val="left" w:pos="2731" w:leader="none"/>
        </w:tabs>
        <w:spacing w:before="0" w:after="0" w:line="240"/>
        <w:ind w:right="0" w:left="-567" w:firstLine="0"/>
        <w:jc w:val="left"/>
        <w:rPr>
          <w:rFonts w:ascii="Calibri" w:hAnsi="Calibri" w:cs="Calibri" w:eastAsia="Calibri"/>
          <w:color w:val="auto"/>
          <w:spacing w:val="0"/>
          <w:position w:val="0"/>
          <w:sz w:val="24"/>
          <w:shd w:fill="auto" w:val="clear"/>
        </w:rPr>
      </w:pPr>
    </w:p>
    <w:p>
      <w:pPr>
        <w:tabs>
          <w:tab w:val="left" w:pos="2731" w:leader="none"/>
        </w:tabs>
        <w:spacing w:before="0" w:after="0" w:line="240"/>
        <w:ind w:right="0" w:left="-567" w:firstLine="0"/>
        <w:jc w:val="left"/>
        <w:rPr>
          <w:rFonts w:ascii="Calibri" w:hAnsi="Calibri" w:cs="Calibri" w:eastAsia="Calibri"/>
          <w:color w:val="0563C1"/>
          <w:spacing w:val="0"/>
          <w:position w:val="0"/>
          <w:sz w:val="18"/>
          <w:u w:val="single"/>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num w:numId="35">
    <w:abstractNumId w:val="606"/>
  </w:num>
  <w:num w:numId="43">
    <w:abstractNumId w:val="600"/>
  </w:num>
  <w:num w:numId="46">
    <w:abstractNumId w:val="594"/>
  </w:num>
  <w:num w:numId="52">
    <w:abstractNumId w:val="588"/>
  </w:num>
  <w:num w:numId="62">
    <w:abstractNumId w:val="582"/>
  </w:num>
  <w:num w:numId="64">
    <w:abstractNumId w:val="576"/>
  </w:num>
  <w:num w:numId="66">
    <w:abstractNumId w:val="570"/>
  </w:num>
  <w:num w:numId="68">
    <w:abstractNumId w:val="564"/>
  </w:num>
  <w:num w:numId="71">
    <w:abstractNumId w:val="558"/>
  </w:num>
  <w:num w:numId="73">
    <w:abstractNumId w:val="552"/>
  </w:num>
  <w:num w:numId="76">
    <w:abstractNumId w:val="546"/>
  </w:num>
  <w:num w:numId="87">
    <w:abstractNumId w:val="540"/>
  </w:num>
  <w:num w:numId="89">
    <w:abstractNumId w:val="534"/>
  </w:num>
  <w:num w:numId="91">
    <w:abstractNumId w:val="528"/>
  </w:num>
  <w:num w:numId="93">
    <w:abstractNumId w:val="522"/>
  </w:num>
  <w:num w:numId="95">
    <w:abstractNumId w:val="516"/>
  </w:num>
  <w:num w:numId="97">
    <w:abstractNumId w:val="510"/>
  </w:num>
  <w:num w:numId="99">
    <w:abstractNumId w:val="504"/>
  </w:num>
  <w:num w:numId="110">
    <w:abstractNumId w:val="498"/>
  </w:num>
  <w:num w:numId="113">
    <w:abstractNumId w:val="492"/>
  </w:num>
  <w:num w:numId="115">
    <w:abstractNumId w:val="486"/>
  </w:num>
  <w:num w:numId="117">
    <w:abstractNumId w:val="480"/>
  </w:num>
  <w:num w:numId="120">
    <w:abstractNumId w:val="474"/>
  </w:num>
  <w:num w:numId="122">
    <w:abstractNumId w:val="468"/>
  </w:num>
  <w:num w:numId="124">
    <w:abstractNumId w:val="462"/>
  </w:num>
  <w:num w:numId="126">
    <w:abstractNumId w:val="456"/>
  </w:num>
  <w:num w:numId="129">
    <w:abstractNumId w:val="450"/>
  </w:num>
  <w:num w:numId="131">
    <w:abstractNumId w:val="444"/>
  </w:num>
  <w:num w:numId="133">
    <w:abstractNumId w:val="438"/>
  </w:num>
  <w:num w:numId="136">
    <w:abstractNumId w:val="432"/>
  </w:num>
  <w:num w:numId="139">
    <w:abstractNumId w:val="426"/>
  </w:num>
  <w:num w:numId="144">
    <w:abstractNumId w:val="420"/>
  </w:num>
  <w:num w:numId="149">
    <w:abstractNumId w:val="414"/>
  </w:num>
  <w:num w:numId="151">
    <w:abstractNumId w:val="408"/>
  </w:num>
  <w:num w:numId="153">
    <w:abstractNumId w:val="402"/>
  </w:num>
  <w:num w:numId="155">
    <w:abstractNumId w:val="396"/>
  </w:num>
  <w:num w:numId="157">
    <w:abstractNumId w:val="390"/>
  </w:num>
  <w:num w:numId="161">
    <w:abstractNumId w:val="384"/>
  </w:num>
  <w:num w:numId="163">
    <w:abstractNumId w:val="378"/>
  </w:num>
  <w:num w:numId="165">
    <w:abstractNumId w:val="372"/>
  </w:num>
  <w:num w:numId="167">
    <w:abstractNumId w:val="366"/>
  </w:num>
  <w:num w:numId="170">
    <w:abstractNumId w:val="360"/>
  </w:num>
  <w:num w:numId="173">
    <w:abstractNumId w:val="354"/>
  </w:num>
  <w:num w:numId="176">
    <w:abstractNumId w:val="348"/>
  </w:num>
  <w:num w:numId="179">
    <w:abstractNumId w:val="342"/>
  </w:num>
  <w:num w:numId="181">
    <w:abstractNumId w:val="336"/>
  </w:num>
  <w:num w:numId="184">
    <w:abstractNumId w:val="330"/>
  </w:num>
  <w:num w:numId="186">
    <w:abstractNumId w:val="324"/>
  </w:num>
  <w:num w:numId="189">
    <w:abstractNumId w:val="318"/>
  </w:num>
  <w:num w:numId="191">
    <w:abstractNumId w:val="312"/>
  </w:num>
  <w:num w:numId="193">
    <w:abstractNumId w:val="306"/>
  </w:num>
  <w:num w:numId="219">
    <w:abstractNumId w:val="300"/>
  </w:num>
  <w:num w:numId="223">
    <w:abstractNumId w:val="294"/>
  </w:num>
  <w:num w:numId="230">
    <w:abstractNumId w:val="288"/>
  </w:num>
  <w:num w:numId="233">
    <w:abstractNumId w:val="282"/>
  </w:num>
  <w:num w:numId="236">
    <w:abstractNumId w:val="276"/>
  </w:num>
  <w:num w:numId="241">
    <w:abstractNumId w:val="270"/>
  </w:num>
  <w:num w:numId="243">
    <w:abstractNumId w:val="264"/>
  </w:num>
  <w:num w:numId="245">
    <w:abstractNumId w:val="258"/>
  </w:num>
  <w:num w:numId="248">
    <w:abstractNumId w:val="252"/>
  </w:num>
  <w:num w:numId="251">
    <w:abstractNumId w:val="246"/>
  </w:num>
  <w:num w:numId="255">
    <w:abstractNumId w:val="240"/>
  </w:num>
  <w:num w:numId="261">
    <w:abstractNumId w:val="234"/>
  </w:num>
  <w:num w:numId="263">
    <w:abstractNumId w:val="228"/>
  </w:num>
  <w:num w:numId="265">
    <w:abstractNumId w:val="222"/>
  </w:num>
  <w:num w:numId="267">
    <w:abstractNumId w:val="216"/>
  </w:num>
  <w:num w:numId="269">
    <w:abstractNumId w:val="210"/>
  </w:num>
  <w:num w:numId="271">
    <w:abstractNumId w:val="204"/>
  </w:num>
  <w:num w:numId="273">
    <w:abstractNumId w:val="198"/>
  </w:num>
  <w:num w:numId="276">
    <w:abstractNumId w:val="192"/>
  </w:num>
  <w:num w:numId="278">
    <w:abstractNumId w:val="186"/>
  </w:num>
  <w:num w:numId="280">
    <w:abstractNumId w:val="180"/>
  </w:num>
  <w:num w:numId="324">
    <w:abstractNumId w:val="174"/>
  </w:num>
  <w:num w:numId="327">
    <w:abstractNumId w:val="168"/>
  </w:num>
  <w:num w:numId="334">
    <w:abstractNumId w:val="162"/>
  </w:num>
  <w:num w:numId="342">
    <w:abstractNumId w:val="156"/>
  </w:num>
  <w:num w:numId="345">
    <w:abstractNumId w:val="150"/>
  </w:num>
  <w:num w:numId="348">
    <w:abstractNumId w:val="144"/>
  </w:num>
  <w:num w:numId="351">
    <w:abstractNumId w:val="138"/>
  </w:num>
  <w:num w:numId="354">
    <w:abstractNumId w:val="132"/>
  </w:num>
  <w:num w:numId="358">
    <w:abstractNumId w:val="126"/>
  </w:num>
  <w:num w:numId="362">
    <w:abstractNumId w:val="120"/>
  </w:num>
  <w:num w:numId="433">
    <w:abstractNumId w:val="114"/>
  </w:num>
  <w:num w:numId="850">
    <w:abstractNumId w:val="108"/>
  </w:num>
  <w:num w:numId="852">
    <w:abstractNumId w:val="102"/>
  </w:num>
  <w:num w:numId="854">
    <w:abstractNumId w:val="96"/>
  </w:num>
  <w:num w:numId="856">
    <w:abstractNumId w:val="90"/>
  </w:num>
  <w:num w:numId="858">
    <w:abstractNumId w:val="84"/>
  </w:num>
  <w:num w:numId="860">
    <w:abstractNumId w:val="78"/>
  </w:num>
  <w:num w:numId="862">
    <w:abstractNumId w:val="72"/>
  </w:num>
  <w:num w:numId="864">
    <w:abstractNumId w:val="66"/>
  </w:num>
  <w:num w:numId="867">
    <w:abstractNumId w:val="60"/>
  </w:num>
  <w:num w:numId="869">
    <w:abstractNumId w:val="54"/>
  </w:num>
  <w:num w:numId="871">
    <w:abstractNumId w:val="48"/>
  </w:num>
  <w:num w:numId="873">
    <w:abstractNumId w:val="42"/>
  </w:num>
  <w:num w:numId="875">
    <w:abstractNumId w:val="36"/>
  </w:num>
  <w:num w:numId="877">
    <w:abstractNumId w:val="30"/>
  </w:num>
  <w:num w:numId="879">
    <w:abstractNumId w:val="24"/>
  </w:num>
  <w:num w:numId="881">
    <w:abstractNumId w:val="18"/>
  </w:num>
  <w:num w:numId="883">
    <w:abstractNumId w:val="12"/>
  </w:num>
  <w:num w:numId="885">
    <w:abstractNumId w:val="6"/>
  </w:num>
  <w:num w:numId="88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35.bin" Id="docRId103" Type="http://schemas.openxmlformats.org/officeDocument/2006/relationships/oleObject"/><Relationship TargetMode="External" Target="https://www.indec.gob.ar/indec/web/Nivel3-Tema-4-26#:~:text=En%20el%20cuarto%20trimestre%20de,sea%20red%20fija%20o%20m%C3%B3vil" Id="docRId88" Type="http://schemas.openxmlformats.org/officeDocument/2006/relationships/hyperlink"/><Relationship TargetMode="External" Target="https://www.infobae.com/economia/2023/08/13/con-que-economia-llega-la-argentina-a-las-elecciones-primarias-2023/" Id="docRId90" Type="http://schemas.openxmlformats.org/officeDocument/2006/relationships/hyperlink"/><Relationship Target="embeddings/oleObject6.bin" Id="docRId14" Type="http://schemas.openxmlformats.org/officeDocument/2006/relationships/oleObject"/><Relationship TargetMode="External" Target="https://www.bloomberglinea.com/2022/10/21/asi-funciona-sira-el-regimen-importador-para-que-salgan-menos-dolares-de-argentina/" Id="docRId75" Type="http://schemas.openxmlformats.org/officeDocument/2006/relationships/hyperlink"/><Relationship TargetMode="External" Target="https://es.statista.com/estadisticas/1218855/numero-de-usuarios-de-redes-sociales-argentina/#:~:text=En%20Argentina%2C%20por%20ejemplo%2C%20casi,usuarios%20alcance%20los%2040%20millones" Id="docRId99" Type="http://schemas.openxmlformats.org/officeDocument/2006/relationships/hyperlink"/><Relationship Target="embeddings/oleObject40.bin" Id="docRId113" Type="http://schemas.openxmlformats.org/officeDocument/2006/relationships/oleObject"/><Relationship Target="media/image32.wmf" Id="docRId69" Type="http://schemas.openxmlformats.org/officeDocument/2006/relationships/image"/><Relationship Target="embeddings/oleObject16.bin" Id="docRId36" Type="http://schemas.openxmlformats.org/officeDocument/2006/relationships/oleObject"/><Relationship Target="media/image24.wmf" Id="docRId53" Type="http://schemas.openxmlformats.org/officeDocument/2006/relationships/image"/><Relationship Target="embeddings/oleObject28.bin" Id="docRId60" Type="http://schemas.openxmlformats.org/officeDocument/2006/relationships/oleObject"/><Relationship Target="embeddings/oleObject37.bin" Id="docRId107" Type="http://schemas.openxmlformats.org/officeDocument/2006/relationships/oleObject"/><Relationship Target="media/image5.wmf" Id="docRId13" Type="http://schemas.openxmlformats.org/officeDocument/2006/relationships/image"/><Relationship Target="media/image8.wmf" Id="docRId20" Type="http://schemas.openxmlformats.org/officeDocument/2006/relationships/image"/><Relationship Target="embeddings/oleObject27.bin" Id="docRId58" Type="http://schemas.openxmlformats.org/officeDocument/2006/relationships/oleObject"/><Relationship TargetMode="External" Target="https://www.bcra.gob.ar/PublicacionesEstadisticas/Principales_variables.asp" Id="docRId78" Type="http://schemas.openxmlformats.org/officeDocument/2006/relationships/hyperlink"/><Relationship TargetMode="External" Target="https://www.scidev.net/america-latina/scidev-net-reportaje/america-latina-la-inflacion-esta-desinflando-a-la-ciencia/" Id="docRId94" Type="http://schemas.openxmlformats.org/officeDocument/2006/relationships/hyperlink"/><Relationship Target="embeddings/oleObject1.bin" Id="docRId2" Type="http://schemas.openxmlformats.org/officeDocument/2006/relationships/oleObject"/><Relationship Target="media/image33.wmf" Id="docRId71" Type="http://schemas.openxmlformats.org/officeDocument/2006/relationships/image"/><Relationship Target="numbering.xml" Id="docRId117" Type="http://schemas.openxmlformats.org/officeDocument/2006/relationships/numbering"/><Relationship Target="media/image13.wmf" Id="docRId31" Type="http://schemas.openxmlformats.org/officeDocument/2006/relationships/image"/><Relationship Target="embeddings/oleObject19.bin" Id="docRId42" Type="http://schemas.openxmlformats.org/officeDocument/2006/relationships/oleObject"/><Relationship Target="embeddings/oleObject26.bin" Id="docRId56" Type="http://schemas.openxmlformats.org/officeDocument/2006/relationships/oleObject"/><Relationship Target="media/image30.wmf" Id="docRId65" Type="http://schemas.openxmlformats.org/officeDocument/2006/relationships/image"/><Relationship TargetMode="External" Target="https://agencia.fapesp.br/pesquisador-do-icb-usp-lanca-plataforma-de-compartilhamento-de-reagentes/31529#.XYnGg0obTTo.whatsapp" Id="docRId86" Type="http://schemas.openxmlformats.org/officeDocument/2006/relationships/hyperlink"/><Relationship TargetMode="External" Target="https://www.lanacion.com.ar/economia/empleos/los-costos-laborales-de-la-argentina-son-los-mas-altos-de-la-region-nid1974055/" Id="docRId102" Type="http://schemas.openxmlformats.org/officeDocument/2006/relationships/hyperlink"/><Relationship TargetMode="External" Target="https://www.indec.gob.ar/indec/web/Nivel3-Tema-4-26#:~:text=En%20el%20cuarto%20trimestre%20de,sea%20red%20fija%20o%20m%C3%B3vil" Id="docRId89" Type="http://schemas.openxmlformats.org/officeDocument/2006/relationships/hyperlink"/><Relationship TargetMode="External" Target="https://labnetwork.com.br/noticias/plataforma-conecta-cientistas-para-doacao-de-reagentes/" Id="docRId93" Type="http://schemas.openxmlformats.org/officeDocument/2006/relationships/hyperlink"/><Relationship Target="embeddings/oleObject7.bin" Id="docRId17" Type="http://schemas.openxmlformats.org/officeDocument/2006/relationships/oleObject"/><Relationship Target="media/image10.wmf" Id="docRId24" Type="http://schemas.openxmlformats.org/officeDocument/2006/relationships/image"/><Relationship TargetMode="External" Target="https://www.altillo.com/universidades/universidades_arg.asp" Id="docRId74" Type="http://schemas.openxmlformats.org/officeDocument/2006/relationships/hyperlink"/><Relationship TargetMode="External" Target="https://www.socialab.com.br/" Id="docRId98" Type="http://schemas.openxmlformats.org/officeDocument/2006/relationships/hyperlink"/><Relationship TargetMode="External" Target="https://www.datos.gob.ar/series/api" Id="docRId6" Type="http://schemas.openxmlformats.org/officeDocument/2006/relationships/hyperlink"/><Relationship Target="media/image15.wmf" Id="docRId35" Type="http://schemas.openxmlformats.org/officeDocument/2006/relationships/image"/><Relationship Target="embeddings/oleObject21.bin" Id="docRId46" Type="http://schemas.openxmlformats.org/officeDocument/2006/relationships/oleObject"/><Relationship Target="embeddings/oleObject24.bin" Id="docRId52" Type="http://schemas.openxmlformats.org/officeDocument/2006/relationships/oleObject"/><Relationship Target="media/image28.wmf" Id="docRId61" Type="http://schemas.openxmlformats.org/officeDocument/2006/relationships/image"/><Relationship TargetMode="External" Target="https://fourweekmba.com/c2c-business-model/" Id="docRId82" Type="http://schemas.openxmlformats.org/officeDocument/2006/relationships/hyperlink"/><Relationship Target="media/image36.wmf" Id="docRId106" Type="http://schemas.openxmlformats.org/officeDocument/2006/relationships/image"/><Relationship Target="embeddings/oleObject5.bin" Id="docRId12" Type="http://schemas.openxmlformats.org/officeDocument/2006/relationships/oleObject"/><Relationship Target="embeddings/oleObject9.bin" Id="docRId21" Type="http://schemas.openxmlformats.org/officeDocument/2006/relationships/oleObject"/><Relationship Target="media/image3.wmf" Id="docRId8" Type="http://schemas.openxmlformats.org/officeDocument/2006/relationships/image"/><Relationship TargetMode="External" Target="https://marketing4ecommerce.net/radiografia-del-ecommerce-en-argentina-uno-de-los-mercados-mas-fuertes-de-sudamerica/" Id="docRId97" Type="http://schemas.openxmlformats.org/officeDocument/2006/relationships/hyperlink"/><Relationship Target="embeddings/oleObject12.bin" Id="docRId28" Type="http://schemas.openxmlformats.org/officeDocument/2006/relationships/oleObject"/><Relationship Target="media/image1.wmf" Id="docRId3" Type="http://schemas.openxmlformats.org/officeDocument/2006/relationships/image"/><Relationship Target="embeddings/oleObject22.bin" Id="docRId48" Type="http://schemas.openxmlformats.org/officeDocument/2006/relationships/oleObject"/><Relationship Target="embeddings/oleObject33.bin" Id="docRId70" Type="http://schemas.openxmlformats.org/officeDocument/2006/relationships/oleObject"/><Relationship Target="media/image38.wmf" Id="docRId110" Type="http://schemas.openxmlformats.org/officeDocument/2006/relationships/image"/><Relationship Target="embeddings/oleObject13.bin" Id="docRId30" Type="http://schemas.openxmlformats.org/officeDocument/2006/relationships/oleObject"/><Relationship Target="media/image19.wmf" Id="docRId43" Type="http://schemas.openxmlformats.org/officeDocument/2006/relationships/image"/><Relationship Target="embeddings/oleObject31.bin" Id="docRId66" Type="http://schemas.openxmlformats.org/officeDocument/2006/relationships/oleObject"/><Relationship TargetMode="External" Target="https://www4.hcdn.gob.ar/dependencias/dsecretaria/Periodo2023/PDF2023/TP2023/0145-D-2023.pdf" Id="docRId87" Type="http://schemas.openxmlformats.org/officeDocument/2006/relationships/hyperlink"/><Relationship TargetMode="External" Target="https://www.lanacion.com.ar/economia/empleos/los-costos-laborales-de-la-argentina-son-los-mas-altos-de-la-region-nid1974055/" Id="docRId101" Type="http://schemas.openxmlformats.org/officeDocument/2006/relationships/hyperlink"/><Relationship Target="embeddings/oleObject8.bin" Id="docRId19" Type="http://schemas.openxmlformats.org/officeDocument/2006/relationships/oleObject"/><Relationship Target="media/image17.wmf" Id="docRId39" Type="http://schemas.openxmlformats.org/officeDocument/2006/relationships/image"/><Relationship Target="media/image2.wmf" Id="docRId5" Type="http://schemas.openxmlformats.org/officeDocument/2006/relationships/image"/><Relationship Target="embeddings/oleObject34.bin" Id="docRId72" Type="http://schemas.openxmlformats.org/officeDocument/2006/relationships/oleObject"/><Relationship TargetMode="External" Target="https://www.iprofesional.com/economia/382598-alerta-entre-empresas-por-falta-de-dolares-cuanta-plata-deben" Id="docRId92" Type="http://schemas.openxmlformats.org/officeDocument/2006/relationships/hyperlink"/><Relationship Target="media/image41.wmf" Id="docRId116" Type="http://schemas.openxmlformats.org/officeDocument/2006/relationships/image"/><Relationship TargetMode="External" Target="https://fourweekmba.com/peer-to-peer-economy/" Id="docRId16" Type="http://schemas.openxmlformats.org/officeDocument/2006/relationships/hyperlink"/><Relationship Target="embeddings/oleObject11.bin" Id="docRId25" Type="http://schemas.openxmlformats.org/officeDocument/2006/relationships/oleObject"/><Relationship Target="embeddings/oleObject14.bin" Id="docRId32" Type="http://schemas.openxmlformats.org/officeDocument/2006/relationships/oleObject"/><Relationship Target="media/image20.wmf" Id="docRId45" Type="http://schemas.openxmlformats.org/officeDocument/2006/relationships/image"/><Relationship Target="media/image26.wmf" Id="docRId57" Type="http://schemas.openxmlformats.org/officeDocument/2006/relationships/image"/><Relationship Target="embeddings/oleObject30.bin" Id="docRId64" Type="http://schemas.openxmlformats.org/officeDocument/2006/relationships/oleObject"/><Relationship TargetMode="External" Target="https://cifras.conicet.gov.ar/publica/detalle-tags/21" Id="docRId81" Type="http://schemas.openxmlformats.org/officeDocument/2006/relationships/hyperlink"/><Relationship Target="embeddings/oleObject3.bin" Id="docRId7" Type="http://schemas.openxmlformats.org/officeDocument/2006/relationships/oleObject"/><Relationship Target="media/image40.wmf" Id="docRId114" Type="http://schemas.openxmlformats.org/officeDocument/2006/relationships/image"/><Relationship Target="embeddings/oleObject15.bin" Id="docRId34" Type="http://schemas.openxmlformats.org/officeDocument/2006/relationships/oleObject"/><Relationship Target="media/image21.wmf" Id="docRId47" Type="http://schemas.openxmlformats.org/officeDocument/2006/relationships/image"/><Relationship Target="media/image25.wmf" Id="docRId55" Type="http://schemas.openxmlformats.org/officeDocument/2006/relationships/image"/><Relationship Target="embeddings/oleObject29.bin" Id="docRId62" Type="http://schemas.openxmlformats.org/officeDocument/2006/relationships/oleObject"/><Relationship TargetMode="External" Target="https://fourweekmba.com/peer-to-peer-economy/" Id="docRId83" Type="http://schemas.openxmlformats.org/officeDocument/2006/relationships/hyperlink"/><Relationship Target="embeddings/oleObject36.bin" Id="docRId105" Type="http://schemas.openxmlformats.org/officeDocument/2006/relationships/oleObject"/><Relationship Target="media/image9.wmf" Id="docRId22" Type="http://schemas.openxmlformats.org/officeDocument/2006/relationships/image"/><Relationship TargetMode="External" Target="https://www.datos.gob.ar/series/api" Id="docRId9" Type="http://schemas.openxmlformats.org/officeDocument/2006/relationships/hyperlink"/><Relationship TargetMode="External" Target="https://www.lanacion.com.ar/opinion/es-realmente-alta-la-presion-impositiva-en-argentina-nid22032023/" Id="docRId96" Type="http://schemas.openxmlformats.org/officeDocument/2006/relationships/hyperlink"/><Relationship Target="embeddings/oleObject0.bin" Id="docRId0" Type="http://schemas.openxmlformats.org/officeDocument/2006/relationships/oleObject"/><Relationship Target="media/image12.wmf" Id="docRId29" Type="http://schemas.openxmlformats.org/officeDocument/2006/relationships/image"/><Relationship Target="media/image22.wmf" Id="docRId49" Type="http://schemas.openxmlformats.org/officeDocument/2006/relationships/image"/><Relationship TargetMode="External" Target="https://marketing4ecommerce.net/radiografia-del-ecommerce-en-argentina-uno-de-los-mercados-mas-fuertes-de-sudamerica/" Id="docRId77" Type="http://schemas.openxmlformats.org/officeDocument/2006/relationships/hyperlink"/><Relationship Target="embeddings/oleObject39.bin" Id="docRId111" Type="http://schemas.openxmlformats.org/officeDocument/2006/relationships/oleObject"/><Relationship Target="embeddings/oleObject18.bin" Id="docRId40" Type="http://schemas.openxmlformats.org/officeDocument/2006/relationships/oleObject"/><Relationship Target="media/image31.wmf" Id="docRId67" Type="http://schemas.openxmlformats.org/officeDocument/2006/relationships/image"/><Relationship TargetMode="External" Target="https://www.enacom.gob.ar/institucional/llega-wifi-6-a-la-argentina--una-tecnologia-que-garantizara-hogares-mas-y-mejor-conectados_n4379" Id="docRId84" Type="http://schemas.openxmlformats.org/officeDocument/2006/relationships/hyperlink"/><Relationship TargetMode="External" Target="https://es.statista.com/estadisticas/1218855/numero-de-usuarios-de-redes-sociales-argentina/#:~:text=En%20Argentina%2C%20por%20ejemplo%2C%20casi,usuarios%20alcance%20los%2040%20millones" Id="docRId100" Type="http://schemas.openxmlformats.org/officeDocument/2006/relationships/hyperlink"/><Relationship Target="styles.xml" Id="docRId118" Type="http://schemas.openxmlformats.org/officeDocument/2006/relationships/styles"/><Relationship Target="media/image7.wmf" Id="docRId18" Type="http://schemas.openxmlformats.org/officeDocument/2006/relationships/image"/><Relationship Target="embeddings/oleObject17.bin" Id="docRId38" Type="http://schemas.openxmlformats.org/officeDocument/2006/relationships/oleObject"/><Relationship Target="media/image23.wmf" Id="docRId51" Type="http://schemas.openxmlformats.org/officeDocument/2006/relationships/image"/><Relationship Target="embeddings/oleObject38.bin" Id="docRId109" Type="http://schemas.openxmlformats.org/officeDocument/2006/relationships/oleObject"/><Relationship Target="media/image4.wmf" Id="docRId11" Type="http://schemas.openxmlformats.org/officeDocument/2006/relationships/image"/><Relationship Target="media/image11.wmf" Id="docRId26" Type="http://schemas.openxmlformats.org/officeDocument/2006/relationships/image"/><Relationship Target="embeddings/oleObject2.bin" Id="docRId4" Type="http://schemas.openxmlformats.org/officeDocument/2006/relationships/oleObject"/><Relationship Target="media/image34.wmf" Id="docRId73" Type="http://schemas.openxmlformats.org/officeDocument/2006/relationships/image"/><Relationship Target="embeddings/oleObject41.bin" Id="docRId115" Type="http://schemas.openxmlformats.org/officeDocument/2006/relationships/oleObject"/><Relationship Target="media/image14.wmf" Id="docRId33" Type="http://schemas.openxmlformats.org/officeDocument/2006/relationships/image"/><Relationship Target="embeddings/oleObject20.bin" Id="docRId44" Type="http://schemas.openxmlformats.org/officeDocument/2006/relationships/oleObject"/><Relationship Target="embeddings/oleObject25.bin" Id="docRId54" Type="http://schemas.openxmlformats.org/officeDocument/2006/relationships/oleObject"/><Relationship Target="media/image29.wmf" Id="docRId63" Type="http://schemas.openxmlformats.org/officeDocument/2006/relationships/image"/><Relationship TargetMode="External" Target="https://cifras.conicet.gov.ar/publica/grafico/show-publico/752" Id="docRId80" Type="http://schemas.openxmlformats.org/officeDocument/2006/relationships/hyperlink"/><Relationship Target="media/image35.wmf" Id="docRId104" Type="http://schemas.openxmlformats.org/officeDocument/2006/relationships/image"/><Relationship Target="embeddings/oleObject10.bin" Id="docRId23" Type="http://schemas.openxmlformats.org/officeDocument/2006/relationships/oleObject"/><Relationship TargetMode="External" Target="https://cace.org.ar/estadisticas/" Id="docRId91" Type="http://schemas.openxmlformats.org/officeDocument/2006/relationships/hyperlink"/><Relationship Target="media/image0.wmf" Id="docRId1" Type="http://schemas.openxmlformats.org/officeDocument/2006/relationships/image"/><Relationship Target="media/image6.wmf" Id="docRId15" Type="http://schemas.openxmlformats.org/officeDocument/2006/relationships/image"/><Relationship TargetMode="External" Target="https://www.scidev.net/america-latina/news/devaluacion-e-inflacion-ahogan-a-ciencia-argentina/" Id="docRId76" Type="http://schemas.openxmlformats.org/officeDocument/2006/relationships/hyperlink"/><Relationship Target="media/image39.wmf" Id="docRId112" Type="http://schemas.openxmlformats.org/officeDocument/2006/relationships/image"/><Relationship Target="media/image18.wmf" Id="docRId41" Type="http://schemas.openxmlformats.org/officeDocument/2006/relationships/image"/><Relationship Target="embeddings/oleObject32.bin" Id="docRId68" Type="http://schemas.openxmlformats.org/officeDocument/2006/relationships/oleObject"/><Relationship TargetMode="External" Target="https://www.enacom.gob.ar/institucional/llega-wifi-6-a-la-argentina--una-tecnologia-que-garantizara-hogares-mas-y-mejor-conectados_n4379" Id="docRId85" Type="http://schemas.openxmlformats.org/officeDocument/2006/relationships/hyperlink"/><Relationship Target="media/image16.wmf" Id="docRId37" Type="http://schemas.openxmlformats.org/officeDocument/2006/relationships/image"/><Relationship Target="embeddings/oleObject23.bin" Id="docRId50" Type="http://schemas.openxmlformats.org/officeDocument/2006/relationships/oleObject"/><Relationship Target="embeddings/oleObject4.bin" Id="docRId10" Type="http://schemas.openxmlformats.org/officeDocument/2006/relationships/oleObject"/><Relationship Target="media/image37.wmf" Id="docRId108" Type="http://schemas.openxmlformats.org/officeDocument/2006/relationships/image"/><Relationship TargetMode="External" Target="https://fishmyspot.com/" Id="docRId27" Type="http://schemas.openxmlformats.org/officeDocument/2006/relationships/hyperlink"/><Relationship Target="media/image27.wmf" Id="docRId59" Type="http://schemas.openxmlformats.org/officeDocument/2006/relationships/image"/><Relationship TargetMode="External" Target="https://cifras.conicet.gov.ar/publica/grafico/show-publico/752" Id="docRId79" Type="http://schemas.openxmlformats.org/officeDocument/2006/relationships/hyperlink"/><Relationship TargetMode="External" Target="https://www.lanacion.com.ar/opinion/es-realmente-alta-la-presion-impositiva-en-argentina-nid22032023/" Id="docRId95" Type="http://schemas.openxmlformats.org/officeDocument/2006/relationships/hyperlink"/></Relationships>
</file>