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72A6659" w14:textId="77777777" w:rsidR="0035403C" w:rsidRDefault="0035403C">
      <w:pPr>
        <w:spacing w:line="276" w:lineRule="auto"/>
        <w:ind w:left="-2127" w:right="-3542"/>
        <w:jc w:val="both"/>
        <w:rPr>
          <w:rFonts w:ascii="Arial" w:eastAsia="Arial" w:hAnsi="Arial" w:cs="Arial"/>
          <w:b/>
        </w:rPr>
      </w:pPr>
    </w:p>
    <w:p w14:paraId="0A37501D" w14:textId="77777777" w:rsidR="0035403C" w:rsidRDefault="0035403C">
      <w:pPr>
        <w:spacing w:line="276" w:lineRule="auto"/>
        <w:jc w:val="both"/>
        <w:rPr>
          <w:rFonts w:ascii="Arial" w:eastAsia="Arial" w:hAnsi="Arial" w:cs="Arial"/>
          <w:b/>
        </w:rPr>
      </w:pPr>
    </w:p>
    <w:p w14:paraId="29EF7B7E" w14:textId="77777777" w:rsidR="0035403C" w:rsidRDefault="00D02C31">
      <w:pPr>
        <w:spacing w:line="276" w:lineRule="auto"/>
        <w:jc w:val="both"/>
        <w:rPr>
          <w:rFonts w:ascii="Arial" w:eastAsia="Arial" w:hAnsi="Arial" w:cs="Arial"/>
          <w:b/>
        </w:rPr>
      </w:pPr>
      <w:r>
        <w:rPr>
          <w:rFonts w:ascii="Arial" w:eastAsia="Arial" w:hAnsi="Arial" w:cs="Arial"/>
          <w:b/>
          <w:noProof/>
          <w:lang w:eastAsia="es-AR"/>
        </w:rPr>
        <w:drawing>
          <wp:anchor distT="0" distB="0" distL="114300" distR="114300" simplePos="0" relativeHeight="251658240" behindDoc="0" locked="0" layoutInCell="1" hidden="0" allowOverlap="1" wp14:anchorId="017E0084" wp14:editId="07777777">
            <wp:simplePos x="0" y="0"/>
            <wp:positionH relativeFrom="margin">
              <wp:align>center</wp:align>
            </wp:positionH>
            <wp:positionV relativeFrom="margin">
              <wp:posOffset>415925</wp:posOffset>
            </wp:positionV>
            <wp:extent cx="1028700" cy="1028700"/>
            <wp:effectExtent l="0" t="0" r="0" b="0"/>
            <wp:wrapSquare wrapText="bothSides" distT="0" distB="0" distL="114300" distR="114300"/>
            <wp:docPr id="15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9"/>
                    <a:srcRect/>
                    <a:stretch>
                      <a:fillRect/>
                    </a:stretch>
                  </pic:blipFill>
                  <pic:spPr>
                    <a:xfrm>
                      <a:off x="0" y="0"/>
                      <a:ext cx="1028700" cy="1028700"/>
                    </a:xfrm>
                    <a:prstGeom prst="rect">
                      <a:avLst/>
                    </a:prstGeom>
                    <a:ln/>
                  </pic:spPr>
                </pic:pic>
              </a:graphicData>
            </a:graphic>
          </wp:anchor>
        </w:drawing>
      </w:r>
    </w:p>
    <w:p w14:paraId="5DAB6C7B" w14:textId="77777777" w:rsidR="0035403C" w:rsidRDefault="0035403C">
      <w:pPr>
        <w:spacing w:line="276" w:lineRule="auto"/>
        <w:jc w:val="both"/>
        <w:rPr>
          <w:rFonts w:ascii="Arial" w:eastAsia="Arial" w:hAnsi="Arial" w:cs="Arial"/>
          <w:b/>
        </w:rPr>
      </w:pPr>
    </w:p>
    <w:p w14:paraId="02EB378F" w14:textId="77777777" w:rsidR="0035403C" w:rsidRDefault="0035403C">
      <w:pPr>
        <w:spacing w:line="276" w:lineRule="auto"/>
        <w:jc w:val="both"/>
      </w:pPr>
    </w:p>
    <w:p w14:paraId="6A05A809" w14:textId="77777777" w:rsidR="0035403C" w:rsidRDefault="0035403C">
      <w:pPr>
        <w:spacing w:line="276" w:lineRule="auto"/>
        <w:jc w:val="both"/>
        <w:rPr>
          <w:rFonts w:ascii="Arial" w:eastAsia="Arial" w:hAnsi="Arial" w:cs="Arial"/>
          <w:b/>
          <w:sz w:val="28"/>
          <w:szCs w:val="28"/>
        </w:rPr>
      </w:pPr>
    </w:p>
    <w:p w14:paraId="5A39BBE3" w14:textId="77777777" w:rsidR="0035403C" w:rsidRDefault="0035403C">
      <w:pPr>
        <w:tabs>
          <w:tab w:val="center" w:pos="4320"/>
          <w:tab w:val="left" w:pos="6880"/>
        </w:tabs>
        <w:spacing w:line="276" w:lineRule="auto"/>
        <w:jc w:val="both"/>
        <w:rPr>
          <w:rFonts w:ascii="Arial" w:eastAsia="Arial" w:hAnsi="Arial" w:cs="Arial"/>
          <w:b/>
          <w:sz w:val="28"/>
          <w:szCs w:val="28"/>
        </w:rPr>
      </w:pPr>
    </w:p>
    <w:p w14:paraId="41C8F396" w14:textId="77777777" w:rsidR="0035403C" w:rsidRDefault="0035403C">
      <w:pPr>
        <w:tabs>
          <w:tab w:val="center" w:pos="4320"/>
          <w:tab w:val="left" w:pos="6880"/>
        </w:tabs>
        <w:spacing w:line="276" w:lineRule="auto"/>
        <w:jc w:val="both"/>
        <w:rPr>
          <w:rFonts w:ascii="Arial" w:eastAsia="Arial" w:hAnsi="Arial" w:cs="Arial"/>
          <w:b/>
          <w:sz w:val="28"/>
          <w:szCs w:val="28"/>
        </w:rPr>
      </w:pPr>
    </w:p>
    <w:p w14:paraId="72A3D3EC" w14:textId="77777777" w:rsidR="0035403C" w:rsidRDefault="0035403C">
      <w:pPr>
        <w:tabs>
          <w:tab w:val="center" w:pos="4320"/>
          <w:tab w:val="left" w:pos="6880"/>
        </w:tabs>
        <w:spacing w:line="276" w:lineRule="auto"/>
        <w:jc w:val="both"/>
        <w:rPr>
          <w:rFonts w:ascii="Arial" w:eastAsia="Arial" w:hAnsi="Arial" w:cs="Arial"/>
          <w:b/>
          <w:sz w:val="28"/>
          <w:szCs w:val="28"/>
        </w:rPr>
      </w:pPr>
    </w:p>
    <w:p w14:paraId="0D0B940D" w14:textId="77777777" w:rsidR="0035403C" w:rsidRDefault="0035403C">
      <w:pPr>
        <w:tabs>
          <w:tab w:val="center" w:pos="4320"/>
          <w:tab w:val="left" w:pos="6880"/>
        </w:tabs>
        <w:spacing w:line="276" w:lineRule="auto"/>
        <w:jc w:val="both"/>
        <w:rPr>
          <w:rFonts w:ascii="Arial" w:eastAsia="Arial" w:hAnsi="Arial" w:cs="Arial"/>
          <w:b/>
          <w:sz w:val="28"/>
          <w:szCs w:val="28"/>
        </w:rPr>
      </w:pPr>
    </w:p>
    <w:p w14:paraId="63624FBC" w14:textId="77777777" w:rsidR="0035403C" w:rsidRDefault="00D02C31">
      <w:pPr>
        <w:tabs>
          <w:tab w:val="center" w:pos="4320"/>
          <w:tab w:val="left" w:pos="6880"/>
        </w:tabs>
        <w:spacing w:line="276" w:lineRule="auto"/>
        <w:jc w:val="center"/>
        <w:rPr>
          <w:b/>
          <w:sz w:val="28"/>
          <w:szCs w:val="28"/>
        </w:rPr>
      </w:pPr>
      <w:r>
        <w:rPr>
          <w:b/>
          <w:sz w:val="28"/>
          <w:szCs w:val="28"/>
        </w:rPr>
        <w:t>Universidad de Palermo</w:t>
      </w:r>
    </w:p>
    <w:p w14:paraId="0315CF0B" w14:textId="77777777" w:rsidR="0035403C" w:rsidRDefault="00D02C31" w:rsidP="0FE4D5DF">
      <w:pPr>
        <w:tabs>
          <w:tab w:val="center" w:pos="4320"/>
          <w:tab w:val="left" w:pos="6880"/>
        </w:tabs>
        <w:spacing w:line="276" w:lineRule="auto"/>
        <w:jc w:val="center"/>
        <w:rPr>
          <w:b/>
          <w:bCs/>
          <w:sz w:val="28"/>
          <w:szCs w:val="28"/>
          <w:lang w:val="en-US"/>
        </w:rPr>
      </w:pPr>
      <w:r w:rsidRPr="0FE4D5DF">
        <w:rPr>
          <w:b/>
          <w:bCs/>
          <w:sz w:val="28"/>
          <w:szCs w:val="28"/>
          <w:lang w:val="en-US"/>
        </w:rPr>
        <w:t>Máster en dirección de empresas</w:t>
      </w:r>
    </w:p>
    <w:p w14:paraId="0E27B00A" w14:textId="77777777" w:rsidR="0035403C" w:rsidRDefault="0035403C">
      <w:pPr>
        <w:spacing w:line="276" w:lineRule="auto"/>
        <w:rPr>
          <w:b/>
          <w:sz w:val="28"/>
          <w:szCs w:val="28"/>
        </w:rPr>
      </w:pPr>
    </w:p>
    <w:p w14:paraId="41F3E6E8" w14:textId="77777777" w:rsidR="0035403C" w:rsidRDefault="00D02C31" w:rsidP="0FE4D5DF">
      <w:pPr>
        <w:spacing w:line="276" w:lineRule="auto"/>
        <w:jc w:val="center"/>
        <w:rPr>
          <w:b/>
          <w:bCs/>
          <w:sz w:val="28"/>
          <w:szCs w:val="28"/>
          <w:lang w:val="en-US"/>
        </w:rPr>
      </w:pPr>
      <w:r w:rsidRPr="0FE4D5DF">
        <w:rPr>
          <w:b/>
          <w:bCs/>
          <w:sz w:val="28"/>
          <w:szCs w:val="28"/>
          <w:lang w:val="en-US"/>
        </w:rPr>
        <w:t>Proyecto para optar al grado Máster en Dirección de Empresas</w:t>
      </w:r>
    </w:p>
    <w:p w14:paraId="60061E4C" w14:textId="77777777" w:rsidR="0035403C" w:rsidRDefault="0035403C">
      <w:pPr>
        <w:pBdr>
          <w:top w:val="nil"/>
          <w:left w:val="nil"/>
          <w:bottom w:val="nil"/>
          <w:right w:val="nil"/>
          <w:between w:val="nil"/>
        </w:pBdr>
        <w:spacing w:line="276" w:lineRule="auto"/>
        <w:jc w:val="center"/>
        <w:rPr>
          <w:b/>
          <w:color w:val="000000"/>
          <w:sz w:val="28"/>
          <w:szCs w:val="28"/>
        </w:rPr>
      </w:pPr>
    </w:p>
    <w:p w14:paraId="44EAFD9C" w14:textId="77777777" w:rsidR="0035403C" w:rsidRDefault="0035403C">
      <w:pPr>
        <w:spacing w:line="276" w:lineRule="auto"/>
        <w:jc w:val="center"/>
        <w:rPr>
          <w:b/>
          <w:color w:val="1F497D"/>
          <w:sz w:val="28"/>
          <w:szCs w:val="28"/>
        </w:rPr>
      </w:pPr>
    </w:p>
    <w:p w14:paraId="65F36984" w14:textId="77777777" w:rsidR="0035403C" w:rsidRDefault="00D02C31" w:rsidP="0FE4D5DF">
      <w:pPr>
        <w:spacing w:line="276" w:lineRule="auto"/>
        <w:jc w:val="center"/>
        <w:rPr>
          <w:b/>
          <w:bCs/>
          <w:i/>
          <w:iCs/>
          <w:sz w:val="28"/>
          <w:szCs w:val="28"/>
          <w:lang w:val="en-US"/>
        </w:rPr>
      </w:pPr>
      <w:r w:rsidRPr="0FE4D5DF">
        <w:rPr>
          <w:b/>
          <w:bCs/>
          <w:i/>
          <w:iCs/>
          <w:sz w:val="28"/>
          <w:szCs w:val="28"/>
          <w:lang w:val="en-US"/>
        </w:rPr>
        <w:t xml:space="preserve">“Investigación y propuesta de </w:t>
      </w:r>
      <w:bookmarkStart w:id="0" w:name="_GoBack"/>
      <w:r w:rsidRPr="0FE4D5DF">
        <w:rPr>
          <w:b/>
          <w:bCs/>
          <w:i/>
          <w:iCs/>
          <w:sz w:val="28"/>
          <w:szCs w:val="28"/>
          <w:lang w:val="en-US"/>
        </w:rPr>
        <w:t xml:space="preserve">mejora mediante la reingeniería del sistema de medios de pago online de la compensadora electrónica </w:t>
      </w:r>
      <w:proofErr w:type="gramStart"/>
      <w:r w:rsidRPr="0FE4D5DF">
        <w:rPr>
          <w:b/>
          <w:bCs/>
          <w:i/>
          <w:iCs/>
          <w:sz w:val="28"/>
          <w:szCs w:val="28"/>
          <w:lang w:val="en-US"/>
        </w:rPr>
        <w:t>Argentina(</w:t>
      </w:r>
      <w:proofErr w:type="gramEnd"/>
      <w:r w:rsidRPr="0FE4D5DF">
        <w:rPr>
          <w:b/>
          <w:bCs/>
          <w:i/>
          <w:iCs/>
          <w:sz w:val="28"/>
          <w:szCs w:val="28"/>
          <w:lang w:val="en-US"/>
        </w:rPr>
        <w:t>COELSA S.A.)</w:t>
      </w:r>
      <w:bookmarkEnd w:id="0"/>
      <w:r w:rsidRPr="0FE4D5DF">
        <w:rPr>
          <w:b/>
          <w:bCs/>
          <w:i/>
          <w:iCs/>
          <w:sz w:val="28"/>
          <w:szCs w:val="28"/>
          <w:lang w:val="en-US"/>
        </w:rPr>
        <w:t>”</w:t>
      </w:r>
    </w:p>
    <w:p w14:paraId="4B94D5A5" w14:textId="77777777" w:rsidR="0035403C" w:rsidRDefault="0035403C">
      <w:pPr>
        <w:spacing w:line="276" w:lineRule="auto"/>
        <w:jc w:val="both"/>
        <w:rPr>
          <w:b/>
          <w:sz w:val="28"/>
          <w:szCs w:val="28"/>
          <w:u w:val="single"/>
        </w:rPr>
      </w:pPr>
    </w:p>
    <w:p w14:paraId="3DEEC669" w14:textId="77777777" w:rsidR="0035403C" w:rsidRDefault="0035403C">
      <w:pPr>
        <w:pBdr>
          <w:top w:val="nil"/>
          <w:left w:val="nil"/>
          <w:bottom w:val="nil"/>
          <w:right w:val="nil"/>
          <w:between w:val="nil"/>
        </w:pBdr>
        <w:spacing w:line="276" w:lineRule="auto"/>
        <w:ind w:left="-2127"/>
        <w:jc w:val="both"/>
        <w:rPr>
          <w:b/>
          <w:color w:val="000000"/>
          <w:sz w:val="28"/>
          <w:szCs w:val="28"/>
        </w:rPr>
      </w:pPr>
    </w:p>
    <w:p w14:paraId="3656B9AB" w14:textId="77777777" w:rsidR="0035403C" w:rsidRDefault="0035403C">
      <w:pPr>
        <w:pBdr>
          <w:top w:val="nil"/>
          <w:left w:val="nil"/>
          <w:bottom w:val="nil"/>
          <w:right w:val="nil"/>
          <w:between w:val="nil"/>
        </w:pBdr>
        <w:spacing w:line="276" w:lineRule="auto"/>
        <w:jc w:val="both"/>
        <w:rPr>
          <w:b/>
          <w:color w:val="000000"/>
          <w:sz w:val="28"/>
          <w:szCs w:val="28"/>
        </w:rPr>
      </w:pPr>
    </w:p>
    <w:p w14:paraId="2484FB50" w14:textId="77777777" w:rsidR="0035403C" w:rsidRDefault="00D02C31" w:rsidP="0FE4D5DF">
      <w:pPr>
        <w:tabs>
          <w:tab w:val="center" w:pos="4153"/>
        </w:tabs>
        <w:spacing w:line="276" w:lineRule="auto"/>
        <w:rPr>
          <w:b/>
          <w:bCs/>
          <w:sz w:val="28"/>
          <w:szCs w:val="28"/>
          <w:lang w:val="en-US"/>
        </w:rPr>
      </w:pPr>
      <w:r w:rsidRPr="0FE4D5DF">
        <w:rPr>
          <w:b/>
          <w:bCs/>
          <w:sz w:val="28"/>
          <w:szCs w:val="28"/>
          <w:lang w:val="en-US"/>
        </w:rPr>
        <w:t>Tesista: Abecasis Pablo</w:t>
      </w:r>
    </w:p>
    <w:p w14:paraId="45FB0818" w14:textId="77777777" w:rsidR="0035403C" w:rsidRDefault="0035403C">
      <w:pPr>
        <w:tabs>
          <w:tab w:val="center" w:pos="4153"/>
        </w:tabs>
        <w:spacing w:line="276" w:lineRule="auto"/>
        <w:rPr>
          <w:b/>
          <w:sz w:val="28"/>
          <w:szCs w:val="28"/>
        </w:rPr>
      </w:pPr>
    </w:p>
    <w:p w14:paraId="7C058497" w14:textId="77777777" w:rsidR="0035403C" w:rsidRDefault="00D02C31">
      <w:pPr>
        <w:tabs>
          <w:tab w:val="center" w:pos="4153"/>
        </w:tabs>
        <w:spacing w:line="276" w:lineRule="auto"/>
        <w:rPr>
          <w:b/>
          <w:sz w:val="28"/>
          <w:szCs w:val="28"/>
        </w:rPr>
      </w:pPr>
      <w:r>
        <w:rPr>
          <w:b/>
          <w:sz w:val="28"/>
          <w:szCs w:val="28"/>
        </w:rPr>
        <w:t xml:space="preserve">E-mail: </w:t>
      </w:r>
      <w:hyperlink r:id="rId10">
        <w:r>
          <w:rPr>
            <w:b/>
            <w:color w:val="1155CC"/>
            <w:sz w:val="28"/>
            <w:szCs w:val="28"/>
            <w:u w:val="single"/>
          </w:rPr>
          <w:t>pablo.abecasis@gmail.com</w:t>
        </w:r>
      </w:hyperlink>
    </w:p>
    <w:p w14:paraId="049F31CB" w14:textId="77777777" w:rsidR="0035403C" w:rsidRDefault="0035403C">
      <w:pPr>
        <w:tabs>
          <w:tab w:val="center" w:pos="4153"/>
        </w:tabs>
        <w:spacing w:line="276" w:lineRule="auto"/>
        <w:rPr>
          <w:b/>
          <w:sz w:val="28"/>
          <w:szCs w:val="28"/>
        </w:rPr>
      </w:pPr>
    </w:p>
    <w:p w14:paraId="2919D1C3" w14:textId="77777777" w:rsidR="0035403C" w:rsidRDefault="00D02C31" w:rsidP="0FE4D5DF">
      <w:pPr>
        <w:tabs>
          <w:tab w:val="center" w:pos="4153"/>
        </w:tabs>
        <w:spacing w:line="276" w:lineRule="auto"/>
        <w:rPr>
          <w:b/>
          <w:bCs/>
          <w:sz w:val="28"/>
          <w:szCs w:val="28"/>
          <w:lang w:val="en-US"/>
        </w:rPr>
      </w:pPr>
      <w:r w:rsidRPr="0FE4D5DF">
        <w:rPr>
          <w:b/>
          <w:bCs/>
          <w:sz w:val="28"/>
          <w:szCs w:val="28"/>
          <w:lang w:val="en-US"/>
        </w:rPr>
        <w:t xml:space="preserve">Perfil de linkedin: </w:t>
      </w:r>
      <w:hyperlink r:id="rId11">
        <w:r w:rsidRPr="0FE4D5DF">
          <w:rPr>
            <w:b/>
            <w:bCs/>
            <w:color w:val="1155CC"/>
            <w:sz w:val="28"/>
            <w:szCs w:val="28"/>
            <w:u w:val="single"/>
            <w:lang w:val="en-US"/>
          </w:rPr>
          <w:t>https://www.linkedin.com/in/abecasispablo/</w:t>
        </w:r>
      </w:hyperlink>
    </w:p>
    <w:p w14:paraId="53128261" w14:textId="77777777" w:rsidR="0035403C" w:rsidRDefault="0035403C">
      <w:pPr>
        <w:spacing w:line="276" w:lineRule="auto"/>
        <w:rPr>
          <w:b/>
          <w:sz w:val="28"/>
          <w:szCs w:val="28"/>
        </w:rPr>
      </w:pPr>
    </w:p>
    <w:p w14:paraId="59BE4582" w14:textId="77777777" w:rsidR="0035403C" w:rsidRDefault="00D02C31" w:rsidP="0FE4D5DF">
      <w:pPr>
        <w:spacing w:line="276" w:lineRule="auto"/>
        <w:rPr>
          <w:b/>
          <w:bCs/>
          <w:sz w:val="28"/>
          <w:szCs w:val="28"/>
          <w:lang w:val="en-US"/>
        </w:rPr>
      </w:pPr>
      <w:r w:rsidRPr="0FE4D5DF">
        <w:rPr>
          <w:b/>
          <w:bCs/>
          <w:sz w:val="28"/>
          <w:szCs w:val="28"/>
          <w:lang w:val="en-US"/>
        </w:rPr>
        <w:t>Legajo: 0122837</w:t>
      </w:r>
    </w:p>
    <w:p w14:paraId="62486C05" w14:textId="77777777" w:rsidR="0035403C" w:rsidRDefault="0035403C">
      <w:pPr>
        <w:spacing w:line="276" w:lineRule="auto"/>
        <w:rPr>
          <w:b/>
          <w:sz w:val="28"/>
          <w:szCs w:val="28"/>
        </w:rPr>
      </w:pPr>
    </w:p>
    <w:p w14:paraId="0BC8E8CC" w14:textId="77777777" w:rsidR="0035403C" w:rsidRDefault="00D02C31" w:rsidP="0FE4D5DF">
      <w:pPr>
        <w:spacing w:line="276" w:lineRule="auto"/>
        <w:rPr>
          <w:b/>
          <w:bCs/>
          <w:sz w:val="28"/>
          <w:szCs w:val="28"/>
          <w:lang w:val="en-US"/>
        </w:rPr>
      </w:pPr>
      <w:r w:rsidRPr="0FE4D5DF">
        <w:rPr>
          <w:b/>
          <w:bCs/>
          <w:sz w:val="28"/>
          <w:szCs w:val="28"/>
          <w:lang w:val="en-US"/>
        </w:rPr>
        <w:t>Director de Tesis Propuesto: Gerardo Tapia</w:t>
      </w:r>
    </w:p>
    <w:p w14:paraId="4101652C" w14:textId="77777777" w:rsidR="0035403C" w:rsidRDefault="0035403C">
      <w:pPr>
        <w:pBdr>
          <w:top w:val="nil"/>
          <w:left w:val="nil"/>
          <w:bottom w:val="nil"/>
          <w:right w:val="nil"/>
          <w:between w:val="nil"/>
        </w:pBdr>
        <w:spacing w:line="276" w:lineRule="auto"/>
        <w:rPr>
          <w:b/>
          <w:color w:val="000000"/>
          <w:sz w:val="28"/>
          <w:szCs w:val="28"/>
          <w:u w:val="single"/>
        </w:rPr>
      </w:pPr>
    </w:p>
    <w:p w14:paraId="7EE3E524" w14:textId="77777777" w:rsidR="0035403C" w:rsidRDefault="00D02C31">
      <w:pPr>
        <w:pBdr>
          <w:top w:val="nil"/>
          <w:left w:val="nil"/>
          <w:bottom w:val="nil"/>
          <w:right w:val="nil"/>
          <w:between w:val="nil"/>
        </w:pBdr>
        <w:spacing w:line="276" w:lineRule="auto"/>
        <w:rPr>
          <w:b/>
          <w:sz w:val="28"/>
          <w:szCs w:val="28"/>
        </w:rPr>
      </w:pPr>
      <w:r>
        <w:rPr>
          <w:b/>
          <w:sz w:val="28"/>
          <w:szCs w:val="28"/>
        </w:rPr>
        <w:t>29-03-2023</w:t>
      </w:r>
    </w:p>
    <w:p w14:paraId="4B99056E" w14:textId="77777777" w:rsidR="0035403C" w:rsidRDefault="0035403C">
      <w:pPr>
        <w:spacing w:line="276" w:lineRule="auto"/>
        <w:rPr>
          <w:b/>
          <w:sz w:val="28"/>
          <w:szCs w:val="28"/>
        </w:rPr>
      </w:pPr>
    </w:p>
    <w:p w14:paraId="555EAA62" w14:textId="77777777" w:rsidR="0035403C" w:rsidRDefault="00D02C31">
      <w:pPr>
        <w:spacing w:line="276" w:lineRule="auto"/>
        <w:rPr>
          <w:sz w:val="28"/>
          <w:szCs w:val="28"/>
        </w:rPr>
      </w:pPr>
      <w:r>
        <w:rPr>
          <w:b/>
          <w:sz w:val="28"/>
          <w:szCs w:val="28"/>
        </w:rPr>
        <w:t>Buenos Aires – Argentina</w:t>
      </w:r>
    </w:p>
    <w:p w14:paraId="1299C43A" w14:textId="77777777" w:rsidR="0035403C" w:rsidRDefault="0035403C">
      <w:pPr>
        <w:spacing w:line="276" w:lineRule="auto"/>
        <w:jc w:val="both"/>
        <w:rPr>
          <w:sz w:val="28"/>
          <w:szCs w:val="28"/>
        </w:rPr>
      </w:pPr>
    </w:p>
    <w:p w14:paraId="4DDBEF00" w14:textId="77777777" w:rsidR="0035403C" w:rsidRDefault="0035403C">
      <w:pPr>
        <w:spacing w:line="276" w:lineRule="auto"/>
        <w:jc w:val="both"/>
        <w:rPr>
          <w:sz w:val="28"/>
          <w:szCs w:val="28"/>
        </w:rPr>
      </w:pPr>
    </w:p>
    <w:p w14:paraId="3461D779" w14:textId="77777777" w:rsidR="0035403C" w:rsidRDefault="0035403C">
      <w:pPr>
        <w:spacing w:line="276" w:lineRule="auto"/>
        <w:jc w:val="both"/>
        <w:rPr>
          <w:sz w:val="28"/>
          <w:szCs w:val="28"/>
        </w:rPr>
      </w:pPr>
    </w:p>
    <w:p w14:paraId="3CF2D8B6" w14:textId="77777777" w:rsidR="0035403C" w:rsidRDefault="0035403C">
      <w:pPr>
        <w:spacing w:line="276" w:lineRule="auto"/>
        <w:jc w:val="both"/>
        <w:rPr>
          <w:sz w:val="28"/>
          <w:szCs w:val="28"/>
        </w:rPr>
      </w:pPr>
    </w:p>
    <w:p w14:paraId="0FB78278" w14:textId="77777777" w:rsidR="0035403C" w:rsidRDefault="0035403C">
      <w:pPr>
        <w:spacing w:line="276" w:lineRule="auto"/>
        <w:jc w:val="both"/>
        <w:rPr>
          <w:sz w:val="28"/>
          <w:szCs w:val="28"/>
        </w:rPr>
      </w:pPr>
    </w:p>
    <w:p w14:paraId="1FC39945" w14:textId="77777777" w:rsidR="0035403C" w:rsidRDefault="0035403C">
      <w:pPr>
        <w:spacing w:line="276" w:lineRule="auto"/>
        <w:jc w:val="both"/>
        <w:rPr>
          <w:sz w:val="28"/>
          <w:szCs w:val="28"/>
        </w:rPr>
      </w:pPr>
    </w:p>
    <w:p w14:paraId="3EBCD039" w14:textId="77777777" w:rsidR="0035403C" w:rsidRDefault="00D02C31" w:rsidP="0FE4D5DF">
      <w:pPr>
        <w:pStyle w:val="Ttulo"/>
        <w:rPr>
          <w:lang w:val="en-US"/>
        </w:rPr>
      </w:pPr>
      <w:r w:rsidRPr="0FE4D5DF">
        <w:rPr>
          <w:lang w:val="en-US"/>
        </w:rPr>
        <w:t>Tabla de contenidos</w:t>
      </w:r>
    </w:p>
    <w:sdt>
      <w:sdtPr>
        <w:id w:val="1948733247"/>
        <w:docPartObj>
          <w:docPartGallery w:val="Table of Contents"/>
          <w:docPartUnique/>
        </w:docPartObj>
      </w:sdtPr>
      <w:sdtContent>
        <w:p w14:paraId="5B6F9A6B" w14:textId="77777777" w:rsidR="0035403C" w:rsidRDefault="00D02C31">
          <w:pPr>
            <w:widowControl w:val="0"/>
            <w:tabs>
              <w:tab w:val="right" w:pos="12000"/>
            </w:tabs>
            <w:spacing w:before="60"/>
            <w:rPr>
              <w:rFonts w:ascii="Arial" w:eastAsia="Arial" w:hAnsi="Arial" w:cs="Arial"/>
              <w:b/>
              <w:color w:val="000000"/>
              <w:sz w:val="22"/>
              <w:szCs w:val="22"/>
            </w:rPr>
          </w:pPr>
          <w:r>
            <w:fldChar w:fldCharType="begin"/>
          </w:r>
          <w:r>
            <w:instrText xml:space="preserve"> TOC \h \u \z \t "Heading 1,1,Heading 2,2,Heading 3,3,Heading 4,4,Heading 5,5,Heading 6,6,"</w:instrText>
          </w:r>
          <w:r>
            <w:fldChar w:fldCharType="separate"/>
          </w:r>
          <w:hyperlink w:anchor="_heading=h.gjdgxs">
            <w:r>
              <w:rPr>
                <w:b/>
                <w:color w:val="000000"/>
              </w:rPr>
              <w:t>CÁMARAS COMPENSADORAS</w:t>
            </w:r>
            <w:r>
              <w:rPr>
                <w:b/>
                <w:color w:val="000000"/>
              </w:rPr>
              <w:tab/>
              <w:t>7</w:t>
            </w:r>
          </w:hyperlink>
        </w:p>
        <w:p w14:paraId="781632DD" w14:textId="77777777" w:rsidR="0035403C" w:rsidRDefault="00C20BE8">
          <w:pPr>
            <w:widowControl w:val="0"/>
            <w:tabs>
              <w:tab w:val="right" w:pos="12000"/>
            </w:tabs>
            <w:spacing w:before="60"/>
            <w:rPr>
              <w:rFonts w:ascii="Arial" w:eastAsia="Arial" w:hAnsi="Arial" w:cs="Arial"/>
              <w:b/>
              <w:color w:val="000000"/>
              <w:sz w:val="22"/>
              <w:szCs w:val="22"/>
            </w:rPr>
          </w:pPr>
          <w:hyperlink w:anchor="_heading=h.30j0zll">
            <w:r w:rsidR="00D02C31">
              <w:rPr>
                <w:b/>
                <w:color w:val="000000"/>
              </w:rPr>
              <w:t>ANTECEDENTES Y MOTIVOS</w:t>
            </w:r>
            <w:r w:rsidR="00D02C31">
              <w:rPr>
                <w:b/>
                <w:color w:val="000000"/>
              </w:rPr>
              <w:tab/>
              <w:t>7</w:t>
            </w:r>
          </w:hyperlink>
        </w:p>
        <w:p w14:paraId="56EAE34E" w14:textId="77777777" w:rsidR="0035403C" w:rsidRDefault="00C20BE8">
          <w:pPr>
            <w:widowControl w:val="0"/>
            <w:tabs>
              <w:tab w:val="right" w:pos="12000"/>
            </w:tabs>
            <w:spacing w:before="60"/>
            <w:ind w:left="360"/>
            <w:rPr>
              <w:rFonts w:ascii="Arial" w:eastAsia="Arial" w:hAnsi="Arial" w:cs="Arial"/>
              <w:color w:val="000000"/>
              <w:sz w:val="22"/>
              <w:szCs w:val="22"/>
            </w:rPr>
          </w:pPr>
          <w:hyperlink w:anchor="_heading=h.1fob9te">
            <w:r w:rsidR="00D02C31">
              <w:rPr>
                <w:color w:val="000000"/>
              </w:rPr>
              <w:t>Lanzamiento de DEBIN</w:t>
            </w:r>
            <w:r w:rsidR="00D02C31">
              <w:rPr>
                <w:color w:val="000000"/>
              </w:rPr>
              <w:tab/>
              <w:t>7</w:t>
            </w:r>
          </w:hyperlink>
        </w:p>
        <w:p w14:paraId="3686C309" w14:textId="77777777" w:rsidR="0035403C" w:rsidRDefault="00C20BE8">
          <w:pPr>
            <w:widowControl w:val="0"/>
            <w:tabs>
              <w:tab w:val="right" w:pos="12000"/>
            </w:tabs>
            <w:spacing w:before="60"/>
            <w:ind w:left="360"/>
            <w:rPr>
              <w:rFonts w:ascii="Arial" w:eastAsia="Arial" w:hAnsi="Arial" w:cs="Arial"/>
              <w:color w:val="000000"/>
              <w:sz w:val="22"/>
              <w:szCs w:val="22"/>
            </w:rPr>
          </w:pPr>
          <w:hyperlink w:anchor="_heading=h.3znysh7">
            <w:r w:rsidR="00D02C31">
              <w:rPr>
                <w:color w:val="000000"/>
              </w:rPr>
              <w:t>CBU y su crecimiento</w:t>
            </w:r>
            <w:r w:rsidR="00D02C31">
              <w:rPr>
                <w:color w:val="000000"/>
              </w:rPr>
              <w:tab/>
              <w:t>8</w:t>
            </w:r>
          </w:hyperlink>
        </w:p>
        <w:p w14:paraId="4A4AD65F" w14:textId="77777777" w:rsidR="0035403C" w:rsidRDefault="00C20BE8">
          <w:pPr>
            <w:widowControl w:val="0"/>
            <w:tabs>
              <w:tab w:val="right" w:pos="12000"/>
            </w:tabs>
            <w:spacing w:before="60"/>
            <w:ind w:left="720"/>
            <w:rPr>
              <w:rFonts w:ascii="Arial" w:eastAsia="Arial" w:hAnsi="Arial" w:cs="Arial"/>
              <w:color w:val="000000"/>
              <w:sz w:val="22"/>
              <w:szCs w:val="22"/>
            </w:rPr>
          </w:pPr>
          <w:hyperlink w:anchor="_heading=h.2et92p0">
            <w:r w:rsidR="00D02C31">
              <w:rPr>
                <w:color w:val="000000"/>
              </w:rPr>
              <w:t>Detalle de la conformación del CBU</w:t>
            </w:r>
            <w:r w:rsidR="00D02C31">
              <w:rPr>
                <w:color w:val="000000"/>
              </w:rPr>
              <w:tab/>
              <w:t>8</w:t>
            </w:r>
          </w:hyperlink>
        </w:p>
        <w:p w14:paraId="01B0647E" w14:textId="77777777" w:rsidR="0035403C" w:rsidRDefault="00C20BE8">
          <w:pPr>
            <w:widowControl w:val="0"/>
            <w:tabs>
              <w:tab w:val="right" w:pos="12000"/>
            </w:tabs>
            <w:spacing w:before="60"/>
            <w:ind w:left="720"/>
            <w:rPr>
              <w:rFonts w:ascii="Arial" w:eastAsia="Arial" w:hAnsi="Arial" w:cs="Arial"/>
              <w:color w:val="000000"/>
              <w:sz w:val="22"/>
              <w:szCs w:val="22"/>
            </w:rPr>
          </w:pPr>
          <w:hyperlink w:anchor="_heading=h.3dy6vkm">
            <w:r w:rsidR="00D02C31">
              <w:rPr>
                <w:color w:val="000000"/>
              </w:rPr>
              <w:t>Crecimiento CBU</w:t>
            </w:r>
            <w:r w:rsidR="00D02C31">
              <w:rPr>
                <w:color w:val="000000"/>
              </w:rPr>
              <w:tab/>
              <w:t>9</w:t>
            </w:r>
          </w:hyperlink>
        </w:p>
        <w:p w14:paraId="20029B70" w14:textId="77777777" w:rsidR="0035403C" w:rsidRDefault="00C20BE8">
          <w:pPr>
            <w:widowControl w:val="0"/>
            <w:tabs>
              <w:tab w:val="right" w:pos="12000"/>
            </w:tabs>
            <w:spacing w:before="60"/>
            <w:ind w:left="360"/>
            <w:rPr>
              <w:rFonts w:ascii="Arial" w:eastAsia="Arial" w:hAnsi="Arial" w:cs="Arial"/>
              <w:color w:val="000000"/>
              <w:sz w:val="22"/>
              <w:szCs w:val="22"/>
            </w:rPr>
          </w:pPr>
          <w:hyperlink w:anchor="_heading=h.4d34og8">
            <w:r w:rsidR="00D02C31">
              <w:rPr>
                <w:color w:val="000000"/>
              </w:rPr>
              <w:t>Lanzamiento de CVU</w:t>
            </w:r>
            <w:r w:rsidR="00D02C31">
              <w:rPr>
                <w:color w:val="000000"/>
              </w:rPr>
              <w:tab/>
              <w:t>9</w:t>
            </w:r>
          </w:hyperlink>
        </w:p>
        <w:p w14:paraId="18E3A2BE" w14:textId="77777777" w:rsidR="0035403C" w:rsidRDefault="00C20BE8">
          <w:pPr>
            <w:widowControl w:val="0"/>
            <w:tabs>
              <w:tab w:val="right" w:pos="12000"/>
            </w:tabs>
            <w:spacing w:before="60"/>
            <w:ind w:left="720"/>
            <w:rPr>
              <w:rFonts w:ascii="Arial" w:eastAsia="Arial" w:hAnsi="Arial" w:cs="Arial"/>
              <w:color w:val="000000"/>
              <w:sz w:val="22"/>
              <w:szCs w:val="22"/>
            </w:rPr>
          </w:pPr>
          <w:hyperlink w:anchor="_heading=h.2s8eyo1">
            <w:r w:rsidR="00D02C31">
              <w:rPr>
                <w:color w:val="000000"/>
              </w:rPr>
              <w:t>Detalle de la conformación del CVU</w:t>
            </w:r>
            <w:r w:rsidR="00D02C31">
              <w:rPr>
                <w:color w:val="000000"/>
              </w:rPr>
              <w:tab/>
              <w:t>9</w:t>
            </w:r>
          </w:hyperlink>
        </w:p>
        <w:p w14:paraId="1AFED290" w14:textId="77777777" w:rsidR="0035403C" w:rsidRDefault="00C20BE8">
          <w:pPr>
            <w:widowControl w:val="0"/>
            <w:tabs>
              <w:tab w:val="right" w:pos="12000"/>
            </w:tabs>
            <w:spacing w:before="60"/>
            <w:ind w:left="720"/>
            <w:rPr>
              <w:rFonts w:ascii="Arial" w:eastAsia="Arial" w:hAnsi="Arial" w:cs="Arial"/>
              <w:color w:val="000000"/>
              <w:sz w:val="22"/>
              <w:szCs w:val="22"/>
            </w:rPr>
          </w:pPr>
          <w:hyperlink w:anchor="_heading=h.3rdcrjn">
            <w:r w:rsidR="00D02C31">
              <w:rPr>
                <w:color w:val="000000"/>
              </w:rPr>
              <w:t>Crecimiento CVU</w:t>
            </w:r>
            <w:r w:rsidR="00D02C31">
              <w:rPr>
                <w:color w:val="000000"/>
              </w:rPr>
              <w:tab/>
              <w:t>10</w:t>
            </w:r>
          </w:hyperlink>
        </w:p>
        <w:p w14:paraId="28956239" w14:textId="77777777" w:rsidR="0035403C" w:rsidRDefault="00C20BE8">
          <w:pPr>
            <w:widowControl w:val="0"/>
            <w:tabs>
              <w:tab w:val="right" w:pos="12000"/>
            </w:tabs>
            <w:spacing w:before="60"/>
            <w:ind w:left="360"/>
            <w:rPr>
              <w:rFonts w:ascii="Arial" w:eastAsia="Arial" w:hAnsi="Arial" w:cs="Arial"/>
              <w:color w:val="000000"/>
              <w:sz w:val="22"/>
              <w:szCs w:val="22"/>
            </w:rPr>
          </w:pPr>
          <w:hyperlink w:anchor="_heading=h.lnxbz9">
            <w:r w:rsidR="00D02C31">
              <w:rPr>
                <w:color w:val="000000"/>
              </w:rPr>
              <w:t>Novedosos productos dentro de DEBIN</w:t>
            </w:r>
            <w:r w:rsidR="00D02C31">
              <w:rPr>
                <w:color w:val="000000"/>
              </w:rPr>
              <w:tab/>
              <w:t>10</w:t>
            </w:r>
          </w:hyperlink>
        </w:p>
        <w:p w14:paraId="6B3850F7" w14:textId="77777777" w:rsidR="0035403C" w:rsidRDefault="00C20BE8">
          <w:pPr>
            <w:widowControl w:val="0"/>
            <w:tabs>
              <w:tab w:val="right" w:pos="12000"/>
            </w:tabs>
            <w:spacing w:before="60"/>
            <w:ind w:left="720"/>
            <w:rPr>
              <w:rFonts w:ascii="Arial" w:eastAsia="Arial" w:hAnsi="Arial" w:cs="Arial"/>
              <w:color w:val="000000"/>
              <w:sz w:val="22"/>
              <w:szCs w:val="22"/>
            </w:rPr>
          </w:pPr>
          <w:hyperlink w:anchor="_heading=h.35nkun2">
            <w:r w:rsidR="00D02C31">
              <w:rPr>
                <w:color w:val="000000"/>
              </w:rPr>
              <w:t>Evolución de transferencias por CVU</w:t>
            </w:r>
            <w:r w:rsidR="00D02C31">
              <w:rPr>
                <w:color w:val="000000"/>
              </w:rPr>
              <w:tab/>
              <w:t>11</w:t>
            </w:r>
          </w:hyperlink>
        </w:p>
        <w:p w14:paraId="76041E6E" w14:textId="77777777" w:rsidR="0035403C" w:rsidRDefault="00C20BE8">
          <w:pPr>
            <w:widowControl w:val="0"/>
            <w:tabs>
              <w:tab w:val="right" w:pos="12000"/>
            </w:tabs>
            <w:spacing w:before="60"/>
            <w:ind w:left="720"/>
            <w:rPr>
              <w:rFonts w:ascii="Arial" w:eastAsia="Arial" w:hAnsi="Arial" w:cs="Arial"/>
              <w:color w:val="000000"/>
              <w:sz w:val="22"/>
              <w:szCs w:val="22"/>
            </w:rPr>
          </w:pPr>
          <w:hyperlink w:anchor="_heading=h.44sinio">
            <w:r w:rsidR="00D02C31">
              <w:rPr>
                <w:color w:val="000000"/>
              </w:rPr>
              <w:t>Evolución de transferencias por CBU</w:t>
            </w:r>
            <w:r w:rsidR="00D02C31">
              <w:rPr>
                <w:color w:val="000000"/>
              </w:rPr>
              <w:tab/>
              <w:t>11</w:t>
            </w:r>
          </w:hyperlink>
        </w:p>
        <w:p w14:paraId="59FE4BFF" w14:textId="77777777" w:rsidR="0035403C" w:rsidRDefault="00C20BE8">
          <w:pPr>
            <w:widowControl w:val="0"/>
            <w:tabs>
              <w:tab w:val="right" w:pos="12000"/>
            </w:tabs>
            <w:spacing w:before="60"/>
            <w:ind w:left="360"/>
            <w:rPr>
              <w:rFonts w:ascii="Arial" w:eastAsia="Arial" w:hAnsi="Arial" w:cs="Arial"/>
              <w:color w:val="000000"/>
              <w:sz w:val="22"/>
              <w:szCs w:val="22"/>
            </w:rPr>
          </w:pPr>
          <w:hyperlink w:anchor="_heading=h.z337ya">
            <w:r w:rsidR="00D02C31">
              <w:rPr>
                <w:color w:val="000000"/>
              </w:rPr>
              <w:t>Adopción del fondeo a través de DEBIN</w:t>
            </w:r>
            <w:r w:rsidR="00D02C31">
              <w:rPr>
                <w:color w:val="000000"/>
              </w:rPr>
              <w:tab/>
              <w:t>12</w:t>
            </w:r>
          </w:hyperlink>
        </w:p>
        <w:p w14:paraId="773A2C4E" w14:textId="77777777" w:rsidR="0035403C" w:rsidRDefault="00C20BE8">
          <w:pPr>
            <w:widowControl w:val="0"/>
            <w:tabs>
              <w:tab w:val="right" w:pos="12000"/>
            </w:tabs>
            <w:spacing w:before="60"/>
            <w:ind w:left="720"/>
            <w:rPr>
              <w:rFonts w:ascii="Arial" w:eastAsia="Arial" w:hAnsi="Arial" w:cs="Arial"/>
              <w:color w:val="000000"/>
              <w:sz w:val="22"/>
              <w:szCs w:val="22"/>
            </w:rPr>
          </w:pPr>
          <w:hyperlink w:anchor="_heading=h.3j2qqm3">
            <w:r w:rsidR="00D02C31">
              <w:rPr>
                <w:color w:val="000000"/>
              </w:rPr>
              <w:t>Evolución de DEBIN para el fondeo de CVU</w:t>
            </w:r>
            <w:r w:rsidR="00D02C31">
              <w:rPr>
                <w:color w:val="000000"/>
              </w:rPr>
              <w:tab/>
              <w:t>12</w:t>
            </w:r>
          </w:hyperlink>
        </w:p>
        <w:p w14:paraId="5D014DB3" w14:textId="77777777" w:rsidR="0035403C" w:rsidRDefault="00C20BE8">
          <w:pPr>
            <w:widowControl w:val="0"/>
            <w:tabs>
              <w:tab w:val="right" w:pos="12000"/>
            </w:tabs>
            <w:spacing w:before="60"/>
            <w:ind w:left="360"/>
            <w:rPr>
              <w:rFonts w:ascii="Arial" w:eastAsia="Arial" w:hAnsi="Arial" w:cs="Arial"/>
              <w:color w:val="000000"/>
              <w:sz w:val="22"/>
              <w:szCs w:val="22"/>
            </w:rPr>
          </w:pPr>
          <w:hyperlink w:anchor="_heading=h.4i7ojhp">
            <w:r w:rsidR="00D02C31">
              <w:rPr>
                <w:color w:val="000000"/>
              </w:rPr>
              <w:t>Pagos con Transferencia - Transferencias 3.0 - Interoperabilidad</w:t>
            </w:r>
            <w:r w:rsidR="00D02C31">
              <w:rPr>
                <w:color w:val="000000"/>
              </w:rPr>
              <w:tab/>
              <w:t>12</w:t>
            </w:r>
          </w:hyperlink>
        </w:p>
        <w:p w14:paraId="3561C632" w14:textId="77777777" w:rsidR="0035403C" w:rsidRDefault="00C20BE8">
          <w:pPr>
            <w:widowControl w:val="0"/>
            <w:tabs>
              <w:tab w:val="right" w:pos="12000"/>
            </w:tabs>
            <w:spacing w:before="60"/>
            <w:ind w:left="720"/>
            <w:rPr>
              <w:rFonts w:ascii="Arial" w:eastAsia="Arial" w:hAnsi="Arial" w:cs="Arial"/>
              <w:color w:val="000000"/>
              <w:sz w:val="22"/>
              <w:szCs w:val="22"/>
            </w:rPr>
          </w:pPr>
          <w:hyperlink w:anchor="_heading=h.2xcytpi">
            <w:r w:rsidR="00D02C31">
              <w:rPr>
                <w:color w:val="000000"/>
              </w:rPr>
              <w:t>Características importantes:</w:t>
            </w:r>
            <w:r w:rsidR="00D02C31">
              <w:rPr>
                <w:color w:val="000000"/>
              </w:rPr>
              <w:tab/>
              <w:t>13</w:t>
            </w:r>
          </w:hyperlink>
        </w:p>
        <w:p w14:paraId="3575EECE" w14:textId="77777777" w:rsidR="0035403C" w:rsidRDefault="00C20BE8">
          <w:pPr>
            <w:widowControl w:val="0"/>
            <w:tabs>
              <w:tab w:val="right" w:pos="12000"/>
            </w:tabs>
            <w:spacing w:before="60"/>
            <w:ind w:left="720"/>
            <w:rPr>
              <w:rFonts w:ascii="Arial" w:eastAsia="Arial" w:hAnsi="Arial" w:cs="Arial"/>
              <w:color w:val="000000"/>
              <w:sz w:val="22"/>
              <w:szCs w:val="22"/>
            </w:rPr>
          </w:pPr>
          <w:hyperlink w:anchor="_heading=h.1ci93xb">
            <w:r w:rsidR="00D02C31">
              <w:rPr>
                <w:color w:val="000000"/>
              </w:rPr>
              <w:t>Evolución de pagos con transferencia</w:t>
            </w:r>
            <w:r w:rsidR="00D02C31">
              <w:rPr>
                <w:color w:val="000000"/>
              </w:rPr>
              <w:tab/>
              <w:t>13</w:t>
            </w:r>
          </w:hyperlink>
        </w:p>
        <w:p w14:paraId="1F0DAE95" w14:textId="77777777" w:rsidR="0035403C" w:rsidRDefault="00C20BE8">
          <w:pPr>
            <w:widowControl w:val="0"/>
            <w:tabs>
              <w:tab w:val="right" w:pos="12000"/>
            </w:tabs>
            <w:spacing w:before="60"/>
            <w:rPr>
              <w:rFonts w:ascii="Arial" w:eastAsia="Arial" w:hAnsi="Arial" w:cs="Arial"/>
              <w:b/>
              <w:color w:val="000000"/>
              <w:sz w:val="22"/>
              <w:szCs w:val="22"/>
            </w:rPr>
          </w:pPr>
          <w:hyperlink w:anchor="_heading=h.2bn6wsx">
            <w:r w:rsidR="00D02C31">
              <w:rPr>
                <w:b/>
                <w:color w:val="000000"/>
              </w:rPr>
              <w:t>JUSTIFICACIÓN</w:t>
            </w:r>
            <w:r w:rsidR="00D02C31">
              <w:rPr>
                <w:b/>
                <w:color w:val="000000"/>
              </w:rPr>
              <w:tab/>
              <w:t>13</w:t>
            </w:r>
          </w:hyperlink>
        </w:p>
        <w:p w14:paraId="249C99A5" w14:textId="77777777" w:rsidR="0035403C" w:rsidRDefault="00C20BE8">
          <w:pPr>
            <w:widowControl w:val="0"/>
            <w:tabs>
              <w:tab w:val="right" w:pos="12000"/>
            </w:tabs>
            <w:spacing w:before="60"/>
            <w:rPr>
              <w:rFonts w:ascii="Arial" w:eastAsia="Arial" w:hAnsi="Arial" w:cs="Arial"/>
              <w:b/>
              <w:color w:val="000000"/>
              <w:sz w:val="22"/>
              <w:szCs w:val="22"/>
            </w:rPr>
          </w:pPr>
          <w:hyperlink w:anchor="_heading=h.3as4poj">
            <w:r w:rsidR="00D02C31">
              <w:rPr>
                <w:b/>
                <w:color w:val="000000"/>
              </w:rPr>
              <w:t>PROBLEMA Y PREGUNTAS</w:t>
            </w:r>
            <w:r w:rsidR="00D02C31">
              <w:rPr>
                <w:b/>
                <w:color w:val="000000"/>
              </w:rPr>
              <w:tab/>
              <w:t>15</w:t>
            </w:r>
          </w:hyperlink>
        </w:p>
        <w:p w14:paraId="08FC9A38" w14:textId="77777777" w:rsidR="0035403C" w:rsidRDefault="00C20BE8">
          <w:pPr>
            <w:widowControl w:val="0"/>
            <w:tabs>
              <w:tab w:val="right" w:pos="12000"/>
            </w:tabs>
            <w:spacing w:before="60"/>
            <w:rPr>
              <w:rFonts w:ascii="Arial" w:eastAsia="Arial" w:hAnsi="Arial" w:cs="Arial"/>
              <w:b/>
              <w:color w:val="000000"/>
              <w:sz w:val="22"/>
              <w:szCs w:val="22"/>
            </w:rPr>
          </w:pPr>
          <w:hyperlink w:anchor="_heading=h.1pxezwc">
            <w:r w:rsidR="00D02C31">
              <w:rPr>
                <w:b/>
                <w:color w:val="000000"/>
              </w:rPr>
              <w:t>OBJETIVO GENERAL</w:t>
            </w:r>
            <w:r w:rsidR="00D02C31">
              <w:rPr>
                <w:b/>
                <w:color w:val="000000"/>
              </w:rPr>
              <w:tab/>
              <w:t>15</w:t>
            </w:r>
          </w:hyperlink>
        </w:p>
        <w:p w14:paraId="5A3D386A" w14:textId="77777777" w:rsidR="0035403C" w:rsidRDefault="00C20BE8">
          <w:pPr>
            <w:widowControl w:val="0"/>
            <w:tabs>
              <w:tab w:val="right" w:pos="12000"/>
            </w:tabs>
            <w:spacing w:before="60"/>
            <w:rPr>
              <w:rFonts w:ascii="Arial" w:eastAsia="Arial" w:hAnsi="Arial" w:cs="Arial"/>
              <w:b/>
              <w:color w:val="000000"/>
              <w:sz w:val="22"/>
              <w:szCs w:val="22"/>
            </w:rPr>
          </w:pPr>
          <w:hyperlink w:anchor="_heading=h.49x2ik5">
            <w:r w:rsidR="00D02C31">
              <w:rPr>
                <w:b/>
                <w:color w:val="000000"/>
              </w:rPr>
              <w:t>OBJETIVOS ESPECÍFICOS</w:t>
            </w:r>
            <w:r w:rsidR="00D02C31">
              <w:rPr>
                <w:b/>
                <w:color w:val="000000"/>
              </w:rPr>
              <w:tab/>
              <w:t>15</w:t>
            </w:r>
          </w:hyperlink>
        </w:p>
        <w:p w14:paraId="25854A3C" w14:textId="77777777" w:rsidR="0035403C" w:rsidRDefault="00C20BE8">
          <w:pPr>
            <w:widowControl w:val="0"/>
            <w:tabs>
              <w:tab w:val="right" w:pos="12000"/>
            </w:tabs>
            <w:spacing w:before="60"/>
            <w:rPr>
              <w:rFonts w:ascii="Arial" w:eastAsia="Arial" w:hAnsi="Arial" w:cs="Arial"/>
              <w:b/>
              <w:color w:val="000000"/>
              <w:sz w:val="22"/>
              <w:szCs w:val="22"/>
            </w:rPr>
          </w:pPr>
          <w:hyperlink w:anchor="_heading=h.2p2csry">
            <w:r w:rsidR="00D02C31">
              <w:rPr>
                <w:b/>
                <w:color w:val="000000"/>
              </w:rPr>
              <w:t>HIPOTESIS</w:t>
            </w:r>
            <w:r w:rsidR="00D02C31">
              <w:rPr>
                <w:b/>
                <w:color w:val="000000"/>
              </w:rPr>
              <w:tab/>
              <w:t>16</w:t>
            </w:r>
          </w:hyperlink>
        </w:p>
        <w:p w14:paraId="632B442B" w14:textId="77777777" w:rsidR="0035403C" w:rsidRDefault="00C20BE8">
          <w:pPr>
            <w:widowControl w:val="0"/>
            <w:tabs>
              <w:tab w:val="right" w:pos="12000"/>
            </w:tabs>
            <w:spacing w:before="60"/>
            <w:rPr>
              <w:rFonts w:ascii="Arial" w:eastAsia="Arial" w:hAnsi="Arial" w:cs="Arial"/>
              <w:b/>
              <w:color w:val="000000"/>
              <w:sz w:val="22"/>
              <w:szCs w:val="22"/>
            </w:rPr>
          </w:pPr>
          <w:hyperlink w:anchor="_heading=h.147n2zr">
            <w:r w:rsidR="00D02C31">
              <w:rPr>
                <w:b/>
                <w:color w:val="000000"/>
              </w:rPr>
              <w:t>METODOLOGÍA DE INVESTIGACIÓN</w:t>
            </w:r>
            <w:r w:rsidR="00D02C31">
              <w:rPr>
                <w:b/>
                <w:color w:val="000000"/>
              </w:rPr>
              <w:tab/>
              <w:t>16</w:t>
            </w:r>
          </w:hyperlink>
        </w:p>
        <w:p w14:paraId="76F6DC71" w14:textId="77777777" w:rsidR="0035403C" w:rsidRDefault="00C20BE8">
          <w:pPr>
            <w:widowControl w:val="0"/>
            <w:tabs>
              <w:tab w:val="right" w:pos="12000"/>
            </w:tabs>
            <w:spacing w:before="60"/>
            <w:rPr>
              <w:rFonts w:ascii="Arial" w:eastAsia="Arial" w:hAnsi="Arial" w:cs="Arial"/>
              <w:b/>
              <w:color w:val="000000"/>
              <w:sz w:val="22"/>
              <w:szCs w:val="22"/>
            </w:rPr>
          </w:pPr>
          <w:hyperlink w:anchor="_heading=h.3o7alnk">
            <w:r w:rsidR="00D02C31">
              <w:rPr>
                <w:b/>
                <w:color w:val="000000"/>
              </w:rPr>
              <w:t>MARCO TEÓRICO</w:t>
            </w:r>
            <w:r w:rsidR="00D02C31">
              <w:rPr>
                <w:b/>
                <w:color w:val="000000"/>
              </w:rPr>
              <w:tab/>
              <w:t>17</w:t>
            </w:r>
          </w:hyperlink>
        </w:p>
        <w:p w14:paraId="302628F6" w14:textId="77777777" w:rsidR="0035403C" w:rsidRDefault="00C20BE8">
          <w:pPr>
            <w:widowControl w:val="0"/>
            <w:tabs>
              <w:tab w:val="right" w:pos="12000"/>
            </w:tabs>
            <w:spacing w:before="60"/>
            <w:ind w:left="360"/>
            <w:rPr>
              <w:rFonts w:ascii="Arial" w:eastAsia="Arial" w:hAnsi="Arial" w:cs="Arial"/>
              <w:color w:val="000000"/>
              <w:sz w:val="22"/>
              <w:szCs w:val="22"/>
            </w:rPr>
          </w:pPr>
          <w:hyperlink w:anchor="_heading=">
            <w:r w:rsidR="00D02C31">
              <w:rPr>
                <w:rFonts w:ascii="Arial" w:eastAsia="Arial" w:hAnsi="Arial" w:cs="Arial"/>
                <w:b/>
                <w:color w:val="000000"/>
                <w:sz w:val="22"/>
                <w:szCs w:val="22"/>
              </w:rPr>
              <w:t>Fuerzas competitivas de Porter</w:t>
            </w:r>
            <w:r w:rsidR="00D02C31">
              <w:rPr>
                <w:rFonts w:ascii="Arial" w:eastAsia="Arial" w:hAnsi="Arial" w:cs="Arial"/>
                <w:b/>
                <w:color w:val="000000"/>
                <w:sz w:val="22"/>
                <w:szCs w:val="22"/>
              </w:rPr>
              <w:tab/>
              <w:t>19</w:t>
            </w:r>
          </w:hyperlink>
        </w:p>
        <w:p w14:paraId="2A271CAC" w14:textId="77777777" w:rsidR="0035403C" w:rsidRDefault="00C20BE8">
          <w:pPr>
            <w:widowControl w:val="0"/>
            <w:tabs>
              <w:tab w:val="right" w:pos="12000"/>
            </w:tabs>
            <w:spacing w:before="60"/>
            <w:ind w:left="360"/>
            <w:rPr>
              <w:rFonts w:ascii="Arial" w:eastAsia="Arial" w:hAnsi="Arial" w:cs="Arial"/>
              <w:color w:val="000000"/>
              <w:sz w:val="22"/>
              <w:szCs w:val="22"/>
            </w:rPr>
          </w:pPr>
          <w:hyperlink w:anchor="_heading=">
            <w:r w:rsidR="00D02C31">
              <w:rPr>
                <w:rFonts w:ascii="Arial" w:eastAsia="Arial" w:hAnsi="Arial" w:cs="Arial"/>
                <w:b/>
                <w:color w:val="000000"/>
                <w:sz w:val="22"/>
                <w:szCs w:val="22"/>
              </w:rPr>
              <w:t>Reseña histórica sobre los métodos de pago</w:t>
            </w:r>
            <w:r w:rsidR="00D02C31">
              <w:rPr>
                <w:rFonts w:ascii="Arial" w:eastAsia="Arial" w:hAnsi="Arial" w:cs="Arial"/>
                <w:b/>
                <w:color w:val="000000"/>
                <w:sz w:val="22"/>
                <w:szCs w:val="22"/>
              </w:rPr>
              <w:tab/>
              <w:t>21</w:t>
            </w:r>
          </w:hyperlink>
        </w:p>
        <w:p w14:paraId="525DF55C" w14:textId="77777777" w:rsidR="0035403C" w:rsidRDefault="00C20BE8">
          <w:pPr>
            <w:widowControl w:val="0"/>
            <w:tabs>
              <w:tab w:val="right" w:pos="12000"/>
            </w:tabs>
            <w:spacing w:before="60"/>
            <w:ind w:left="360"/>
            <w:rPr>
              <w:rFonts w:ascii="Arial" w:eastAsia="Arial" w:hAnsi="Arial" w:cs="Arial"/>
              <w:color w:val="000000"/>
              <w:sz w:val="22"/>
              <w:szCs w:val="22"/>
            </w:rPr>
          </w:pPr>
          <w:hyperlink w:anchor="_heading=h.ihv636">
            <w:r w:rsidR="00D02C31">
              <w:rPr>
                <w:color w:val="000000"/>
              </w:rPr>
              <w:t>Reseña histórica sobre las tecnologías de nube</w:t>
            </w:r>
            <w:r w:rsidR="00D02C31">
              <w:rPr>
                <w:color w:val="000000"/>
              </w:rPr>
              <w:tab/>
              <w:t>22</w:t>
            </w:r>
          </w:hyperlink>
        </w:p>
        <w:p w14:paraId="00878983" w14:textId="77777777" w:rsidR="0035403C" w:rsidRDefault="00C20BE8">
          <w:pPr>
            <w:widowControl w:val="0"/>
            <w:tabs>
              <w:tab w:val="right" w:pos="12000"/>
            </w:tabs>
            <w:spacing w:before="60"/>
            <w:ind w:left="360"/>
            <w:rPr>
              <w:rFonts w:ascii="Arial" w:eastAsia="Arial" w:hAnsi="Arial" w:cs="Arial"/>
              <w:color w:val="000000"/>
              <w:sz w:val="22"/>
              <w:szCs w:val="22"/>
            </w:rPr>
          </w:pPr>
          <w:hyperlink w:anchor="_heading=h.1hmsyys">
            <w:r w:rsidR="00D02C31">
              <w:rPr>
                <w:color w:val="000000"/>
              </w:rPr>
              <w:t>Tendencias en la nube</w:t>
            </w:r>
            <w:r w:rsidR="00D02C31">
              <w:rPr>
                <w:color w:val="000000"/>
              </w:rPr>
              <w:tab/>
              <w:t>23</w:t>
            </w:r>
          </w:hyperlink>
        </w:p>
        <w:p w14:paraId="383C7A92" w14:textId="77777777" w:rsidR="0035403C" w:rsidRDefault="00C20BE8">
          <w:pPr>
            <w:widowControl w:val="0"/>
            <w:tabs>
              <w:tab w:val="right" w:pos="12000"/>
            </w:tabs>
            <w:spacing w:before="60"/>
            <w:ind w:left="360"/>
            <w:rPr>
              <w:rFonts w:ascii="Arial" w:eastAsia="Arial" w:hAnsi="Arial" w:cs="Arial"/>
              <w:color w:val="000000"/>
              <w:sz w:val="22"/>
              <w:szCs w:val="22"/>
            </w:rPr>
          </w:pPr>
          <w:hyperlink w:anchor="_heading=h.41mghml">
            <w:r w:rsidR="00D02C31">
              <w:rPr>
                <w:color w:val="000000"/>
              </w:rPr>
              <w:t>Competidores y su elección</w:t>
            </w:r>
            <w:r w:rsidR="00D02C31">
              <w:rPr>
                <w:color w:val="000000"/>
              </w:rPr>
              <w:tab/>
              <w:t>23</w:t>
            </w:r>
          </w:hyperlink>
        </w:p>
        <w:p w14:paraId="0B5C4786" w14:textId="77777777" w:rsidR="0035403C" w:rsidRDefault="00C20BE8">
          <w:pPr>
            <w:widowControl w:val="0"/>
            <w:tabs>
              <w:tab w:val="right" w:pos="12000"/>
            </w:tabs>
            <w:spacing w:before="60"/>
            <w:rPr>
              <w:rFonts w:ascii="Arial" w:eastAsia="Arial" w:hAnsi="Arial" w:cs="Arial"/>
              <w:b/>
              <w:color w:val="000000"/>
              <w:sz w:val="22"/>
              <w:szCs w:val="22"/>
            </w:rPr>
          </w:pPr>
          <w:hyperlink w:anchor="_heading=h.3fwokq0">
            <w:r w:rsidR="00D02C31">
              <w:rPr>
                <w:b/>
                <w:color w:val="000000"/>
              </w:rPr>
              <w:t>EL SECTOR: INTRODUCCIÓN AL MUNDO BANCARIO</w:t>
            </w:r>
            <w:r w:rsidR="00D02C31">
              <w:rPr>
                <w:b/>
                <w:color w:val="000000"/>
              </w:rPr>
              <w:tab/>
              <w:t>26</w:t>
            </w:r>
          </w:hyperlink>
        </w:p>
        <w:p w14:paraId="11B251DB" w14:textId="77777777" w:rsidR="0035403C" w:rsidRDefault="00C20BE8">
          <w:pPr>
            <w:widowControl w:val="0"/>
            <w:tabs>
              <w:tab w:val="right" w:pos="12000"/>
            </w:tabs>
            <w:spacing w:before="60"/>
            <w:rPr>
              <w:rFonts w:ascii="Arial" w:eastAsia="Arial" w:hAnsi="Arial" w:cs="Arial"/>
              <w:b/>
              <w:color w:val="000000"/>
              <w:sz w:val="22"/>
              <w:szCs w:val="22"/>
            </w:rPr>
          </w:pPr>
          <w:hyperlink w:anchor="_heading=h.1v1yuxt">
            <w:r w:rsidR="00D02C31">
              <w:rPr>
                <w:b/>
                <w:color w:val="000000"/>
              </w:rPr>
              <w:t>NORMATIVAS Y LEGALES</w:t>
            </w:r>
            <w:r w:rsidR="00D02C31">
              <w:rPr>
                <w:b/>
                <w:color w:val="000000"/>
              </w:rPr>
              <w:tab/>
              <w:t>26</w:t>
            </w:r>
          </w:hyperlink>
        </w:p>
        <w:p w14:paraId="12882452" w14:textId="77777777" w:rsidR="0035403C" w:rsidRDefault="00C20BE8">
          <w:pPr>
            <w:widowControl w:val="0"/>
            <w:tabs>
              <w:tab w:val="right" w:pos="12000"/>
            </w:tabs>
            <w:spacing w:before="60"/>
            <w:rPr>
              <w:rFonts w:ascii="Arial" w:eastAsia="Arial" w:hAnsi="Arial" w:cs="Arial"/>
              <w:b/>
              <w:color w:val="000000"/>
              <w:sz w:val="22"/>
              <w:szCs w:val="22"/>
            </w:rPr>
          </w:pPr>
          <w:hyperlink w:anchor="_heading=h.4f1mdlm">
            <w:r w:rsidR="00D02C31">
              <w:rPr>
                <w:b/>
                <w:color w:val="000000"/>
              </w:rPr>
              <w:t>COMPETIDORES DIRECTOS</w:t>
            </w:r>
            <w:r w:rsidR="00D02C31">
              <w:rPr>
                <w:b/>
                <w:color w:val="000000"/>
              </w:rPr>
              <w:tab/>
              <w:t>27</w:t>
            </w:r>
          </w:hyperlink>
        </w:p>
        <w:p w14:paraId="23AAA9D1" w14:textId="77777777" w:rsidR="0035403C" w:rsidRDefault="00C20BE8">
          <w:pPr>
            <w:widowControl w:val="0"/>
            <w:tabs>
              <w:tab w:val="right" w:pos="12000"/>
            </w:tabs>
            <w:spacing w:before="60"/>
            <w:ind w:left="360"/>
            <w:rPr>
              <w:rFonts w:ascii="Arial" w:eastAsia="Arial" w:hAnsi="Arial" w:cs="Arial"/>
              <w:color w:val="000000"/>
              <w:sz w:val="22"/>
              <w:szCs w:val="22"/>
            </w:rPr>
          </w:pPr>
          <w:hyperlink w:anchor="_heading=h.2u6wntf">
            <w:r w:rsidR="00D02C31">
              <w:rPr>
                <w:color w:val="000000"/>
              </w:rPr>
              <w:t>Análisis del micro entorno en el mercado</w:t>
            </w:r>
            <w:r w:rsidR="00D02C31">
              <w:rPr>
                <w:color w:val="000000"/>
              </w:rPr>
              <w:tab/>
              <w:t>28</w:t>
            </w:r>
          </w:hyperlink>
        </w:p>
        <w:p w14:paraId="2B72050F" w14:textId="77777777" w:rsidR="0035403C" w:rsidRDefault="00C20BE8">
          <w:pPr>
            <w:widowControl w:val="0"/>
            <w:tabs>
              <w:tab w:val="right" w:pos="12000"/>
            </w:tabs>
            <w:spacing w:before="60"/>
            <w:ind w:left="360"/>
            <w:rPr>
              <w:rFonts w:ascii="Arial" w:eastAsia="Arial" w:hAnsi="Arial" w:cs="Arial"/>
              <w:color w:val="000000"/>
              <w:sz w:val="22"/>
              <w:szCs w:val="22"/>
            </w:rPr>
          </w:pPr>
          <w:hyperlink w:anchor="_heading=h.28h4qwu">
            <w:r w:rsidR="00D02C31">
              <w:rPr>
                <w:color w:val="000000"/>
              </w:rPr>
              <w:t>Volumen del mercado</w:t>
            </w:r>
            <w:r w:rsidR="00D02C31">
              <w:rPr>
                <w:color w:val="000000"/>
              </w:rPr>
              <w:tab/>
              <w:t>29</w:t>
            </w:r>
          </w:hyperlink>
        </w:p>
        <w:p w14:paraId="5F783F0C" w14:textId="77777777" w:rsidR="0035403C" w:rsidRDefault="00C20BE8">
          <w:pPr>
            <w:widowControl w:val="0"/>
            <w:tabs>
              <w:tab w:val="right" w:pos="12000"/>
            </w:tabs>
            <w:spacing w:before="60"/>
            <w:ind w:left="360"/>
            <w:rPr>
              <w:rFonts w:ascii="Arial" w:eastAsia="Arial" w:hAnsi="Arial" w:cs="Arial"/>
              <w:color w:val="000000"/>
              <w:sz w:val="22"/>
              <w:szCs w:val="22"/>
            </w:rPr>
          </w:pPr>
          <w:hyperlink w:anchor="_heading=h.3l18frh">
            <w:r w:rsidR="00D02C31">
              <w:rPr>
                <w:color w:val="000000"/>
              </w:rPr>
              <w:t>Tablero de control – Informe mensual</w:t>
            </w:r>
            <w:r w:rsidR="00D02C31">
              <w:rPr>
                <w:color w:val="000000"/>
              </w:rPr>
              <w:tab/>
              <w:t>31</w:t>
            </w:r>
          </w:hyperlink>
        </w:p>
        <w:p w14:paraId="5B2BF02B" w14:textId="77777777" w:rsidR="0035403C" w:rsidRDefault="00C20BE8">
          <w:pPr>
            <w:widowControl w:val="0"/>
            <w:tabs>
              <w:tab w:val="right" w:pos="12000"/>
            </w:tabs>
            <w:spacing w:before="60"/>
            <w:rPr>
              <w:rFonts w:ascii="Arial" w:eastAsia="Arial" w:hAnsi="Arial" w:cs="Arial"/>
              <w:b/>
              <w:color w:val="000000"/>
              <w:sz w:val="22"/>
              <w:szCs w:val="22"/>
            </w:rPr>
          </w:pPr>
          <w:hyperlink w:anchor="_heading=h.4k668n3">
            <w:r w:rsidR="00D02C31">
              <w:rPr>
                <w:b/>
                <w:color w:val="000000"/>
              </w:rPr>
              <w:t>LA EMPRESA</w:t>
            </w:r>
            <w:r w:rsidR="00D02C31">
              <w:rPr>
                <w:b/>
                <w:color w:val="000000"/>
              </w:rPr>
              <w:tab/>
              <w:t>32</w:t>
            </w:r>
          </w:hyperlink>
        </w:p>
        <w:p w14:paraId="40A535AF" w14:textId="77777777" w:rsidR="0035403C" w:rsidRDefault="00C20BE8">
          <w:pPr>
            <w:widowControl w:val="0"/>
            <w:tabs>
              <w:tab w:val="right" w:pos="12000"/>
            </w:tabs>
            <w:spacing w:before="60"/>
            <w:ind w:left="360"/>
            <w:rPr>
              <w:rFonts w:ascii="Arial" w:eastAsia="Arial" w:hAnsi="Arial" w:cs="Arial"/>
              <w:color w:val="000000"/>
              <w:sz w:val="22"/>
              <w:szCs w:val="22"/>
            </w:rPr>
          </w:pPr>
          <w:hyperlink w:anchor="_heading=h.2zbgiuw">
            <w:r w:rsidR="00D02C31">
              <w:rPr>
                <w:color w:val="000000"/>
              </w:rPr>
              <w:t>Situación actual</w:t>
            </w:r>
            <w:r w:rsidR="00D02C31">
              <w:rPr>
                <w:color w:val="000000"/>
              </w:rPr>
              <w:tab/>
              <w:t>32</w:t>
            </w:r>
          </w:hyperlink>
        </w:p>
        <w:p w14:paraId="4B019B5E" w14:textId="77777777" w:rsidR="0035403C" w:rsidRDefault="00C20BE8">
          <w:pPr>
            <w:widowControl w:val="0"/>
            <w:tabs>
              <w:tab w:val="right" w:pos="12000"/>
            </w:tabs>
            <w:spacing w:before="60"/>
            <w:ind w:left="360"/>
            <w:rPr>
              <w:rFonts w:ascii="Arial" w:eastAsia="Arial" w:hAnsi="Arial" w:cs="Arial"/>
              <w:color w:val="000000"/>
              <w:sz w:val="22"/>
              <w:szCs w:val="22"/>
            </w:rPr>
          </w:pPr>
          <w:hyperlink w:anchor="_heading=h.1egqt2p">
            <w:r w:rsidR="00D02C31">
              <w:rPr>
                <w:color w:val="000000"/>
              </w:rPr>
              <w:t>Accionistas</w:t>
            </w:r>
            <w:r w:rsidR="00D02C31">
              <w:rPr>
                <w:color w:val="000000"/>
              </w:rPr>
              <w:tab/>
              <w:t>33</w:t>
            </w:r>
          </w:hyperlink>
        </w:p>
        <w:p w14:paraId="7BA2E90F" w14:textId="77777777" w:rsidR="0035403C" w:rsidRDefault="00C20BE8">
          <w:pPr>
            <w:widowControl w:val="0"/>
            <w:tabs>
              <w:tab w:val="right" w:pos="12000"/>
            </w:tabs>
            <w:spacing w:before="60"/>
            <w:ind w:left="360"/>
            <w:rPr>
              <w:rFonts w:ascii="Arial" w:eastAsia="Arial" w:hAnsi="Arial" w:cs="Arial"/>
              <w:color w:val="000000"/>
              <w:sz w:val="22"/>
              <w:szCs w:val="22"/>
            </w:rPr>
          </w:pPr>
          <w:hyperlink w:anchor="_heading=h.3ygebqi">
            <w:r w:rsidR="00D02C31">
              <w:rPr>
                <w:color w:val="000000"/>
              </w:rPr>
              <w:t>Propuesta de valor</w:t>
            </w:r>
            <w:r w:rsidR="00D02C31">
              <w:rPr>
                <w:color w:val="000000"/>
              </w:rPr>
              <w:tab/>
              <w:t>33</w:t>
            </w:r>
          </w:hyperlink>
        </w:p>
        <w:p w14:paraId="00B5B33E" w14:textId="77777777" w:rsidR="0035403C" w:rsidRDefault="00C20BE8">
          <w:pPr>
            <w:widowControl w:val="0"/>
            <w:tabs>
              <w:tab w:val="right" w:pos="12000"/>
            </w:tabs>
            <w:spacing w:before="60"/>
            <w:ind w:left="360"/>
            <w:rPr>
              <w:rFonts w:ascii="Arial" w:eastAsia="Arial" w:hAnsi="Arial" w:cs="Arial"/>
              <w:color w:val="000000"/>
              <w:sz w:val="22"/>
              <w:szCs w:val="22"/>
            </w:rPr>
          </w:pPr>
          <w:hyperlink w:anchor="_heading=h.2dlolyb">
            <w:r w:rsidR="00D02C31">
              <w:rPr>
                <w:color w:val="000000"/>
              </w:rPr>
              <w:t>Matriz FODA</w:t>
            </w:r>
            <w:r w:rsidR="00D02C31">
              <w:rPr>
                <w:color w:val="000000"/>
              </w:rPr>
              <w:tab/>
              <w:t>34</w:t>
            </w:r>
          </w:hyperlink>
        </w:p>
        <w:p w14:paraId="2B772217" w14:textId="77777777" w:rsidR="0035403C" w:rsidRDefault="00C20BE8">
          <w:pPr>
            <w:widowControl w:val="0"/>
            <w:tabs>
              <w:tab w:val="right" w:pos="12000"/>
            </w:tabs>
            <w:spacing w:before="60"/>
            <w:ind w:left="360"/>
            <w:rPr>
              <w:rFonts w:ascii="Arial" w:eastAsia="Arial" w:hAnsi="Arial" w:cs="Arial"/>
              <w:color w:val="000000"/>
              <w:sz w:val="22"/>
              <w:szCs w:val="22"/>
            </w:rPr>
          </w:pPr>
          <w:hyperlink w:anchor="_heading=h.sqyw64">
            <w:r w:rsidR="00D02C31">
              <w:rPr>
                <w:color w:val="000000"/>
              </w:rPr>
              <w:t>Matriz de las Fuerzas competitivas de Porter</w:t>
            </w:r>
            <w:r w:rsidR="00D02C31">
              <w:rPr>
                <w:color w:val="000000"/>
              </w:rPr>
              <w:tab/>
              <w:t>35</w:t>
            </w:r>
          </w:hyperlink>
        </w:p>
        <w:p w14:paraId="7D1BAA9E" w14:textId="77777777" w:rsidR="0035403C" w:rsidRDefault="00C20BE8">
          <w:pPr>
            <w:widowControl w:val="0"/>
            <w:tabs>
              <w:tab w:val="right" w:pos="12000"/>
            </w:tabs>
            <w:spacing w:before="60"/>
            <w:ind w:left="360"/>
            <w:rPr>
              <w:rFonts w:ascii="Arial" w:eastAsia="Arial" w:hAnsi="Arial" w:cs="Arial"/>
              <w:color w:val="000000"/>
              <w:sz w:val="22"/>
              <w:szCs w:val="22"/>
            </w:rPr>
          </w:pPr>
          <w:hyperlink w:anchor="_heading=h.3cqmetx">
            <w:r w:rsidR="00D02C31">
              <w:rPr>
                <w:color w:val="000000"/>
              </w:rPr>
              <w:t>Matriz BCG</w:t>
            </w:r>
            <w:r w:rsidR="00D02C31">
              <w:rPr>
                <w:color w:val="000000"/>
              </w:rPr>
              <w:tab/>
              <w:t>36</w:t>
            </w:r>
          </w:hyperlink>
        </w:p>
        <w:p w14:paraId="0729C9DE" w14:textId="77777777" w:rsidR="0035403C" w:rsidRDefault="00C20BE8">
          <w:pPr>
            <w:widowControl w:val="0"/>
            <w:tabs>
              <w:tab w:val="right" w:pos="12000"/>
            </w:tabs>
            <w:spacing w:before="60"/>
            <w:ind w:left="360"/>
            <w:rPr>
              <w:rFonts w:ascii="Arial" w:eastAsia="Arial" w:hAnsi="Arial" w:cs="Arial"/>
              <w:color w:val="000000"/>
              <w:sz w:val="22"/>
              <w:szCs w:val="22"/>
            </w:rPr>
          </w:pPr>
          <w:hyperlink w:anchor="_heading=h.1rvwp1q">
            <w:r w:rsidR="00D02C31">
              <w:rPr>
                <w:color w:val="000000"/>
              </w:rPr>
              <w:t>Matriz EFE</w:t>
            </w:r>
            <w:r w:rsidR="00D02C31">
              <w:rPr>
                <w:color w:val="000000"/>
              </w:rPr>
              <w:tab/>
              <w:t>37</w:t>
            </w:r>
          </w:hyperlink>
        </w:p>
        <w:p w14:paraId="59B02649" w14:textId="77777777" w:rsidR="0035403C" w:rsidRDefault="00C20BE8">
          <w:pPr>
            <w:widowControl w:val="0"/>
            <w:tabs>
              <w:tab w:val="right" w:pos="12000"/>
            </w:tabs>
            <w:spacing w:before="60"/>
            <w:ind w:left="360"/>
            <w:rPr>
              <w:rFonts w:ascii="Arial" w:eastAsia="Arial" w:hAnsi="Arial" w:cs="Arial"/>
              <w:color w:val="000000"/>
              <w:sz w:val="22"/>
              <w:szCs w:val="22"/>
            </w:rPr>
          </w:pPr>
          <w:hyperlink w:anchor="_heading=h.4bvk7pj">
            <w:r w:rsidR="00D02C31">
              <w:rPr>
                <w:color w:val="000000"/>
              </w:rPr>
              <w:t>Matriz EFI</w:t>
            </w:r>
            <w:r w:rsidR="00D02C31">
              <w:rPr>
                <w:color w:val="000000"/>
              </w:rPr>
              <w:tab/>
              <w:t>38</w:t>
            </w:r>
          </w:hyperlink>
        </w:p>
        <w:p w14:paraId="7EA8D9F8" w14:textId="77777777" w:rsidR="0035403C" w:rsidRDefault="00C20BE8">
          <w:pPr>
            <w:widowControl w:val="0"/>
            <w:tabs>
              <w:tab w:val="right" w:pos="12000"/>
            </w:tabs>
            <w:spacing w:before="60"/>
            <w:rPr>
              <w:rFonts w:ascii="Arial" w:eastAsia="Arial" w:hAnsi="Arial" w:cs="Arial"/>
              <w:b/>
              <w:color w:val="000000"/>
              <w:sz w:val="22"/>
              <w:szCs w:val="22"/>
            </w:rPr>
          </w:pPr>
          <w:hyperlink w:anchor="_heading=h.2r0uhxc">
            <w:r w:rsidR="00D02C31">
              <w:rPr>
                <w:b/>
                <w:color w:val="000000"/>
              </w:rPr>
              <w:t>PROCESOS CLAVES Y RECURSOS ESTRATÉGICOS</w:t>
            </w:r>
            <w:r w:rsidR="00D02C31">
              <w:rPr>
                <w:b/>
                <w:color w:val="000000"/>
              </w:rPr>
              <w:tab/>
              <w:t>38</w:t>
            </w:r>
          </w:hyperlink>
        </w:p>
        <w:p w14:paraId="0F2386BC" w14:textId="77777777" w:rsidR="0035403C" w:rsidRDefault="00C20BE8">
          <w:pPr>
            <w:widowControl w:val="0"/>
            <w:tabs>
              <w:tab w:val="right" w:pos="12000"/>
            </w:tabs>
            <w:spacing w:before="60"/>
            <w:ind w:left="360"/>
            <w:rPr>
              <w:rFonts w:ascii="Arial" w:eastAsia="Arial" w:hAnsi="Arial" w:cs="Arial"/>
              <w:color w:val="000000"/>
              <w:sz w:val="22"/>
              <w:szCs w:val="22"/>
            </w:rPr>
          </w:pPr>
          <w:hyperlink w:anchor="_heading=h.1664s55">
            <w:r w:rsidR="00D02C31">
              <w:rPr>
                <w:color w:val="000000"/>
              </w:rPr>
              <w:t>Rol de administrador</w:t>
            </w:r>
            <w:r w:rsidR="00D02C31">
              <w:rPr>
                <w:color w:val="000000"/>
              </w:rPr>
              <w:tab/>
              <w:t>39</w:t>
            </w:r>
          </w:hyperlink>
        </w:p>
        <w:p w14:paraId="2DD843E7" w14:textId="77777777" w:rsidR="0035403C" w:rsidRDefault="00C20BE8">
          <w:pPr>
            <w:widowControl w:val="0"/>
            <w:tabs>
              <w:tab w:val="right" w:pos="12000"/>
            </w:tabs>
            <w:spacing w:before="60"/>
            <w:ind w:left="360"/>
            <w:rPr>
              <w:rFonts w:ascii="Arial" w:eastAsia="Arial" w:hAnsi="Arial" w:cs="Arial"/>
              <w:color w:val="000000"/>
              <w:sz w:val="22"/>
              <w:szCs w:val="22"/>
            </w:rPr>
          </w:pPr>
          <w:hyperlink w:anchor="_heading=h.3q5sasy">
            <w:r w:rsidR="00D02C31">
              <w:rPr>
                <w:color w:val="000000"/>
              </w:rPr>
              <w:t>Rol de operador</w:t>
            </w:r>
            <w:r w:rsidR="00D02C31">
              <w:rPr>
                <w:color w:val="000000"/>
              </w:rPr>
              <w:tab/>
              <w:t>39</w:t>
            </w:r>
          </w:hyperlink>
        </w:p>
        <w:p w14:paraId="3E840E4D" w14:textId="77777777" w:rsidR="0035403C" w:rsidRDefault="00C20BE8">
          <w:pPr>
            <w:widowControl w:val="0"/>
            <w:tabs>
              <w:tab w:val="right" w:pos="12000"/>
            </w:tabs>
            <w:spacing w:before="60"/>
            <w:ind w:left="360"/>
            <w:rPr>
              <w:rFonts w:ascii="Arial" w:eastAsia="Arial" w:hAnsi="Arial" w:cs="Arial"/>
              <w:color w:val="000000"/>
              <w:sz w:val="22"/>
              <w:szCs w:val="22"/>
            </w:rPr>
          </w:pPr>
          <w:hyperlink w:anchor="_heading=h.25b2l0r">
            <w:r w:rsidR="00D02C31">
              <w:rPr>
                <w:color w:val="000000"/>
              </w:rPr>
              <w:t>Principios cumplidos</w:t>
            </w:r>
            <w:r w:rsidR="00D02C31">
              <w:rPr>
                <w:color w:val="000000"/>
              </w:rPr>
              <w:tab/>
              <w:t>39</w:t>
            </w:r>
          </w:hyperlink>
        </w:p>
        <w:p w14:paraId="404ED262" w14:textId="77777777" w:rsidR="0035403C" w:rsidRDefault="00C20BE8">
          <w:pPr>
            <w:widowControl w:val="0"/>
            <w:tabs>
              <w:tab w:val="right" w:pos="12000"/>
            </w:tabs>
            <w:spacing w:before="60"/>
            <w:rPr>
              <w:rFonts w:ascii="Arial" w:eastAsia="Arial" w:hAnsi="Arial" w:cs="Arial"/>
              <w:b/>
              <w:color w:val="000000"/>
              <w:sz w:val="22"/>
              <w:szCs w:val="22"/>
            </w:rPr>
          </w:pPr>
          <w:hyperlink w:anchor="_heading=h.kgcv8k">
            <w:r w:rsidR="00D02C31">
              <w:rPr>
                <w:b/>
                <w:color w:val="000000"/>
              </w:rPr>
              <w:t>RELACIONES DE RSE</w:t>
            </w:r>
            <w:r w:rsidR="00D02C31">
              <w:rPr>
                <w:b/>
                <w:color w:val="000000"/>
              </w:rPr>
              <w:tab/>
              <w:t>40</w:t>
            </w:r>
          </w:hyperlink>
        </w:p>
        <w:p w14:paraId="2270A4C3" w14:textId="77777777" w:rsidR="0035403C" w:rsidRDefault="00C20BE8">
          <w:pPr>
            <w:widowControl w:val="0"/>
            <w:tabs>
              <w:tab w:val="right" w:pos="12000"/>
            </w:tabs>
            <w:spacing w:before="60"/>
            <w:ind w:left="360"/>
            <w:rPr>
              <w:rFonts w:ascii="Arial" w:eastAsia="Arial" w:hAnsi="Arial" w:cs="Arial"/>
              <w:color w:val="000000"/>
              <w:sz w:val="22"/>
              <w:szCs w:val="22"/>
            </w:rPr>
          </w:pPr>
          <w:hyperlink w:anchor="_heading=h.34g0dwd">
            <w:r w:rsidR="00D02C31">
              <w:rPr>
                <w:color w:val="000000"/>
              </w:rPr>
              <w:t>Incorporación de políticas de DEI (Diversidad, Equidad e Inclusión)</w:t>
            </w:r>
            <w:r w:rsidR="00D02C31">
              <w:rPr>
                <w:color w:val="000000"/>
              </w:rPr>
              <w:tab/>
              <w:t>40</w:t>
            </w:r>
          </w:hyperlink>
        </w:p>
        <w:p w14:paraId="7BDDAB2E" w14:textId="77777777" w:rsidR="0035403C" w:rsidRDefault="00C20BE8">
          <w:pPr>
            <w:widowControl w:val="0"/>
            <w:tabs>
              <w:tab w:val="right" w:pos="12000"/>
            </w:tabs>
            <w:spacing w:before="60"/>
            <w:ind w:left="360"/>
            <w:rPr>
              <w:rFonts w:ascii="Arial" w:eastAsia="Arial" w:hAnsi="Arial" w:cs="Arial"/>
              <w:color w:val="000000"/>
              <w:sz w:val="22"/>
              <w:szCs w:val="22"/>
            </w:rPr>
          </w:pPr>
          <w:hyperlink w:anchor="_heading=h.1jlao46">
            <w:r w:rsidR="00D02C31">
              <w:rPr>
                <w:color w:val="000000"/>
              </w:rPr>
              <w:t>Proveedores Sustentables</w:t>
            </w:r>
            <w:r w:rsidR="00D02C31">
              <w:rPr>
                <w:color w:val="000000"/>
              </w:rPr>
              <w:tab/>
              <w:t>40</w:t>
            </w:r>
          </w:hyperlink>
        </w:p>
        <w:p w14:paraId="7E4ED447" w14:textId="77777777" w:rsidR="0035403C" w:rsidRDefault="00C20BE8">
          <w:pPr>
            <w:widowControl w:val="0"/>
            <w:tabs>
              <w:tab w:val="right" w:pos="12000"/>
            </w:tabs>
            <w:spacing w:before="60"/>
            <w:ind w:left="360"/>
            <w:rPr>
              <w:rFonts w:ascii="Arial" w:eastAsia="Arial" w:hAnsi="Arial" w:cs="Arial"/>
              <w:color w:val="000000"/>
              <w:sz w:val="22"/>
              <w:szCs w:val="22"/>
            </w:rPr>
          </w:pPr>
          <w:hyperlink w:anchor="_heading=h.43ky6rz">
            <w:r w:rsidR="00D02C31">
              <w:rPr>
                <w:color w:val="000000"/>
              </w:rPr>
              <w:t>Servicio de cálculo y compensación de huella de Carbono</w:t>
            </w:r>
            <w:r w:rsidR="00D02C31">
              <w:rPr>
                <w:color w:val="000000"/>
              </w:rPr>
              <w:tab/>
              <w:t>40</w:t>
            </w:r>
          </w:hyperlink>
        </w:p>
        <w:p w14:paraId="3184096B" w14:textId="77777777" w:rsidR="0035403C" w:rsidRDefault="00C20BE8">
          <w:pPr>
            <w:widowControl w:val="0"/>
            <w:tabs>
              <w:tab w:val="right" w:pos="12000"/>
            </w:tabs>
            <w:spacing w:before="60"/>
            <w:ind w:left="360"/>
            <w:rPr>
              <w:rFonts w:ascii="Arial" w:eastAsia="Arial" w:hAnsi="Arial" w:cs="Arial"/>
              <w:color w:val="000000"/>
              <w:sz w:val="22"/>
              <w:szCs w:val="22"/>
            </w:rPr>
          </w:pPr>
          <w:hyperlink w:anchor="_heading=h.2iq8gzs">
            <w:r w:rsidR="00D02C31">
              <w:rPr>
                <w:color w:val="000000"/>
              </w:rPr>
              <w:t>Diagrama de posible operación</w:t>
            </w:r>
            <w:r w:rsidR="00D02C31">
              <w:rPr>
                <w:color w:val="000000"/>
              </w:rPr>
              <w:tab/>
              <w:t>40</w:t>
            </w:r>
          </w:hyperlink>
        </w:p>
        <w:p w14:paraId="6C1F1EC5" w14:textId="77777777" w:rsidR="0035403C" w:rsidRDefault="00C20BE8">
          <w:pPr>
            <w:widowControl w:val="0"/>
            <w:tabs>
              <w:tab w:val="right" w:pos="12000"/>
            </w:tabs>
            <w:spacing w:before="60"/>
            <w:ind w:left="360"/>
            <w:rPr>
              <w:rFonts w:ascii="Arial" w:eastAsia="Arial" w:hAnsi="Arial" w:cs="Arial"/>
              <w:color w:val="000000"/>
              <w:sz w:val="22"/>
              <w:szCs w:val="22"/>
            </w:rPr>
          </w:pPr>
          <w:hyperlink w:anchor="_heading=h.3hv69ve">
            <w:r w:rsidR="00D02C31">
              <w:rPr>
                <w:color w:val="000000"/>
              </w:rPr>
              <w:t>Valor agregado de COELSA</w:t>
            </w:r>
            <w:r w:rsidR="00D02C31">
              <w:rPr>
                <w:color w:val="000000"/>
              </w:rPr>
              <w:tab/>
              <w:t>40</w:t>
            </w:r>
          </w:hyperlink>
        </w:p>
        <w:p w14:paraId="63516184" w14:textId="77777777" w:rsidR="0035403C" w:rsidRDefault="00C20BE8">
          <w:pPr>
            <w:widowControl w:val="0"/>
            <w:tabs>
              <w:tab w:val="right" w:pos="12000"/>
            </w:tabs>
            <w:spacing w:before="60"/>
            <w:ind w:left="360"/>
            <w:rPr>
              <w:rFonts w:ascii="Arial" w:eastAsia="Arial" w:hAnsi="Arial" w:cs="Arial"/>
              <w:color w:val="000000"/>
              <w:sz w:val="22"/>
              <w:szCs w:val="22"/>
            </w:rPr>
          </w:pPr>
          <w:hyperlink w:anchor="_heading=h.1x0gk37">
            <w:r w:rsidR="00D02C31">
              <w:rPr>
                <w:color w:val="000000"/>
              </w:rPr>
              <w:t>Un diferenciador en la estrategia</w:t>
            </w:r>
            <w:r w:rsidR="00D02C31">
              <w:rPr>
                <w:color w:val="000000"/>
              </w:rPr>
              <w:tab/>
              <w:t>41</w:t>
            </w:r>
          </w:hyperlink>
        </w:p>
        <w:p w14:paraId="30B3D432" w14:textId="77777777" w:rsidR="0035403C" w:rsidRDefault="00C20BE8">
          <w:pPr>
            <w:widowControl w:val="0"/>
            <w:tabs>
              <w:tab w:val="right" w:pos="12000"/>
            </w:tabs>
            <w:spacing w:before="60"/>
            <w:rPr>
              <w:rFonts w:ascii="Arial" w:eastAsia="Arial" w:hAnsi="Arial" w:cs="Arial"/>
              <w:b/>
              <w:color w:val="000000"/>
              <w:sz w:val="22"/>
              <w:szCs w:val="22"/>
            </w:rPr>
          </w:pPr>
          <w:hyperlink w:anchor="_heading=h.4h042r0">
            <w:r w:rsidR="00D02C31">
              <w:rPr>
                <w:b/>
                <w:color w:val="000000"/>
              </w:rPr>
              <w:t>METODOLOGÍA DE LA INVESTIGACIÓN</w:t>
            </w:r>
            <w:r w:rsidR="00D02C31">
              <w:rPr>
                <w:b/>
                <w:color w:val="000000"/>
              </w:rPr>
              <w:tab/>
              <w:t>42</w:t>
            </w:r>
          </w:hyperlink>
        </w:p>
        <w:p w14:paraId="67768B6F" w14:textId="77777777" w:rsidR="0035403C" w:rsidRDefault="00C20BE8">
          <w:pPr>
            <w:widowControl w:val="0"/>
            <w:tabs>
              <w:tab w:val="right" w:pos="12000"/>
            </w:tabs>
            <w:spacing w:before="60"/>
            <w:rPr>
              <w:rFonts w:ascii="Arial" w:eastAsia="Arial" w:hAnsi="Arial" w:cs="Arial"/>
              <w:b/>
              <w:color w:val="000000"/>
              <w:sz w:val="22"/>
              <w:szCs w:val="22"/>
            </w:rPr>
          </w:pPr>
          <w:hyperlink w:anchor="_heading=h.2w5ecyt">
            <w:r w:rsidR="00D02C31">
              <w:rPr>
                <w:b/>
                <w:color w:val="000000"/>
              </w:rPr>
              <w:t>ESTRATEGIAS PARA LA MODERNIZACIÓN DE SISTEMAS MONOLÍTICOS</w:t>
            </w:r>
            <w:r w:rsidR="00D02C31">
              <w:rPr>
                <w:b/>
                <w:color w:val="000000"/>
              </w:rPr>
              <w:tab/>
              <w:t>43</w:t>
            </w:r>
          </w:hyperlink>
        </w:p>
        <w:p w14:paraId="2BC053B9" w14:textId="77777777" w:rsidR="0035403C" w:rsidRDefault="00C20BE8">
          <w:pPr>
            <w:widowControl w:val="0"/>
            <w:tabs>
              <w:tab w:val="right" w:pos="12000"/>
            </w:tabs>
            <w:spacing w:before="60"/>
            <w:rPr>
              <w:rFonts w:ascii="Arial" w:eastAsia="Arial" w:hAnsi="Arial" w:cs="Arial"/>
              <w:b/>
              <w:color w:val="000000"/>
              <w:sz w:val="22"/>
              <w:szCs w:val="22"/>
            </w:rPr>
          </w:pPr>
          <w:hyperlink w:anchor="_heading=h.1baon6m">
            <w:r w:rsidR="00D02C31">
              <w:rPr>
                <w:b/>
                <w:color w:val="000000"/>
              </w:rPr>
              <w:t>USO DE SERVICIOS EN LA NUBE</w:t>
            </w:r>
            <w:r w:rsidR="00D02C31">
              <w:rPr>
                <w:b/>
                <w:color w:val="000000"/>
              </w:rPr>
              <w:tab/>
              <w:t>43</w:t>
            </w:r>
          </w:hyperlink>
        </w:p>
        <w:p w14:paraId="2877186A" w14:textId="77777777" w:rsidR="0035403C" w:rsidRDefault="00C20BE8">
          <w:pPr>
            <w:widowControl w:val="0"/>
            <w:tabs>
              <w:tab w:val="right" w:pos="12000"/>
            </w:tabs>
            <w:spacing w:before="60"/>
            <w:ind w:left="360"/>
            <w:rPr>
              <w:rFonts w:ascii="Arial" w:eastAsia="Arial" w:hAnsi="Arial" w:cs="Arial"/>
              <w:color w:val="000000"/>
              <w:sz w:val="22"/>
              <w:szCs w:val="22"/>
            </w:rPr>
          </w:pPr>
          <w:hyperlink w:anchor="_heading=h.3vac5uf">
            <w:r w:rsidR="00D02C31">
              <w:rPr>
                <w:color w:val="000000"/>
              </w:rPr>
              <w:t>Escalabilidad</w:t>
            </w:r>
            <w:r w:rsidR="00D02C31">
              <w:rPr>
                <w:color w:val="000000"/>
              </w:rPr>
              <w:tab/>
              <w:t>43</w:t>
            </w:r>
          </w:hyperlink>
        </w:p>
        <w:p w14:paraId="197A8143" w14:textId="77777777" w:rsidR="0035403C" w:rsidRDefault="00C20BE8">
          <w:pPr>
            <w:widowControl w:val="0"/>
            <w:tabs>
              <w:tab w:val="right" w:pos="12000"/>
            </w:tabs>
            <w:spacing w:before="60"/>
            <w:ind w:left="360"/>
            <w:rPr>
              <w:rFonts w:ascii="Arial" w:eastAsia="Arial" w:hAnsi="Arial" w:cs="Arial"/>
              <w:color w:val="000000"/>
              <w:sz w:val="22"/>
              <w:szCs w:val="22"/>
            </w:rPr>
          </w:pPr>
          <w:hyperlink w:anchor="_heading=h.2afmg28">
            <w:r w:rsidR="00D02C31">
              <w:rPr>
                <w:color w:val="000000"/>
              </w:rPr>
              <w:t>Elasticidad</w:t>
            </w:r>
            <w:r w:rsidR="00D02C31">
              <w:rPr>
                <w:color w:val="000000"/>
              </w:rPr>
              <w:tab/>
              <w:t>44</w:t>
            </w:r>
          </w:hyperlink>
        </w:p>
        <w:p w14:paraId="2D3A65CB" w14:textId="77777777" w:rsidR="0035403C" w:rsidRDefault="00C20BE8">
          <w:pPr>
            <w:widowControl w:val="0"/>
            <w:tabs>
              <w:tab w:val="right" w:pos="12000"/>
            </w:tabs>
            <w:spacing w:before="60"/>
            <w:rPr>
              <w:rFonts w:ascii="Arial" w:eastAsia="Arial" w:hAnsi="Arial" w:cs="Arial"/>
              <w:b/>
              <w:color w:val="000000"/>
              <w:sz w:val="22"/>
              <w:szCs w:val="22"/>
            </w:rPr>
          </w:pPr>
          <w:hyperlink w:anchor="_heading=h.pkwqa1">
            <w:r w:rsidR="00D02C31">
              <w:rPr>
                <w:b/>
                <w:color w:val="000000"/>
              </w:rPr>
              <w:t>USO DE ARQUITECTURAS DE MICROSERVICIOS</w:t>
            </w:r>
            <w:r w:rsidR="00D02C31">
              <w:rPr>
                <w:b/>
                <w:color w:val="000000"/>
              </w:rPr>
              <w:tab/>
              <w:t>45</w:t>
            </w:r>
          </w:hyperlink>
        </w:p>
        <w:p w14:paraId="68A6C595" w14:textId="77777777" w:rsidR="0035403C" w:rsidRDefault="00C20BE8">
          <w:pPr>
            <w:widowControl w:val="0"/>
            <w:tabs>
              <w:tab w:val="right" w:pos="12000"/>
            </w:tabs>
            <w:spacing w:before="60"/>
            <w:rPr>
              <w:rFonts w:ascii="Arial" w:eastAsia="Arial" w:hAnsi="Arial" w:cs="Arial"/>
              <w:b/>
              <w:color w:val="000000"/>
              <w:sz w:val="22"/>
              <w:szCs w:val="22"/>
            </w:rPr>
          </w:pPr>
          <w:hyperlink w:anchor="_heading=h.1opuj5n">
            <w:r w:rsidR="00D02C31">
              <w:rPr>
                <w:b/>
                <w:color w:val="000000"/>
              </w:rPr>
              <w:t>USO DE CONTENEDORES</w:t>
            </w:r>
            <w:r w:rsidR="00D02C31">
              <w:rPr>
                <w:b/>
                <w:color w:val="000000"/>
              </w:rPr>
              <w:tab/>
              <w:t>46</w:t>
            </w:r>
          </w:hyperlink>
        </w:p>
        <w:p w14:paraId="5CC07D76" w14:textId="77777777" w:rsidR="0035403C" w:rsidRDefault="00C20BE8">
          <w:pPr>
            <w:widowControl w:val="0"/>
            <w:tabs>
              <w:tab w:val="right" w:pos="12000"/>
            </w:tabs>
            <w:spacing w:before="60"/>
            <w:rPr>
              <w:rFonts w:ascii="Arial" w:eastAsia="Arial" w:hAnsi="Arial" w:cs="Arial"/>
              <w:b/>
              <w:color w:val="000000"/>
              <w:sz w:val="22"/>
              <w:szCs w:val="22"/>
            </w:rPr>
          </w:pPr>
          <w:hyperlink w:anchor="_heading=h.2nusc19">
            <w:r w:rsidR="00D02C31">
              <w:rPr>
                <w:b/>
                <w:color w:val="000000"/>
              </w:rPr>
              <w:t>USO DE API’S</w:t>
            </w:r>
            <w:r w:rsidR="00D02C31">
              <w:rPr>
                <w:b/>
                <w:color w:val="000000"/>
              </w:rPr>
              <w:tab/>
              <w:t>46</w:t>
            </w:r>
          </w:hyperlink>
        </w:p>
        <w:p w14:paraId="670E9D5B" w14:textId="77777777" w:rsidR="0035403C" w:rsidRDefault="00C20BE8">
          <w:pPr>
            <w:widowControl w:val="0"/>
            <w:tabs>
              <w:tab w:val="right" w:pos="12000"/>
            </w:tabs>
            <w:spacing w:before="60"/>
            <w:ind w:left="360"/>
            <w:rPr>
              <w:rFonts w:ascii="Arial" w:eastAsia="Arial" w:hAnsi="Arial" w:cs="Arial"/>
              <w:color w:val="000000"/>
              <w:sz w:val="22"/>
              <w:szCs w:val="22"/>
            </w:rPr>
          </w:pPr>
          <w:hyperlink w:anchor="_heading=h.3mzq4wv">
            <w:r w:rsidR="00D02C31">
              <w:rPr>
                <w:color w:val="000000"/>
              </w:rPr>
              <w:t>Private APIs</w:t>
            </w:r>
            <w:r w:rsidR="00D02C31">
              <w:rPr>
                <w:color w:val="000000"/>
              </w:rPr>
              <w:tab/>
              <w:t>47</w:t>
            </w:r>
          </w:hyperlink>
        </w:p>
        <w:p w14:paraId="0274C00D" w14:textId="77777777" w:rsidR="0035403C" w:rsidRDefault="00C20BE8">
          <w:pPr>
            <w:widowControl w:val="0"/>
            <w:tabs>
              <w:tab w:val="right" w:pos="12000"/>
            </w:tabs>
            <w:spacing w:before="60"/>
            <w:ind w:left="360"/>
            <w:rPr>
              <w:rFonts w:ascii="Arial" w:eastAsia="Arial" w:hAnsi="Arial" w:cs="Arial"/>
              <w:color w:val="000000"/>
              <w:sz w:val="22"/>
              <w:szCs w:val="22"/>
            </w:rPr>
          </w:pPr>
          <w:hyperlink w:anchor="_heading=h.2250f4o">
            <w:r w:rsidR="00D02C31">
              <w:rPr>
                <w:color w:val="000000"/>
              </w:rPr>
              <w:t>Partner APIs</w:t>
            </w:r>
            <w:r w:rsidR="00D02C31">
              <w:rPr>
                <w:color w:val="000000"/>
              </w:rPr>
              <w:tab/>
              <w:t>47</w:t>
            </w:r>
          </w:hyperlink>
        </w:p>
        <w:p w14:paraId="1A57C784" w14:textId="77777777" w:rsidR="0035403C" w:rsidRDefault="00C20BE8">
          <w:pPr>
            <w:widowControl w:val="0"/>
            <w:tabs>
              <w:tab w:val="right" w:pos="12000"/>
            </w:tabs>
            <w:spacing w:before="60"/>
            <w:ind w:left="360"/>
            <w:rPr>
              <w:rFonts w:ascii="Arial" w:eastAsia="Arial" w:hAnsi="Arial" w:cs="Arial"/>
              <w:color w:val="000000"/>
              <w:sz w:val="22"/>
              <w:szCs w:val="22"/>
            </w:rPr>
          </w:pPr>
          <w:hyperlink w:anchor="_heading=h.haapch">
            <w:r w:rsidR="00D02C31">
              <w:rPr>
                <w:color w:val="000000"/>
              </w:rPr>
              <w:t>3rd Party APIs</w:t>
            </w:r>
            <w:r w:rsidR="00D02C31">
              <w:rPr>
                <w:color w:val="000000"/>
              </w:rPr>
              <w:tab/>
              <w:t>47</w:t>
            </w:r>
          </w:hyperlink>
        </w:p>
        <w:p w14:paraId="5BF9298E" w14:textId="77777777" w:rsidR="0035403C" w:rsidRDefault="00C20BE8">
          <w:pPr>
            <w:widowControl w:val="0"/>
            <w:tabs>
              <w:tab w:val="right" w:pos="12000"/>
            </w:tabs>
            <w:spacing w:before="60"/>
            <w:ind w:left="360"/>
            <w:rPr>
              <w:rFonts w:ascii="Arial" w:eastAsia="Arial" w:hAnsi="Arial" w:cs="Arial"/>
              <w:color w:val="000000"/>
              <w:sz w:val="22"/>
              <w:szCs w:val="22"/>
            </w:rPr>
          </w:pPr>
          <w:hyperlink w:anchor="_heading=h.319y80a">
            <w:r w:rsidR="00D02C31">
              <w:rPr>
                <w:color w:val="000000"/>
              </w:rPr>
              <w:t>Public APIs</w:t>
            </w:r>
            <w:r w:rsidR="00D02C31">
              <w:rPr>
                <w:color w:val="000000"/>
              </w:rPr>
              <w:tab/>
              <w:t>47</w:t>
            </w:r>
          </w:hyperlink>
        </w:p>
        <w:p w14:paraId="63E894A6" w14:textId="77777777" w:rsidR="0035403C" w:rsidRDefault="00C20BE8">
          <w:pPr>
            <w:widowControl w:val="0"/>
            <w:tabs>
              <w:tab w:val="right" w:pos="12000"/>
            </w:tabs>
            <w:spacing w:before="60"/>
            <w:rPr>
              <w:rFonts w:ascii="Arial" w:eastAsia="Arial" w:hAnsi="Arial" w:cs="Arial"/>
              <w:b/>
              <w:color w:val="000000"/>
              <w:sz w:val="22"/>
              <w:szCs w:val="22"/>
            </w:rPr>
          </w:pPr>
          <w:hyperlink w:anchor="_heading=h.1gf8i83">
            <w:r w:rsidR="00D02C31">
              <w:rPr>
                <w:b/>
                <w:color w:val="000000"/>
              </w:rPr>
              <w:t>USO DE API MANAGERS</w:t>
            </w:r>
            <w:r w:rsidR="00D02C31">
              <w:rPr>
                <w:b/>
                <w:color w:val="000000"/>
              </w:rPr>
              <w:tab/>
              <w:t>48</w:t>
            </w:r>
          </w:hyperlink>
        </w:p>
        <w:p w14:paraId="109A0FB3" w14:textId="77777777" w:rsidR="0035403C" w:rsidRDefault="00C20BE8">
          <w:pPr>
            <w:widowControl w:val="0"/>
            <w:tabs>
              <w:tab w:val="right" w:pos="12000"/>
            </w:tabs>
            <w:spacing w:before="60"/>
            <w:ind w:left="360"/>
            <w:rPr>
              <w:rFonts w:ascii="Arial" w:eastAsia="Arial" w:hAnsi="Arial" w:cs="Arial"/>
              <w:color w:val="000000"/>
              <w:sz w:val="22"/>
              <w:szCs w:val="22"/>
            </w:rPr>
          </w:pPr>
          <w:hyperlink w:anchor="_heading=">
            <w:r w:rsidR="00D02C31">
              <w:rPr>
                <w:rFonts w:ascii="Arial" w:eastAsia="Arial" w:hAnsi="Arial" w:cs="Arial"/>
                <w:b/>
                <w:color w:val="000000"/>
                <w:sz w:val="22"/>
                <w:szCs w:val="22"/>
              </w:rPr>
              <w:t>API Portal</w:t>
            </w:r>
            <w:r w:rsidR="00D02C31">
              <w:rPr>
                <w:rFonts w:ascii="Arial" w:eastAsia="Arial" w:hAnsi="Arial" w:cs="Arial"/>
                <w:b/>
                <w:color w:val="000000"/>
                <w:sz w:val="22"/>
                <w:szCs w:val="22"/>
              </w:rPr>
              <w:tab/>
              <w:t>48</w:t>
            </w:r>
          </w:hyperlink>
        </w:p>
        <w:p w14:paraId="7E660E2F" w14:textId="77777777" w:rsidR="0035403C" w:rsidRDefault="00C20BE8">
          <w:pPr>
            <w:widowControl w:val="0"/>
            <w:tabs>
              <w:tab w:val="right" w:pos="12000"/>
            </w:tabs>
            <w:spacing w:before="60"/>
            <w:ind w:left="360"/>
            <w:rPr>
              <w:rFonts w:ascii="Arial" w:eastAsia="Arial" w:hAnsi="Arial" w:cs="Arial"/>
              <w:color w:val="000000"/>
              <w:sz w:val="22"/>
              <w:szCs w:val="22"/>
            </w:rPr>
          </w:pPr>
          <w:hyperlink w:anchor="_heading=h.2fk6b3p">
            <w:r w:rsidR="00D02C31">
              <w:rPr>
                <w:color w:val="000000"/>
              </w:rPr>
              <w:t>API GATEWAY</w:t>
            </w:r>
            <w:r w:rsidR="00D02C31">
              <w:rPr>
                <w:color w:val="000000"/>
              </w:rPr>
              <w:tab/>
              <w:t>49</w:t>
            </w:r>
          </w:hyperlink>
        </w:p>
        <w:p w14:paraId="0F06A543" w14:textId="77777777" w:rsidR="0035403C" w:rsidRDefault="00C20BE8">
          <w:pPr>
            <w:widowControl w:val="0"/>
            <w:tabs>
              <w:tab w:val="right" w:pos="12000"/>
            </w:tabs>
            <w:spacing w:before="60"/>
            <w:rPr>
              <w:rFonts w:ascii="Arial" w:eastAsia="Arial" w:hAnsi="Arial" w:cs="Arial"/>
              <w:b/>
              <w:color w:val="000000"/>
              <w:sz w:val="22"/>
              <w:szCs w:val="22"/>
            </w:rPr>
          </w:pPr>
          <w:hyperlink w:anchor="_heading=h.3ep43zb">
            <w:r w:rsidR="00D02C31">
              <w:rPr>
                <w:b/>
                <w:color w:val="000000"/>
              </w:rPr>
              <w:t>USO DE BASES DE DATOS NOSQL</w:t>
            </w:r>
            <w:r w:rsidR="00D02C31">
              <w:rPr>
                <w:b/>
                <w:color w:val="000000"/>
              </w:rPr>
              <w:tab/>
              <w:t>49</w:t>
            </w:r>
          </w:hyperlink>
        </w:p>
        <w:p w14:paraId="5C504EE9" w14:textId="77777777" w:rsidR="0035403C" w:rsidRDefault="00C20BE8">
          <w:pPr>
            <w:widowControl w:val="0"/>
            <w:tabs>
              <w:tab w:val="right" w:pos="12000"/>
            </w:tabs>
            <w:spacing w:before="60"/>
            <w:rPr>
              <w:rFonts w:ascii="Arial" w:eastAsia="Arial" w:hAnsi="Arial" w:cs="Arial"/>
              <w:b/>
              <w:color w:val="000000"/>
              <w:sz w:val="22"/>
              <w:szCs w:val="22"/>
            </w:rPr>
          </w:pPr>
          <w:hyperlink w:anchor="_heading=h.1tuee74">
            <w:r w:rsidR="00D02C31">
              <w:rPr>
                <w:b/>
                <w:color w:val="000000"/>
              </w:rPr>
              <w:t>USO DE TECNOLOGÍAS DE CACHING</w:t>
            </w:r>
            <w:r w:rsidR="00D02C31">
              <w:rPr>
                <w:b/>
                <w:color w:val="000000"/>
              </w:rPr>
              <w:tab/>
              <w:t>50</w:t>
            </w:r>
          </w:hyperlink>
        </w:p>
        <w:p w14:paraId="7D184A65" w14:textId="77777777" w:rsidR="0035403C" w:rsidRDefault="00C20BE8">
          <w:pPr>
            <w:widowControl w:val="0"/>
            <w:tabs>
              <w:tab w:val="right" w:pos="12000"/>
            </w:tabs>
            <w:spacing w:before="60"/>
            <w:rPr>
              <w:rFonts w:ascii="Arial" w:eastAsia="Arial" w:hAnsi="Arial" w:cs="Arial"/>
              <w:b/>
              <w:color w:val="000000"/>
              <w:sz w:val="22"/>
              <w:szCs w:val="22"/>
            </w:rPr>
          </w:pPr>
          <w:hyperlink w:anchor="_heading=h.4du1wux">
            <w:r w:rsidR="00D02C31">
              <w:rPr>
                <w:b/>
                <w:color w:val="000000"/>
              </w:rPr>
              <w:t>USO DE ARQUITECTURAS BASADAS EN EVENTOS</w:t>
            </w:r>
            <w:r w:rsidR="00D02C31">
              <w:rPr>
                <w:b/>
                <w:color w:val="000000"/>
              </w:rPr>
              <w:tab/>
              <w:t>51</w:t>
            </w:r>
          </w:hyperlink>
        </w:p>
        <w:p w14:paraId="7EAD5963" w14:textId="77777777" w:rsidR="0035403C" w:rsidRDefault="00C20BE8">
          <w:pPr>
            <w:widowControl w:val="0"/>
            <w:tabs>
              <w:tab w:val="right" w:pos="12000"/>
            </w:tabs>
            <w:spacing w:before="60"/>
            <w:ind w:left="360"/>
            <w:rPr>
              <w:rFonts w:ascii="Arial" w:eastAsia="Arial" w:hAnsi="Arial" w:cs="Arial"/>
              <w:color w:val="000000"/>
              <w:sz w:val="22"/>
              <w:szCs w:val="22"/>
            </w:rPr>
          </w:pPr>
          <w:hyperlink w:anchor="_heading=h.2szc72q">
            <w:r w:rsidR="00D02C31">
              <w:rPr>
                <w:color w:val="000000"/>
              </w:rPr>
              <w:t>Una cola o búfer</w:t>
            </w:r>
            <w:r w:rsidR="00D02C31">
              <w:rPr>
                <w:color w:val="000000"/>
              </w:rPr>
              <w:tab/>
              <w:t>51</w:t>
            </w:r>
          </w:hyperlink>
        </w:p>
        <w:p w14:paraId="7105664D" w14:textId="77777777" w:rsidR="0035403C" w:rsidRDefault="00C20BE8">
          <w:pPr>
            <w:widowControl w:val="0"/>
            <w:tabs>
              <w:tab w:val="right" w:pos="12000"/>
            </w:tabs>
            <w:spacing w:before="60"/>
            <w:ind w:left="360"/>
            <w:rPr>
              <w:rFonts w:ascii="Arial" w:eastAsia="Arial" w:hAnsi="Arial" w:cs="Arial"/>
              <w:color w:val="000000"/>
              <w:sz w:val="22"/>
              <w:szCs w:val="22"/>
            </w:rPr>
          </w:pPr>
          <w:hyperlink w:anchor="_heading=h.3s49zyc">
            <w:r w:rsidR="00D02C31">
              <w:rPr>
                <w:color w:val="000000"/>
              </w:rPr>
              <w:t>Un tópico</w:t>
            </w:r>
            <w:r w:rsidR="00D02C31">
              <w:rPr>
                <w:color w:val="000000"/>
              </w:rPr>
              <w:tab/>
              <w:t>52</w:t>
            </w:r>
          </w:hyperlink>
        </w:p>
        <w:p w14:paraId="56DA6DA8" w14:textId="77777777" w:rsidR="0035403C" w:rsidRDefault="00C20BE8">
          <w:pPr>
            <w:widowControl w:val="0"/>
            <w:tabs>
              <w:tab w:val="right" w:pos="12000"/>
            </w:tabs>
            <w:spacing w:before="60"/>
            <w:rPr>
              <w:rFonts w:ascii="Arial" w:eastAsia="Arial" w:hAnsi="Arial" w:cs="Arial"/>
              <w:b/>
              <w:color w:val="000000"/>
              <w:sz w:val="22"/>
              <w:szCs w:val="22"/>
            </w:rPr>
          </w:pPr>
          <w:hyperlink w:anchor="_heading=h.meukdy">
            <w:r w:rsidR="00D02C31">
              <w:rPr>
                <w:b/>
                <w:color w:val="000000"/>
              </w:rPr>
              <w:t>USO DE CULTURA DEVOPS: CONTROL DE CÓDIGO, INTEGRACIÓN Y DISTRIBUCIÓN (CI/CD)</w:t>
            </w:r>
            <w:r w:rsidR="00D02C31">
              <w:rPr>
                <w:b/>
                <w:color w:val="000000"/>
              </w:rPr>
              <w:tab/>
              <w:t>52</w:t>
            </w:r>
          </w:hyperlink>
        </w:p>
        <w:p w14:paraId="7941C078" w14:textId="77777777" w:rsidR="0035403C" w:rsidRDefault="00C20BE8">
          <w:pPr>
            <w:widowControl w:val="0"/>
            <w:tabs>
              <w:tab w:val="right" w:pos="12000"/>
            </w:tabs>
            <w:spacing w:before="60"/>
            <w:rPr>
              <w:rFonts w:ascii="Arial" w:eastAsia="Arial" w:hAnsi="Arial" w:cs="Arial"/>
              <w:b/>
              <w:color w:val="000000"/>
              <w:sz w:val="22"/>
              <w:szCs w:val="22"/>
            </w:rPr>
          </w:pPr>
          <w:hyperlink w:anchor="_heading=h.36ei31r">
            <w:r w:rsidR="00D02C31">
              <w:rPr>
                <w:rFonts w:ascii="Arial" w:eastAsia="Arial" w:hAnsi="Arial" w:cs="Arial"/>
                <w:b/>
                <w:color w:val="000000"/>
                <w:sz w:val="22"/>
                <w:szCs w:val="22"/>
              </w:rPr>
              <w:t>BENEFICIOS ECONÓMICO</w:t>
            </w:r>
            <w:r w:rsidR="00D02C31">
              <w:rPr>
                <w:rFonts w:ascii="Arial" w:eastAsia="Arial" w:hAnsi="Arial" w:cs="Arial"/>
                <w:b/>
                <w:color w:val="000000"/>
                <w:sz w:val="22"/>
                <w:szCs w:val="22"/>
              </w:rPr>
              <w:tab/>
              <w:t>53</w:t>
            </w:r>
          </w:hyperlink>
        </w:p>
        <w:p w14:paraId="7193BB76" w14:textId="77777777" w:rsidR="0035403C" w:rsidRDefault="00C20BE8">
          <w:pPr>
            <w:widowControl w:val="0"/>
            <w:tabs>
              <w:tab w:val="right" w:pos="12000"/>
            </w:tabs>
            <w:spacing w:before="60"/>
            <w:ind w:left="360"/>
            <w:rPr>
              <w:rFonts w:ascii="Arial" w:eastAsia="Arial" w:hAnsi="Arial" w:cs="Arial"/>
              <w:color w:val="000000"/>
              <w:sz w:val="22"/>
              <w:szCs w:val="22"/>
            </w:rPr>
          </w:pPr>
          <w:hyperlink w:anchor="_heading=h.1ljsd9k">
            <w:r w:rsidR="00D02C31">
              <w:rPr>
                <w:rFonts w:ascii="Arial" w:eastAsia="Arial" w:hAnsi="Arial" w:cs="Arial"/>
                <w:color w:val="000000"/>
                <w:sz w:val="22"/>
                <w:szCs w:val="22"/>
              </w:rPr>
              <w:t>Infraestructura “on-premise”</w:t>
            </w:r>
            <w:r w:rsidR="00D02C31">
              <w:rPr>
                <w:rFonts w:ascii="Arial" w:eastAsia="Arial" w:hAnsi="Arial" w:cs="Arial"/>
                <w:color w:val="000000"/>
                <w:sz w:val="22"/>
                <w:szCs w:val="22"/>
              </w:rPr>
              <w:tab/>
              <w:t>53</w:t>
            </w:r>
          </w:hyperlink>
        </w:p>
        <w:p w14:paraId="204CA57C" w14:textId="77777777" w:rsidR="0035403C" w:rsidRDefault="00C20BE8">
          <w:pPr>
            <w:widowControl w:val="0"/>
            <w:tabs>
              <w:tab w:val="right" w:pos="12000"/>
            </w:tabs>
            <w:spacing w:before="60"/>
            <w:ind w:left="720"/>
            <w:rPr>
              <w:rFonts w:ascii="Arial" w:eastAsia="Arial" w:hAnsi="Arial" w:cs="Arial"/>
              <w:color w:val="000000"/>
              <w:sz w:val="22"/>
              <w:szCs w:val="22"/>
            </w:rPr>
          </w:pPr>
          <w:hyperlink w:anchor="_heading=h.45jfvxd">
            <w:r w:rsidR="00D02C31">
              <w:rPr>
                <w:rFonts w:ascii="Arial" w:eastAsia="Arial" w:hAnsi="Arial" w:cs="Arial"/>
                <w:color w:val="000000"/>
                <w:sz w:val="22"/>
                <w:szCs w:val="22"/>
              </w:rPr>
              <w:t>Costos directos</w:t>
            </w:r>
            <w:r w:rsidR="00D02C31">
              <w:rPr>
                <w:rFonts w:ascii="Arial" w:eastAsia="Arial" w:hAnsi="Arial" w:cs="Arial"/>
                <w:color w:val="000000"/>
                <w:sz w:val="22"/>
                <w:szCs w:val="22"/>
              </w:rPr>
              <w:tab/>
              <w:t>53</w:t>
            </w:r>
          </w:hyperlink>
        </w:p>
        <w:p w14:paraId="16099E35" w14:textId="77777777" w:rsidR="0035403C" w:rsidRDefault="00C20BE8">
          <w:pPr>
            <w:widowControl w:val="0"/>
            <w:tabs>
              <w:tab w:val="right" w:pos="12000"/>
            </w:tabs>
            <w:spacing w:before="60"/>
            <w:ind w:left="720"/>
            <w:rPr>
              <w:rFonts w:ascii="Arial" w:eastAsia="Arial" w:hAnsi="Arial" w:cs="Arial"/>
              <w:color w:val="000000"/>
              <w:sz w:val="22"/>
              <w:szCs w:val="22"/>
            </w:rPr>
          </w:pPr>
          <w:hyperlink w:anchor="_heading=h.2koq656">
            <w:r w:rsidR="00D02C31">
              <w:rPr>
                <w:rFonts w:ascii="Arial" w:eastAsia="Arial" w:hAnsi="Arial" w:cs="Arial"/>
                <w:color w:val="000000"/>
                <w:sz w:val="22"/>
                <w:szCs w:val="22"/>
              </w:rPr>
              <w:t>Costos indirectos</w:t>
            </w:r>
            <w:r w:rsidR="00D02C31">
              <w:rPr>
                <w:rFonts w:ascii="Arial" w:eastAsia="Arial" w:hAnsi="Arial" w:cs="Arial"/>
                <w:color w:val="000000"/>
                <w:sz w:val="22"/>
                <w:szCs w:val="22"/>
              </w:rPr>
              <w:tab/>
              <w:t>54</w:t>
            </w:r>
          </w:hyperlink>
        </w:p>
        <w:p w14:paraId="5A3C3EB7" w14:textId="77777777" w:rsidR="0035403C" w:rsidRDefault="00C20BE8">
          <w:pPr>
            <w:widowControl w:val="0"/>
            <w:tabs>
              <w:tab w:val="right" w:pos="12000"/>
            </w:tabs>
            <w:spacing w:before="60"/>
            <w:ind w:left="360"/>
            <w:rPr>
              <w:rFonts w:ascii="Arial" w:eastAsia="Arial" w:hAnsi="Arial" w:cs="Arial"/>
              <w:color w:val="000000"/>
              <w:sz w:val="22"/>
              <w:szCs w:val="22"/>
            </w:rPr>
          </w:pPr>
          <w:hyperlink w:anchor="_heading=h.zu0gcz">
            <w:r w:rsidR="00D02C31">
              <w:rPr>
                <w:rFonts w:ascii="Arial" w:eastAsia="Arial" w:hAnsi="Arial" w:cs="Arial"/>
                <w:color w:val="000000"/>
                <w:sz w:val="22"/>
                <w:szCs w:val="22"/>
              </w:rPr>
              <w:t>Infraestructura “cloud”</w:t>
            </w:r>
            <w:r w:rsidR="00D02C31">
              <w:rPr>
                <w:rFonts w:ascii="Arial" w:eastAsia="Arial" w:hAnsi="Arial" w:cs="Arial"/>
                <w:color w:val="000000"/>
                <w:sz w:val="22"/>
                <w:szCs w:val="22"/>
              </w:rPr>
              <w:tab/>
              <w:t>54</w:t>
            </w:r>
          </w:hyperlink>
        </w:p>
        <w:p w14:paraId="20A8D225" w14:textId="77777777" w:rsidR="0035403C" w:rsidRDefault="00C20BE8">
          <w:pPr>
            <w:widowControl w:val="0"/>
            <w:tabs>
              <w:tab w:val="right" w:pos="12000"/>
            </w:tabs>
            <w:spacing w:before="60"/>
            <w:ind w:left="360"/>
            <w:rPr>
              <w:rFonts w:ascii="Arial" w:eastAsia="Arial" w:hAnsi="Arial" w:cs="Arial"/>
              <w:color w:val="000000"/>
              <w:sz w:val="22"/>
              <w:szCs w:val="22"/>
            </w:rPr>
          </w:pPr>
          <w:hyperlink w:anchor="_heading=h.3jtnz0s">
            <w:r w:rsidR="00D02C31">
              <w:rPr>
                <w:rFonts w:ascii="Arial" w:eastAsia="Arial" w:hAnsi="Arial" w:cs="Arial"/>
                <w:color w:val="000000"/>
                <w:sz w:val="22"/>
                <w:szCs w:val="22"/>
              </w:rPr>
              <w:t>Comparación</w:t>
            </w:r>
            <w:r w:rsidR="00D02C31">
              <w:rPr>
                <w:rFonts w:ascii="Arial" w:eastAsia="Arial" w:hAnsi="Arial" w:cs="Arial"/>
                <w:color w:val="000000"/>
                <w:sz w:val="22"/>
                <w:szCs w:val="22"/>
              </w:rPr>
              <w:tab/>
              <w:t>55</w:t>
            </w:r>
          </w:hyperlink>
        </w:p>
        <w:p w14:paraId="1EC923B3" w14:textId="77777777" w:rsidR="0035403C" w:rsidRDefault="00C20BE8">
          <w:pPr>
            <w:widowControl w:val="0"/>
            <w:tabs>
              <w:tab w:val="right" w:pos="12000"/>
            </w:tabs>
            <w:spacing w:before="60"/>
            <w:rPr>
              <w:rFonts w:ascii="Arial" w:eastAsia="Arial" w:hAnsi="Arial" w:cs="Arial"/>
              <w:b/>
              <w:color w:val="000000"/>
              <w:sz w:val="22"/>
              <w:szCs w:val="22"/>
            </w:rPr>
          </w:pPr>
          <w:hyperlink w:anchor="_heading=h.2y3w247">
            <w:r w:rsidR="00D02C31">
              <w:rPr>
                <w:b/>
                <w:color w:val="000000"/>
              </w:rPr>
              <w:t>DE MONOLÍTICO A MICROSERVICIOS: UNA EXPERIENCIA REAL EN LA TRANSFORMACIÓN DIGITAL DE SERVICIOS FINANCIEROS</w:t>
            </w:r>
            <w:r w:rsidR="00D02C31">
              <w:rPr>
                <w:b/>
                <w:color w:val="000000"/>
              </w:rPr>
              <w:tab/>
              <w:t>58</w:t>
            </w:r>
          </w:hyperlink>
        </w:p>
        <w:p w14:paraId="79A4264D" w14:textId="77777777" w:rsidR="0035403C" w:rsidRDefault="00C20BE8">
          <w:pPr>
            <w:widowControl w:val="0"/>
            <w:tabs>
              <w:tab w:val="right" w:pos="12000"/>
            </w:tabs>
            <w:spacing w:before="60"/>
            <w:rPr>
              <w:rFonts w:ascii="Arial" w:eastAsia="Arial" w:hAnsi="Arial" w:cs="Arial"/>
              <w:b/>
              <w:color w:val="000000"/>
              <w:sz w:val="22"/>
              <w:szCs w:val="22"/>
            </w:rPr>
          </w:pPr>
          <w:hyperlink w:anchor="_heading=h.2ce457m">
            <w:r w:rsidR="00D02C31">
              <w:rPr>
                <w:b/>
                <w:color w:val="000000"/>
              </w:rPr>
              <w:t>ANÁLISIS DE USO DE MICROSERVICIOS:</w:t>
            </w:r>
            <w:r w:rsidR="00D02C31">
              <w:rPr>
                <w:b/>
                <w:color w:val="000000"/>
              </w:rPr>
              <w:tab/>
              <w:t>60</w:t>
            </w:r>
          </w:hyperlink>
        </w:p>
        <w:p w14:paraId="74FFBFA6" w14:textId="77777777" w:rsidR="0035403C" w:rsidRDefault="00C20BE8">
          <w:pPr>
            <w:widowControl w:val="0"/>
            <w:tabs>
              <w:tab w:val="right" w:pos="12000"/>
            </w:tabs>
            <w:spacing w:before="60"/>
            <w:ind w:left="360"/>
            <w:rPr>
              <w:rFonts w:ascii="Arial" w:eastAsia="Arial" w:hAnsi="Arial" w:cs="Arial"/>
              <w:color w:val="000000"/>
              <w:sz w:val="22"/>
              <w:szCs w:val="22"/>
            </w:rPr>
          </w:pPr>
          <w:hyperlink w:anchor="_heading=h.rjefff">
            <w:r w:rsidR="00D02C31">
              <w:rPr>
                <w:color w:val="000000"/>
              </w:rPr>
              <w:t>Ventajas de los microservicios:</w:t>
            </w:r>
            <w:r w:rsidR="00D02C31">
              <w:rPr>
                <w:color w:val="000000"/>
              </w:rPr>
              <w:tab/>
              <w:t>60</w:t>
            </w:r>
          </w:hyperlink>
        </w:p>
        <w:p w14:paraId="5FFFC960" w14:textId="77777777" w:rsidR="0035403C" w:rsidRDefault="00C20BE8">
          <w:pPr>
            <w:widowControl w:val="0"/>
            <w:tabs>
              <w:tab w:val="right" w:pos="12000"/>
            </w:tabs>
            <w:spacing w:before="60"/>
            <w:ind w:left="360"/>
            <w:rPr>
              <w:rFonts w:ascii="Arial" w:eastAsia="Arial" w:hAnsi="Arial" w:cs="Arial"/>
              <w:color w:val="000000"/>
              <w:sz w:val="22"/>
              <w:szCs w:val="22"/>
            </w:rPr>
          </w:pPr>
          <w:hyperlink w:anchor="_heading=h.3bj1y38">
            <w:r w:rsidR="00D02C31">
              <w:rPr>
                <w:color w:val="000000"/>
              </w:rPr>
              <w:t>Contras del microservicio:</w:t>
            </w:r>
            <w:r w:rsidR="00D02C31">
              <w:rPr>
                <w:color w:val="000000"/>
              </w:rPr>
              <w:tab/>
              <w:t>60</w:t>
            </w:r>
          </w:hyperlink>
        </w:p>
        <w:p w14:paraId="1FCDB7FD" w14:textId="77777777" w:rsidR="0035403C" w:rsidRDefault="00C20BE8">
          <w:pPr>
            <w:widowControl w:val="0"/>
            <w:tabs>
              <w:tab w:val="right" w:pos="12000"/>
            </w:tabs>
            <w:spacing w:before="60"/>
            <w:ind w:left="360"/>
            <w:rPr>
              <w:rFonts w:ascii="Arial" w:eastAsia="Arial" w:hAnsi="Arial" w:cs="Arial"/>
              <w:color w:val="000000"/>
              <w:sz w:val="22"/>
              <w:szCs w:val="22"/>
            </w:rPr>
          </w:pPr>
          <w:hyperlink w:anchor="_heading=h.1qoc8b1">
            <w:r w:rsidR="00D02C31">
              <w:rPr>
                <w:color w:val="000000"/>
              </w:rPr>
              <w:t>La adopción de los microservicios generalmente se adopta cuando:</w:t>
            </w:r>
            <w:r w:rsidR="00D02C31">
              <w:rPr>
                <w:color w:val="000000"/>
              </w:rPr>
              <w:tab/>
              <w:t>60</w:t>
            </w:r>
          </w:hyperlink>
        </w:p>
        <w:p w14:paraId="15D6FC4A" w14:textId="77777777" w:rsidR="0035403C" w:rsidRDefault="00C20BE8">
          <w:pPr>
            <w:widowControl w:val="0"/>
            <w:tabs>
              <w:tab w:val="right" w:pos="12000"/>
            </w:tabs>
            <w:spacing w:before="60"/>
            <w:rPr>
              <w:rFonts w:ascii="Arial" w:eastAsia="Arial" w:hAnsi="Arial" w:cs="Arial"/>
              <w:b/>
              <w:color w:val="000000"/>
              <w:sz w:val="22"/>
              <w:szCs w:val="22"/>
            </w:rPr>
          </w:pPr>
          <w:hyperlink w:anchor="_heading=h.4anzqyu">
            <w:r w:rsidR="00D02C31">
              <w:rPr>
                <w:b/>
                <w:color w:val="000000"/>
              </w:rPr>
              <w:t>ANÁLISIS DE LA FACTIBILIDAD DE UN API MANAGER</w:t>
            </w:r>
            <w:r w:rsidR="00D02C31">
              <w:rPr>
                <w:b/>
                <w:color w:val="000000"/>
              </w:rPr>
              <w:tab/>
              <w:t>60</w:t>
            </w:r>
          </w:hyperlink>
        </w:p>
        <w:p w14:paraId="5A1D65EE" w14:textId="77777777" w:rsidR="0035403C" w:rsidRDefault="00C20BE8">
          <w:pPr>
            <w:widowControl w:val="0"/>
            <w:tabs>
              <w:tab w:val="right" w:pos="12000"/>
            </w:tabs>
            <w:spacing w:before="60"/>
            <w:rPr>
              <w:rFonts w:ascii="Arial" w:eastAsia="Arial" w:hAnsi="Arial" w:cs="Arial"/>
              <w:b/>
              <w:color w:val="000000"/>
              <w:sz w:val="22"/>
              <w:szCs w:val="22"/>
            </w:rPr>
          </w:pPr>
          <w:hyperlink w:anchor="_heading=h.2pta16n">
            <w:r w:rsidR="00D02C31">
              <w:rPr>
                <w:b/>
                <w:color w:val="000000"/>
              </w:rPr>
              <w:t>ADOPCIÓN DE LA CULTURA DEVOPS</w:t>
            </w:r>
            <w:r w:rsidR="00D02C31">
              <w:rPr>
                <w:b/>
                <w:color w:val="000000"/>
              </w:rPr>
              <w:tab/>
              <w:t>61</w:t>
            </w:r>
          </w:hyperlink>
        </w:p>
        <w:p w14:paraId="411EDCBC" w14:textId="77777777" w:rsidR="0035403C" w:rsidRDefault="00C20BE8">
          <w:pPr>
            <w:widowControl w:val="0"/>
            <w:tabs>
              <w:tab w:val="right" w:pos="12000"/>
            </w:tabs>
            <w:spacing w:before="60"/>
            <w:rPr>
              <w:rFonts w:ascii="Arial" w:eastAsia="Arial" w:hAnsi="Arial" w:cs="Arial"/>
              <w:b/>
              <w:color w:val="000000"/>
              <w:sz w:val="22"/>
              <w:szCs w:val="22"/>
            </w:rPr>
          </w:pPr>
          <w:hyperlink w:anchor="_heading=h.14ykbeg">
            <w:r w:rsidR="00D02C31">
              <w:rPr>
                <w:b/>
                <w:color w:val="000000"/>
              </w:rPr>
              <w:t>DIFERENTES ENFOQUE DE LA MIGRACIÓN</w:t>
            </w:r>
            <w:r w:rsidR="00D02C31">
              <w:rPr>
                <w:b/>
                <w:color w:val="000000"/>
              </w:rPr>
              <w:tab/>
              <w:t>61</w:t>
            </w:r>
          </w:hyperlink>
        </w:p>
        <w:p w14:paraId="1D5CABA6" w14:textId="77777777" w:rsidR="0035403C" w:rsidRDefault="00C20BE8">
          <w:pPr>
            <w:widowControl w:val="0"/>
            <w:tabs>
              <w:tab w:val="right" w:pos="12000"/>
            </w:tabs>
            <w:spacing w:before="60"/>
            <w:rPr>
              <w:rFonts w:ascii="Arial" w:eastAsia="Arial" w:hAnsi="Arial" w:cs="Arial"/>
              <w:b/>
              <w:color w:val="000000"/>
              <w:sz w:val="22"/>
              <w:szCs w:val="22"/>
            </w:rPr>
          </w:pPr>
          <w:hyperlink w:anchor="_heading=h.3oy7u29">
            <w:r w:rsidR="00D02C31">
              <w:rPr>
                <w:b/>
                <w:color w:val="000000"/>
              </w:rPr>
              <w:t>REPLICAR CARGAS DE TRABAJO</w:t>
            </w:r>
            <w:r w:rsidR="00D02C31">
              <w:rPr>
                <w:b/>
                <w:color w:val="000000"/>
              </w:rPr>
              <w:tab/>
              <w:t>62</w:t>
            </w:r>
          </w:hyperlink>
        </w:p>
        <w:p w14:paraId="33722DF7" w14:textId="77777777" w:rsidR="0035403C" w:rsidRDefault="00C20BE8">
          <w:pPr>
            <w:widowControl w:val="0"/>
            <w:tabs>
              <w:tab w:val="right" w:pos="12000"/>
            </w:tabs>
            <w:spacing w:before="60"/>
            <w:rPr>
              <w:rFonts w:ascii="Arial" w:eastAsia="Arial" w:hAnsi="Arial" w:cs="Arial"/>
              <w:b/>
              <w:color w:val="000000"/>
              <w:sz w:val="22"/>
              <w:szCs w:val="22"/>
            </w:rPr>
          </w:pPr>
          <w:hyperlink w:anchor="_heading=h.243i4a2">
            <w:r w:rsidR="00D02C31">
              <w:rPr>
                <w:b/>
                <w:color w:val="000000"/>
              </w:rPr>
              <w:t>CONCLUSIONES</w:t>
            </w:r>
            <w:r w:rsidR="00D02C31">
              <w:rPr>
                <w:b/>
                <w:color w:val="000000"/>
              </w:rPr>
              <w:tab/>
              <w:t>63</w:t>
            </w:r>
          </w:hyperlink>
        </w:p>
        <w:p w14:paraId="315BD604" w14:textId="77777777" w:rsidR="0035403C" w:rsidRDefault="00C20BE8">
          <w:pPr>
            <w:widowControl w:val="0"/>
            <w:tabs>
              <w:tab w:val="right" w:pos="12000"/>
            </w:tabs>
            <w:spacing w:before="60"/>
            <w:rPr>
              <w:rFonts w:ascii="Arial" w:eastAsia="Arial" w:hAnsi="Arial" w:cs="Arial"/>
              <w:b/>
              <w:color w:val="000000"/>
              <w:sz w:val="22"/>
              <w:szCs w:val="22"/>
            </w:rPr>
          </w:pPr>
          <w:hyperlink w:anchor="_heading=h.351ck2jb0wa2">
            <w:r w:rsidR="00D02C31">
              <w:rPr>
                <w:rFonts w:ascii="Arial" w:eastAsia="Arial" w:hAnsi="Arial" w:cs="Arial"/>
                <w:b/>
                <w:color w:val="000000"/>
                <w:sz w:val="22"/>
                <w:szCs w:val="22"/>
              </w:rPr>
              <w:t>BIBLIOGRAFÍA</w:t>
            </w:r>
            <w:r w:rsidR="00D02C31">
              <w:rPr>
                <w:rFonts w:ascii="Arial" w:eastAsia="Arial" w:hAnsi="Arial" w:cs="Arial"/>
                <w:b/>
                <w:color w:val="000000"/>
                <w:sz w:val="22"/>
                <w:szCs w:val="22"/>
              </w:rPr>
              <w:tab/>
              <w:t>64</w:t>
            </w:r>
          </w:hyperlink>
        </w:p>
        <w:p w14:paraId="078087F0" w14:textId="77777777" w:rsidR="0035403C" w:rsidRDefault="00C20BE8">
          <w:pPr>
            <w:widowControl w:val="0"/>
            <w:tabs>
              <w:tab w:val="right" w:pos="12000"/>
            </w:tabs>
            <w:spacing w:before="60"/>
            <w:rPr>
              <w:rFonts w:ascii="Arial" w:eastAsia="Arial" w:hAnsi="Arial" w:cs="Arial"/>
              <w:b/>
              <w:color w:val="000000"/>
              <w:sz w:val="22"/>
              <w:szCs w:val="22"/>
            </w:rPr>
          </w:pPr>
          <w:hyperlink w:anchor="_heading=">
            <w:r w:rsidR="00D02C31">
              <w:rPr>
                <w:rFonts w:ascii="Arial" w:eastAsia="Arial" w:hAnsi="Arial" w:cs="Arial"/>
                <w:b/>
                <w:color w:val="000000"/>
                <w:sz w:val="22"/>
                <w:szCs w:val="22"/>
              </w:rPr>
              <w:t>ARTÍCULOS</w:t>
            </w:r>
            <w:r w:rsidR="00D02C31">
              <w:rPr>
                <w:rFonts w:ascii="Arial" w:eastAsia="Arial" w:hAnsi="Arial" w:cs="Arial"/>
                <w:b/>
                <w:color w:val="000000"/>
                <w:sz w:val="22"/>
                <w:szCs w:val="22"/>
              </w:rPr>
              <w:tab/>
              <w:t>64</w:t>
            </w:r>
          </w:hyperlink>
        </w:p>
        <w:p w14:paraId="43EA9B32" w14:textId="77777777" w:rsidR="0035403C" w:rsidRDefault="00C20BE8">
          <w:pPr>
            <w:widowControl w:val="0"/>
            <w:tabs>
              <w:tab w:val="right" w:pos="12000"/>
            </w:tabs>
            <w:spacing w:before="60"/>
            <w:rPr>
              <w:rFonts w:ascii="Arial" w:eastAsia="Arial" w:hAnsi="Arial" w:cs="Arial"/>
              <w:b/>
              <w:color w:val="000000"/>
              <w:sz w:val="22"/>
              <w:szCs w:val="22"/>
            </w:rPr>
          </w:pPr>
          <w:hyperlink w:anchor="_heading=">
            <w:r w:rsidR="00D02C31">
              <w:rPr>
                <w:rFonts w:ascii="Arial" w:eastAsia="Arial" w:hAnsi="Arial" w:cs="Arial"/>
                <w:b/>
                <w:color w:val="000000"/>
                <w:sz w:val="22"/>
                <w:szCs w:val="22"/>
              </w:rPr>
              <w:t>WEBGRAFÍA</w:t>
            </w:r>
            <w:r w:rsidR="00D02C31">
              <w:rPr>
                <w:rFonts w:ascii="Arial" w:eastAsia="Arial" w:hAnsi="Arial" w:cs="Arial"/>
                <w:b/>
                <w:color w:val="000000"/>
                <w:sz w:val="22"/>
                <w:szCs w:val="22"/>
              </w:rPr>
              <w:tab/>
              <w:t>64</w:t>
            </w:r>
          </w:hyperlink>
          <w:r w:rsidR="00D02C31">
            <w:fldChar w:fldCharType="end"/>
          </w:r>
        </w:p>
      </w:sdtContent>
    </w:sdt>
    <w:p w14:paraId="0562CB0E" w14:textId="77777777" w:rsidR="0035403C" w:rsidRDefault="00D02C31">
      <w:pPr>
        <w:spacing w:line="276" w:lineRule="auto"/>
        <w:jc w:val="both"/>
        <w:rPr>
          <w:rFonts w:ascii="Arial" w:eastAsia="Arial" w:hAnsi="Arial" w:cs="Arial"/>
          <w:sz w:val="28"/>
          <w:szCs w:val="28"/>
        </w:rPr>
      </w:pPr>
      <w:r>
        <w:br w:type="page"/>
      </w:r>
    </w:p>
    <w:p w14:paraId="34CE0A41" w14:textId="77777777" w:rsidR="0035403C" w:rsidRDefault="0035403C">
      <w:pPr>
        <w:spacing w:line="276" w:lineRule="auto"/>
        <w:jc w:val="both"/>
        <w:rPr>
          <w:rFonts w:ascii="Arial" w:eastAsia="Arial" w:hAnsi="Arial" w:cs="Arial"/>
          <w:sz w:val="28"/>
          <w:szCs w:val="28"/>
        </w:rPr>
      </w:pPr>
    </w:p>
    <w:p w14:paraId="62EBF3C5" w14:textId="77777777" w:rsidR="0035403C" w:rsidRDefault="0035403C">
      <w:pPr>
        <w:spacing w:line="276" w:lineRule="auto"/>
        <w:jc w:val="both"/>
        <w:rPr>
          <w:b/>
          <w:color w:val="333333"/>
          <w:sz w:val="28"/>
          <w:szCs w:val="28"/>
        </w:rPr>
      </w:pPr>
    </w:p>
    <w:p w14:paraId="1F2D9D57" w14:textId="77777777" w:rsidR="0035403C" w:rsidRDefault="00D02C31" w:rsidP="17FBBB8B">
      <w:pPr>
        <w:pStyle w:val="Ttulo"/>
        <w:rPr>
          <w:lang w:val="en-US"/>
        </w:rPr>
      </w:pPr>
      <w:r w:rsidRPr="17FBBB8B">
        <w:rPr>
          <w:lang w:val="en-US"/>
        </w:rPr>
        <w:t>Tablas, figuras y desarrollo de complementos</w:t>
      </w:r>
    </w:p>
    <w:sdt>
      <w:sdtPr>
        <w:id w:val="2082019353"/>
        <w:docPartObj>
          <w:docPartGallery w:val="Table of Contents"/>
          <w:docPartUnique/>
        </w:docPartObj>
      </w:sdtPr>
      <w:sdtContent>
        <w:p w14:paraId="619469CA" w14:textId="77777777" w:rsidR="0035403C" w:rsidRDefault="00D02C31">
          <w:pPr>
            <w:pBdr>
              <w:top w:val="nil"/>
              <w:left w:val="nil"/>
              <w:bottom w:val="nil"/>
              <w:right w:val="nil"/>
              <w:between w:val="nil"/>
            </w:pBdr>
            <w:tabs>
              <w:tab w:val="right" w:pos="8910"/>
            </w:tabs>
            <w:rPr>
              <w:rFonts w:ascii="Cambria" w:eastAsia="Cambria" w:hAnsi="Cambria" w:cs="Cambria"/>
              <w:color w:val="000000"/>
            </w:rPr>
          </w:pPr>
          <w:r>
            <w:fldChar w:fldCharType="begin"/>
          </w:r>
          <w:r>
            <w:instrText xml:space="preserve"> TOC \h \u \z \t "Heading 1,1,Heading 2,2,Heading 3,3,Heading 4,4,Heading 5,5,Heading 6,6,"</w:instrText>
          </w:r>
          <w:r>
            <w:fldChar w:fldCharType="separate"/>
          </w:r>
          <w:hyperlink w:anchor="_heading=h.1t3h5sf">
            <w:r>
              <w:rPr>
                <w:color w:val="000000"/>
              </w:rPr>
              <w:t>Ilustración 1: Crecimiento CBU</w:t>
            </w:r>
            <w:r>
              <w:rPr>
                <w:color w:val="000000"/>
              </w:rPr>
              <w:tab/>
            </w:r>
          </w:hyperlink>
          <w:r>
            <w:rPr>
              <w:rFonts w:ascii="Cambria" w:eastAsia="Cambria" w:hAnsi="Cambria" w:cs="Cambria"/>
            </w:rPr>
            <w:t>8</w:t>
          </w:r>
        </w:p>
        <w:p w14:paraId="19F410C7" w14:textId="77777777" w:rsidR="0035403C" w:rsidRDefault="00C20BE8">
          <w:pPr>
            <w:pBdr>
              <w:top w:val="nil"/>
              <w:left w:val="nil"/>
              <w:bottom w:val="nil"/>
              <w:right w:val="nil"/>
              <w:between w:val="nil"/>
            </w:pBdr>
            <w:tabs>
              <w:tab w:val="right" w:pos="8910"/>
            </w:tabs>
            <w:rPr>
              <w:rFonts w:ascii="Cambria" w:eastAsia="Cambria" w:hAnsi="Cambria" w:cs="Cambria"/>
              <w:color w:val="000000"/>
            </w:rPr>
          </w:pPr>
          <w:hyperlink w:anchor="_heading=h.26in1rg">
            <w:r w:rsidR="00D02C31">
              <w:rPr>
                <w:color w:val="000000"/>
              </w:rPr>
              <w:t>Ilustración 2: Crecimiento CVU</w:t>
            </w:r>
            <w:r w:rsidR="00D02C31">
              <w:rPr>
                <w:color w:val="000000"/>
              </w:rPr>
              <w:tab/>
            </w:r>
          </w:hyperlink>
          <w:r w:rsidR="00D02C31">
            <w:rPr>
              <w:rFonts w:ascii="Cambria" w:eastAsia="Cambria" w:hAnsi="Cambria" w:cs="Cambria"/>
            </w:rPr>
            <w:t>9</w:t>
          </w:r>
        </w:p>
        <w:p w14:paraId="6816A544" w14:textId="77777777" w:rsidR="0035403C" w:rsidRDefault="00C20BE8">
          <w:pPr>
            <w:pBdr>
              <w:top w:val="nil"/>
              <w:left w:val="nil"/>
              <w:bottom w:val="nil"/>
              <w:right w:val="nil"/>
              <w:between w:val="nil"/>
            </w:pBdr>
            <w:tabs>
              <w:tab w:val="right" w:pos="8910"/>
            </w:tabs>
            <w:rPr>
              <w:rFonts w:ascii="Cambria" w:eastAsia="Cambria" w:hAnsi="Cambria" w:cs="Cambria"/>
              <w:color w:val="000000"/>
            </w:rPr>
          </w:pPr>
          <w:hyperlink w:anchor="_heading=h.1ksv4uv">
            <w:r w:rsidR="00D02C31">
              <w:rPr>
                <w:color w:val="000000"/>
              </w:rPr>
              <w:t>Ilustración 3: Evolución de transferencias por CVU</w:t>
            </w:r>
            <w:r w:rsidR="00D02C31">
              <w:rPr>
                <w:color w:val="000000"/>
              </w:rPr>
              <w:tab/>
            </w:r>
          </w:hyperlink>
          <w:r w:rsidR="00D02C31">
            <w:rPr>
              <w:rFonts w:ascii="Cambria" w:eastAsia="Cambria" w:hAnsi="Cambria" w:cs="Cambria"/>
            </w:rPr>
            <w:t>10</w:t>
          </w:r>
        </w:p>
        <w:p w14:paraId="06DC9DF6" w14:textId="77777777" w:rsidR="0035403C" w:rsidRDefault="00C20BE8">
          <w:pPr>
            <w:pBdr>
              <w:top w:val="nil"/>
              <w:left w:val="nil"/>
              <w:bottom w:val="nil"/>
              <w:right w:val="nil"/>
              <w:between w:val="nil"/>
            </w:pBdr>
            <w:tabs>
              <w:tab w:val="right" w:pos="8910"/>
            </w:tabs>
            <w:rPr>
              <w:rFonts w:ascii="Cambria" w:eastAsia="Cambria" w:hAnsi="Cambria" w:cs="Cambria"/>
              <w:color w:val="000000"/>
            </w:rPr>
          </w:pPr>
          <w:hyperlink w:anchor="_heading=h.2jxsxqh">
            <w:r w:rsidR="00D02C31">
              <w:rPr>
                <w:color w:val="000000"/>
              </w:rPr>
              <w:t>Ilustración 4: Evolución de transferencias por CBU</w:t>
            </w:r>
            <w:r w:rsidR="00D02C31">
              <w:rPr>
                <w:color w:val="000000"/>
              </w:rPr>
              <w:tab/>
            </w:r>
          </w:hyperlink>
          <w:r w:rsidR="00D02C31">
            <w:rPr>
              <w:rFonts w:ascii="Cambria" w:eastAsia="Cambria" w:hAnsi="Cambria" w:cs="Cambria"/>
            </w:rPr>
            <w:t>10</w:t>
          </w:r>
        </w:p>
        <w:p w14:paraId="653996BF" w14:textId="77777777" w:rsidR="0035403C" w:rsidRDefault="00C20BE8">
          <w:pPr>
            <w:pBdr>
              <w:top w:val="nil"/>
              <w:left w:val="nil"/>
              <w:bottom w:val="nil"/>
              <w:right w:val="nil"/>
              <w:between w:val="nil"/>
            </w:pBdr>
            <w:tabs>
              <w:tab w:val="right" w:pos="8910"/>
            </w:tabs>
            <w:rPr>
              <w:rFonts w:ascii="Cambria" w:eastAsia="Cambria" w:hAnsi="Cambria" w:cs="Cambria"/>
              <w:color w:val="000000"/>
            </w:rPr>
          </w:pPr>
          <w:hyperlink w:anchor="_heading=h.1y810tw">
            <w:r w:rsidR="00D02C31">
              <w:rPr>
                <w:color w:val="000000"/>
              </w:rPr>
              <w:t>Ilustración 5: Evolución de DEBIN para el fondeo de CVU</w:t>
            </w:r>
            <w:r w:rsidR="00D02C31">
              <w:rPr>
                <w:color w:val="000000"/>
              </w:rPr>
              <w:tab/>
              <w:t>1</w:t>
            </w:r>
          </w:hyperlink>
          <w:r w:rsidR="00D02C31">
            <w:rPr>
              <w:rFonts w:ascii="Cambria" w:eastAsia="Cambria" w:hAnsi="Cambria" w:cs="Cambria"/>
            </w:rPr>
            <w:t>1</w:t>
          </w:r>
        </w:p>
        <w:p w14:paraId="4D991109" w14:textId="77777777" w:rsidR="0035403C" w:rsidRDefault="00C20BE8">
          <w:pPr>
            <w:pBdr>
              <w:top w:val="nil"/>
              <w:left w:val="nil"/>
              <w:bottom w:val="nil"/>
              <w:right w:val="nil"/>
              <w:between w:val="nil"/>
            </w:pBdr>
            <w:tabs>
              <w:tab w:val="right" w:pos="8910"/>
            </w:tabs>
            <w:rPr>
              <w:rFonts w:ascii="Cambria" w:eastAsia="Cambria" w:hAnsi="Cambria" w:cs="Cambria"/>
              <w:color w:val="000000"/>
            </w:rPr>
          </w:pPr>
          <w:hyperlink w:anchor="_heading=h.3whwml4">
            <w:r w:rsidR="00D02C31">
              <w:rPr>
                <w:color w:val="000000"/>
              </w:rPr>
              <w:t>Ilustración 6: Evolución de pagos con transferencia</w:t>
            </w:r>
            <w:r w:rsidR="00D02C31">
              <w:rPr>
                <w:color w:val="000000"/>
              </w:rPr>
              <w:tab/>
              <w:t>1</w:t>
            </w:r>
          </w:hyperlink>
          <w:r w:rsidR="00D02C31">
            <w:rPr>
              <w:rFonts w:ascii="Cambria" w:eastAsia="Cambria" w:hAnsi="Cambria" w:cs="Cambria"/>
            </w:rPr>
            <w:t>2</w:t>
          </w:r>
        </w:p>
        <w:p w14:paraId="1CE33B51" w14:textId="77777777" w:rsidR="0035403C" w:rsidRDefault="00C20BE8">
          <w:pPr>
            <w:pBdr>
              <w:top w:val="nil"/>
              <w:left w:val="nil"/>
              <w:bottom w:val="nil"/>
              <w:right w:val="nil"/>
              <w:between w:val="nil"/>
            </w:pBdr>
            <w:tabs>
              <w:tab w:val="right" w:pos="8910"/>
            </w:tabs>
            <w:rPr>
              <w:rFonts w:ascii="Cambria" w:eastAsia="Cambria" w:hAnsi="Cambria" w:cs="Cambria"/>
              <w:color w:val="000000"/>
            </w:rPr>
          </w:pPr>
          <w:hyperlink w:anchor="_heading=h.qsh70q">
            <w:r w:rsidR="00D02C31">
              <w:rPr>
                <w:color w:val="000000"/>
              </w:rPr>
              <w:t>Ilustración 7 - Diagrama actual vs Diagrama de microservicios</w:t>
            </w:r>
            <w:r w:rsidR="00D02C31">
              <w:rPr>
                <w:color w:val="000000"/>
              </w:rPr>
              <w:tab/>
              <w:t>1</w:t>
            </w:r>
          </w:hyperlink>
          <w:r w:rsidR="00D02C31">
            <w:rPr>
              <w:rFonts w:ascii="Cambria" w:eastAsia="Cambria" w:hAnsi="Cambria" w:cs="Cambria"/>
            </w:rPr>
            <w:t>3</w:t>
          </w:r>
        </w:p>
        <w:p w14:paraId="4F4F1B7B" w14:textId="77777777" w:rsidR="0035403C" w:rsidRDefault="00C20BE8">
          <w:pPr>
            <w:pBdr>
              <w:top w:val="nil"/>
              <w:left w:val="nil"/>
              <w:bottom w:val="nil"/>
              <w:right w:val="nil"/>
              <w:between w:val="nil"/>
            </w:pBdr>
            <w:tabs>
              <w:tab w:val="right" w:pos="8910"/>
            </w:tabs>
            <w:rPr>
              <w:rFonts w:ascii="Cambria" w:eastAsia="Cambria" w:hAnsi="Cambria" w:cs="Cambria"/>
              <w:color w:val="000000"/>
            </w:rPr>
          </w:pPr>
          <w:hyperlink w:anchor="_heading=h.32hioqz">
            <w:r w:rsidR="00D02C31">
              <w:rPr>
                <w:color w:val="000000"/>
              </w:rPr>
              <w:t>Ilustración 8 - Comparación de modelos de nubes (https://fourweekmba.com/es/iaas-frente-a-paas-frente-a-saas)</w:t>
            </w:r>
            <w:r w:rsidR="00D02C31">
              <w:rPr>
                <w:color w:val="000000"/>
              </w:rPr>
              <w:tab/>
              <w:t>1</w:t>
            </w:r>
          </w:hyperlink>
          <w:r w:rsidR="00D02C31">
            <w:rPr>
              <w:rFonts w:ascii="Cambria" w:eastAsia="Cambria" w:hAnsi="Cambria" w:cs="Cambria"/>
            </w:rPr>
            <w:t>9</w:t>
          </w:r>
        </w:p>
        <w:p w14:paraId="5BD46ABD" w14:textId="77777777" w:rsidR="0035403C" w:rsidRDefault="00C20BE8">
          <w:pPr>
            <w:pBdr>
              <w:top w:val="nil"/>
              <w:left w:val="nil"/>
              <w:bottom w:val="nil"/>
              <w:right w:val="nil"/>
              <w:between w:val="nil"/>
            </w:pBdr>
            <w:tabs>
              <w:tab w:val="right" w:pos="8910"/>
            </w:tabs>
            <w:rPr>
              <w:rFonts w:ascii="Cambria" w:eastAsia="Cambria" w:hAnsi="Cambria" w:cs="Cambria"/>
              <w:color w:val="000000"/>
            </w:rPr>
          </w:pPr>
          <w:hyperlink w:anchor="_heading=h.2grqrue">
            <w:r w:rsidR="00D02C31">
              <w:rPr>
                <w:color w:val="000000"/>
              </w:rPr>
              <w:t>Ilustración 9 - Comparación de servicios entre proveedores (https://adex.ltd/microsoft-azure-vs-aws-vs-google-cloud)</w:t>
            </w:r>
            <w:r w:rsidR="00D02C31">
              <w:rPr>
                <w:color w:val="000000"/>
              </w:rPr>
              <w:tab/>
            </w:r>
          </w:hyperlink>
          <w:r w:rsidR="00D02C31">
            <w:rPr>
              <w:rFonts w:ascii="Cambria" w:eastAsia="Cambria" w:hAnsi="Cambria" w:cs="Cambria"/>
            </w:rPr>
            <w:t>20</w:t>
          </w:r>
        </w:p>
        <w:p w14:paraId="24AD696D" w14:textId="77777777" w:rsidR="0035403C" w:rsidRDefault="00C20BE8">
          <w:pPr>
            <w:pBdr>
              <w:top w:val="nil"/>
              <w:left w:val="nil"/>
              <w:bottom w:val="nil"/>
              <w:right w:val="nil"/>
              <w:between w:val="nil"/>
            </w:pBdr>
            <w:tabs>
              <w:tab w:val="right" w:pos="8910"/>
            </w:tabs>
            <w:rPr>
              <w:rFonts w:ascii="Cambria" w:eastAsia="Cambria" w:hAnsi="Cambria" w:cs="Cambria"/>
              <w:color w:val="000000"/>
            </w:rPr>
          </w:pPr>
          <w:hyperlink w:anchor="_heading=h.19c6y18">
            <w:r w:rsidR="00D02C31">
              <w:rPr>
                <w:color w:val="000000"/>
              </w:rPr>
              <w:t>Ilustración 10 - Participación de los principales instrumentos de pago (monto nominal)</w:t>
            </w:r>
            <w:r w:rsidR="00D02C31">
              <w:rPr>
                <w:color w:val="000000"/>
              </w:rPr>
              <w:tab/>
              <w:t>2</w:t>
            </w:r>
          </w:hyperlink>
          <w:r w:rsidR="00D02C31">
            <w:rPr>
              <w:rFonts w:ascii="Cambria" w:eastAsia="Cambria" w:hAnsi="Cambria" w:cs="Cambria"/>
            </w:rPr>
            <w:t>4</w:t>
          </w:r>
        </w:p>
        <w:p w14:paraId="0829D96D" w14:textId="77777777" w:rsidR="0035403C" w:rsidRDefault="00C20BE8">
          <w:pPr>
            <w:pBdr>
              <w:top w:val="nil"/>
              <w:left w:val="nil"/>
              <w:bottom w:val="nil"/>
              <w:right w:val="nil"/>
              <w:between w:val="nil"/>
            </w:pBdr>
            <w:tabs>
              <w:tab w:val="right" w:pos="8910"/>
            </w:tabs>
            <w:rPr>
              <w:rFonts w:ascii="Cambria" w:eastAsia="Cambria" w:hAnsi="Cambria" w:cs="Cambria"/>
              <w:color w:val="000000"/>
            </w:rPr>
          </w:pPr>
          <w:hyperlink w:anchor="_heading=h.3tbugp1">
            <w:r w:rsidR="00D02C31">
              <w:rPr>
                <w:color w:val="000000"/>
              </w:rPr>
              <w:t>Ilustración 11 - Operaciones con tarjeta de crédito, tarjeta de débito y PCT interoperables e intra PSPCP (monto)</w:t>
            </w:r>
            <w:r w:rsidR="00D02C31">
              <w:rPr>
                <w:color w:val="000000"/>
              </w:rPr>
              <w:tab/>
              <w:t>2</w:t>
            </w:r>
          </w:hyperlink>
          <w:r w:rsidR="00D02C31">
            <w:rPr>
              <w:rFonts w:ascii="Cambria" w:eastAsia="Cambria" w:hAnsi="Cambria" w:cs="Cambria"/>
            </w:rPr>
            <w:t>4</w:t>
          </w:r>
        </w:p>
        <w:p w14:paraId="0DAE3B6A" w14:textId="77777777" w:rsidR="0035403C" w:rsidRDefault="00C20BE8">
          <w:pPr>
            <w:pBdr>
              <w:top w:val="nil"/>
              <w:left w:val="nil"/>
              <w:bottom w:val="nil"/>
              <w:right w:val="nil"/>
              <w:between w:val="nil"/>
            </w:pBdr>
            <w:tabs>
              <w:tab w:val="right" w:pos="8910"/>
            </w:tabs>
            <w:rPr>
              <w:rFonts w:ascii="Cambria" w:eastAsia="Cambria" w:hAnsi="Cambria" w:cs="Cambria"/>
              <w:color w:val="000000"/>
            </w:rPr>
          </w:pPr>
          <w:hyperlink w:anchor="_heading=h.nmf14n">
            <w:r w:rsidR="00D02C31">
              <w:rPr>
                <w:color w:val="000000"/>
              </w:rPr>
              <w:t>Ilustración 12 - Operaciones con tarjeta de crédito9, tarjeta de débito10 y PCT interoperables e intra PSPCP (cantidad)</w:t>
            </w:r>
            <w:r w:rsidR="00D02C31">
              <w:rPr>
                <w:color w:val="000000"/>
              </w:rPr>
              <w:tab/>
              <w:t>2</w:t>
            </w:r>
          </w:hyperlink>
          <w:r w:rsidR="00D02C31">
            <w:rPr>
              <w:rFonts w:ascii="Cambria" w:eastAsia="Cambria" w:hAnsi="Cambria" w:cs="Cambria"/>
            </w:rPr>
            <w:t>5</w:t>
          </w:r>
        </w:p>
        <w:p w14:paraId="747B2F30" w14:textId="77777777" w:rsidR="0035403C" w:rsidRDefault="00C20BE8">
          <w:pPr>
            <w:pBdr>
              <w:top w:val="nil"/>
              <w:left w:val="nil"/>
              <w:bottom w:val="nil"/>
              <w:right w:val="nil"/>
              <w:between w:val="nil"/>
            </w:pBdr>
            <w:tabs>
              <w:tab w:val="right" w:pos="8910"/>
            </w:tabs>
            <w:rPr>
              <w:rFonts w:ascii="Cambria" w:eastAsia="Cambria" w:hAnsi="Cambria" w:cs="Cambria"/>
              <w:color w:val="000000"/>
            </w:rPr>
          </w:pPr>
          <w:hyperlink w:anchor="_heading=h.37m2jsg">
            <w:r w:rsidR="00D02C31">
              <w:rPr>
                <w:color w:val="000000"/>
              </w:rPr>
              <w:t>Ilustración 13 - Participación de CVU sobre el total de transferencias inmediatas “push” administradas por las redes</w:t>
            </w:r>
            <w:r w:rsidR="00D02C31">
              <w:rPr>
                <w:color w:val="000000"/>
              </w:rPr>
              <w:tab/>
              <w:t>2</w:t>
            </w:r>
          </w:hyperlink>
          <w:r w:rsidR="00D02C31">
            <w:rPr>
              <w:rFonts w:ascii="Cambria" w:eastAsia="Cambria" w:hAnsi="Cambria" w:cs="Cambria"/>
            </w:rPr>
            <w:t>5</w:t>
          </w:r>
        </w:p>
        <w:p w14:paraId="60116186" w14:textId="77777777" w:rsidR="0035403C" w:rsidRDefault="00C20BE8">
          <w:pPr>
            <w:pBdr>
              <w:top w:val="nil"/>
              <w:left w:val="nil"/>
              <w:bottom w:val="nil"/>
              <w:right w:val="nil"/>
              <w:between w:val="nil"/>
            </w:pBdr>
            <w:tabs>
              <w:tab w:val="right" w:pos="8910"/>
            </w:tabs>
            <w:rPr>
              <w:rFonts w:ascii="Cambria" w:eastAsia="Cambria" w:hAnsi="Cambria" w:cs="Cambria"/>
              <w:color w:val="000000"/>
            </w:rPr>
          </w:pPr>
          <w:hyperlink w:anchor="_heading=h.1mrcu09">
            <w:r w:rsidR="00D02C31">
              <w:rPr>
                <w:color w:val="000000"/>
              </w:rPr>
              <w:t>Ilustración 14 - Composición de transferencias inmediatas “push” administradas por las redes de transferencias (cantidad)</w:t>
            </w:r>
            <w:r w:rsidR="00D02C31">
              <w:rPr>
                <w:color w:val="000000"/>
              </w:rPr>
              <w:tab/>
              <w:t>2</w:t>
            </w:r>
          </w:hyperlink>
          <w:r w:rsidR="00D02C31">
            <w:rPr>
              <w:rFonts w:ascii="Cambria" w:eastAsia="Cambria" w:hAnsi="Cambria" w:cs="Cambria"/>
            </w:rPr>
            <w:t>6</w:t>
          </w:r>
        </w:p>
        <w:p w14:paraId="43644A4F" w14:textId="77777777" w:rsidR="0035403C" w:rsidRDefault="00C20BE8">
          <w:pPr>
            <w:pBdr>
              <w:top w:val="nil"/>
              <w:left w:val="nil"/>
              <w:bottom w:val="nil"/>
              <w:right w:val="nil"/>
              <w:between w:val="nil"/>
            </w:pBdr>
            <w:tabs>
              <w:tab w:val="right" w:pos="8910"/>
            </w:tabs>
            <w:rPr>
              <w:rFonts w:ascii="Cambria" w:eastAsia="Cambria" w:hAnsi="Cambria" w:cs="Cambria"/>
              <w:color w:val="000000"/>
            </w:rPr>
          </w:pPr>
          <w:hyperlink w:anchor="_heading=h.46r0co2">
            <w:r w:rsidR="00D02C31">
              <w:rPr>
                <w:color w:val="000000"/>
              </w:rPr>
              <w:t>Ilustración 15 - PCT interoperable por método de iniciación en abril de 2023 (cantidad)</w:t>
            </w:r>
            <w:r w:rsidR="00D02C31">
              <w:rPr>
                <w:color w:val="000000"/>
              </w:rPr>
              <w:tab/>
              <w:t>2</w:t>
            </w:r>
          </w:hyperlink>
          <w:r w:rsidR="00D02C31">
            <w:rPr>
              <w:rFonts w:ascii="Cambria" w:eastAsia="Cambria" w:hAnsi="Cambria" w:cs="Cambria"/>
            </w:rPr>
            <w:t>6</w:t>
          </w:r>
        </w:p>
        <w:p w14:paraId="020EB307" w14:textId="77777777" w:rsidR="0035403C" w:rsidRDefault="00C20BE8">
          <w:pPr>
            <w:pBdr>
              <w:top w:val="nil"/>
              <w:left w:val="nil"/>
              <w:bottom w:val="nil"/>
              <w:right w:val="nil"/>
              <w:between w:val="nil"/>
            </w:pBdr>
            <w:tabs>
              <w:tab w:val="right" w:pos="8910"/>
            </w:tabs>
            <w:rPr>
              <w:rFonts w:ascii="Cambria" w:eastAsia="Cambria" w:hAnsi="Cambria" w:cs="Cambria"/>
              <w:color w:val="000000"/>
            </w:rPr>
          </w:pPr>
          <w:hyperlink w:anchor="_heading=h.2lwamvv">
            <w:r w:rsidR="00D02C31">
              <w:rPr>
                <w:color w:val="000000"/>
              </w:rPr>
              <w:t>Ilustración 16 - PCT interoperable por método de iniciación (cantidad)</w:t>
            </w:r>
            <w:r w:rsidR="00D02C31">
              <w:rPr>
                <w:color w:val="000000"/>
              </w:rPr>
              <w:tab/>
              <w:t>2</w:t>
            </w:r>
          </w:hyperlink>
          <w:r w:rsidR="00D02C31">
            <w:rPr>
              <w:rFonts w:ascii="Cambria" w:eastAsia="Cambria" w:hAnsi="Cambria" w:cs="Cambria"/>
            </w:rPr>
            <w:t>7</w:t>
          </w:r>
        </w:p>
        <w:p w14:paraId="3D905EA1" w14:textId="77777777" w:rsidR="0035403C" w:rsidRDefault="00C20BE8">
          <w:pPr>
            <w:pBdr>
              <w:top w:val="nil"/>
              <w:left w:val="nil"/>
              <w:bottom w:val="nil"/>
              <w:right w:val="nil"/>
              <w:between w:val="nil"/>
            </w:pBdr>
            <w:tabs>
              <w:tab w:val="right" w:pos="8910"/>
            </w:tabs>
            <w:rPr>
              <w:rFonts w:ascii="Cambria" w:eastAsia="Cambria" w:hAnsi="Cambria" w:cs="Cambria"/>
              <w:color w:val="000000"/>
            </w:rPr>
          </w:pPr>
          <w:hyperlink w:anchor="_heading=h.111kx3o">
            <w:r w:rsidR="00D02C31">
              <w:rPr>
                <w:color w:val="000000"/>
              </w:rPr>
              <w:t>Ilustración 17 - Distribución porcentual de los PCT iniciados con QR interoperable - billetera digital/aceptador</w:t>
            </w:r>
            <w:r w:rsidR="00D02C31">
              <w:rPr>
                <w:color w:val="000000"/>
              </w:rPr>
              <w:tab/>
              <w:t>2</w:t>
            </w:r>
          </w:hyperlink>
          <w:r w:rsidR="00D02C31">
            <w:rPr>
              <w:rFonts w:ascii="Cambria" w:eastAsia="Cambria" w:hAnsi="Cambria" w:cs="Cambria"/>
            </w:rPr>
            <w:t>7</w:t>
          </w:r>
        </w:p>
        <w:p w14:paraId="68458897" w14:textId="77777777" w:rsidR="0035403C" w:rsidRDefault="00C20BE8">
          <w:pPr>
            <w:pBdr>
              <w:top w:val="nil"/>
              <w:left w:val="nil"/>
              <w:bottom w:val="nil"/>
              <w:right w:val="nil"/>
              <w:between w:val="nil"/>
            </w:pBdr>
            <w:tabs>
              <w:tab w:val="right" w:pos="8910"/>
            </w:tabs>
            <w:rPr>
              <w:rFonts w:ascii="Cambria" w:eastAsia="Cambria" w:hAnsi="Cambria" w:cs="Cambria"/>
            </w:rPr>
          </w:pPr>
          <w:hyperlink w:anchor="_heading=h.206ipza">
            <w:r w:rsidR="00D02C31">
              <w:rPr>
                <w:color w:val="000000"/>
              </w:rPr>
              <w:t>Ilustración 18 - Resumen de tablero de control Informe Mensual de Pagos Minoristas</w:t>
            </w:r>
            <w:r w:rsidR="00D02C31">
              <w:rPr>
                <w:color w:val="000000"/>
              </w:rPr>
              <w:tab/>
              <w:t>2</w:t>
            </w:r>
          </w:hyperlink>
          <w:r w:rsidR="00D02C31">
            <w:rPr>
              <w:rFonts w:ascii="Cambria" w:eastAsia="Cambria" w:hAnsi="Cambria" w:cs="Cambria"/>
            </w:rPr>
            <w:t>8</w:t>
          </w:r>
        </w:p>
        <w:p w14:paraId="06AA8C03" w14:textId="77777777" w:rsidR="0035403C" w:rsidRDefault="00C20BE8">
          <w:pPr>
            <w:tabs>
              <w:tab w:val="right" w:pos="8910"/>
            </w:tabs>
            <w:rPr>
              <w:rFonts w:ascii="Cambria" w:eastAsia="Cambria" w:hAnsi="Cambria" w:cs="Cambria"/>
            </w:rPr>
          </w:pPr>
          <w:hyperlink w:anchor="_heading=h.206ipza">
            <w:r w:rsidR="00D02C31">
              <w:t>Ilustración 19 - Resumen de accionistas</w:t>
            </w:r>
            <w:r w:rsidR="00D02C31">
              <w:tab/>
            </w:r>
          </w:hyperlink>
          <w:r w:rsidR="00D02C31">
            <w:rPr>
              <w:rFonts w:ascii="Cambria" w:eastAsia="Cambria" w:hAnsi="Cambria" w:cs="Cambria"/>
            </w:rPr>
            <w:t>30</w:t>
          </w:r>
        </w:p>
        <w:p w14:paraId="30B7CE06" w14:textId="77777777" w:rsidR="0035403C" w:rsidRDefault="00C20BE8">
          <w:pPr>
            <w:tabs>
              <w:tab w:val="right" w:pos="8910"/>
            </w:tabs>
            <w:rPr>
              <w:rFonts w:ascii="Cambria" w:eastAsia="Cambria" w:hAnsi="Cambria" w:cs="Cambria"/>
            </w:rPr>
          </w:pPr>
          <w:hyperlink w:anchor="_heading=h.206ipza">
            <w:r w:rsidR="00D02C31">
              <w:t>Ilustración 20 - Business model canvas</w:t>
            </w:r>
            <w:r w:rsidR="00D02C31">
              <w:tab/>
            </w:r>
          </w:hyperlink>
          <w:r w:rsidR="00D02C31">
            <w:rPr>
              <w:rFonts w:ascii="Cambria" w:eastAsia="Cambria" w:hAnsi="Cambria" w:cs="Cambria"/>
            </w:rPr>
            <w:t>31</w:t>
          </w:r>
        </w:p>
        <w:p w14:paraId="446C948C" w14:textId="77777777" w:rsidR="0035403C" w:rsidRDefault="00C20BE8">
          <w:pPr>
            <w:tabs>
              <w:tab w:val="right" w:pos="8910"/>
            </w:tabs>
            <w:rPr>
              <w:rFonts w:ascii="Cambria" w:eastAsia="Cambria" w:hAnsi="Cambria" w:cs="Cambria"/>
            </w:rPr>
          </w:pPr>
          <w:hyperlink w:anchor="_heading=h.206ipza">
            <w:r w:rsidR="00D02C31">
              <w:t>Ilustración 21 - Matriz FODA</w:t>
            </w:r>
            <w:r w:rsidR="00D02C31">
              <w:tab/>
            </w:r>
          </w:hyperlink>
          <w:r w:rsidR="00D02C31">
            <w:rPr>
              <w:rFonts w:ascii="Cambria" w:eastAsia="Cambria" w:hAnsi="Cambria" w:cs="Cambria"/>
            </w:rPr>
            <w:t>32</w:t>
          </w:r>
        </w:p>
        <w:p w14:paraId="17A787D4" w14:textId="77777777" w:rsidR="0035403C" w:rsidRDefault="00C20BE8">
          <w:pPr>
            <w:tabs>
              <w:tab w:val="right" w:pos="8910"/>
            </w:tabs>
            <w:rPr>
              <w:rFonts w:ascii="Cambria" w:eastAsia="Cambria" w:hAnsi="Cambria" w:cs="Cambria"/>
            </w:rPr>
          </w:pPr>
          <w:hyperlink w:anchor="_heading=h.206ipza">
            <w:r w:rsidR="00D02C31">
              <w:t>Ilustración 21 - Matriz 5F</w:t>
            </w:r>
            <w:r w:rsidR="00D02C31">
              <w:tab/>
            </w:r>
          </w:hyperlink>
          <w:r w:rsidR="00D02C31">
            <w:rPr>
              <w:rFonts w:ascii="Cambria" w:eastAsia="Cambria" w:hAnsi="Cambria" w:cs="Cambria"/>
            </w:rPr>
            <w:t>33</w:t>
          </w:r>
        </w:p>
        <w:p w14:paraId="4B8AD3A5" w14:textId="77777777" w:rsidR="0035403C" w:rsidRDefault="00C20BE8">
          <w:pPr>
            <w:tabs>
              <w:tab w:val="right" w:pos="8910"/>
            </w:tabs>
            <w:rPr>
              <w:rFonts w:ascii="Cambria" w:eastAsia="Cambria" w:hAnsi="Cambria" w:cs="Cambria"/>
            </w:rPr>
          </w:pPr>
          <w:hyperlink w:anchor="_heading=h.206ipza">
            <w:r w:rsidR="00D02C31">
              <w:t>Ilustración 21 - Matriz BCG</w:t>
            </w:r>
            <w:r w:rsidR="00D02C31">
              <w:tab/>
            </w:r>
          </w:hyperlink>
          <w:r w:rsidR="00D02C31">
            <w:rPr>
              <w:rFonts w:ascii="Cambria" w:eastAsia="Cambria" w:hAnsi="Cambria" w:cs="Cambria"/>
            </w:rPr>
            <w:t>34</w:t>
          </w:r>
        </w:p>
        <w:p w14:paraId="217D5F8E" w14:textId="77777777" w:rsidR="0035403C" w:rsidRDefault="00C20BE8">
          <w:pPr>
            <w:pBdr>
              <w:top w:val="nil"/>
              <w:left w:val="nil"/>
              <w:bottom w:val="nil"/>
              <w:right w:val="nil"/>
              <w:between w:val="nil"/>
            </w:pBdr>
            <w:tabs>
              <w:tab w:val="right" w:pos="8910"/>
            </w:tabs>
            <w:rPr>
              <w:rFonts w:ascii="Cambria" w:eastAsia="Cambria" w:hAnsi="Cambria" w:cs="Cambria"/>
            </w:rPr>
          </w:pPr>
          <w:hyperlink w:anchor="_heading=h.xvir7l">
            <w:r w:rsidR="00D02C31">
              <w:rPr>
                <w:color w:val="000000"/>
              </w:rPr>
              <w:t xml:space="preserve">Ilustración </w:t>
            </w:r>
          </w:hyperlink>
          <w:hyperlink w:anchor="_heading=h.xvir7l">
            <w:r w:rsidR="00D02C31">
              <w:t>22</w:t>
            </w:r>
          </w:hyperlink>
          <w:hyperlink w:anchor="_heading=h.xvir7l">
            <w:r w:rsidR="00D02C31">
              <w:rPr>
                <w:color w:val="000000"/>
              </w:rPr>
              <w:t xml:space="preserve"> - Servicio de cálculo y compensación de huella de Carbono</w:t>
            </w:r>
            <w:r w:rsidR="00D02C31">
              <w:rPr>
                <w:color w:val="000000"/>
              </w:rPr>
              <w:tab/>
              <w:t>3</w:t>
            </w:r>
          </w:hyperlink>
          <w:r w:rsidR="00D02C31">
            <w:rPr>
              <w:rFonts w:ascii="Cambria" w:eastAsia="Cambria" w:hAnsi="Cambria" w:cs="Cambria"/>
            </w:rPr>
            <w:t>7</w:t>
          </w:r>
        </w:p>
        <w:p w14:paraId="7B181710" w14:textId="77777777" w:rsidR="0035403C" w:rsidRDefault="00C20BE8">
          <w:pPr>
            <w:tabs>
              <w:tab w:val="right" w:pos="8910"/>
            </w:tabs>
            <w:rPr>
              <w:rFonts w:ascii="Cambria" w:eastAsia="Cambria" w:hAnsi="Cambria" w:cs="Cambria"/>
            </w:rPr>
          </w:pPr>
          <w:hyperlink w:anchor="_heading=h.xvir7l">
            <w:r w:rsidR="00D02C31">
              <w:t>Ilustración 23 - Escalabilidad en la nube</w:t>
            </w:r>
            <w:r w:rsidR="00D02C31">
              <w:tab/>
            </w:r>
          </w:hyperlink>
          <w:r w:rsidR="00D02C31">
            <w:rPr>
              <w:rFonts w:ascii="Cambria" w:eastAsia="Cambria" w:hAnsi="Cambria" w:cs="Cambria"/>
            </w:rPr>
            <w:t>41</w:t>
          </w:r>
        </w:p>
        <w:p w14:paraId="3F1EC29E" w14:textId="77777777" w:rsidR="0035403C" w:rsidRDefault="00C20BE8">
          <w:pPr>
            <w:tabs>
              <w:tab w:val="right" w:pos="8910"/>
            </w:tabs>
            <w:rPr>
              <w:rFonts w:ascii="Cambria" w:eastAsia="Cambria" w:hAnsi="Cambria" w:cs="Cambria"/>
            </w:rPr>
          </w:pPr>
          <w:hyperlink w:anchor="_heading=h.xvir7l">
            <w:r w:rsidR="00D02C31">
              <w:t>Ilustración 24 - Elasticidad en la nube</w:t>
            </w:r>
            <w:r w:rsidR="00D02C31">
              <w:tab/>
            </w:r>
          </w:hyperlink>
          <w:r w:rsidR="00D02C31">
            <w:rPr>
              <w:rFonts w:ascii="Cambria" w:eastAsia="Cambria" w:hAnsi="Cambria" w:cs="Cambria"/>
            </w:rPr>
            <w:t>41</w:t>
          </w:r>
        </w:p>
        <w:p w14:paraId="068DFB2F" w14:textId="77777777" w:rsidR="0035403C" w:rsidRDefault="00C20BE8">
          <w:pPr>
            <w:pBdr>
              <w:top w:val="nil"/>
              <w:left w:val="nil"/>
              <w:bottom w:val="nil"/>
              <w:right w:val="nil"/>
              <w:between w:val="nil"/>
            </w:pBdr>
            <w:tabs>
              <w:tab w:val="right" w:pos="8910"/>
            </w:tabs>
            <w:rPr>
              <w:rFonts w:ascii="Cambria" w:eastAsia="Cambria" w:hAnsi="Cambria" w:cs="Cambria"/>
              <w:color w:val="000000"/>
            </w:rPr>
          </w:pPr>
          <w:hyperlink w:anchor="_heading=h.39kk8xu">
            <w:r w:rsidR="00D02C31">
              <w:rPr>
                <w:color w:val="000000"/>
              </w:rPr>
              <w:t>Ilustración 2</w:t>
            </w:r>
          </w:hyperlink>
          <w:hyperlink w:anchor="_heading=h.39kk8xu">
            <w:r w:rsidR="00D02C31">
              <w:t>5</w:t>
            </w:r>
          </w:hyperlink>
          <w:hyperlink w:anchor="_heading=h.39kk8xu">
            <w:r w:rsidR="00D02C31">
              <w:rPr>
                <w:color w:val="000000"/>
              </w:rPr>
              <w:t xml:space="preserve"> - Arquitectura simple de microservicios</w:t>
            </w:r>
            <w:r w:rsidR="00D02C31">
              <w:rPr>
                <w:color w:val="000000"/>
              </w:rPr>
              <w:tab/>
            </w:r>
          </w:hyperlink>
          <w:r w:rsidR="00D02C31">
            <w:rPr>
              <w:rFonts w:ascii="Cambria" w:eastAsia="Cambria" w:hAnsi="Cambria" w:cs="Cambria"/>
            </w:rPr>
            <w:t>42</w:t>
          </w:r>
        </w:p>
        <w:p w14:paraId="67D7F47B" w14:textId="77777777" w:rsidR="0035403C" w:rsidRDefault="00C20BE8">
          <w:pPr>
            <w:pBdr>
              <w:top w:val="nil"/>
              <w:left w:val="nil"/>
              <w:bottom w:val="nil"/>
              <w:right w:val="nil"/>
              <w:between w:val="nil"/>
            </w:pBdr>
            <w:tabs>
              <w:tab w:val="right" w:pos="8910"/>
            </w:tabs>
            <w:rPr>
              <w:rFonts w:ascii="Cambria" w:eastAsia="Cambria" w:hAnsi="Cambria" w:cs="Cambria"/>
              <w:color w:val="000000"/>
            </w:rPr>
          </w:pPr>
          <w:hyperlink w:anchor="_heading=h.48pi1tg">
            <w:r w:rsidR="00D02C31">
              <w:rPr>
                <w:color w:val="000000"/>
              </w:rPr>
              <w:t>Ilustración 2</w:t>
            </w:r>
          </w:hyperlink>
          <w:hyperlink w:anchor="_heading=h.48pi1tg">
            <w:r w:rsidR="00D02C31">
              <w:t>6</w:t>
            </w:r>
          </w:hyperlink>
          <w:hyperlink w:anchor="_heading=h.48pi1tg">
            <w:r w:rsidR="00D02C31">
              <w:rPr>
                <w:color w:val="000000"/>
              </w:rPr>
              <w:t xml:space="preserve"> - Diferencia entre contenedor y VM</w:t>
            </w:r>
            <w:r w:rsidR="00D02C31">
              <w:rPr>
                <w:color w:val="000000"/>
              </w:rPr>
              <w:tab/>
              <w:t>43</w:t>
            </w:r>
          </w:hyperlink>
        </w:p>
        <w:p w14:paraId="6120D1F4" w14:textId="77777777" w:rsidR="0035403C" w:rsidRDefault="00C20BE8">
          <w:pPr>
            <w:pBdr>
              <w:top w:val="nil"/>
              <w:left w:val="nil"/>
              <w:bottom w:val="nil"/>
              <w:right w:val="nil"/>
              <w:between w:val="nil"/>
            </w:pBdr>
            <w:tabs>
              <w:tab w:val="right" w:pos="8910"/>
            </w:tabs>
            <w:rPr>
              <w:rFonts w:ascii="Cambria" w:eastAsia="Cambria" w:hAnsi="Cambria" w:cs="Cambria"/>
              <w:color w:val="000000"/>
            </w:rPr>
          </w:pPr>
          <w:hyperlink w:anchor="_heading=h.1302m92">
            <w:r w:rsidR="00D02C31">
              <w:rPr>
                <w:color w:val="000000"/>
              </w:rPr>
              <w:t>Ilustración 2</w:t>
            </w:r>
          </w:hyperlink>
          <w:hyperlink w:anchor="_heading=h.1302m92">
            <w:r w:rsidR="00D02C31">
              <w:t>7</w:t>
            </w:r>
          </w:hyperlink>
          <w:hyperlink w:anchor="_heading=h.1302m92">
            <w:r w:rsidR="00D02C31">
              <w:rPr>
                <w:color w:val="000000"/>
              </w:rPr>
              <w:t>- Clasificación de APIs</w:t>
            </w:r>
            <w:r w:rsidR="00D02C31">
              <w:rPr>
                <w:color w:val="000000"/>
              </w:rPr>
              <w:tab/>
            </w:r>
          </w:hyperlink>
          <w:r w:rsidR="00D02C31">
            <w:rPr>
              <w:rFonts w:ascii="Cambria" w:eastAsia="Cambria" w:hAnsi="Cambria" w:cs="Cambria"/>
            </w:rPr>
            <w:t>44</w:t>
          </w:r>
        </w:p>
        <w:p w14:paraId="4D9A3FE3" w14:textId="77777777" w:rsidR="0035403C" w:rsidRDefault="00C20BE8">
          <w:pPr>
            <w:pBdr>
              <w:top w:val="nil"/>
              <w:left w:val="nil"/>
              <w:bottom w:val="nil"/>
              <w:right w:val="nil"/>
              <w:between w:val="nil"/>
            </w:pBdr>
            <w:tabs>
              <w:tab w:val="right" w:pos="8910"/>
            </w:tabs>
            <w:rPr>
              <w:rFonts w:ascii="Cambria" w:eastAsia="Cambria" w:hAnsi="Cambria" w:cs="Cambria"/>
              <w:color w:val="000000"/>
            </w:rPr>
          </w:pPr>
          <w:hyperlink w:anchor="_heading=h.40ew0vw">
            <w:r w:rsidR="00D02C31">
              <w:rPr>
                <w:color w:val="000000"/>
              </w:rPr>
              <w:t>Ilustración 2</w:t>
            </w:r>
          </w:hyperlink>
          <w:hyperlink w:anchor="_heading=h.40ew0vw">
            <w:r w:rsidR="00D02C31">
              <w:t>8</w:t>
            </w:r>
          </w:hyperlink>
          <w:hyperlink w:anchor="_heading=h.40ew0vw">
            <w:r w:rsidR="00D02C31">
              <w:rPr>
                <w:color w:val="000000"/>
              </w:rPr>
              <w:t xml:space="preserve"> - Arquitectura de APIs Managers</w:t>
            </w:r>
            <w:r w:rsidR="00D02C31">
              <w:rPr>
                <w:color w:val="000000"/>
              </w:rPr>
              <w:tab/>
            </w:r>
          </w:hyperlink>
          <w:r w:rsidR="00D02C31">
            <w:rPr>
              <w:rFonts w:ascii="Cambria" w:eastAsia="Cambria" w:hAnsi="Cambria" w:cs="Cambria"/>
            </w:rPr>
            <w:t>45</w:t>
          </w:r>
        </w:p>
        <w:p w14:paraId="207A7E95" w14:textId="77777777" w:rsidR="0035403C" w:rsidRDefault="00C20BE8">
          <w:pPr>
            <w:pBdr>
              <w:top w:val="nil"/>
              <w:left w:val="nil"/>
              <w:bottom w:val="nil"/>
              <w:right w:val="nil"/>
              <w:between w:val="nil"/>
            </w:pBdr>
            <w:tabs>
              <w:tab w:val="right" w:pos="8910"/>
            </w:tabs>
            <w:rPr>
              <w:rFonts w:ascii="Cambria" w:eastAsia="Cambria" w:hAnsi="Cambria" w:cs="Cambria"/>
            </w:rPr>
          </w:pPr>
          <w:hyperlink w:anchor="_heading=h.upglbi">
            <w:r w:rsidR="00D02C31">
              <w:rPr>
                <w:color w:val="000000"/>
              </w:rPr>
              <w:t>Ilustración 2</w:t>
            </w:r>
          </w:hyperlink>
          <w:hyperlink w:anchor="_heading=h.upglbi">
            <w:r w:rsidR="00D02C31">
              <w:t>9</w:t>
            </w:r>
          </w:hyperlink>
          <w:hyperlink w:anchor="_heading=h.upglbi">
            <w:r w:rsidR="00D02C31">
              <w:rPr>
                <w:color w:val="000000"/>
              </w:rPr>
              <w:t xml:space="preserve"> - Funcionamiento de un API Gateway</w:t>
            </w:r>
            <w:r w:rsidR="00D02C31">
              <w:rPr>
                <w:color w:val="000000"/>
              </w:rPr>
              <w:tab/>
            </w:r>
          </w:hyperlink>
          <w:r w:rsidR="00D02C31">
            <w:rPr>
              <w:rFonts w:ascii="Cambria" w:eastAsia="Cambria" w:hAnsi="Cambria" w:cs="Cambria"/>
            </w:rPr>
            <w:t>46</w:t>
          </w:r>
        </w:p>
        <w:p w14:paraId="0D8D497E" w14:textId="77777777" w:rsidR="0035403C" w:rsidRDefault="00C20BE8">
          <w:pPr>
            <w:tabs>
              <w:tab w:val="right" w:pos="8910"/>
            </w:tabs>
            <w:rPr>
              <w:rFonts w:ascii="Cambria" w:eastAsia="Cambria" w:hAnsi="Cambria" w:cs="Cambria"/>
            </w:rPr>
          </w:pPr>
          <w:hyperlink w:anchor="_heading=h.48pi1tg">
            <w:r w:rsidR="00D02C31">
              <w:t>Ilustración 30 - Arquitectura de bases de datos escalables</w:t>
            </w:r>
            <w:r w:rsidR="00D02C31">
              <w:tab/>
              <w:t>4</w:t>
            </w:r>
          </w:hyperlink>
          <w:r w:rsidR="00D02C31">
            <w:rPr>
              <w:rFonts w:ascii="Cambria" w:eastAsia="Cambria" w:hAnsi="Cambria" w:cs="Cambria"/>
            </w:rPr>
            <w:t>7</w:t>
          </w:r>
        </w:p>
        <w:p w14:paraId="0DD05B2A" w14:textId="77777777" w:rsidR="0035403C" w:rsidRDefault="00C20BE8">
          <w:pPr>
            <w:tabs>
              <w:tab w:val="right" w:pos="8910"/>
            </w:tabs>
            <w:rPr>
              <w:rFonts w:ascii="Cambria" w:eastAsia="Cambria" w:hAnsi="Cambria" w:cs="Cambria"/>
            </w:rPr>
          </w:pPr>
          <w:hyperlink w:anchor="_heading=h.48pi1tg">
            <w:r w:rsidR="00D02C31">
              <w:t>Ilustración 31 - Estrategia de escritura en base de datos caché</w:t>
            </w:r>
            <w:r w:rsidR="00D02C31">
              <w:tab/>
              <w:t>4</w:t>
            </w:r>
          </w:hyperlink>
          <w:r w:rsidR="00D02C31">
            <w:rPr>
              <w:rFonts w:ascii="Cambria" w:eastAsia="Cambria" w:hAnsi="Cambria" w:cs="Cambria"/>
            </w:rPr>
            <w:t>8</w:t>
          </w:r>
        </w:p>
        <w:p w14:paraId="657CB4F8" w14:textId="77777777" w:rsidR="0035403C" w:rsidRDefault="00C20BE8">
          <w:pPr>
            <w:pBdr>
              <w:top w:val="nil"/>
              <w:left w:val="nil"/>
              <w:bottom w:val="nil"/>
              <w:right w:val="nil"/>
              <w:between w:val="nil"/>
            </w:pBdr>
            <w:tabs>
              <w:tab w:val="right" w:pos="8910"/>
            </w:tabs>
            <w:rPr>
              <w:rFonts w:ascii="Cambria" w:eastAsia="Cambria" w:hAnsi="Cambria" w:cs="Cambria"/>
              <w:color w:val="000000"/>
            </w:rPr>
          </w:pPr>
          <w:hyperlink w:anchor="_heading=h.184mhaj">
            <w:r w:rsidR="00D02C31">
              <w:rPr>
                <w:color w:val="000000"/>
              </w:rPr>
              <w:t xml:space="preserve">Ilustración </w:t>
            </w:r>
          </w:hyperlink>
          <w:hyperlink w:anchor="_heading=h.184mhaj">
            <w:r w:rsidR="00D02C31">
              <w:t>32</w:t>
            </w:r>
          </w:hyperlink>
          <w:hyperlink w:anchor="_heading=h.184mhaj">
            <w:r w:rsidR="00D02C31">
              <w:rPr>
                <w:color w:val="000000"/>
              </w:rPr>
              <w:t xml:space="preserve"> - Funcionamiento de una cola o búfer</w:t>
            </w:r>
            <w:r w:rsidR="00D02C31">
              <w:rPr>
                <w:color w:val="000000"/>
              </w:rPr>
              <w:tab/>
            </w:r>
          </w:hyperlink>
          <w:r w:rsidR="00D02C31">
            <w:fldChar w:fldCharType="begin"/>
          </w:r>
          <w:r w:rsidR="00D02C31">
            <w:instrText xml:space="preserve"> PAGEREF _heading=h.184mhaj \h </w:instrText>
          </w:r>
          <w:r w:rsidR="00D02C31">
            <w:fldChar w:fldCharType="separate"/>
          </w:r>
          <w:r w:rsidR="00D02C31">
            <w:t>4</w:t>
          </w:r>
          <w:r w:rsidR="00D02C31">
            <w:rPr>
              <w:color w:val="000000"/>
            </w:rPr>
            <w:t>9</w:t>
          </w:r>
          <w:r w:rsidR="00D02C31">
            <w:fldChar w:fldCharType="end"/>
          </w:r>
        </w:p>
        <w:p w14:paraId="7D1AA321" w14:textId="77777777" w:rsidR="0035403C" w:rsidRDefault="00C20BE8">
          <w:pPr>
            <w:pBdr>
              <w:top w:val="nil"/>
              <w:left w:val="nil"/>
              <w:bottom w:val="nil"/>
              <w:right w:val="nil"/>
              <w:between w:val="nil"/>
            </w:pBdr>
            <w:tabs>
              <w:tab w:val="right" w:pos="8910"/>
            </w:tabs>
            <w:rPr>
              <w:rFonts w:ascii="Cambria" w:eastAsia="Cambria" w:hAnsi="Cambria" w:cs="Cambria"/>
              <w:color w:val="000000"/>
            </w:rPr>
          </w:pPr>
          <w:hyperlink w:anchor="_heading=h.279ka65">
            <w:r w:rsidR="00D02C31">
              <w:rPr>
                <w:color w:val="000000"/>
              </w:rPr>
              <w:t xml:space="preserve">Ilustración </w:t>
            </w:r>
          </w:hyperlink>
          <w:hyperlink w:anchor="_heading=h.279ka65">
            <w:r w:rsidR="00D02C31">
              <w:t>33</w:t>
            </w:r>
          </w:hyperlink>
          <w:hyperlink w:anchor="_heading=h.279ka65">
            <w:r w:rsidR="00D02C31">
              <w:rPr>
                <w:color w:val="000000"/>
              </w:rPr>
              <w:t xml:space="preserve"> - Funcionamiento de un tópico</w:t>
            </w:r>
            <w:r w:rsidR="00D02C31">
              <w:rPr>
                <w:color w:val="000000"/>
              </w:rPr>
              <w:tab/>
            </w:r>
          </w:hyperlink>
          <w:r w:rsidR="00D02C31">
            <w:rPr>
              <w:rFonts w:ascii="Cambria" w:eastAsia="Cambria" w:hAnsi="Cambria" w:cs="Cambria"/>
            </w:rPr>
            <w:t>49</w:t>
          </w:r>
        </w:p>
        <w:p w14:paraId="0A6B126A" w14:textId="77777777" w:rsidR="0035403C" w:rsidRDefault="00C20BE8">
          <w:pPr>
            <w:tabs>
              <w:tab w:val="right" w:pos="8910"/>
            </w:tabs>
            <w:rPr>
              <w:rFonts w:ascii="Cambria" w:eastAsia="Cambria" w:hAnsi="Cambria" w:cs="Cambria"/>
            </w:rPr>
          </w:pPr>
          <w:hyperlink w:anchor="_heading=h.279ka65">
            <w:r w:rsidR="00D02C31">
              <w:t>Ilustración 34 - Ciclo DevOps</w:t>
            </w:r>
            <w:r w:rsidR="00D02C31">
              <w:tab/>
            </w:r>
          </w:hyperlink>
          <w:r w:rsidR="00D02C31">
            <w:rPr>
              <w:rFonts w:ascii="Cambria" w:eastAsia="Cambria" w:hAnsi="Cambria" w:cs="Cambria"/>
            </w:rPr>
            <w:t>50</w:t>
          </w:r>
        </w:p>
        <w:p w14:paraId="628B249A" w14:textId="77777777" w:rsidR="0035403C" w:rsidRDefault="00C20BE8">
          <w:pPr>
            <w:tabs>
              <w:tab w:val="right" w:pos="8910"/>
            </w:tabs>
            <w:rPr>
              <w:rFonts w:ascii="Cambria" w:eastAsia="Cambria" w:hAnsi="Cambria" w:cs="Cambria"/>
            </w:rPr>
          </w:pPr>
          <w:hyperlink w:anchor="_heading=h.279ka65">
            <w:r w:rsidR="00D02C31">
              <w:t>Ilustración 35 - Costos on-premises</w:t>
            </w:r>
            <w:r w:rsidR="00D02C31">
              <w:tab/>
            </w:r>
          </w:hyperlink>
          <w:r w:rsidR="00D02C31">
            <w:rPr>
              <w:rFonts w:ascii="Cambria" w:eastAsia="Cambria" w:hAnsi="Cambria" w:cs="Cambria"/>
            </w:rPr>
            <w:t>51</w:t>
          </w:r>
        </w:p>
        <w:p w14:paraId="5E219CEE" w14:textId="77777777" w:rsidR="0035403C" w:rsidRDefault="00C20BE8">
          <w:pPr>
            <w:tabs>
              <w:tab w:val="right" w:pos="8910"/>
            </w:tabs>
            <w:rPr>
              <w:rFonts w:ascii="Cambria" w:eastAsia="Cambria" w:hAnsi="Cambria" w:cs="Cambria"/>
            </w:rPr>
          </w:pPr>
          <w:hyperlink w:anchor="_heading=h.279ka65">
            <w:r w:rsidR="00D02C31">
              <w:t>Ilustración 36 - Costos cloud</w:t>
            </w:r>
            <w:r w:rsidR="00D02C31">
              <w:tab/>
            </w:r>
          </w:hyperlink>
          <w:r w:rsidR="00D02C31">
            <w:rPr>
              <w:rFonts w:ascii="Cambria" w:eastAsia="Cambria" w:hAnsi="Cambria" w:cs="Cambria"/>
            </w:rPr>
            <w:t>52</w:t>
          </w:r>
        </w:p>
        <w:p w14:paraId="485BB6F6" w14:textId="77777777" w:rsidR="0035403C" w:rsidRDefault="00C20BE8">
          <w:pPr>
            <w:tabs>
              <w:tab w:val="right" w:pos="8910"/>
            </w:tabs>
            <w:rPr>
              <w:rFonts w:ascii="Cambria" w:eastAsia="Cambria" w:hAnsi="Cambria" w:cs="Cambria"/>
            </w:rPr>
          </w:pPr>
          <w:hyperlink w:anchor="_heading=h.279ka65">
            <w:r w:rsidR="00D02C31">
              <w:t>Ilustración 37 - Costos cloud vs on-premises a través del tiempo</w:t>
            </w:r>
            <w:r w:rsidR="00D02C31">
              <w:tab/>
            </w:r>
          </w:hyperlink>
          <w:r w:rsidR="00D02C31">
            <w:rPr>
              <w:rFonts w:ascii="Cambria" w:eastAsia="Cambria" w:hAnsi="Cambria" w:cs="Cambria"/>
            </w:rPr>
            <w:t>54</w:t>
          </w:r>
        </w:p>
        <w:p w14:paraId="22D41C5C" w14:textId="77777777" w:rsidR="0035403C" w:rsidRDefault="00C20BE8">
          <w:pPr>
            <w:tabs>
              <w:tab w:val="right" w:pos="8910"/>
            </w:tabs>
            <w:rPr>
              <w:rFonts w:ascii="Cambria" w:eastAsia="Cambria" w:hAnsi="Cambria" w:cs="Cambria"/>
            </w:rPr>
          </w:pPr>
          <w:hyperlink w:anchor="_heading=h.279ka65">
            <w:r w:rsidR="00D02C31">
              <w:t>Ilustración 38 - Enfoques de migración</w:t>
            </w:r>
            <w:r w:rsidR="00D02C31">
              <w:tab/>
            </w:r>
          </w:hyperlink>
          <w:r w:rsidR="00D02C31">
            <w:rPr>
              <w:rFonts w:ascii="Cambria" w:eastAsia="Cambria" w:hAnsi="Cambria" w:cs="Cambria"/>
            </w:rPr>
            <w:t>59</w:t>
          </w:r>
        </w:p>
        <w:p w14:paraId="45EC453C" w14:textId="77777777" w:rsidR="0035403C" w:rsidRDefault="00C20BE8">
          <w:pPr>
            <w:tabs>
              <w:tab w:val="right" w:pos="8910"/>
            </w:tabs>
            <w:rPr>
              <w:rFonts w:ascii="Cambria" w:eastAsia="Cambria" w:hAnsi="Cambria" w:cs="Cambria"/>
            </w:rPr>
          </w:pPr>
          <w:hyperlink w:anchor="_heading=h.279ka65">
            <w:r w:rsidR="00D02C31">
              <w:t>Ilustración 39 - Decisión de migración</w:t>
            </w:r>
            <w:r w:rsidR="00D02C31">
              <w:tab/>
            </w:r>
          </w:hyperlink>
          <w:r w:rsidR="00D02C31">
            <w:rPr>
              <w:rFonts w:ascii="Cambria" w:eastAsia="Cambria" w:hAnsi="Cambria" w:cs="Cambria"/>
            </w:rPr>
            <w:t>59</w:t>
          </w:r>
        </w:p>
        <w:p w14:paraId="3F23873E" w14:textId="77777777" w:rsidR="0035403C" w:rsidRDefault="00C20BE8">
          <w:pPr>
            <w:tabs>
              <w:tab w:val="right" w:pos="8910"/>
            </w:tabs>
            <w:rPr>
              <w:rFonts w:ascii="Cambria" w:eastAsia="Cambria" w:hAnsi="Cambria" w:cs="Cambria"/>
            </w:rPr>
          </w:pPr>
          <w:hyperlink w:anchor="_heading=h.279ka65">
            <w:r w:rsidR="00D02C31">
              <w:t>Ilustración 40 - Replicación de replicación</w:t>
            </w:r>
            <w:r w:rsidR="00D02C31">
              <w:tab/>
            </w:r>
          </w:hyperlink>
          <w:r w:rsidR="00D02C31">
            <w:rPr>
              <w:rFonts w:ascii="Cambria" w:eastAsia="Cambria" w:hAnsi="Cambria" w:cs="Cambria"/>
            </w:rPr>
            <w:t>60</w:t>
          </w:r>
          <w:r w:rsidR="00D02C31">
            <w:fldChar w:fldCharType="end"/>
          </w:r>
        </w:p>
      </w:sdtContent>
    </w:sdt>
    <w:p w14:paraId="6D98A12B" w14:textId="77777777" w:rsidR="0035403C" w:rsidRDefault="0035403C"/>
    <w:sdt>
      <w:sdtPr>
        <w:id w:val="-711347344"/>
        <w:docPartObj>
          <w:docPartGallery w:val="Table of Contents"/>
          <w:docPartUnique/>
        </w:docPartObj>
      </w:sdtPr>
      <w:sdtContent>
        <w:p w14:paraId="0255E926" w14:textId="77777777" w:rsidR="0035403C" w:rsidRDefault="00D02C31">
          <w:pPr>
            <w:pBdr>
              <w:top w:val="nil"/>
              <w:left w:val="nil"/>
              <w:bottom w:val="nil"/>
              <w:right w:val="nil"/>
              <w:between w:val="nil"/>
            </w:pBdr>
            <w:tabs>
              <w:tab w:val="right" w:pos="8910"/>
            </w:tabs>
            <w:rPr>
              <w:rFonts w:ascii="Cambria" w:eastAsia="Cambria" w:hAnsi="Cambria" w:cs="Cambria"/>
              <w:color w:val="000000"/>
            </w:rPr>
          </w:pPr>
          <w:r>
            <w:fldChar w:fldCharType="begin"/>
          </w:r>
          <w:r>
            <w:instrText xml:space="preserve"> TOC \h \u \z \t "Heading 1,1,Heading 2,2,Heading 3,3,Heading 4,4,Heading 5,5,Heading 6,6,"</w:instrText>
          </w:r>
          <w:r>
            <w:fldChar w:fldCharType="separate"/>
          </w:r>
          <w:hyperlink w:anchor="_heading=h.tyjcwt">
            <w:r>
              <w:rPr>
                <w:color w:val="000000"/>
              </w:rPr>
              <w:t>Tabla 1: Detalle de la conformación del CBU</w:t>
            </w:r>
            <w:r>
              <w:rPr>
                <w:color w:val="000000"/>
              </w:rPr>
              <w:tab/>
            </w:r>
          </w:hyperlink>
          <w:r>
            <w:rPr>
              <w:rFonts w:ascii="Cambria" w:eastAsia="Cambria" w:hAnsi="Cambria" w:cs="Cambria"/>
            </w:rPr>
            <w:t>8</w:t>
          </w:r>
        </w:p>
        <w:p w14:paraId="4B75E3F8" w14:textId="77777777" w:rsidR="0035403C" w:rsidRDefault="00C20BE8">
          <w:pPr>
            <w:pBdr>
              <w:top w:val="nil"/>
              <w:left w:val="nil"/>
              <w:bottom w:val="nil"/>
              <w:right w:val="nil"/>
              <w:between w:val="nil"/>
            </w:pBdr>
            <w:tabs>
              <w:tab w:val="right" w:pos="8910"/>
            </w:tabs>
          </w:pPr>
          <w:hyperlink w:anchor="_heading=h.17dp8vu">
            <w:r w:rsidR="00D02C31">
              <w:rPr>
                <w:color w:val="000000"/>
              </w:rPr>
              <w:t>Tabla 2: Detalle de la conformación del CVU</w:t>
            </w:r>
          </w:hyperlink>
          <w:r w:rsidR="00D02C31">
            <w:tab/>
            <w:t>9</w:t>
          </w:r>
        </w:p>
        <w:p w14:paraId="1F81C7F4" w14:textId="77777777" w:rsidR="0035403C" w:rsidRDefault="00C20BE8">
          <w:pPr>
            <w:pBdr>
              <w:top w:val="nil"/>
              <w:left w:val="nil"/>
              <w:bottom w:val="nil"/>
              <w:right w:val="nil"/>
              <w:between w:val="nil"/>
            </w:pBdr>
            <w:tabs>
              <w:tab w:val="right" w:pos="8910"/>
            </w:tabs>
            <w:rPr>
              <w:rFonts w:ascii="Cambria" w:eastAsia="Cambria" w:hAnsi="Cambria" w:cs="Cambria"/>
              <w:color w:val="000000"/>
            </w:rPr>
          </w:pPr>
          <w:hyperlink w:anchor="_heading=h.17dp8vu">
            <w:r w:rsidR="00D02C31">
              <w:t>Tabla 3: Metodología de investigación</w:t>
            </w:r>
          </w:hyperlink>
          <w:hyperlink w:anchor="_heading=h.17dp8vu">
            <w:r w:rsidR="00D02C31">
              <w:rPr>
                <w:color w:val="000000"/>
              </w:rPr>
              <w:tab/>
            </w:r>
          </w:hyperlink>
          <w:r w:rsidR="00D02C31">
            <w:rPr>
              <w:rFonts w:ascii="Cambria" w:eastAsia="Cambria" w:hAnsi="Cambria" w:cs="Cambria"/>
            </w:rPr>
            <w:t>15</w:t>
          </w:r>
        </w:p>
        <w:p w14:paraId="7647DA5E" w14:textId="77777777" w:rsidR="0035403C" w:rsidRDefault="00C20BE8">
          <w:pPr>
            <w:pBdr>
              <w:top w:val="nil"/>
              <w:left w:val="nil"/>
              <w:bottom w:val="nil"/>
              <w:right w:val="nil"/>
              <w:between w:val="nil"/>
            </w:pBdr>
            <w:tabs>
              <w:tab w:val="right" w:pos="8910"/>
            </w:tabs>
            <w:rPr>
              <w:rFonts w:ascii="Cambria" w:eastAsia="Cambria" w:hAnsi="Cambria" w:cs="Cambria"/>
            </w:rPr>
          </w:pPr>
          <w:hyperlink w:anchor="_heading=h.vx1227">
            <w:r w:rsidR="00D02C31">
              <w:rPr>
                <w:color w:val="000000"/>
              </w:rPr>
              <w:t xml:space="preserve">Tabla </w:t>
            </w:r>
          </w:hyperlink>
          <w:hyperlink w:anchor="_heading=h.vx1227">
            <w:r w:rsidR="00D02C31">
              <w:t>4</w:t>
            </w:r>
          </w:hyperlink>
          <w:hyperlink w:anchor="_heading=h.vx1227">
            <w:r w:rsidR="00D02C31">
              <w:rPr>
                <w:color w:val="000000"/>
              </w:rPr>
              <w:t xml:space="preserve"> - Comparación de costos entre proveedores (https://intellipaat.com/blog/aws-vs-azure-vs-google-cloud/#no8)</w:t>
            </w:r>
            <w:r w:rsidR="00D02C31">
              <w:rPr>
                <w:color w:val="000000"/>
              </w:rPr>
              <w:tab/>
            </w:r>
          </w:hyperlink>
          <w:r w:rsidR="00D02C31">
            <w:rPr>
              <w:rFonts w:ascii="Cambria" w:eastAsia="Cambria" w:hAnsi="Cambria" w:cs="Cambria"/>
            </w:rPr>
            <w:t>21</w:t>
          </w:r>
        </w:p>
        <w:p w14:paraId="022BBE44" w14:textId="77777777" w:rsidR="0035403C" w:rsidRDefault="00C20BE8">
          <w:pPr>
            <w:tabs>
              <w:tab w:val="right" w:pos="8910"/>
            </w:tabs>
            <w:rPr>
              <w:rFonts w:ascii="Cambria" w:eastAsia="Cambria" w:hAnsi="Cambria" w:cs="Cambria"/>
            </w:rPr>
          </w:pPr>
          <w:hyperlink w:anchor="_heading=h.17dp8vu">
            <w:r w:rsidR="00D02C31">
              <w:t>Tabla 5: Tabla de resultados EFE</w:t>
            </w:r>
            <w:r w:rsidR="00D02C31">
              <w:tab/>
            </w:r>
          </w:hyperlink>
          <w:r w:rsidR="00D02C31">
            <w:rPr>
              <w:rFonts w:ascii="Cambria" w:eastAsia="Cambria" w:hAnsi="Cambria" w:cs="Cambria"/>
            </w:rPr>
            <w:t>34</w:t>
          </w:r>
        </w:p>
        <w:p w14:paraId="124C18E8" w14:textId="77777777" w:rsidR="0035403C" w:rsidRDefault="00C20BE8">
          <w:pPr>
            <w:tabs>
              <w:tab w:val="right" w:pos="8910"/>
            </w:tabs>
            <w:rPr>
              <w:rFonts w:ascii="Cambria" w:eastAsia="Cambria" w:hAnsi="Cambria" w:cs="Cambria"/>
            </w:rPr>
          </w:pPr>
          <w:hyperlink w:anchor="_heading=h.17dp8vu">
            <w:r w:rsidR="00D02C31">
              <w:t>Tabla 6: Tabla de resultados EFI</w:t>
            </w:r>
            <w:r w:rsidR="00D02C31">
              <w:tab/>
            </w:r>
          </w:hyperlink>
          <w:r w:rsidR="00D02C31">
            <w:rPr>
              <w:rFonts w:ascii="Cambria" w:eastAsia="Cambria" w:hAnsi="Cambria" w:cs="Cambria"/>
            </w:rPr>
            <w:t>35</w:t>
          </w:r>
        </w:p>
        <w:p w14:paraId="16E9C283" w14:textId="77777777" w:rsidR="0035403C" w:rsidRDefault="00C20BE8">
          <w:pPr>
            <w:tabs>
              <w:tab w:val="right" w:pos="8910"/>
            </w:tabs>
            <w:rPr>
              <w:rFonts w:ascii="Cambria" w:eastAsia="Cambria" w:hAnsi="Cambria" w:cs="Cambria"/>
            </w:rPr>
          </w:pPr>
          <w:hyperlink w:anchor="_heading=h.17dp8vu">
            <w:r w:rsidR="00D02C31">
              <w:t>Tabla 7: Costos cloud vs on-premises</w:t>
            </w:r>
            <w:r w:rsidR="00D02C31">
              <w:tab/>
            </w:r>
          </w:hyperlink>
          <w:r w:rsidR="00D02C31">
            <w:rPr>
              <w:rFonts w:ascii="Cambria" w:eastAsia="Cambria" w:hAnsi="Cambria" w:cs="Cambria"/>
            </w:rPr>
            <w:t>53</w:t>
          </w:r>
          <w:r w:rsidR="00D02C31">
            <w:fldChar w:fldCharType="end"/>
          </w:r>
        </w:p>
      </w:sdtContent>
    </w:sdt>
    <w:p w14:paraId="2946DB82" w14:textId="77777777" w:rsidR="0035403C" w:rsidRDefault="00D02C31">
      <w:pPr>
        <w:rPr>
          <w:rFonts w:ascii="Calibri" w:eastAsia="Calibri" w:hAnsi="Calibri" w:cs="Calibri"/>
          <w:b/>
          <w:color w:val="366091"/>
          <w:sz w:val="28"/>
          <w:szCs w:val="28"/>
        </w:rPr>
      </w:pPr>
      <w:r>
        <w:br w:type="page"/>
      </w:r>
    </w:p>
    <w:p w14:paraId="40330075" w14:textId="77777777" w:rsidR="0035403C" w:rsidRDefault="00D02C31">
      <w:pPr>
        <w:pStyle w:val="Ttulo"/>
      </w:pPr>
      <w:r>
        <w:lastRenderedPageBreak/>
        <w:t>INTRODUCCIÓN</w:t>
      </w:r>
    </w:p>
    <w:p w14:paraId="152D9A40" w14:textId="77777777" w:rsidR="0035403C" w:rsidRDefault="00D02C31">
      <w:pPr>
        <w:pStyle w:val="Ttulo1"/>
      </w:pPr>
      <w:bookmarkStart w:id="1" w:name="_heading=h.gjdgxs" w:colFirst="0" w:colLast="0"/>
      <w:bookmarkEnd w:id="1"/>
      <w:r>
        <w:t>CÁMARAS COMPENSADORAS</w:t>
      </w:r>
    </w:p>
    <w:p w14:paraId="1F439CFD" w14:textId="77777777" w:rsidR="0035403C" w:rsidRDefault="00D02C31">
      <w:pPr>
        <w:jc w:val="both"/>
      </w:pPr>
      <w:r w:rsidRPr="0FE4D5DF">
        <w:rPr>
          <w:lang w:val="en-US"/>
        </w:rPr>
        <w:t xml:space="preserve">Las ACH (Automated Clearing House) o cámaras compensadoras son entidades </w:t>
      </w:r>
      <w:proofErr w:type="gramStart"/>
      <w:r w:rsidRPr="0FE4D5DF">
        <w:rPr>
          <w:lang w:val="en-US"/>
        </w:rPr>
        <w:t>del</w:t>
      </w:r>
      <w:proofErr w:type="gramEnd"/>
      <w:r w:rsidRPr="0FE4D5DF">
        <w:rPr>
          <w:lang w:val="en-US"/>
        </w:rPr>
        <w:t xml:space="preserve"> mundo financiero que se dedican, entre otras cosas, a procesar transacciones de pagos electrónicos entre cuentas bancarias. </w:t>
      </w:r>
      <w:proofErr w:type="gramStart"/>
      <w:r w:rsidRPr="0FE4D5DF">
        <w:rPr>
          <w:lang w:val="en-US"/>
        </w:rPr>
        <w:t>Permiten que existan las transferencias de fondos entre diferentes instituciones financieras, incluyendo bancos, financieras tecnológicas, cooperativas de crédito y compañías de tarjetas de crédito, entre otros.</w:t>
      </w:r>
      <w:proofErr w:type="gramEnd"/>
      <w:r w:rsidRPr="0FE4D5DF">
        <w:rPr>
          <w:lang w:val="en-US"/>
        </w:rPr>
        <w:t xml:space="preserve"> Mayormente son utilizadas por empresas, organizaciones y consumidores para procesar una variedad de transacciones, </w:t>
      </w:r>
      <w:proofErr w:type="gramStart"/>
      <w:r w:rsidRPr="0FE4D5DF">
        <w:rPr>
          <w:lang w:val="en-US"/>
        </w:rPr>
        <w:t>como</w:t>
      </w:r>
      <w:proofErr w:type="gramEnd"/>
      <w:r w:rsidRPr="0FE4D5DF">
        <w:rPr>
          <w:lang w:val="en-US"/>
        </w:rPr>
        <w:t xml:space="preserve"> pueden ser los pagos de nómina, los pagos de facturas, las transferencias de fondos entre cuentas bancarias o pagos de diferentes índoles. Las ACH son responsables de verificar y validar la información de las cuentas y de asegurar que los fondos </w:t>
      </w:r>
      <w:proofErr w:type="gramStart"/>
      <w:r w:rsidRPr="0FE4D5DF">
        <w:rPr>
          <w:lang w:val="en-US"/>
        </w:rPr>
        <w:t>sean</w:t>
      </w:r>
      <w:proofErr w:type="gramEnd"/>
      <w:r w:rsidRPr="0FE4D5DF">
        <w:rPr>
          <w:lang w:val="en-US"/>
        </w:rPr>
        <w:t xml:space="preserve"> transferidos de forma garantizada, segura y eficiente mediante diferentes mecanismos. </w:t>
      </w:r>
    </w:p>
    <w:p w14:paraId="107F0C2F" w14:textId="77777777" w:rsidR="0035403C" w:rsidRDefault="00D02C31">
      <w:pPr>
        <w:jc w:val="both"/>
      </w:pPr>
      <w:r w:rsidRPr="0FE4D5DF">
        <w:rPr>
          <w:lang w:val="en-US"/>
        </w:rPr>
        <w:t xml:space="preserve">Los medios de pagos electrónicos tratan de promover </w:t>
      </w:r>
      <w:proofErr w:type="gramStart"/>
      <w:r w:rsidRPr="0FE4D5DF">
        <w:rPr>
          <w:lang w:val="en-US"/>
        </w:rPr>
        <w:t>un</w:t>
      </w:r>
      <w:proofErr w:type="gramEnd"/>
      <w:r w:rsidRPr="0FE4D5DF">
        <w:rPr>
          <w:lang w:val="en-US"/>
        </w:rPr>
        <w:t xml:space="preserve"> mayor uso de estos canales, siendo uno de los ejes de gestión de la mayoría de los bancos centrales de cada país. Incrementar la red de aceptación de medios de pago electrónico es </w:t>
      </w:r>
      <w:proofErr w:type="gramStart"/>
      <w:r w:rsidRPr="0FE4D5DF">
        <w:rPr>
          <w:lang w:val="en-US"/>
        </w:rPr>
        <w:t>un</w:t>
      </w:r>
      <w:proofErr w:type="gramEnd"/>
      <w:r w:rsidRPr="0FE4D5DF">
        <w:rPr>
          <w:lang w:val="en-US"/>
        </w:rPr>
        <w:t xml:space="preserve"> pilar clave dentro de las políticas de inclusión financiera de las naciones, como así también, de la región. Incentivar la utilización masiva de medios de pago electrónico ayuda a obstaculizar el crimen organizado, el narcotráfico y el lavado de dinero, así como también ayuda a formalizar la economía, permitiendo cargas tributarias más parejas y moderadas. </w:t>
      </w:r>
    </w:p>
    <w:p w14:paraId="774CCF63" w14:textId="77777777" w:rsidR="0035403C" w:rsidRDefault="00D02C31">
      <w:pPr>
        <w:jc w:val="both"/>
      </w:pPr>
      <w:r w:rsidRPr="0FE4D5DF">
        <w:rPr>
          <w:lang w:val="en-US"/>
        </w:rPr>
        <w:t xml:space="preserve">El Banco Central de la República Argentina ha adoptado </w:t>
      </w:r>
      <w:proofErr w:type="gramStart"/>
      <w:r w:rsidRPr="0FE4D5DF">
        <w:rPr>
          <w:lang w:val="en-US"/>
        </w:rPr>
        <w:t>un</w:t>
      </w:r>
      <w:proofErr w:type="gramEnd"/>
      <w:r w:rsidRPr="0FE4D5DF">
        <w:rPr>
          <w:lang w:val="en-US"/>
        </w:rPr>
        <w:t xml:space="preserve"> gran número de medidas a partir de 2016 para promover el uso de medios de pago electrónicos, donde incorporó un nuevo medio de pago: DEBIN. </w:t>
      </w:r>
      <w:proofErr w:type="gramStart"/>
      <w:r w:rsidRPr="0FE4D5DF">
        <w:rPr>
          <w:lang w:val="en-US"/>
        </w:rPr>
        <w:t>Este medio habilitó a todas las entidades financieras y a nuevos actores de la industria de medios de pago a debitar fondos de las cuentas bancarias de sus clientes que autoricen a cursarlos.</w:t>
      </w:r>
      <w:proofErr w:type="gramEnd"/>
      <w:r w:rsidRPr="0FE4D5DF">
        <w:rPr>
          <w:lang w:val="en-US"/>
        </w:rPr>
        <w:t xml:space="preserve"> El BCRA designó a la Cámara Compensadora de Bajo Valor (COELSA S.A.), que se encuentra bajo regulación directa de su autoridad monetaria, como la única administradora de todas estas operaciones compitiendo directamente al producto Transferencias Inmediatas, el cuál es un producto privado (Red Link y Red Prisma como dueños) y no alcanzable por todos los participantes del ecosistema. </w:t>
      </w:r>
      <w:proofErr w:type="gramStart"/>
      <w:r w:rsidRPr="0FE4D5DF">
        <w:rPr>
          <w:lang w:val="en-US"/>
        </w:rPr>
        <w:t>Este diseño institucional permite garantizar la competencia en esta industria.</w:t>
      </w:r>
      <w:proofErr w:type="gramEnd"/>
      <w:r w:rsidRPr="0FE4D5DF">
        <w:rPr>
          <w:lang w:val="en-US"/>
        </w:rPr>
        <w:t xml:space="preserve"> </w:t>
      </w:r>
    </w:p>
    <w:p w14:paraId="248EC7E1" w14:textId="77777777" w:rsidR="0035403C" w:rsidRDefault="00D02C31">
      <w:pPr>
        <w:pStyle w:val="Ttulo1"/>
      </w:pPr>
      <w:bookmarkStart w:id="2" w:name="_heading=h.30j0zll" w:colFirst="0" w:colLast="0"/>
      <w:bookmarkEnd w:id="2"/>
      <w:r>
        <w:t>ANTECEDENTES Y MOTIVOS</w:t>
      </w:r>
    </w:p>
    <w:p w14:paraId="314C9C08" w14:textId="77777777" w:rsidR="0035403C" w:rsidRDefault="00D02C31">
      <w:pPr>
        <w:pStyle w:val="Ttulo2"/>
      </w:pPr>
      <w:bookmarkStart w:id="3" w:name="_heading=h.1fob9te"/>
      <w:bookmarkEnd w:id="3"/>
      <w:r w:rsidRPr="0FE4D5DF">
        <w:rPr>
          <w:lang w:val="en-US"/>
        </w:rPr>
        <w:t>Lanzamiento de DEBIN</w:t>
      </w:r>
    </w:p>
    <w:p w14:paraId="07426E0A" w14:textId="77777777" w:rsidR="0035403C" w:rsidRDefault="00D02C31">
      <w:pPr>
        <w:jc w:val="both"/>
      </w:pPr>
      <w:r w:rsidRPr="17FBBB8B">
        <w:rPr>
          <w:lang w:val="en-US"/>
        </w:rPr>
        <w:t xml:space="preserve">El DEBIN o “Débito Inmediato” permite pagar con una transferencia inmediata y directa, como también solicitar un pago por parte del vendedor y que sea aceptado por el comprador, desde un home banking o una aplicación móvil. A diferencia de los otros medios de pago, el DEBIN es una transferencia online inmediata por medio de la cual quien cobra inicia el trámite y quien paga solo debe aceptarlo. Para esto, los sistemas de banca móvil sumaron sus menús "Pagos DEBIN", donde la persona usuaria puede generar pedidos de pago y también ver la lista de solicitudes recibidas con la opción de aceptarlas, rechazarlas o desconocerlas. El DEBIN admite pagos en pesos o en dólares, entre cuentas de igual moneda. A diferencia de las transferencias comunes, basta con pedirle su nombre de cuenta (Alias CBU), sin agregar otros datos </w:t>
      </w:r>
      <w:proofErr w:type="gramStart"/>
      <w:r w:rsidRPr="17FBBB8B">
        <w:rPr>
          <w:lang w:val="en-US"/>
        </w:rPr>
        <w:t>como</w:t>
      </w:r>
      <w:proofErr w:type="gramEnd"/>
      <w:r w:rsidRPr="17FBBB8B">
        <w:rPr>
          <w:lang w:val="en-US"/>
        </w:rPr>
        <w:t xml:space="preserve"> el </w:t>
      </w:r>
      <w:r w:rsidRPr="17FBBB8B">
        <w:rPr>
          <w:lang w:val="en-US"/>
        </w:rPr>
        <w:lastRenderedPageBreak/>
        <w:t>DNI o el CUIT, para poder inicializar la operación. También permite programarse para cobros recurrentes, con la aceptación automática de pedidos futuros hechos desde ciertas cuentas, con fechas y topes fijados.</w:t>
      </w:r>
    </w:p>
    <w:p w14:paraId="5997CC1D" w14:textId="77777777" w:rsidR="0035403C" w:rsidRDefault="0035403C">
      <w:pPr>
        <w:spacing w:line="276" w:lineRule="auto"/>
        <w:jc w:val="both"/>
        <w:rPr>
          <w:color w:val="1F497D"/>
        </w:rPr>
      </w:pPr>
    </w:p>
    <w:p w14:paraId="658A319C" w14:textId="77777777" w:rsidR="0035403C" w:rsidRDefault="00D02C31" w:rsidP="0FE4D5DF">
      <w:pPr>
        <w:pStyle w:val="Ttulo2"/>
        <w:rPr>
          <w:lang w:val="en-US"/>
        </w:rPr>
      </w:pPr>
      <w:bookmarkStart w:id="4" w:name="_heading=h.3znysh7"/>
      <w:bookmarkEnd w:id="4"/>
      <w:r w:rsidRPr="0FE4D5DF">
        <w:rPr>
          <w:lang w:val="en-US"/>
        </w:rPr>
        <w:t>CBU y su crecimiento</w:t>
      </w:r>
    </w:p>
    <w:p w14:paraId="4173946C" w14:textId="77777777" w:rsidR="0035403C" w:rsidRDefault="00D02C31" w:rsidP="0FE4D5DF">
      <w:pPr>
        <w:pBdr>
          <w:top w:val="nil"/>
          <w:left w:val="nil"/>
          <w:bottom w:val="nil"/>
          <w:right w:val="nil"/>
          <w:between w:val="nil"/>
        </w:pBdr>
        <w:spacing w:after="150"/>
        <w:jc w:val="both"/>
        <w:rPr>
          <w:rFonts w:ascii="Cambria" w:eastAsia="Cambria" w:hAnsi="Cambria" w:cs="Cambria"/>
          <w:color w:val="000000"/>
          <w:lang w:val="en-US"/>
        </w:rPr>
      </w:pPr>
      <w:r w:rsidRPr="0FE4D5DF">
        <w:rPr>
          <w:rFonts w:ascii="Cambria" w:eastAsia="Cambria" w:hAnsi="Cambria" w:cs="Cambria"/>
          <w:color w:val="000000" w:themeColor="text1"/>
          <w:lang w:val="en-US"/>
        </w:rPr>
        <w:t xml:space="preserve">La Clave Bancaria Uniforme es el código que identifica a cada cuenta bancaria </w:t>
      </w:r>
      <w:proofErr w:type="gramStart"/>
      <w:r w:rsidRPr="0FE4D5DF">
        <w:rPr>
          <w:rFonts w:ascii="Cambria" w:eastAsia="Cambria" w:hAnsi="Cambria" w:cs="Cambria"/>
          <w:color w:val="000000" w:themeColor="text1"/>
          <w:lang w:val="en-US"/>
        </w:rPr>
        <w:t>como</w:t>
      </w:r>
      <w:proofErr w:type="gramEnd"/>
      <w:r w:rsidRPr="0FE4D5DF">
        <w:rPr>
          <w:rFonts w:ascii="Cambria" w:eastAsia="Cambria" w:hAnsi="Cambria" w:cs="Cambria"/>
          <w:color w:val="000000" w:themeColor="text1"/>
          <w:lang w:val="en-US"/>
        </w:rPr>
        <w:t xml:space="preserve"> única. Está compuesta por 22 dígitos </w:t>
      </w:r>
      <w:r w:rsidRPr="0FE4D5DF">
        <w:rPr>
          <w:rFonts w:ascii="Cambria" w:eastAsia="Cambria" w:hAnsi="Cambria" w:cs="Cambria"/>
          <w:lang w:val="en-US"/>
        </w:rPr>
        <w:t>separados</w:t>
      </w:r>
      <w:r w:rsidRPr="0FE4D5DF">
        <w:rPr>
          <w:rFonts w:ascii="Cambria" w:eastAsia="Cambria" w:hAnsi="Cambria" w:cs="Cambria"/>
          <w:color w:val="000000" w:themeColor="text1"/>
          <w:lang w:val="en-US"/>
        </w:rPr>
        <w:t xml:space="preserve"> en dos bloques, dónde cada dígito brinda información de la cuenta </w:t>
      </w:r>
      <w:r w:rsidRPr="0FE4D5DF">
        <w:rPr>
          <w:rFonts w:ascii="Cambria" w:eastAsia="Cambria" w:hAnsi="Cambria" w:cs="Cambria"/>
          <w:lang w:val="en-US"/>
        </w:rPr>
        <w:t>en sí</w:t>
      </w:r>
      <w:r w:rsidRPr="0FE4D5DF">
        <w:rPr>
          <w:rFonts w:ascii="Cambria" w:eastAsia="Cambria" w:hAnsi="Cambria" w:cs="Cambria"/>
          <w:color w:val="000000" w:themeColor="text1"/>
          <w:lang w:val="en-US"/>
        </w:rPr>
        <w:t xml:space="preserve">, como el banco al que pertenece, la sucursal y el número de cliente. Esta clave facilita la gestión entre cuentas y potencia el </w:t>
      </w:r>
      <w:proofErr w:type="gramStart"/>
      <w:r w:rsidRPr="0FE4D5DF">
        <w:rPr>
          <w:rFonts w:ascii="Cambria" w:eastAsia="Cambria" w:hAnsi="Cambria" w:cs="Cambria"/>
          <w:color w:val="000000" w:themeColor="text1"/>
          <w:lang w:val="en-US"/>
        </w:rPr>
        <w:t>uso</w:t>
      </w:r>
      <w:proofErr w:type="gramEnd"/>
      <w:r w:rsidRPr="0FE4D5DF">
        <w:rPr>
          <w:rFonts w:ascii="Cambria" w:eastAsia="Cambria" w:hAnsi="Cambria" w:cs="Cambria"/>
          <w:color w:val="000000" w:themeColor="text1"/>
          <w:lang w:val="en-US"/>
        </w:rPr>
        <w:t xml:space="preserve"> de los medios de pagos electrónicos. La CBU permite realizar transferencias de dinero, recibir o enviar depósitos, adherir el pago de servicios o impuestos al débito automático, entre otras acciones. El BCRA lanza la Cuenta Gratuita Universal (CGU), la cual es una caja de ahorro en pesos, con apertura, mantenimiento, movimientos de fondos y consultas de saldo gratuitos. Desde el 1° de febrero de 2020, todas las entidades comenzaron </w:t>
      </w:r>
      <w:proofErr w:type="gramStart"/>
      <w:r w:rsidRPr="0FE4D5DF">
        <w:rPr>
          <w:rFonts w:ascii="Cambria" w:eastAsia="Cambria" w:hAnsi="Cambria" w:cs="Cambria"/>
          <w:color w:val="000000" w:themeColor="text1"/>
          <w:lang w:val="en-US"/>
        </w:rPr>
        <w:t>a</w:t>
      </w:r>
      <w:proofErr w:type="gramEnd"/>
      <w:r w:rsidRPr="0FE4D5DF">
        <w:rPr>
          <w:rFonts w:ascii="Cambria" w:eastAsia="Cambria" w:hAnsi="Cambria" w:cs="Cambria"/>
          <w:color w:val="000000" w:themeColor="text1"/>
          <w:lang w:val="en-US"/>
        </w:rPr>
        <w:t xml:space="preserve"> </w:t>
      </w:r>
      <w:r w:rsidRPr="0FE4D5DF">
        <w:rPr>
          <w:rFonts w:ascii="Cambria" w:eastAsia="Cambria" w:hAnsi="Cambria" w:cs="Cambria"/>
          <w:lang w:val="en-US"/>
        </w:rPr>
        <w:t>ofrecer</w:t>
      </w:r>
      <w:r w:rsidRPr="0FE4D5DF">
        <w:rPr>
          <w:rFonts w:ascii="Cambria" w:eastAsia="Cambria" w:hAnsi="Cambria" w:cs="Cambria"/>
          <w:color w:val="000000" w:themeColor="text1"/>
          <w:lang w:val="en-US"/>
        </w:rPr>
        <w:t xml:space="preserve">. </w:t>
      </w:r>
    </w:p>
    <w:p w14:paraId="68C862E5" w14:textId="77777777" w:rsidR="0035403C" w:rsidRDefault="00D02C31">
      <w:pPr>
        <w:pStyle w:val="Ttulo3"/>
      </w:pPr>
      <w:bookmarkStart w:id="5" w:name="_heading=h.2et92p0"/>
      <w:bookmarkEnd w:id="5"/>
      <w:r w:rsidRPr="0FE4D5DF">
        <w:rPr>
          <w:lang w:val="en-US"/>
        </w:rPr>
        <w:t xml:space="preserve">Detalle de la conformación </w:t>
      </w:r>
      <w:proofErr w:type="gramStart"/>
      <w:r w:rsidRPr="0FE4D5DF">
        <w:rPr>
          <w:lang w:val="en-US"/>
        </w:rPr>
        <w:t>del</w:t>
      </w:r>
      <w:proofErr w:type="gramEnd"/>
      <w:r w:rsidRPr="0FE4D5DF">
        <w:rPr>
          <w:lang w:val="en-US"/>
        </w:rPr>
        <w:t xml:space="preserve"> CBU</w:t>
      </w:r>
    </w:p>
    <w:p w14:paraId="110FFD37" w14:textId="77777777" w:rsidR="0035403C" w:rsidRDefault="0035403C"/>
    <w:tbl>
      <w:tblPr>
        <w:tblStyle w:val="af1"/>
        <w:tblW w:w="8926" w:type="dxa"/>
        <w:tblInd w:w="-3" w:type="dxa"/>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Layout w:type="fixed"/>
        <w:tblLook w:val="04A0" w:firstRow="1" w:lastRow="0" w:firstColumn="1" w:lastColumn="0" w:noHBand="0" w:noVBand="1"/>
      </w:tblPr>
      <w:tblGrid>
        <w:gridCol w:w="1271"/>
        <w:gridCol w:w="1139"/>
        <w:gridCol w:w="3119"/>
        <w:gridCol w:w="3397"/>
      </w:tblGrid>
      <w:tr w:rsidR="0035403C" w14:paraId="7939A061" w14:textId="77777777" w:rsidTr="17FBBB8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271" w:type="dxa"/>
          </w:tcPr>
          <w:p w14:paraId="39910AA9" w14:textId="77777777" w:rsidR="0035403C" w:rsidRDefault="00D02C31">
            <w:pPr>
              <w:jc w:val="both"/>
              <w:rPr>
                <w:sz w:val="24"/>
                <w:szCs w:val="24"/>
              </w:rPr>
            </w:pPr>
            <w:r>
              <w:rPr>
                <w:sz w:val="24"/>
                <w:szCs w:val="24"/>
              </w:rPr>
              <w:t xml:space="preserve">Bloque </w:t>
            </w:r>
          </w:p>
        </w:tc>
        <w:tc>
          <w:tcPr>
            <w:tcW w:w="1139" w:type="dxa"/>
          </w:tcPr>
          <w:p w14:paraId="5C1C39D9" w14:textId="77777777" w:rsidR="0035403C" w:rsidRDefault="00D02C31" w:rsidP="0FE4D5DF">
            <w:pPr>
              <w:jc w:val="both"/>
              <w:cnfStyle w:val="100000000000" w:firstRow="1" w:lastRow="0" w:firstColumn="0" w:lastColumn="0" w:oddVBand="0" w:evenVBand="0" w:oddHBand="0" w:evenHBand="0" w:firstRowFirstColumn="0" w:firstRowLastColumn="0" w:lastRowFirstColumn="0" w:lastRowLastColumn="0"/>
              <w:rPr>
                <w:sz w:val="24"/>
                <w:szCs w:val="24"/>
                <w:lang w:val="en-US"/>
              </w:rPr>
            </w:pPr>
            <w:r w:rsidRPr="0FE4D5DF">
              <w:rPr>
                <w:sz w:val="24"/>
                <w:szCs w:val="24"/>
                <w:lang w:val="en-US"/>
              </w:rPr>
              <w:t>Posición</w:t>
            </w:r>
          </w:p>
        </w:tc>
        <w:tc>
          <w:tcPr>
            <w:tcW w:w="3119" w:type="dxa"/>
          </w:tcPr>
          <w:p w14:paraId="6D8EA27F" w14:textId="77777777" w:rsidR="0035403C" w:rsidRDefault="00D02C31">
            <w:pPr>
              <w:jc w:val="both"/>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Campo</w:t>
            </w:r>
          </w:p>
        </w:tc>
        <w:tc>
          <w:tcPr>
            <w:tcW w:w="3397" w:type="dxa"/>
          </w:tcPr>
          <w:p w14:paraId="1E234151" w14:textId="77777777" w:rsidR="0035403C" w:rsidRDefault="00D02C31" w:rsidP="0FE4D5DF">
            <w:pPr>
              <w:jc w:val="both"/>
              <w:cnfStyle w:val="100000000000" w:firstRow="1" w:lastRow="0" w:firstColumn="0" w:lastColumn="0" w:oddVBand="0" w:evenVBand="0" w:oddHBand="0" w:evenHBand="0" w:firstRowFirstColumn="0" w:firstRowLastColumn="0" w:lastRowFirstColumn="0" w:lastRowLastColumn="0"/>
              <w:rPr>
                <w:sz w:val="24"/>
                <w:szCs w:val="24"/>
                <w:lang w:val="en-US"/>
              </w:rPr>
            </w:pPr>
            <w:r w:rsidRPr="0FE4D5DF">
              <w:rPr>
                <w:sz w:val="24"/>
                <w:szCs w:val="24"/>
                <w:lang w:val="en-US"/>
              </w:rPr>
              <w:t>Observaciones</w:t>
            </w:r>
          </w:p>
        </w:tc>
      </w:tr>
      <w:tr w:rsidR="0035403C" w14:paraId="731BF57C" w14:textId="77777777" w:rsidTr="17FBBB8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271" w:type="dxa"/>
            <w:vMerge w:val="restart"/>
          </w:tcPr>
          <w:p w14:paraId="02107394" w14:textId="77777777" w:rsidR="0035403C" w:rsidRDefault="00D02C31">
            <w:pPr>
              <w:jc w:val="both"/>
            </w:pPr>
            <w:r>
              <w:t>Bloque 1</w:t>
            </w:r>
          </w:p>
        </w:tc>
        <w:tc>
          <w:tcPr>
            <w:tcW w:w="1139" w:type="dxa"/>
          </w:tcPr>
          <w:p w14:paraId="7D2FC19D" w14:textId="77777777" w:rsidR="0035403C" w:rsidRDefault="00D02C31">
            <w:pPr>
              <w:jc w:val="both"/>
              <w:cnfStyle w:val="100000000000" w:firstRow="1" w:lastRow="0" w:firstColumn="0" w:lastColumn="0" w:oddVBand="0" w:evenVBand="0" w:oddHBand="0" w:evenHBand="0" w:firstRowFirstColumn="0" w:firstRowLastColumn="0" w:lastRowFirstColumn="0" w:lastRowLastColumn="0"/>
            </w:pPr>
            <w:r>
              <w:t>1-3</w:t>
            </w:r>
          </w:p>
        </w:tc>
        <w:tc>
          <w:tcPr>
            <w:tcW w:w="3119" w:type="dxa"/>
          </w:tcPr>
          <w:p w14:paraId="13E2A65C" w14:textId="77777777" w:rsidR="0035403C" w:rsidRDefault="00D02C31">
            <w:pPr>
              <w:jc w:val="both"/>
              <w:cnfStyle w:val="100000000000" w:firstRow="1" w:lastRow="0" w:firstColumn="0" w:lastColumn="0" w:oddVBand="0" w:evenVBand="0" w:oddHBand="0" w:evenHBand="0" w:firstRowFirstColumn="0" w:firstRowLastColumn="0" w:lastRowFirstColumn="0" w:lastRowLastColumn="0"/>
            </w:pPr>
            <w:r w:rsidRPr="17FBBB8B">
              <w:rPr>
                <w:lang w:val="en-US"/>
              </w:rPr>
              <w:t>Código que indica Clave virtual.</w:t>
            </w:r>
          </w:p>
        </w:tc>
        <w:tc>
          <w:tcPr>
            <w:tcW w:w="3397" w:type="dxa"/>
          </w:tcPr>
          <w:p w14:paraId="2A9C5AAF" w14:textId="77777777" w:rsidR="0035403C" w:rsidRDefault="00D02C31">
            <w:pPr>
              <w:jc w:val="both"/>
              <w:cnfStyle w:val="100000000000" w:firstRow="1" w:lastRow="0" w:firstColumn="0" w:lastColumn="0" w:oddVBand="0" w:evenVBand="0" w:oddHBand="0" w:evenHBand="0" w:firstRowFirstColumn="0" w:firstRowLastColumn="0" w:lastRowFirstColumn="0" w:lastRowLastColumn="0"/>
            </w:pPr>
            <w:r w:rsidRPr="0FE4D5DF">
              <w:rPr>
                <w:lang w:val="en-US"/>
              </w:rPr>
              <w:t>Numérico (3).</w:t>
            </w:r>
          </w:p>
          <w:p w14:paraId="772EB165" w14:textId="77777777" w:rsidR="0035403C" w:rsidRDefault="00D02C31">
            <w:pPr>
              <w:jc w:val="both"/>
              <w:cnfStyle w:val="100000000000" w:firstRow="1" w:lastRow="0" w:firstColumn="0" w:lastColumn="0" w:oddVBand="0" w:evenVBand="0" w:oddHBand="0" w:evenHBand="0" w:firstRowFirstColumn="0" w:firstRowLastColumn="0" w:lastRowFirstColumn="0" w:lastRowLastColumn="0"/>
            </w:pPr>
            <w:r w:rsidRPr="0FE4D5DF">
              <w:rPr>
                <w:lang w:val="en-US"/>
              </w:rPr>
              <w:t>Se completa con el número de entidad otorgado por el BCRA.</w:t>
            </w:r>
          </w:p>
        </w:tc>
      </w:tr>
      <w:tr w:rsidR="0035403C" w14:paraId="7D41072B" w14:textId="77777777" w:rsidTr="17FBBB8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271" w:type="dxa"/>
            <w:vMerge/>
          </w:tcPr>
          <w:p w14:paraId="6B699379" w14:textId="77777777" w:rsidR="0035403C" w:rsidRDefault="0035403C">
            <w:pPr>
              <w:widowControl w:val="0"/>
              <w:pBdr>
                <w:top w:val="nil"/>
                <w:left w:val="nil"/>
                <w:bottom w:val="nil"/>
                <w:right w:val="nil"/>
                <w:between w:val="nil"/>
              </w:pBdr>
              <w:spacing w:line="276" w:lineRule="auto"/>
            </w:pPr>
          </w:p>
        </w:tc>
        <w:tc>
          <w:tcPr>
            <w:tcW w:w="1139" w:type="dxa"/>
          </w:tcPr>
          <w:p w14:paraId="5B57F55C" w14:textId="77777777" w:rsidR="0035403C" w:rsidRDefault="00D02C31">
            <w:pPr>
              <w:jc w:val="both"/>
              <w:cnfStyle w:val="100000000000" w:firstRow="1" w:lastRow="0" w:firstColumn="0" w:lastColumn="0" w:oddVBand="0" w:evenVBand="0" w:oddHBand="0" w:evenHBand="0" w:firstRowFirstColumn="0" w:firstRowLastColumn="0" w:lastRowFirstColumn="0" w:lastRowLastColumn="0"/>
            </w:pPr>
            <w:r>
              <w:t>4-7</w:t>
            </w:r>
          </w:p>
        </w:tc>
        <w:tc>
          <w:tcPr>
            <w:tcW w:w="3119" w:type="dxa"/>
          </w:tcPr>
          <w:p w14:paraId="5DDCD480" w14:textId="77777777" w:rsidR="0035403C" w:rsidRDefault="00D02C31" w:rsidP="0FE4D5DF">
            <w:pPr>
              <w:jc w:val="both"/>
              <w:cnfStyle w:val="100000000000" w:firstRow="1" w:lastRow="0" w:firstColumn="0" w:lastColumn="0" w:oddVBand="0" w:evenVBand="0" w:oddHBand="0" w:evenHBand="0" w:firstRowFirstColumn="0" w:firstRowLastColumn="0" w:lastRowFirstColumn="0" w:lastRowLastColumn="0"/>
              <w:rPr>
                <w:lang w:val="en-US"/>
              </w:rPr>
            </w:pPr>
            <w:r w:rsidRPr="0FE4D5DF">
              <w:rPr>
                <w:lang w:val="en-US"/>
              </w:rPr>
              <w:t>Código de sucursal</w:t>
            </w:r>
          </w:p>
        </w:tc>
        <w:tc>
          <w:tcPr>
            <w:tcW w:w="3397" w:type="dxa"/>
          </w:tcPr>
          <w:p w14:paraId="5D68FA18" w14:textId="77777777" w:rsidR="0035403C" w:rsidRDefault="00D02C31">
            <w:pPr>
              <w:jc w:val="both"/>
              <w:cnfStyle w:val="100000000000" w:firstRow="1" w:lastRow="0" w:firstColumn="0" w:lastColumn="0" w:oddVBand="0" w:evenVBand="0" w:oddHBand="0" w:evenHBand="0" w:firstRowFirstColumn="0" w:firstRowLastColumn="0" w:lastRowFirstColumn="0" w:lastRowLastColumn="0"/>
            </w:pPr>
            <w:r w:rsidRPr="0FE4D5DF">
              <w:rPr>
                <w:lang w:val="en-US"/>
              </w:rPr>
              <w:t>Numérico (4).</w:t>
            </w:r>
          </w:p>
        </w:tc>
      </w:tr>
      <w:tr w:rsidR="0035403C" w14:paraId="12C01232" w14:textId="77777777" w:rsidTr="17FBBB8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271" w:type="dxa"/>
            <w:vMerge/>
          </w:tcPr>
          <w:p w14:paraId="3FE9F23F" w14:textId="77777777" w:rsidR="0035403C" w:rsidRDefault="0035403C">
            <w:pPr>
              <w:widowControl w:val="0"/>
              <w:pBdr>
                <w:top w:val="nil"/>
                <w:left w:val="nil"/>
                <w:bottom w:val="nil"/>
                <w:right w:val="nil"/>
                <w:between w:val="nil"/>
              </w:pBdr>
              <w:spacing w:line="276" w:lineRule="auto"/>
            </w:pPr>
          </w:p>
        </w:tc>
        <w:tc>
          <w:tcPr>
            <w:tcW w:w="1139" w:type="dxa"/>
          </w:tcPr>
          <w:p w14:paraId="44B0A208" w14:textId="77777777" w:rsidR="0035403C" w:rsidRDefault="00D02C31">
            <w:pPr>
              <w:jc w:val="both"/>
              <w:cnfStyle w:val="100000000000" w:firstRow="1" w:lastRow="0" w:firstColumn="0" w:lastColumn="0" w:oddVBand="0" w:evenVBand="0" w:oddHBand="0" w:evenHBand="0" w:firstRowFirstColumn="0" w:firstRowLastColumn="0" w:lastRowFirstColumn="0" w:lastRowLastColumn="0"/>
            </w:pPr>
            <w:r>
              <w:t>8</w:t>
            </w:r>
          </w:p>
        </w:tc>
        <w:tc>
          <w:tcPr>
            <w:tcW w:w="3119" w:type="dxa"/>
          </w:tcPr>
          <w:p w14:paraId="17510697" w14:textId="77777777" w:rsidR="0035403C" w:rsidRDefault="00D02C31">
            <w:pPr>
              <w:jc w:val="both"/>
              <w:cnfStyle w:val="100000000000" w:firstRow="1" w:lastRow="0" w:firstColumn="0" w:lastColumn="0" w:oddVBand="0" w:evenVBand="0" w:oddHBand="0" w:evenHBand="0" w:firstRowFirstColumn="0" w:firstRowLastColumn="0" w:lastRowFirstColumn="0" w:lastRowLastColumn="0"/>
            </w:pPr>
            <w:r w:rsidRPr="0FE4D5DF">
              <w:rPr>
                <w:lang w:val="en-US"/>
              </w:rPr>
              <w:t>Dígito Verificador 1</w:t>
            </w:r>
          </w:p>
        </w:tc>
        <w:tc>
          <w:tcPr>
            <w:tcW w:w="3397" w:type="dxa"/>
          </w:tcPr>
          <w:p w14:paraId="0DA3F1AF" w14:textId="77777777" w:rsidR="0035403C" w:rsidRDefault="00D02C31">
            <w:pPr>
              <w:jc w:val="both"/>
              <w:cnfStyle w:val="100000000000" w:firstRow="1" w:lastRow="0" w:firstColumn="0" w:lastColumn="0" w:oddVBand="0" w:evenVBand="0" w:oddHBand="0" w:evenHBand="0" w:firstRowFirstColumn="0" w:firstRowLastColumn="0" w:lastRowFirstColumn="0" w:lastRowLastColumn="0"/>
            </w:pPr>
            <w:r w:rsidRPr="0FE4D5DF">
              <w:rPr>
                <w:lang w:val="en-US"/>
              </w:rPr>
              <w:t>Numérico (1).</w:t>
            </w:r>
          </w:p>
        </w:tc>
      </w:tr>
      <w:tr w:rsidR="0035403C" w14:paraId="24EECEEE" w14:textId="77777777" w:rsidTr="17FBBB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vMerge w:val="restart"/>
          </w:tcPr>
          <w:p w14:paraId="40A6EF24" w14:textId="77777777" w:rsidR="0035403C" w:rsidRDefault="00D02C31">
            <w:pPr>
              <w:jc w:val="both"/>
            </w:pPr>
            <w:r>
              <w:t>Bloque 2</w:t>
            </w:r>
          </w:p>
        </w:tc>
        <w:tc>
          <w:tcPr>
            <w:tcW w:w="1139" w:type="dxa"/>
          </w:tcPr>
          <w:p w14:paraId="53A8BAB8" w14:textId="77777777" w:rsidR="0035403C" w:rsidRDefault="00D02C31">
            <w:pPr>
              <w:jc w:val="both"/>
              <w:cnfStyle w:val="000000100000" w:firstRow="0" w:lastRow="0" w:firstColumn="0" w:lastColumn="0" w:oddVBand="0" w:evenVBand="0" w:oddHBand="1" w:evenHBand="0" w:firstRowFirstColumn="0" w:firstRowLastColumn="0" w:lastRowFirstColumn="0" w:lastRowLastColumn="0"/>
            </w:pPr>
            <w:r>
              <w:t>9-21</w:t>
            </w:r>
          </w:p>
        </w:tc>
        <w:tc>
          <w:tcPr>
            <w:tcW w:w="3119" w:type="dxa"/>
          </w:tcPr>
          <w:p w14:paraId="39640A0C" w14:textId="77777777" w:rsidR="0035403C" w:rsidRDefault="00D02C31" w:rsidP="0FE4D5DF">
            <w:pPr>
              <w:jc w:val="both"/>
              <w:cnfStyle w:val="000000100000" w:firstRow="0" w:lastRow="0" w:firstColumn="0" w:lastColumn="0" w:oddVBand="0" w:evenVBand="0" w:oddHBand="1" w:evenHBand="0" w:firstRowFirstColumn="0" w:firstRowLastColumn="0" w:lastRowFirstColumn="0" w:lastRowLastColumn="0"/>
              <w:rPr>
                <w:lang w:val="en-US"/>
              </w:rPr>
            </w:pPr>
            <w:r w:rsidRPr="0FE4D5DF">
              <w:rPr>
                <w:lang w:val="en-US"/>
              </w:rPr>
              <w:t>Id Cliente</w:t>
            </w:r>
          </w:p>
        </w:tc>
        <w:tc>
          <w:tcPr>
            <w:tcW w:w="3397" w:type="dxa"/>
          </w:tcPr>
          <w:p w14:paraId="7D46F8AE" w14:textId="77777777" w:rsidR="0035403C" w:rsidRDefault="00D02C31">
            <w:pPr>
              <w:jc w:val="both"/>
              <w:cnfStyle w:val="000000100000" w:firstRow="0" w:lastRow="0" w:firstColumn="0" w:lastColumn="0" w:oddVBand="0" w:evenVBand="0" w:oddHBand="1" w:evenHBand="0" w:firstRowFirstColumn="0" w:firstRowLastColumn="0" w:lastRowFirstColumn="0" w:lastRowLastColumn="0"/>
            </w:pPr>
            <w:r w:rsidRPr="0FE4D5DF">
              <w:rPr>
                <w:lang w:val="en-US"/>
              </w:rPr>
              <w:t>Numérico (13).</w:t>
            </w:r>
          </w:p>
          <w:p w14:paraId="1AA397C8" w14:textId="77777777" w:rsidR="0035403C" w:rsidRDefault="00D02C31">
            <w:pPr>
              <w:jc w:val="both"/>
              <w:cnfStyle w:val="000000100000" w:firstRow="0" w:lastRow="0" w:firstColumn="0" w:lastColumn="0" w:oddVBand="0" w:evenVBand="0" w:oddHBand="1" w:evenHBand="0" w:firstRowFirstColumn="0" w:firstRowLastColumn="0" w:lastRowFirstColumn="0" w:lastRowLastColumn="0"/>
            </w:pPr>
            <w:r w:rsidRPr="0FE4D5DF">
              <w:rPr>
                <w:lang w:val="en-US"/>
              </w:rPr>
              <w:t>Libre, para identificación de cliente dentro de la entidad (número de cuenta).</w:t>
            </w:r>
          </w:p>
        </w:tc>
      </w:tr>
      <w:tr w:rsidR="0035403C" w14:paraId="14875DB6" w14:textId="77777777" w:rsidTr="17FBBB8B">
        <w:tc>
          <w:tcPr>
            <w:cnfStyle w:val="001000000000" w:firstRow="0" w:lastRow="0" w:firstColumn="1" w:lastColumn="0" w:oddVBand="0" w:evenVBand="0" w:oddHBand="0" w:evenHBand="0" w:firstRowFirstColumn="0" w:firstRowLastColumn="0" w:lastRowFirstColumn="0" w:lastRowLastColumn="0"/>
            <w:tcW w:w="1271" w:type="dxa"/>
            <w:vMerge/>
          </w:tcPr>
          <w:p w14:paraId="1F72F646" w14:textId="77777777" w:rsidR="0035403C" w:rsidRDefault="0035403C">
            <w:pPr>
              <w:widowControl w:val="0"/>
              <w:pBdr>
                <w:top w:val="nil"/>
                <w:left w:val="nil"/>
                <w:bottom w:val="nil"/>
                <w:right w:val="nil"/>
                <w:between w:val="nil"/>
              </w:pBdr>
              <w:spacing w:line="276" w:lineRule="auto"/>
            </w:pPr>
          </w:p>
        </w:tc>
        <w:tc>
          <w:tcPr>
            <w:tcW w:w="1139" w:type="dxa"/>
          </w:tcPr>
          <w:p w14:paraId="44C26413" w14:textId="77777777" w:rsidR="0035403C" w:rsidRDefault="00D02C31">
            <w:pPr>
              <w:jc w:val="both"/>
              <w:cnfStyle w:val="000000000000" w:firstRow="0" w:lastRow="0" w:firstColumn="0" w:lastColumn="0" w:oddVBand="0" w:evenVBand="0" w:oddHBand="0" w:evenHBand="0" w:firstRowFirstColumn="0" w:firstRowLastColumn="0" w:lastRowFirstColumn="0" w:lastRowLastColumn="0"/>
            </w:pPr>
            <w:r>
              <w:t>22</w:t>
            </w:r>
          </w:p>
        </w:tc>
        <w:tc>
          <w:tcPr>
            <w:tcW w:w="3119" w:type="dxa"/>
          </w:tcPr>
          <w:p w14:paraId="503A0B79" w14:textId="77777777" w:rsidR="0035403C" w:rsidRDefault="00D02C31">
            <w:pPr>
              <w:jc w:val="both"/>
              <w:cnfStyle w:val="000000000000" w:firstRow="0" w:lastRow="0" w:firstColumn="0" w:lastColumn="0" w:oddVBand="0" w:evenVBand="0" w:oddHBand="0" w:evenHBand="0" w:firstRowFirstColumn="0" w:firstRowLastColumn="0" w:lastRowFirstColumn="0" w:lastRowLastColumn="0"/>
            </w:pPr>
            <w:r w:rsidRPr="0FE4D5DF">
              <w:rPr>
                <w:lang w:val="en-US"/>
              </w:rPr>
              <w:t>Dígito Verificador 2</w:t>
            </w:r>
          </w:p>
        </w:tc>
        <w:tc>
          <w:tcPr>
            <w:tcW w:w="3397" w:type="dxa"/>
          </w:tcPr>
          <w:p w14:paraId="1C47A633" w14:textId="77777777" w:rsidR="0035403C" w:rsidRDefault="00D02C31">
            <w:pPr>
              <w:keepNext/>
              <w:jc w:val="both"/>
              <w:cnfStyle w:val="000000000000" w:firstRow="0" w:lastRow="0" w:firstColumn="0" w:lastColumn="0" w:oddVBand="0" w:evenVBand="0" w:oddHBand="0" w:evenHBand="0" w:firstRowFirstColumn="0" w:firstRowLastColumn="0" w:lastRowFirstColumn="0" w:lastRowLastColumn="0"/>
            </w:pPr>
            <w:r w:rsidRPr="0FE4D5DF">
              <w:rPr>
                <w:lang w:val="en-US"/>
              </w:rPr>
              <w:t>Numérico (1).</w:t>
            </w:r>
          </w:p>
        </w:tc>
      </w:tr>
    </w:tbl>
    <w:p w14:paraId="372D8EA0" w14:textId="77777777" w:rsidR="0035403C" w:rsidRDefault="00D02C31" w:rsidP="0FE4D5DF">
      <w:pPr>
        <w:pBdr>
          <w:top w:val="nil"/>
          <w:left w:val="nil"/>
          <w:bottom w:val="nil"/>
          <w:right w:val="nil"/>
          <w:between w:val="nil"/>
        </w:pBdr>
        <w:spacing w:after="200"/>
        <w:rPr>
          <w:i/>
          <w:iCs/>
          <w:color w:val="1F497D"/>
          <w:sz w:val="18"/>
          <w:szCs w:val="18"/>
          <w:lang w:val="en-US"/>
        </w:rPr>
      </w:pPr>
      <w:bookmarkStart w:id="6" w:name="_heading=h.tyjcwt"/>
      <w:bookmarkEnd w:id="6"/>
      <w:r w:rsidRPr="0FE4D5DF">
        <w:rPr>
          <w:i/>
          <w:iCs/>
          <w:color w:val="1F497D" w:themeColor="text2"/>
          <w:sz w:val="18"/>
          <w:szCs w:val="18"/>
          <w:lang w:val="en-US"/>
        </w:rPr>
        <w:t xml:space="preserve">Tabla 1: Detalle de la conformación </w:t>
      </w:r>
      <w:proofErr w:type="gramStart"/>
      <w:r w:rsidRPr="0FE4D5DF">
        <w:rPr>
          <w:i/>
          <w:iCs/>
          <w:color w:val="1F497D" w:themeColor="text2"/>
          <w:sz w:val="18"/>
          <w:szCs w:val="18"/>
          <w:lang w:val="en-US"/>
        </w:rPr>
        <w:t>del</w:t>
      </w:r>
      <w:proofErr w:type="gramEnd"/>
      <w:r w:rsidRPr="0FE4D5DF">
        <w:rPr>
          <w:i/>
          <w:iCs/>
          <w:color w:val="1F497D" w:themeColor="text2"/>
          <w:sz w:val="18"/>
          <w:szCs w:val="18"/>
          <w:lang w:val="en-US"/>
        </w:rPr>
        <w:t xml:space="preserve"> CBU</w:t>
      </w:r>
    </w:p>
    <w:p w14:paraId="7B3B5AEE" w14:textId="77777777" w:rsidR="0035403C" w:rsidRDefault="00D02C31">
      <w:pPr>
        <w:pStyle w:val="Ttulo3"/>
      </w:pPr>
      <w:bookmarkStart w:id="7" w:name="_heading=h.3dy6vkm"/>
      <w:bookmarkEnd w:id="7"/>
      <w:r w:rsidRPr="0FE4D5DF">
        <w:rPr>
          <w:lang w:val="en-US"/>
        </w:rPr>
        <w:lastRenderedPageBreak/>
        <w:t>Crecimiento CBU</w:t>
      </w:r>
    </w:p>
    <w:p w14:paraId="08CE6F91" w14:textId="77777777" w:rsidR="0035403C" w:rsidRDefault="00D02C31">
      <w:pPr>
        <w:keepNext/>
        <w:pBdr>
          <w:top w:val="nil"/>
          <w:left w:val="nil"/>
          <w:bottom w:val="nil"/>
          <w:right w:val="nil"/>
          <w:between w:val="nil"/>
        </w:pBdr>
        <w:spacing w:after="150"/>
        <w:jc w:val="both"/>
        <w:rPr>
          <w:color w:val="000000"/>
        </w:rPr>
      </w:pPr>
      <w:r>
        <w:rPr>
          <w:rFonts w:ascii="Cambria" w:eastAsia="Cambria" w:hAnsi="Cambria" w:cs="Cambria"/>
          <w:noProof/>
          <w:color w:val="000000"/>
          <w:lang w:eastAsia="es-AR"/>
        </w:rPr>
        <w:drawing>
          <wp:inline distT="0" distB="0" distL="0" distR="0" wp14:anchorId="180DDA48" wp14:editId="07777777">
            <wp:extent cx="5741970" cy="3393816"/>
            <wp:effectExtent l="0" t="0" r="0" b="0"/>
            <wp:docPr id="162" name="image25.png" descr="A picture containing line ch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5.png" descr="A picture containing line chart&#10;&#10;Description automatically generated"/>
                    <pic:cNvPicPr preferRelativeResize="0"/>
                  </pic:nvPicPr>
                  <pic:blipFill>
                    <a:blip r:embed="rId12"/>
                    <a:srcRect/>
                    <a:stretch>
                      <a:fillRect/>
                    </a:stretch>
                  </pic:blipFill>
                  <pic:spPr>
                    <a:xfrm>
                      <a:off x="0" y="0"/>
                      <a:ext cx="5741970" cy="3393816"/>
                    </a:xfrm>
                    <a:prstGeom prst="rect">
                      <a:avLst/>
                    </a:prstGeom>
                    <a:ln/>
                  </pic:spPr>
                </pic:pic>
              </a:graphicData>
            </a:graphic>
          </wp:inline>
        </w:drawing>
      </w:r>
    </w:p>
    <w:p w14:paraId="2E90E062" w14:textId="77777777" w:rsidR="0035403C" w:rsidRDefault="00D02C31" w:rsidP="0FE4D5DF">
      <w:pPr>
        <w:pBdr>
          <w:top w:val="nil"/>
          <w:left w:val="nil"/>
          <w:bottom w:val="nil"/>
          <w:right w:val="nil"/>
          <w:between w:val="nil"/>
        </w:pBdr>
        <w:spacing w:after="200"/>
        <w:rPr>
          <w:i/>
          <w:iCs/>
          <w:color w:val="1F497D"/>
          <w:sz w:val="18"/>
          <w:szCs w:val="18"/>
          <w:lang w:val="en-US"/>
        </w:rPr>
      </w:pPr>
      <w:bookmarkStart w:id="8" w:name="_heading=h.1t3h5sf"/>
      <w:bookmarkEnd w:id="8"/>
      <w:r w:rsidRPr="0FE4D5DF">
        <w:rPr>
          <w:i/>
          <w:iCs/>
          <w:color w:val="1F497D" w:themeColor="text2"/>
          <w:sz w:val="18"/>
          <w:szCs w:val="18"/>
          <w:lang w:val="en-US"/>
        </w:rPr>
        <w:t>Ilustración 1: Crecimiento CBU</w:t>
      </w:r>
    </w:p>
    <w:p w14:paraId="27826EBD" w14:textId="77777777" w:rsidR="0035403C" w:rsidRDefault="00D02C31">
      <w:pPr>
        <w:pStyle w:val="Ttulo2"/>
      </w:pPr>
      <w:bookmarkStart w:id="9" w:name="_heading=h.4d34og8"/>
      <w:bookmarkEnd w:id="9"/>
      <w:r w:rsidRPr="0FE4D5DF">
        <w:rPr>
          <w:lang w:val="en-US"/>
        </w:rPr>
        <w:t>Lanzamiento de CVU</w:t>
      </w:r>
    </w:p>
    <w:p w14:paraId="71CD9665" w14:textId="77777777" w:rsidR="0035403C" w:rsidRDefault="00D02C31" w:rsidP="0FE4D5DF">
      <w:pPr>
        <w:pBdr>
          <w:top w:val="nil"/>
          <w:left w:val="nil"/>
          <w:bottom w:val="nil"/>
          <w:right w:val="nil"/>
          <w:between w:val="nil"/>
        </w:pBdr>
        <w:spacing w:after="150"/>
        <w:jc w:val="both"/>
        <w:rPr>
          <w:rFonts w:ascii="Cambria" w:eastAsia="Cambria" w:hAnsi="Cambria" w:cs="Cambria"/>
          <w:color w:val="000000"/>
          <w:lang w:val="en-US"/>
        </w:rPr>
      </w:pPr>
      <w:r w:rsidRPr="0FE4D5DF">
        <w:rPr>
          <w:rFonts w:ascii="Cambria" w:eastAsia="Cambria" w:hAnsi="Cambria" w:cs="Cambria"/>
          <w:color w:val="000000" w:themeColor="text1"/>
          <w:lang w:val="en-US"/>
        </w:rPr>
        <w:t xml:space="preserve">El CVU o “Cuenta Virtual Uniforme” también es un código de 22 dígitos que facilita la interoperabilidad entre personas usuarias de los Proveedores de Servicios de Pagos (PSP) y del sistema financiero. </w:t>
      </w:r>
      <w:proofErr w:type="gramStart"/>
      <w:r w:rsidRPr="0FE4D5DF">
        <w:rPr>
          <w:rFonts w:ascii="Cambria" w:eastAsia="Cambria" w:hAnsi="Cambria" w:cs="Cambria"/>
          <w:color w:val="000000" w:themeColor="text1"/>
          <w:lang w:val="en-US"/>
        </w:rPr>
        <w:t>Cada CVU es única y unipersonal, es decir que no se comparte con otras personas.</w:t>
      </w:r>
      <w:proofErr w:type="gramEnd"/>
      <w:r w:rsidRPr="0FE4D5DF">
        <w:rPr>
          <w:rFonts w:ascii="Cambria" w:eastAsia="Cambria" w:hAnsi="Cambria" w:cs="Cambria"/>
          <w:color w:val="000000" w:themeColor="text1"/>
          <w:lang w:val="en-US"/>
        </w:rPr>
        <w:t xml:space="preserve"> Además, al igual que en la CBU funciona con la combinación de datos que la componen: el primer bloque (</w:t>
      </w:r>
      <w:proofErr w:type="gramStart"/>
      <w:r w:rsidRPr="0FE4D5DF">
        <w:rPr>
          <w:rFonts w:ascii="Cambria" w:eastAsia="Cambria" w:hAnsi="Cambria" w:cs="Cambria"/>
          <w:color w:val="000000" w:themeColor="text1"/>
          <w:lang w:val="en-US"/>
        </w:rPr>
        <w:t>del</w:t>
      </w:r>
      <w:proofErr w:type="gramEnd"/>
      <w:r w:rsidRPr="0FE4D5DF">
        <w:rPr>
          <w:rFonts w:ascii="Cambria" w:eastAsia="Cambria" w:hAnsi="Cambria" w:cs="Cambria"/>
          <w:color w:val="000000" w:themeColor="text1"/>
          <w:lang w:val="en-US"/>
        </w:rPr>
        <w:t xml:space="preserve"> dígito 1 al 8) identifica el PSP al que pertenece y el segundo bloque (del dígito 9 al 22) identifica a la persona usuaria. La CVU permite identificar a las personas usuarias, conocidos </w:t>
      </w:r>
      <w:proofErr w:type="gramStart"/>
      <w:r w:rsidRPr="0FE4D5DF">
        <w:rPr>
          <w:rFonts w:ascii="Cambria" w:eastAsia="Cambria" w:hAnsi="Cambria" w:cs="Cambria"/>
          <w:color w:val="000000" w:themeColor="text1"/>
          <w:lang w:val="en-US"/>
        </w:rPr>
        <w:t>como</w:t>
      </w:r>
      <w:proofErr w:type="gramEnd"/>
      <w:r w:rsidRPr="0FE4D5DF">
        <w:rPr>
          <w:rFonts w:ascii="Cambria" w:eastAsia="Cambria" w:hAnsi="Cambria" w:cs="Cambria"/>
          <w:color w:val="000000" w:themeColor="text1"/>
          <w:lang w:val="en-US"/>
        </w:rPr>
        <w:t xml:space="preserve"> usuarios virtuales de los PSP, tales como oferentes de billeteras electrónicas, usuarios de billeteras bancarias, tarjetas prepagas, entre otros. Su implementación brinda mayor interoperabilidad e inclusión financiera, ya que aquellas personas que no pueden acceder a una cuenta bancaria pero sí son usuarias de </w:t>
      </w:r>
      <w:proofErr w:type="gramStart"/>
      <w:r w:rsidRPr="0FE4D5DF">
        <w:rPr>
          <w:rFonts w:ascii="Cambria" w:eastAsia="Cambria" w:hAnsi="Cambria" w:cs="Cambria"/>
          <w:color w:val="000000" w:themeColor="text1"/>
          <w:lang w:val="en-US"/>
        </w:rPr>
        <w:t>un</w:t>
      </w:r>
      <w:proofErr w:type="gramEnd"/>
      <w:r w:rsidRPr="0FE4D5DF">
        <w:rPr>
          <w:rFonts w:ascii="Cambria" w:eastAsia="Cambria" w:hAnsi="Cambria" w:cs="Cambria"/>
          <w:color w:val="000000" w:themeColor="text1"/>
          <w:lang w:val="en-US"/>
        </w:rPr>
        <w:t xml:space="preserve"> PSP, pueden recibir dinero o hacer pagos electrónicos desde o hacia personas con cuenta bancaria o de otros PSP.</w:t>
      </w:r>
    </w:p>
    <w:p w14:paraId="5A78DC70" w14:textId="77777777" w:rsidR="0035403C" w:rsidRDefault="00D02C31">
      <w:pPr>
        <w:pStyle w:val="Ttulo3"/>
      </w:pPr>
      <w:bookmarkStart w:id="10" w:name="_heading=h.2s8eyo1"/>
      <w:bookmarkEnd w:id="10"/>
      <w:r w:rsidRPr="0FE4D5DF">
        <w:rPr>
          <w:lang w:val="en-US"/>
        </w:rPr>
        <w:t xml:space="preserve">Detalle de la conformación </w:t>
      </w:r>
      <w:proofErr w:type="gramStart"/>
      <w:r w:rsidRPr="0FE4D5DF">
        <w:rPr>
          <w:lang w:val="en-US"/>
        </w:rPr>
        <w:t>del</w:t>
      </w:r>
      <w:proofErr w:type="gramEnd"/>
      <w:r w:rsidRPr="0FE4D5DF">
        <w:rPr>
          <w:lang w:val="en-US"/>
        </w:rPr>
        <w:t xml:space="preserve"> CVU</w:t>
      </w:r>
    </w:p>
    <w:p w14:paraId="61CDCEAD" w14:textId="77777777" w:rsidR="0035403C" w:rsidRDefault="0035403C"/>
    <w:tbl>
      <w:tblPr>
        <w:tblStyle w:val="af2"/>
        <w:tblW w:w="9035" w:type="dxa"/>
        <w:tblInd w:w="-3" w:type="dxa"/>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Layout w:type="fixed"/>
        <w:tblLook w:val="04A0" w:firstRow="1" w:lastRow="0" w:firstColumn="1" w:lastColumn="0" w:noHBand="0" w:noVBand="1"/>
      </w:tblPr>
      <w:tblGrid>
        <w:gridCol w:w="1239"/>
        <w:gridCol w:w="1139"/>
        <w:gridCol w:w="3119"/>
        <w:gridCol w:w="3538"/>
      </w:tblGrid>
      <w:tr w:rsidR="0035403C" w14:paraId="32626542" w14:textId="77777777" w:rsidTr="17FBBB8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9" w:type="dxa"/>
          </w:tcPr>
          <w:p w14:paraId="6BE779B4" w14:textId="77777777" w:rsidR="0035403C" w:rsidRDefault="00D02C31">
            <w:pPr>
              <w:jc w:val="both"/>
              <w:rPr>
                <w:sz w:val="24"/>
                <w:szCs w:val="24"/>
              </w:rPr>
            </w:pPr>
            <w:r>
              <w:rPr>
                <w:sz w:val="24"/>
                <w:szCs w:val="24"/>
              </w:rPr>
              <w:t xml:space="preserve">Bloque </w:t>
            </w:r>
          </w:p>
        </w:tc>
        <w:tc>
          <w:tcPr>
            <w:tcW w:w="1139" w:type="dxa"/>
          </w:tcPr>
          <w:p w14:paraId="066E2777" w14:textId="77777777" w:rsidR="0035403C" w:rsidRDefault="00D02C31" w:rsidP="0FE4D5DF">
            <w:pPr>
              <w:jc w:val="both"/>
              <w:cnfStyle w:val="100000000000" w:firstRow="1" w:lastRow="0" w:firstColumn="0" w:lastColumn="0" w:oddVBand="0" w:evenVBand="0" w:oddHBand="0" w:evenHBand="0" w:firstRowFirstColumn="0" w:firstRowLastColumn="0" w:lastRowFirstColumn="0" w:lastRowLastColumn="0"/>
              <w:rPr>
                <w:sz w:val="24"/>
                <w:szCs w:val="24"/>
                <w:lang w:val="en-US"/>
              </w:rPr>
            </w:pPr>
            <w:r w:rsidRPr="0FE4D5DF">
              <w:rPr>
                <w:sz w:val="24"/>
                <w:szCs w:val="24"/>
                <w:lang w:val="en-US"/>
              </w:rPr>
              <w:t>Posición</w:t>
            </w:r>
          </w:p>
        </w:tc>
        <w:tc>
          <w:tcPr>
            <w:tcW w:w="3119" w:type="dxa"/>
          </w:tcPr>
          <w:p w14:paraId="3A39218C" w14:textId="77777777" w:rsidR="0035403C" w:rsidRDefault="00D02C31">
            <w:pPr>
              <w:jc w:val="both"/>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Campo</w:t>
            </w:r>
          </w:p>
        </w:tc>
        <w:tc>
          <w:tcPr>
            <w:tcW w:w="3538" w:type="dxa"/>
          </w:tcPr>
          <w:p w14:paraId="07876119" w14:textId="77777777" w:rsidR="0035403C" w:rsidRDefault="00D02C31" w:rsidP="0FE4D5DF">
            <w:pPr>
              <w:jc w:val="both"/>
              <w:cnfStyle w:val="100000000000" w:firstRow="1" w:lastRow="0" w:firstColumn="0" w:lastColumn="0" w:oddVBand="0" w:evenVBand="0" w:oddHBand="0" w:evenHBand="0" w:firstRowFirstColumn="0" w:firstRowLastColumn="0" w:lastRowFirstColumn="0" w:lastRowLastColumn="0"/>
              <w:rPr>
                <w:sz w:val="24"/>
                <w:szCs w:val="24"/>
                <w:lang w:val="en-US"/>
              </w:rPr>
            </w:pPr>
            <w:r w:rsidRPr="0FE4D5DF">
              <w:rPr>
                <w:sz w:val="24"/>
                <w:szCs w:val="24"/>
                <w:lang w:val="en-US"/>
              </w:rPr>
              <w:t>Observaciones</w:t>
            </w:r>
          </w:p>
        </w:tc>
      </w:tr>
      <w:tr w:rsidR="0035403C" w14:paraId="73D85D0C" w14:textId="77777777" w:rsidTr="17FBBB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9" w:type="dxa"/>
            <w:vMerge w:val="restart"/>
          </w:tcPr>
          <w:p w14:paraId="0B22906B" w14:textId="77777777" w:rsidR="0035403C" w:rsidRDefault="00D02C31">
            <w:pPr>
              <w:jc w:val="both"/>
            </w:pPr>
            <w:r>
              <w:t>Bloque 1</w:t>
            </w:r>
          </w:p>
        </w:tc>
        <w:tc>
          <w:tcPr>
            <w:tcW w:w="1139" w:type="dxa"/>
          </w:tcPr>
          <w:p w14:paraId="599B614A" w14:textId="77777777" w:rsidR="0035403C" w:rsidRDefault="00D02C31">
            <w:pPr>
              <w:jc w:val="both"/>
              <w:cnfStyle w:val="000000100000" w:firstRow="0" w:lastRow="0" w:firstColumn="0" w:lastColumn="0" w:oddVBand="0" w:evenVBand="0" w:oddHBand="1" w:evenHBand="0" w:firstRowFirstColumn="0" w:firstRowLastColumn="0" w:lastRowFirstColumn="0" w:lastRowLastColumn="0"/>
            </w:pPr>
            <w:r>
              <w:t>1-3</w:t>
            </w:r>
          </w:p>
        </w:tc>
        <w:tc>
          <w:tcPr>
            <w:tcW w:w="3119" w:type="dxa"/>
          </w:tcPr>
          <w:p w14:paraId="0BA5CA7E" w14:textId="77777777" w:rsidR="0035403C" w:rsidRDefault="00D02C31">
            <w:pPr>
              <w:jc w:val="both"/>
              <w:cnfStyle w:val="000000100000" w:firstRow="0" w:lastRow="0" w:firstColumn="0" w:lastColumn="0" w:oddVBand="0" w:evenVBand="0" w:oddHBand="1" w:evenHBand="0" w:firstRowFirstColumn="0" w:firstRowLastColumn="0" w:lastRowFirstColumn="0" w:lastRowLastColumn="0"/>
            </w:pPr>
            <w:r w:rsidRPr="17FBBB8B">
              <w:rPr>
                <w:lang w:val="en-US"/>
              </w:rPr>
              <w:t>Código que indica Clave virtual.</w:t>
            </w:r>
          </w:p>
        </w:tc>
        <w:tc>
          <w:tcPr>
            <w:tcW w:w="3538" w:type="dxa"/>
          </w:tcPr>
          <w:p w14:paraId="66C3E78D" w14:textId="77777777" w:rsidR="0035403C" w:rsidRDefault="00D02C31">
            <w:pPr>
              <w:jc w:val="both"/>
              <w:cnfStyle w:val="000000100000" w:firstRow="0" w:lastRow="0" w:firstColumn="0" w:lastColumn="0" w:oddVBand="0" w:evenVBand="0" w:oddHBand="1" w:evenHBand="0" w:firstRowFirstColumn="0" w:firstRowLastColumn="0" w:lastRowFirstColumn="0" w:lastRowLastColumn="0"/>
            </w:pPr>
            <w:r w:rsidRPr="0FE4D5DF">
              <w:rPr>
                <w:lang w:val="en-US"/>
              </w:rPr>
              <w:t>Numérico (3).</w:t>
            </w:r>
          </w:p>
          <w:p w14:paraId="7BAA76CB" w14:textId="77777777" w:rsidR="0035403C" w:rsidRDefault="00D02C31">
            <w:pPr>
              <w:jc w:val="both"/>
              <w:cnfStyle w:val="000000100000" w:firstRow="0" w:lastRow="0" w:firstColumn="0" w:lastColumn="0" w:oddVBand="0" w:evenVBand="0" w:oddHBand="1" w:evenHBand="0" w:firstRowFirstColumn="0" w:firstRowLastColumn="0" w:lastRowFirstColumn="0" w:lastRowLastColumn="0"/>
            </w:pPr>
            <w:r w:rsidRPr="0FE4D5DF">
              <w:rPr>
                <w:lang w:val="en-US"/>
              </w:rPr>
              <w:t>Se completa con “000”.</w:t>
            </w:r>
          </w:p>
        </w:tc>
      </w:tr>
      <w:tr w:rsidR="0035403C" w14:paraId="5C18C26F" w14:textId="77777777" w:rsidTr="17FBBB8B">
        <w:tc>
          <w:tcPr>
            <w:cnfStyle w:val="001000000000" w:firstRow="0" w:lastRow="0" w:firstColumn="1" w:lastColumn="0" w:oddVBand="0" w:evenVBand="0" w:oddHBand="0" w:evenHBand="0" w:firstRowFirstColumn="0" w:firstRowLastColumn="0" w:lastRowFirstColumn="0" w:lastRowLastColumn="0"/>
            <w:tcW w:w="1239" w:type="dxa"/>
            <w:vMerge/>
          </w:tcPr>
          <w:p w14:paraId="6BB9E253" w14:textId="77777777" w:rsidR="0035403C" w:rsidRDefault="0035403C">
            <w:pPr>
              <w:widowControl w:val="0"/>
              <w:pBdr>
                <w:top w:val="nil"/>
                <w:left w:val="nil"/>
                <w:bottom w:val="nil"/>
                <w:right w:val="nil"/>
                <w:between w:val="nil"/>
              </w:pBdr>
              <w:spacing w:line="276" w:lineRule="auto"/>
            </w:pPr>
          </w:p>
        </w:tc>
        <w:tc>
          <w:tcPr>
            <w:tcW w:w="1139" w:type="dxa"/>
          </w:tcPr>
          <w:p w14:paraId="0F86EBEA" w14:textId="77777777" w:rsidR="0035403C" w:rsidRDefault="00D02C31">
            <w:pPr>
              <w:jc w:val="both"/>
              <w:cnfStyle w:val="000000000000" w:firstRow="0" w:lastRow="0" w:firstColumn="0" w:lastColumn="0" w:oddVBand="0" w:evenVBand="0" w:oddHBand="0" w:evenHBand="0" w:firstRowFirstColumn="0" w:firstRowLastColumn="0" w:lastRowFirstColumn="0" w:lastRowLastColumn="0"/>
            </w:pPr>
            <w:r>
              <w:t>4-7</w:t>
            </w:r>
          </w:p>
        </w:tc>
        <w:tc>
          <w:tcPr>
            <w:tcW w:w="3119" w:type="dxa"/>
          </w:tcPr>
          <w:p w14:paraId="72FFF73F" w14:textId="77777777" w:rsidR="0035403C" w:rsidRDefault="00D02C31">
            <w:pPr>
              <w:jc w:val="both"/>
              <w:cnfStyle w:val="000000000000" w:firstRow="0" w:lastRow="0" w:firstColumn="0" w:lastColumn="0" w:oddVBand="0" w:evenVBand="0" w:oddHBand="0" w:evenHBand="0" w:firstRowFirstColumn="0" w:firstRowLastColumn="0" w:lastRowFirstColumn="0" w:lastRowLastColumn="0"/>
            </w:pPr>
            <w:r>
              <w:t>Código de PSP</w:t>
            </w:r>
          </w:p>
        </w:tc>
        <w:tc>
          <w:tcPr>
            <w:tcW w:w="3538" w:type="dxa"/>
          </w:tcPr>
          <w:p w14:paraId="2AF7E5B1" w14:textId="77777777" w:rsidR="0035403C" w:rsidRDefault="00D02C31">
            <w:pPr>
              <w:jc w:val="both"/>
              <w:cnfStyle w:val="000000000000" w:firstRow="0" w:lastRow="0" w:firstColumn="0" w:lastColumn="0" w:oddVBand="0" w:evenVBand="0" w:oddHBand="0" w:evenHBand="0" w:firstRowFirstColumn="0" w:firstRowLastColumn="0" w:lastRowFirstColumn="0" w:lastRowLastColumn="0"/>
            </w:pPr>
            <w:r w:rsidRPr="0FE4D5DF">
              <w:rPr>
                <w:lang w:val="en-US"/>
              </w:rPr>
              <w:t>Numérico (4).</w:t>
            </w:r>
          </w:p>
        </w:tc>
      </w:tr>
      <w:tr w:rsidR="0035403C" w14:paraId="18EE6E49" w14:textId="77777777" w:rsidTr="17FBBB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9" w:type="dxa"/>
            <w:vMerge/>
          </w:tcPr>
          <w:p w14:paraId="23DE523C" w14:textId="77777777" w:rsidR="0035403C" w:rsidRDefault="0035403C">
            <w:pPr>
              <w:widowControl w:val="0"/>
              <w:pBdr>
                <w:top w:val="nil"/>
                <w:left w:val="nil"/>
                <w:bottom w:val="nil"/>
                <w:right w:val="nil"/>
                <w:between w:val="nil"/>
              </w:pBdr>
              <w:spacing w:line="276" w:lineRule="auto"/>
            </w:pPr>
          </w:p>
        </w:tc>
        <w:tc>
          <w:tcPr>
            <w:tcW w:w="1139" w:type="dxa"/>
          </w:tcPr>
          <w:p w14:paraId="03853697" w14:textId="77777777" w:rsidR="0035403C" w:rsidRDefault="00D02C31">
            <w:pPr>
              <w:jc w:val="both"/>
              <w:cnfStyle w:val="000000100000" w:firstRow="0" w:lastRow="0" w:firstColumn="0" w:lastColumn="0" w:oddVBand="0" w:evenVBand="0" w:oddHBand="1" w:evenHBand="0" w:firstRowFirstColumn="0" w:firstRowLastColumn="0" w:lastRowFirstColumn="0" w:lastRowLastColumn="0"/>
            </w:pPr>
            <w:r>
              <w:t>8</w:t>
            </w:r>
          </w:p>
        </w:tc>
        <w:tc>
          <w:tcPr>
            <w:tcW w:w="3119" w:type="dxa"/>
          </w:tcPr>
          <w:p w14:paraId="0E2FEDDC" w14:textId="77777777" w:rsidR="0035403C" w:rsidRDefault="00D02C31">
            <w:pPr>
              <w:jc w:val="both"/>
              <w:cnfStyle w:val="000000100000" w:firstRow="0" w:lastRow="0" w:firstColumn="0" w:lastColumn="0" w:oddVBand="0" w:evenVBand="0" w:oddHBand="1" w:evenHBand="0" w:firstRowFirstColumn="0" w:firstRowLastColumn="0" w:lastRowFirstColumn="0" w:lastRowLastColumn="0"/>
            </w:pPr>
            <w:r w:rsidRPr="0FE4D5DF">
              <w:rPr>
                <w:lang w:val="en-US"/>
              </w:rPr>
              <w:t>Dígito Verificador 1</w:t>
            </w:r>
          </w:p>
        </w:tc>
        <w:tc>
          <w:tcPr>
            <w:tcW w:w="3538" w:type="dxa"/>
          </w:tcPr>
          <w:p w14:paraId="3E8E0A09" w14:textId="77777777" w:rsidR="0035403C" w:rsidRDefault="00D02C31">
            <w:pPr>
              <w:jc w:val="both"/>
              <w:cnfStyle w:val="000000100000" w:firstRow="0" w:lastRow="0" w:firstColumn="0" w:lastColumn="0" w:oddVBand="0" w:evenVBand="0" w:oddHBand="1" w:evenHBand="0" w:firstRowFirstColumn="0" w:firstRowLastColumn="0" w:lastRowFirstColumn="0" w:lastRowLastColumn="0"/>
            </w:pPr>
            <w:r w:rsidRPr="0FE4D5DF">
              <w:rPr>
                <w:lang w:val="en-US"/>
              </w:rPr>
              <w:t>Numérico (1).</w:t>
            </w:r>
          </w:p>
          <w:p w14:paraId="133CEDFF" w14:textId="77777777" w:rsidR="0035403C" w:rsidRDefault="00D02C31">
            <w:pPr>
              <w:jc w:val="both"/>
              <w:cnfStyle w:val="000000100000" w:firstRow="0" w:lastRow="0" w:firstColumn="0" w:lastColumn="0" w:oddVBand="0" w:evenVBand="0" w:oddHBand="1" w:evenHBand="0" w:firstRowFirstColumn="0" w:firstRowLastColumn="0" w:lastRowFirstColumn="0" w:lastRowLastColumn="0"/>
            </w:pPr>
            <w:r w:rsidRPr="0FE4D5DF">
              <w:rPr>
                <w:lang w:val="en-US"/>
              </w:rPr>
              <w:t>Mismo cálculo que CBU.</w:t>
            </w:r>
          </w:p>
        </w:tc>
      </w:tr>
      <w:tr w:rsidR="0035403C" w14:paraId="061C78BD" w14:textId="77777777" w:rsidTr="17FBBB8B">
        <w:tc>
          <w:tcPr>
            <w:cnfStyle w:val="001000000000" w:firstRow="0" w:lastRow="0" w:firstColumn="1" w:lastColumn="0" w:oddVBand="0" w:evenVBand="0" w:oddHBand="0" w:evenHBand="0" w:firstRowFirstColumn="0" w:firstRowLastColumn="0" w:lastRowFirstColumn="0" w:lastRowLastColumn="0"/>
            <w:tcW w:w="1239" w:type="dxa"/>
            <w:vMerge w:val="restart"/>
          </w:tcPr>
          <w:p w14:paraId="0C5E8EA1" w14:textId="77777777" w:rsidR="0035403C" w:rsidRDefault="00D02C31">
            <w:pPr>
              <w:jc w:val="both"/>
            </w:pPr>
            <w:r>
              <w:t>Bloque 2</w:t>
            </w:r>
          </w:p>
        </w:tc>
        <w:tc>
          <w:tcPr>
            <w:tcW w:w="1139" w:type="dxa"/>
          </w:tcPr>
          <w:p w14:paraId="2B2B7304" w14:textId="77777777" w:rsidR="0035403C" w:rsidRDefault="00D02C31">
            <w:pPr>
              <w:jc w:val="both"/>
              <w:cnfStyle w:val="000000000000" w:firstRow="0" w:lastRow="0" w:firstColumn="0" w:lastColumn="0" w:oddVBand="0" w:evenVBand="0" w:oddHBand="0" w:evenHBand="0" w:firstRowFirstColumn="0" w:firstRowLastColumn="0" w:lastRowFirstColumn="0" w:lastRowLastColumn="0"/>
            </w:pPr>
            <w:r>
              <w:t>9</w:t>
            </w:r>
          </w:p>
        </w:tc>
        <w:tc>
          <w:tcPr>
            <w:tcW w:w="3119" w:type="dxa"/>
          </w:tcPr>
          <w:p w14:paraId="1E275389" w14:textId="77777777" w:rsidR="0035403C" w:rsidRDefault="00D02C31" w:rsidP="17FBBB8B">
            <w:pPr>
              <w:jc w:val="both"/>
              <w:cnfStyle w:val="000000000000" w:firstRow="0" w:lastRow="0" w:firstColumn="0" w:lastColumn="0" w:oddVBand="0" w:evenVBand="0" w:oddHBand="0" w:evenHBand="0" w:firstRowFirstColumn="0" w:firstRowLastColumn="0" w:lastRowFirstColumn="0" w:lastRowLastColumn="0"/>
              <w:rPr>
                <w:lang w:val="en-US"/>
              </w:rPr>
            </w:pPr>
            <w:r w:rsidRPr="17FBBB8B">
              <w:rPr>
                <w:lang w:val="en-US"/>
              </w:rPr>
              <w:t>Reservado</w:t>
            </w:r>
          </w:p>
        </w:tc>
        <w:tc>
          <w:tcPr>
            <w:tcW w:w="3538" w:type="dxa"/>
          </w:tcPr>
          <w:p w14:paraId="5627A593" w14:textId="77777777" w:rsidR="0035403C" w:rsidRDefault="00D02C31">
            <w:pPr>
              <w:jc w:val="both"/>
              <w:cnfStyle w:val="000000000000" w:firstRow="0" w:lastRow="0" w:firstColumn="0" w:lastColumn="0" w:oddVBand="0" w:evenVBand="0" w:oddHBand="0" w:evenHBand="0" w:firstRowFirstColumn="0" w:firstRowLastColumn="0" w:lastRowFirstColumn="0" w:lastRowLastColumn="0"/>
            </w:pPr>
            <w:r w:rsidRPr="17FBBB8B">
              <w:rPr>
                <w:lang w:val="en-US"/>
              </w:rPr>
              <w:t>Numérico (1).</w:t>
            </w:r>
          </w:p>
          <w:p w14:paraId="7FA01D7E" w14:textId="77777777" w:rsidR="0035403C" w:rsidRDefault="00D02C31">
            <w:pPr>
              <w:jc w:val="both"/>
              <w:cnfStyle w:val="000000000000" w:firstRow="0" w:lastRow="0" w:firstColumn="0" w:lastColumn="0" w:oddVBand="0" w:evenVBand="0" w:oddHBand="0" w:evenHBand="0" w:firstRowFirstColumn="0" w:firstRowLastColumn="0" w:lastRowFirstColumn="0" w:lastRowLastColumn="0"/>
            </w:pPr>
            <w:r>
              <w:lastRenderedPageBreak/>
              <w:t>Se completa con “0”.</w:t>
            </w:r>
          </w:p>
        </w:tc>
      </w:tr>
      <w:tr w:rsidR="0035403C" w14:paraId="134AC179" w14:textId="77777777" w:rsidTr="17FBBB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9" w:type="dxa"/>
            <w:vMerge/>
          </w:tcPr>
          <w:p w14:paraId="52E56223" w14:textId="77777777" w:rsidR="0035403C" w:rsidRDefault="0035403C">
            <w:pPr>
              <w:widowControl w:val="0"/>
              <w:pBdr>
                <w:top w:val="nil"/>
                <w:left w:val="nil"/>
                <w:bottom w:val="nil"/>
                <w:right w:val="nil"/>
                <w:between w:val="nil"/>
              </w:pBdr>
              <w:spacing w:line="276" w:lineRule="auto"/>
            </w:pPr>
          </w:p>
        </w:tc>
        <w:tc>
          <w:tcPr>
            <w:tcW w:w="1139" w:type="dxa"/>
          </w:tcPr>
          <w:p w14:paraId="490C7ABF" w14:textId="77777777" w:rsidR="0035403C" w:rsidRDefault="00D02C31">
            <w:pPr>
              <w:jc w:val="both"/>
              <w:cnfStyle w:val="000000100000" w:firstRow="0" w:lastRow="0" w:firstColumn="0" w:lastColumn="0" w:oddVBand="0" w:evenVBand="0" w:oddHBand="1" w:evenHBand="0" w:firstRowFirstColumn="0" w:firstRowLastColumn="0" w:lastRowFirstColumn="0" w:lastRowLastColumn="0"/>
            </w:pPr>
            <w:r>
              <w:t>10-21</w:t>
            </w:r>
          </w:p>
        </w:tc>
        <w:tc>
          <w:tcPr>
            <w:tcW w:w="3119" w:type="dxa"/>
          </w:tcPr>
          <w:p w14:paraId="750A370B" w14:textId="77777777" w:rsidR="0035403C" w:rsidRDefault="00D02C31" w:rsidP="17FBBB8B">
            <w:pPr>
              <w:jc w:val="both"/>
              <w:cnfStyle w:val="000000100000" w:firstRow="0" w:lastRow="0" w:firstColumn="0" w:lastColumn="0" w:oddVBand="0" w:evenVBand="0" w:oddHBand="1" w:evenHBand="0" w:firstRowFirstColumn="0" w:firstRowLastColumn="0" w:lastRowFirstColumn="0" w:lastRowLastColumn="0"/>
              <w:rPr>
                <w:lang w:val="en-US"/>
              </w:rPr>
            </w:pPr>
            <w:r w:rsidRPr="17FBBB8B">
              <w:rPr>
                <w:lang w:val="en-US"/>
              </w:rPr>
              <w:t>Id Cliente</w:t>
            </w:r>
          </w:p>
        </w:tc>
        <w:tc>
          <w:tcPr>
            <w:tcW w:w="3538" w:type="dxa"/>
          </w:tcPr>
          <w:p w14:paraId="24EC4193" w14:textId="77777777" w:rsidR="0035403C" w:rsidRDefault="00D02C31">
            <w:pPr>
              <w:jc w:val="both"/>
              <w:cnfStyle w:val="000000100000" w:firstRow="0" w:lastRow="0" w:firstColumn="0" w:lastColumn="0" w:oddVBand="0" w:evenVBand="0" w:oddHBand="1" w:evenHBand="0" w:firstRowFirstColumn="0" w:firstRowLastColumn="0" w:lastRowFirstColumn="0" w:lastRowLastColumn="0"/>
            </w:pPr>
            <w:r w:rsidRPr="17FBBB8B">
              <w:rPr>
                <w:lang w:val="en-US"/>
              </w:rPr>
              <w:t>Numérico (12).</w:t>
            </w:r>
          </w:p>
          <w:p w14:paraId="11C0C27B" w14:textId="77777777" w:rsidR="0035403C" w:rsidRDefault="00D02C31">
            <w:pPr>
              <w:jc w:val="both"/>
              <w:cnfStyle w:val="000000100000" w:firstRow="0" w:lastRow="0" w:firstColumn="0" w:lastColumn="0" w:oddVBand="0" w:evenVBand="0" w:oddHBand="1" w:evenHBand="0" w:firstRowFirstColumn="0" w:firstRowLastColumn="0" w:lastRowFirstColumn="0" w:lastRowLastColumn="0"/>
            </w:pPr>
            <w:r w:rsidRPr="17FBBB8B">
              <w:rPr>
                <w:lang w:val="en-US"/>
              </w:rPr>
              <w:t>Libre, para identificación de cliente dentro de PSP.</w:t>
            </w:r>
          </w:p>
        </w:tc>
      </w:tr>
      <w:tr w:rsidR="0035403C" w14:paraId="54203410" w14:textId="77777777" w:rsidTr="17FBBB8B">
        <w:tc>
          <w:tcPr>
            <w:cnfStyle w:val="001000000000" w:firstRow="0" w:lastRow="0" w:firstColumn="1" w:lastColumn="0" w:oddVBand="0" w:evenVBand="0" w:oddHBand="0" w:evenHBand="0" w:firstRowFirstColumn="0" w:firstRowLastColumn="0" w:lastRowFirstColumn="0" w:lastRowLastColumn="0"/>
            <w:tcW w:w="1239" w:type="dxa"/>
            <w:vMerge/>
          </w:tcPr>
          <w:p w14:paraId="07547A01" w14:textId="77777777" w:rsidR="0035403C" w:rsidRDefault="0035403C">
            <w:pPr>
              <w:widowControl w:val="0"/>
              <w:pBdr>
                <w:top w:val="nil"/>
                <w:left w:val="nil"/>
                <w:bottom w:val="nil"/>
                <w:right w:val="nil"/>
                <w:between w:val="nil"/>
              </w:pBdr>
              <w:spacing w:line="276" w:lineRule="auto"/>
            </w:pPr>
          </w:p>
        </w:tc>
        <w:tc>
          <w:tcPr>
            <w:tcW w:w="1139" w:type="dxa"/>
          </w:tcPr>
          <w:p w14:paraId="07581EC8" w14:textId="77777777" w:rsidR="0035403C" w:rsidRDefault="00D02C31">
            <w:pPr>
              <w:jc w:val="both"/>
              <w:cnfStyle w:val="000000000000" w:firstRow="0" w:lastRow="0" w:firstColumn="0" w:lastColumn="0" w:oddVBand="0" w:evenVBand="0" w:oddHBand="0" w:evenHBand="0" w:firstRowFirstColumn="0" w:firstRowLastColumn="0" w:lastRowFirstColumn="0" w:lastRowLastColumn="0"/>
            </w:pPr>
            <w:r>
              <w:t>22</w:t>
            </w:r>
          </w:p>
        </w:tc>
        <w:tc>
          <w:tcPr>
            <w:tcW w:w="3119" w:type="dxa"/>
          </w:tcPr>
          <w:p w14:paraId="5C689FFF" w14:textId="77777777" w:rsidR="0035403C" w:rsidRDefault="00D02C31">
            <w:pPr>
              <w:jc w:val="both"/>
              <w:cnfStyle w:val="000000000000" w:firstRow="0" w:lastRow="0" w:firstColumn="0" w:lastColumn="0" w:oddVBand="0" w:evenVBand="0" w:oddHBand="0" w:evenHBand="0" w:firstRowFirstColumn="0" w:firstRowLastColumn="0" w:lastRowFirstColumn="0" w:lastRowLastColumn="0"/>
            </w:pPr>
            <w:r w:rsidRPr="17FBBB8B">
              <w:rPr>
                <w:lang w:val="en-US"/>
              </w:rPr>
              <w:t>Dígito Verificador 2</w:t>
            </w:r>
          </w:p>
        </w:tc>
        <w:tc>
          <w:tcPr>
            <w:tcW w:w="3538" w:type="dxa"/>
          </w:tcPr>
          <w:p w14:paraId="0A37A8D4" w14:textId="77777777" w:rsidR="0035403C" w:rsidRDefault="00D02C31">
            <w:pPr>
              <w:jc w:val="both"/>
              <w:cnfStyle w:val="000000000000" w:firstRow="0" w:lastRow="0" w:firstColumn="0" w:lastColumn="0" w:oddVBand="0" w:evenVBand="0" w:oddHBand="0" w:evenHBand="0" w:firstRowFirstColumn="0" w:firstRowLastColumn="0" w:lastRowFirstColumn="0" w:lastRowLastColumn="0"/>
            </w:pPr>
            <w:r w:rsidRPr="17FBBB8B">
              <w:rPr>
                <w:lang w:val="en-US"/>
              </w:rPr>
              <w:t>Numérico (1).</w:t>
            </w:r>
          </w:p>
          <w:p w14:paraId="28D97AE5" w14:textId="77777777" w:rsidR="0035403C" w:rsidRDefault="00D02C31">
            <w:pPr>
              <w:keepNext/>
              <w:jc w:val="both"/>
              <w:cnfStyle w:val="000000000000" w:firstRow="0" w:lastRow="0" w:firstColumn="0" w:lastColumn="0" w:oddVBand="0" w:evenVBand="0" w:oddHBand="0" w:evenHBand="0" w:firstRowFirstColumn="0" w:firstRowLastColumn="0" w:lastRowFirstColumn="0" w:lastRowLastColumn="0"/>
            </w:pPr>
            <w:r w:rsidRPr="0FE4D5DF">
              <w:rPr>
                <w:lang w:val="en-US"/>
              </w:rPr>
              <w:t>Mismo cálculo que CBU.</w:t>
            </w:r>
          </w:p>
        </w:tc>
      </w:tr>
    </w:tbl>
    <w:p w14:paraId="307E4FBF" w14:textId="77777777" w:rsidR="0035403C" w:rsidRDefault="00D02C31" w:rsidP="0FE4D5DF">
      <w:pPr>
        <w:pBdr>
          <w:top w:val="nil"/>
          <w:left w:val="nil"/>
          <w:bottom w:val="nil"/>
          <w:right w:val="nil"/>
          <w:between w:val="nil"/>
        </w:pBdr>
        <w:spacing w:after="200"/>
        <w:rPr>
          <w:i/>
          <w:iCs/>
          <w:color w:val="1F497D"/>
          <w:sz w:val="18"/>
          <w:szCs w:val="18"/>
          <w:lang w:val="en-US"/>
        </w:rPr>
      </w:pPr>
      <w:bookmarkStart w:id="11" w:name="_heading=h.17dp8vu"/>
      <w:bookmarkEnd w:id="11"/>
      <w:r w:rsidRPr="0FE4D5DF">
        <w:rPr>
          <w:i/>
          <w:iCs/>
          <w:color w:val="1F497D" w:themeColor="text2"/>
          <w:sz w:val="18"/>
          <w:szCs w:val="18"/>
          <w:lang w:val="en-US"/>
        </w:rPr>
        <w:t xml:space="preserve">Tabla 2: Detalle de la conformación </w:t>
      </w:r>
      <w:proofErr w:type="gramStart"/>
      <w:r w:rsidRPr="0FE4D5DF">
        <w:rPr>
          <w:i/>
          <w:iCs/>
          <w:color w:val="1F497D" w:themeColor="text2"/>
          <w:sz w:val="18"/>
          <w:szCs w:val="18"/>
          <w:lang w:val="en-US"/>
        </w:rPr>
        <w:t>del</w:t>
      </w:r>
      <w:proofErr w:type="gramEnd"/>
      <w:r w:rsidRPr="0FE4D5DF">
        <w:rPr>
          <w:i/>
          <w:iCs/>
          <w:color w:val="1F497D" w:themeColor="text2"/>
          <w:sz w:val="18"/>
          <w:szCs w:val="18"/>
          <w:lang w:val="en-US"/>
        </w:rPr>
        <w:t xml:space="preserve"> CVU</w:t>
      </w:r>
    </w:p>
    <w:p w14:paraId="4058CC50" w14:textId="77777777" w:rsidR="0035403C" w:rsidRDefault="00D02C31">
      <w:pPr>
        <w:pStyle w:val="Ttulo3"/>
      </w:pPr>
      <w:bookmarkStart w:id="12" w:name="_heading=h.3rdcrjn"/>
      <w:bookmarkEnd w:id="12"/>
      <w:r w:rsidRPr="0FE4D5DF">
        <w:rPr>
          <w:lang w:val="en-US"/>
        </w:rPr>
        <w:t>Crecimiento CVU</w:t>
      </w:r>
    </w:p>
    <w:p w14:paraId="5043CB0F" w14:textId="77777777" w:rsidR="0035403C" w:rsidRDefault="00D02C31">
      <w:pPr>
        <w:keepNext/>
        <w:pBdr>
          <w:top w:val="nil"/>
          <w:left w:val="nil"/>
          <w:bottom w:val="nil"/>
          <w:right w:val="nil"/>
          <w:between w:val="nil"/>
        </w:pBdr>
        <w:spacing w:after="150"/>
        <w:jc w:val="both"/>
        <w:rPr>
          <w:color w:val="000000"/>
        </w:rPr>
      </w:pPr>
      <w:r>
        <w:rPr>
          <w:rFonts w:ascii="Cambria" w:eastAsia="Cambria" w:hAnsi="Cambria" w:cs="Cambria"/>
          <w:noProof/>
          <w:color w:val="000000"/>
          <w:lang w:eastAsia="es-AR"/>
        </w:rPr>
        <w:drawing>
          <wp:inline distT="0" distB="0" distL="0" distR="0" wp14:anchorId="06748B48" wp14:editId="07777777">
            <wp:extent cx="5629259" cy="2877577"/>
            <wp:effectExtent l="0" t="0" r="0" b="0"/>
            <wp:docPr id="161" name="image24.png" descr="Chart, line ch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4.png" descr="Chart, line chart&#10;&#10;Description automatically generated"/>
                    <pic:cNvPicPr preferRelativeResize="0"/>
                  </pic:nvPicPr>
                  <pic:blipFill>
                    <a:blip r:embed="rId13"/>
                    <a:srcRect/>
                    <a:stretch>
                      <a:fillRect/>
                    </a:stretch>
                  </pic:blipFill>
                  <pic:spPr>
                    <a:xfrm>
                      <a:off x="0" y="0"/>
                      <a:ext cx="5629259" cy="2877577"/>
                    </a:xfrm>
                    <a:prstGeom prst="rect">
                      <a:avLst/>
                    </a:prstGeom>
                    <a:ln/>
                  </pic:spPr>
                </pic:pic>
              </a:graphicData>
            </a:graphic>
          </wp:inline>
        </w:drawing>
      </w:r>
    </w:p>
    <w:p w14:paraId="35D37D2B" w14:textId="77777777" w:rsidR="0035403C" w:rsidRDefault="00D02C31" w:rsidP="0FE4D5DF">
      <w:pPr>
        <w:pBdr>
          <w:top w:val="nil"/>
          <w:left w:val="nil"/>
          <w:bottom w:val="nil"/>
          <w:right w:val="nil"/>
          <w:between w:val="nil"/>
        </w:pBdr>
        <w:spacing w:after="200"/>
        <w:jc w:val="both"/>
        <w:rPr>
          <w:i/>
          <w:iCs/>
          <w:color w:val="1F497D"/>
          <w:sz w:val="18"/>
          <w:szCs w:val="18"/>
          <w:lang w:val="en-US"/>
        </w:rPr>
      </w:pPr>
      <w:bookmarkStart w:id="13" w:name="_heading=h.26in1rg"/>
      <w:bookmarkEnd w:id="13"/>
      <w:r w:rsidRPr="0FE4D5DF">
        <w:rPr>
          <w:i/>
          <w:iCs/>
          <w:color w:val="1F497D" w:themeColor="text2"/>
          <w:sz w:val="18"/>
          <w:szCs w:val="18"/>
          <w:lang w:val="en-US"/>
        </w:rPr>
        <w:t>Ilustración 2: Crecimiento CVU</w:t>
      </w:r>
    </w:p>
    <w:p w14:paraId="07459315" w14:textId="77777777" w:rsidR="0035403C" w:rsidRDefault="0035403C">
      <w:pPr>
        <w:pStyle w:val="Ttulo2"/>
      </w:pPr>
    </w:p>
    <w:p w14:paraId="2944DAC2" w14:textId="77777777" w:rsidR="0035403C" w:rsidRDefault="00D02C31">
      <w:pPr>
        <w:pStyle w:val="Ttulo2"/>
      </w:pPr>
      <w:bookmarkStart w:id="14" w:name="_heading=h.lnxbz9"/>
      <w:bookmarkEnd w:id="14"/>
      <w:r w:rsidRPr="0FE4D5DF">
        <w:rPr>
          <w:lang w:val="en-US"/>
        </w:rPr>
        <w:t>Novedosos productos dentro de DEBIN</w:t>
      </w:r>
    </w:p>
    <w:p w14:paraId="2EEFDC26" w14:textId="77777777" w:rsidR="0035403C" w:rsidRDefault="00D02C31">
      <w:pPr>
        <w:jc w:val="both"/>
      </w:pPr>
      <w:proofErr w:type="gramStart"/>
      <w:r w:rsidRPr="0FE4D5DF">
        <w:rPr>
          <w:lang w:val="en-US"/>
        </w:rPr>
        <w:t>Desde el año 2019, el BCRA promueve interesantes mecanismos dentro de la plataforma de Coelsa.</w:t>
      </w:r>
      <w:proofErr w:type="gramEnd"/>
      <w:r w:rsidRPr="0FE4D5DF">
        <w:rPr>
          <w:lang w:val="en-US"/>
        </w:rPr>
        <w:t xml:space="preserve"> El sistema comenzó a mutar de su principal objetivo, empezando por la posibilidad de ejecutar transferencias en línea hacia cualquier CBU de las entidades financieras y también la posibilidad de conformar plazos fijos vía web, ofreciendo una competencia más justa al usuario bancario, donde le otorgan la posibilidad de elección de la entidad que ofrece la mejor tasa o un mejor servicio. Luego, con la ya implementación finalizada </w:t>
      </w:r>
      <w:proofErr w:type="gramStart"/>
      <w:r w:rsidRPr="0FE4D5DF">
        <w:rPr>
          <w:lang w:val="en-US"/>
        </w:rPr>
        <w:t>del</w:t>
      </w:r>
      <w:proofErr w:type="gramEnd"/>
      <w:r w:rsidRPr="0FE4D5DF">
        <w:rPr>
          <w:lang w:val="en-US"/>
        </w:rPr>
        <w:t xml:space="preserve"> sistema CVU y adopción de las cuentas virtuales proveídas por billeteras bancarias y billeteras virtuales, comenzaron a utilizarse las transferencias hacia CVUs dentro del sistema DEBIN. Todas estas nuevas características desarrolladas trajeron consigo una gran demanda con respecto a las operaciones cursadas originalmente y </w:t>
      </w:r>
      <w:proofErr w:type="gramStart"/>
      <w:r w:rsidRPr="0FE4D5DF">
        <w:rPr>
          <w:lang w:val="en-US"/>
        </w:rPr>
        <w:t>un</w:t>
      </w:r>
      <w:proofErr w:type="gramEnd"/>
      <w:r w:rsidRPr="0FE4D5DF">
        <w:rPr>
          <w:lang w:val="en-US"/>
        </w:rPr>
        <w:t xml:space="preserve"> gran cambio a los requerimientos que el ecosistema exigía.</w:t>
      </w:r>
    </w:p>
    <w:p w14:paraId="53DEB2C2" w14:textId="77777777" w:rsidR="0035403C" w:rsidRDefault="00D02C31">
      <w:pPr>
        <w:pStyle w:val="Ttulo3"/>
      </w:pPr>
      <w:bookmarkStart w:id="15" w:name="_heading=h.35nkun2"/>
      <w:bookmarkEnd w:id="15"/>
      <w:r w:rsidRPr="0FE4D5DF">
        <w:rPr>
          <w:lang w:val="en-US"/>
        </w:rPr>
        <w:lastRenderedPageBreak/>
        <w:t>Evolución de transferencias por CVU</w:t>
      </w:r>
    </w:p>
    <w:p w14:paraId="6537F28F" w14:textId="77777777" w:rsidR="0035403C" w:rsidRDefault="00D02C31">
      <w:pPr>
        <w:keepNext/>
      </w:pPr>
      <w:r>
        <w:rPr>
          <w:noProof/>
          <w:lang w:eastAsia="es-AR"/>
        </w:rPr>
        <w:drawing>
          <wp:inline distT="0" distB="0" distL="0" distR="0" wp14:anchorId="7D333774" wp14:editId="07777777">
            <wp:extent cx="5966909" cy="3526768"/>
            <wp:effectExtent l="0" t="0" r="0" b="0"/>
            <wp:docPr id="164" name="image23.png" descr="Chart, line ch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3.png" descr="Chart, line chart&#10;&#10;Description automatically generated"/>
                    <pic:cNvPicPr preferRelativeResize="0"/>
                  </pic:nvPicPr>
                  <pic:blipFill>
                    <a:blip r:embed="rId14"/>
                    <a:srcRect/>
                    <a:stretch>
                      <a:fillRect/>
                    </a:stretch>
                  </pic:blipFill>
                  <pic:spPr>
                    <a:xfrm>
                      <a:off x="0" y="0"/>
                      <a:ext cx="5966909" cy="3526768"/>
                    </a:xfrm>
                    <a:prstGeom prst="rect">
                      <a:avLst/>
                    </a:prstGeom>
                    <a:ln/>
                  </pic:spPr>
                </pic:pic>
              </a:graphicData>
            </a:graphic>
          </wp:inline>
        </w:drawing>
      </w:r>
    </w:p>
    <w:p w14:paraId="63898AF8" w14:textId="77777777" w:rsidR="0035403C" w:rsidRDefault="00D02C31" w:rsidP="0FE4D5DF">
      <w:pPr>
        <w:pBdr>
          <w:top w:val="nil"/>
          <w:left w:val="nil"/>
          <w:bottom w:val="nil"/>
          <w:right w:val="nil"/>
          <w:between w:val="nil"/>
        </w:pBdr>
        <w:spacing w:after="200"/>
        <w:rPr>
          <w:i/>
          <w:iCs/>
          <w:color w:val="1F497D"/>
          <w:sz w:val="18"/>
          <w:szCs w:val="18"/>
          <w:lang w:val="en-US"/>
        </w:rPr>
      </w:pPr>
      <w:bookmarkStart w:id="16" w:name="_heading=h.1ksv4uv"/>
      <w:bookmarkEnd w:id="16"/>
      <w:r w:rsidRPr="0FE4D5DF">
        <w:rPr>
          <w:i/>
          <w:iCs/>
          <w:color w:val="1F497D" w:themeColor="text2"/>
          <w:sz w:val="18"/>
          <w:szCs w:val="18"/>
          <w:lang w:val="en-US"/>
        </w:rPr>
        <w:t>Ilustración 3: Evolución de transferencias por CVU</w:t>
      </w:r>
    </w:p>
    <w:p w14:paraId="2A940849" w14:textId="77777777" w:rsidR="0035403C" w:rsidRDefault="00D02C31">
      <w:pPr>
        <w:pStyle w:val="Ttulo3"/>
      </w:pPr>
      <w:bookmarkStart w:id="17" w:name="_heading=h.44sinio"/>
      <w:bookmarkEnd w:id="17"/>
      <w:r w:rsidRPr="0FE4D5DF">
        <w:rPr>
          <w:lang w:val="en-US"/>
        </w:rPr>
        <w:t>Evolución de transferencias por CBU</w:t>
      </w:r>
    </w:p>
    <w:p w14:paraId="6DFB9E20" w14:textId="77777777" w:rsidR="0035403C" w:rsidRDefault="0035403C"/>
    <w:p w14:paraId="70DF9E56" w14:textId="77777777" w:rsidR="0035403C" w:rsidRDefault="00D02C31">
      <w:pPr>
        <w:keepNext/>
      </w:pPr>
      <w:r>
        <w:rPr>
          <w:noProof/>
          <w:lang w:eastAsia="es-AR"/>
        </w:rPr>
        <w:drawing>
          <wp:inline distT="0" distB="0" distL="0" distR="0" wp14:anchorId="352D713B" wp14:editId="07777777">
            <wp:extent cx="5636424" cy="3331432"/>
            <wp:effectExtent l="0" t="0" r="0" b="0"/>
            <wp:docPr id="163" name="image37.png" descr="Chart, line ch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7.png" descr="Chart, line chart&#10;&#10;Description automatically generated"/>
                    <pic:cNvPicPr preferRelativeResize="0"/>
                  </pic:nvPicPr>
                  <pic:blipFill>
                    <a:blip r:embed="rId15"/>
                    <a:srcRect/>
                    <a:stretch>
                      <a:fillRect/>
                    </a:stretch>
                  </pic:blipFill>
                  <pic:spPr>
                    <a:xfrm>
                      <a:off x="0" y="0"/>
                      <a:ext cx="5636424" cy="3331432"/>
                    </a:xfrm>
                    <a:prstGeom prst="rect">
                      <a:avLst/>
                    </a:prstGeom>
                    <a:ln/>
                  </pic:spPr>
                </pic:pic>
              </a:graphicData>
            </a:graphic>
          </wp:inline>
        </w:drawing>
      </w:r>
    </w:p>
    <w:p w14:paraId="5F3B3B01" w14:textId="77777777" w:rsidR="0035403C" w:rsidRDefault="00D02C31" w:rsidP="0FE4D5DF">
      <w:pPr>
        <w:pBdr>
          <w:top w:val="nil"/>
          <w:left w:val="nil"/>
          <w:bottom w:val="nil"/>
          <w:right w:val="nil"/>
          <w:between w:val="nil"/>
        </w:pBdr>
        <w:spacing w:after="200"/>
        <w:rPr>
          <w:i/>
          <w:iCs/>
          <w:color w:val="1F497D"/>
          <w:sz w:val="18"/>
          <w:szCs w:val="18"/>
          <w:lang w:val="en-US"/>
        </w:rPr>
      </w:pPr>
      <w:bookmarkStart w:id="18" w:name="_heading=h.2jxsxqh"/>
      <w:bookmarkEnd w:id="18"/>
      <w:r w:rsidRPr="0FE4D5DF">
        <w:rPr>
          <w:i/>
          <w:iCs/>
          <w:color w:val="1F497D" w:themeColor="text2"/>
          <w:sz w:val="18"/>
          <w:szCs w:val="18"/>
          <w:lang w:val="en-US"/>
        </w:rPr>
        <w:t>Ilustración 4: Evolución de transferencias por CBU</w:t>
      </w:r>
    </w:p>
    <w:p w14:paraId="44E871BC" w14:textId="77777777" w:rsidR="0035403C" w:rsidRDefault="0035403C"/>
    <w:p w14:paraId="50E349AB" w14:textId="77777777" w:rsidR="0035403C" w:rsidRDefault="00D02C31">
      <w:pPr>
        <w:pStyle w:val="Ttulo2"/>
      </w:pPr>
      <w:bookmarkStart w:id="19" w:name="_heading=h.z337ya"/>
      <w:bookmarkEnd w:id="19"/>
      <w:r w:rsidRPr="0FE4D5DF">
        <w:rPr>
          <w:lang w:val="en-US"/>
        </w:rPr>
        <w:lastRenderedPageBreak/>
        <w:t>Adopción del fondeo a través de DEBIN</w:t>
      </w:r>
    </w:p>
    <w:p w14:paraId="03C03127" w14:textId="77777777" w:rsidR="0035403C" w:rsidRDefault="00D02C31">
      <w:pPr>
        <w:jc w:val="both"/>
      </w:pPr>
      <w:r w:rsidRPr="0FE4D5DF">
        <w:rPr>
          <w:lang w:val="en-US"/>
        </w:rPr>
        <w:t xml:space="preserve">Una vez concluida la posibilidad de las transferencias hacia las cuentas virtuales, el llamado “fondeo” de dinero a hacia las billeteras virtuales creció abruptamente, aunque la experiencia </w:t>
      </w:r>
      <w:proofErr w:type="gramStart"/>
      <w:r w:rsidRPr="0FE4D5DF">
        <w:rPr>
          <w:lang w:val="en-US"/>
        </w:rPr>
        <w:t>del</w:t>
      </w:r>
      <w:proofErr w:type="gramEnd"/>
      <w:r w:rsidRPr="0FE4D5DF">
        <w:rPr>
          <w:lang w:val="en-US"/>
        </w:rPr>
        <w:t xml:space="preserve"> usuario no era la optada, ya que éste debía entrar en cada una de las plataformas bancarias y financieras para poder realizar esta operación. El DEBIN recurrente contra una CVU fue una de las maniobras adquiridas para poder mejorar con el ineficiente </w:t>
      </w:r>
      <w:proofErr w:type="gramStart"/>
      <w:r w:rsidRPr="0FE4D5DF">
        <w:rPr>
          <w:lang w:val="en-US"/>
        </w:rPr>
        <w:t>uso</w:t>
      </w:r>
      <w:proofErr w:type="gramEnd"/>
      <w:r w:rsidRPr="0FE4D5DF">
        <w:rPr>
          <w:lang w:val="en-US"/>
        </w:rPr>
        <w:t xml:space="preserve"> de la transferencia. A través de esta mejora, las entidades al utilizar </w:t>
      </w:r>
      <w:proofErr w:type="gramStart"/>
      <w:r w:rsidRPr="0FE4D5DF">
        <w:rPr>
          <w:lang w:val="en-US"/>
        </w:rPr>
        <w:t>este</w:t>
      </w:r>
      <w:proofErr w:type="gramEnd"/>
      <w:r w:rsidRPr="0FE4D5DF">
        <w:rPr>
          <w:lang w:val="en-US"/>
        </w:rPr>
        <w:t xml:space="preserve"> mecanismo pudieron centralizar en una interfaz (la optada por los usuarios), el pedido de dinero para fondeo de cuentas contra otras propias, no importando si las mismas fueran cuentas bancarias o virtuales. Además de esta posibilidad, la compatibilidad y el fácil uso de la plataforma DEBIN, y con ayuda los precios competitivos dentro del mercado, comparativamente sobre las comisiones para las mismas operaciones con tarjetas de débito, provocaron que la gran mayoría de las entidades bancarias y proveedores de pago opten el uso de DEBIN como su plataforma primaria y preferida.</w:t>
      </w:r>
    </w:p>
    <w:p w14:paraId="6865CEB7" w14:textId="77777777" w:rsidR="0035403C" w:rsidRDefault="00D02C31">
      <w:pPr>
        <w:pStyle w:val="Ttulo3"/>
      </w:pPr>
      <w:bookmarkStart w:id="20" w:name="_heading=h.3j2qqm3"/>
      <w:bookmarkEnd w:id="20"/>
      <w:r w:rsidRPr="0FE4D5DF">
        <w:rPr>
          <w:lang w:val="en-US"/>
        </w:rPr>
        <w:t>Evolución de DEBIN para el fondeo de CVU</w:t>
      </w:r>
    </w:p>
    <w:p w14:paraId="144A5D23" w14:textId="77777777" w:rsidR="0035403C" w:rsidRDefault="00D02C31">
      <w:pPr>
        <w:keepNext/>
      </w:pPr>
      <w:r>
        <w:rPr>
          <w:noProof/>
          <w:lang w:eastAsia="es-AR"/>
        </w:rPr>
        <w:drawing>
          <wp:inline distT="0" distB="0" distL="0" distR="0" wp14:anchorId="3E2F086B" wp14:editId="07777777">
            <wp:extent cx="5762427" cy="3240215"/>
            <wp:effectExtent l="0" t="0" r="0" b="0"/>
            <wp:docPr id="167" name="image32.png" descr="Chart, line ch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2.png" descr="Chart, line chart&#10;&#10;Description automatically generated"/>
                    <pic:cNvPicPr preferRelativeResize="0"/>
                  </pic:nvPicPr>
                  <pic:blipFill>
                    <a:blip r:embed="rId16"/>
                    <a:srcRect/>
                    <a:stretch>
                      <a:fillRect/>
                    </a:stretch>
                  </pic:blipFill>
                  <pic:spPr>
                    <a:xfrm>
                      <a:off x="0" y="0"/>
                      <a:ext cx="5762427" cy="3240215"/>
                    </a:xfrm>
                    <a:prstGeom prst="rect">
                      <a:avLst/>
                    </a:prstGeom>
                    <a:ln/>
                  </pic:spPr>
                </pic:pic>
              </a:graphicData>
            </a:graphic>
          </wp:inline>
        </w:drawing>
      </w:r>
    </w:p>
    <w:p w14:paraId="23F0F712" w14:textId="77777777" w:rsidR="0035403C" w:rsidRDefault="00D02C31" w:rsidP="0FE4D5DF">
      <w:pPr>
        <w:pBdr>
          <w:top w:val="nil"/>
          <w:left w:val="nil"/>
          <w:bottom w:val="nil"/>
          <w:right w:val="nil"/>
          <w:between w:val="nil"/>
        </w:pBdr>
        <w:spacing w:after="200"/>
        <w:rPr>
          <w:i/>
          <w:iCs/>
          <w:color w:val="1F497D"/>
          <w:sz w:val="18"/>
          <w:szCs w:val="18"/>
          <w:lang w:val="en-US"/>
        </w:rPr>
      </w:pPr>
      <w:bookmarkStart w:id="21" w:name="_heading=h.1y810tw"/>
      <w:bookmarkEnd w:id="21"/>
      <w:r w:rsidRPr="0FE4D5DF">
        <w:rPr>
          <w:i/>
          <w:iCs/>
          <w:color w:val="1F497D" w:themeColor="text2"/>
          <w:sz w:val="18"/>
          <w:szCs w:val="18"/>
          <w:lang w:val="en-US"/>
        </w:rPr>
        <w:t>Ilustración 5: Evolución de DEBIN para el fondeo de CVU</w:t>
      </w:r>
    </w:p>
    <w:p w14:paraId="1AF89235" w14:textId="77777777" w:rsidR="0035403C" w:rsidRDefault="00D02C31" w:rsidP="0FE4D5DF">
      <w:pPr>
        <w:pStyle w:val="Ttulo2"/>
        <w:rPr>
          <w:lang w:val="en-US"/>
        </w:rPr>
      </w:pPr>
      <w:bookmarkStart w:id="22" w:name="_heading=h.4i7ojhp"/>
      <w:bookmarkEnd w:id="22"/>
      <w:r w:rsidRPr="0FE4D5DF">
        <w:rPr>
          <w:lang w:val="en-US"/>
        </w:rPr>
        <w:t>Pagos con Transferencia - Transferencias 3.0 - Interoperabilidad</w:t>
      </w:r>
    </w:p>
    <w:p w14:paraId="280B57EF" w14:textId="77777777" w:rsidR="0035403C" w:rsidRDefault="00D02C31">
      <w:pPr>
        <w:jc w:val="both"/>
      </w:pPr>
      <w:r w:rsidRPr="0FE4D5DF">
        <w:rPr>
          <w:lang w:val="en-US"/>
        </w:rPr>
        <w:t xml:space="preserve">El Banco Central lanzó Transferencias 3.0 a fines </w:t>
      </w:r>
      <w:proofErr w:type="gramStart"/>
      <w:r w:rsidRPr="0FE4D5DF">
        <w:rPr>
          <w:lang w:val="en-US"/>
        </w:rPr>
        <w:t>del</w:t>
      </w:r>
      <w:proofErr w:type="gramEnd"/>
      <w:r w:rsidRPr="0FE4D5DF">
        <w:rPr>
          <w:lang w:val="en-US"/>
        </w:rPr>
        <w:t xml:space="preserve"> año 2020 y el proyecto completo, el cual incluía la interoperabilidad entre los diversos administradores finalmente quedó implementada en noviembre del 2021, con el principal objetivo de potenciar los pagos digitales abiertos y universales, y de conseguir una mayor inclusión de aquellos sectores informales que aún no utilizaban estos servicios financieros. La idea principal era darles a las personas la posibilidad de leer cualquier código QR y realizar de forma rápida y fácil pagos con transferencia tan sólo con un teléfono y con cualquier billetera virtual o aplicación bancaria que ofrezca ese servicio. Los pagos con transferencia son más accesibles, eficientes y seguros, evitando así el </w:t>
      </w:r>
      <w:proofErr w:type="gramStart"/>
      <w:r w:rsidRPr="0FE4D5DF">
        <w:rPr>
          <w:lang w:val="en-US"/>
        </w:rPr>
        <w:t>uso</w:t>
      </w:r>
      <w:proofErr w:type="gramEnd"/>
      <w:r w:rsidRPr="0FE4D5DF">
        <w:rPr>
          <w:lang w:val="en-US"/>
        </w:rPr>
        <w:t xml:space="preserve"> del efectivo. Estos pagos con transferencia se pueden realizar tanto desde cuentas bancarias con CBU </w:t>
      </w:r>
      <w:proofErr w:type="gramStart"/>
      <w:r w:rsidRPr="0FE4D5DF">
        <w:rPr>
          <w:lang w:val="en-US"/>
        </w:rPr>
        <w:t>como</w:t>
      </w:r>
      <w:proofErr w:type="gramEnd"/>
      <w:r w:rsidRPr="0FE4D5DF">
        <w:rPr>
          <w:lang w:val="en-US"/>
        </w:rPr>
        <w:t xml:space="preserve"> </w:t>
      </w:r>
      <w:r w:rsidRPr="0FE4D5DF">
        <w:rPr>
          <w:lang w:val="en-US"/>
        </w:rPr>
        <w:lastRenderedPageBreak/>
        <w:t xml:space="preserve">de cuentas de proveedores de servicios de pago que tienen asociada una CVU, y gracias a esto, dejaba de ser necesario disponer de una tarjeta de débito. </w:t>
      </w:r>
    </w:p>
    <w:p w14:paraId="35DC4D7D" w14:textId="77777777" w:rsidR="0035403C" w:rsidRDefault="00D02C31">
      <w:pPr>
        <w:jc w:val="both"/>
      </w:pPr>
      <w:r w:rsidRPr="0FE4D5DF">
        <w:rPr>
          <w:lang w:val="en-US"/>
        </w:rPr>
        <w:t xml:space="preserve">El nuevo ecosistema abierto y universal estimuló una mayor competencia entre los diferentes actores </w:t>
      </w:r>
      <w:proofErr w:type="gramStart"/>
      <w:r w:rsidRPr="0FE4D5DF">
        <w:rPr>
          <w:lang w:val="en-US"/>
        </w:rPr>
        <w:t>del</w:t>
      </w:r>
      <w:proofErr w:type="gramEnd"/>
      <w:r w:rsidRPr="0FE4D5DF">
        <w:rPr>
          <w:lang w:val="en-US"/>
        </w:rPr>
        <w:t xml:space="preserve"> sistema que redunda en mejores condiciones para usuarios y comercios, además, abrió la posibilidad a pequeñas financieras tecnológicas a participar del esquema.</w:t>
      </w:r>
    </w:p>
    <w:p w14:paraId="600AAFBF" w14:textId="77777777" w:rsidR="0035403C" w:rsidRDefault="00D02C31" w:rsidP="0FE4D5DF">
      <w:pPr>
        <w:pStyle w:val="Ttulo3"/>
        <w:rPr>
          <w:u w:val="single"/>
          <w:lang w:val="en-US"/>
        </w:rPr>
      </w:pPr>
      <w:bookmarkStart w:id="23" w:name="_heading=h.2xcytpi"/>
      <w:bookmarkEnd w:id="23"/>
      <w:r w:rsidRPr="0FE4D5DF">
        <w:rPr>
          <w:u w:val="single"/>
          <w:lang w:val="en-US"/>
        </w:rPr>
        <w:t xml:space="preserve">Características importantes: </w:t>
      </w:r>
    </w:p>
    <w:p w14:paraId="738610EB" w14:textId="77777777" w:rsidR="0035403C" w:rsidRDefault="0035403C">
      <w:pPr>
        <w:jc w:val="both"/>
      </w:pPr>
    </w:p>
    <w:p w14:paraId="312EE2A7" w14:textId="77777777" w:rsidR="0035403C" w:rsidRDefault="00D02C31" w:rsidP="0FE4D5DF">
      <w:pPr>
        <w:numPr>
          <w:ilvl w:val="0"/>
          <w:numId w:val="42"/>
        </w:numPr>
        <w:pBdr>
          <w:top w:val="nil"/>
          <w:left w:val="nil"/>
          <w:bottom w:val="nil"/>
          <w:right w:val="nil"/>
          <w:between w:val="nil"/>
        </w:pBdr>
        <w:jc w:val="both"/>
        <w:rPr>
          <w:color w:val="000000"/>
          <w:lang w:val="en-US"/>
        </w:rPr>
      </w:pPr>
      <w:r w:rsidRPr="0FE4D5DF">
        <w:rPr>
          <w:color w:val="000000" w:themeColor="text1"/>
          <w:u w:val="single"/>
          <w:lang w:val="en-US"/>
        </w:rPr>
        <w:t>Interoperable</w:t>
      </w:r>
      <w:r w:rsidRPr="0FE4D5DF">
        <w:rPr>
          <w:color w:val="000000" w:themeColor="text1"/>
          <w:lang w:val="en-US"/>
        </w:rPr>
        <w:t xml:space="preserve">: los pagos con transferencia se pueden realizar tanto desde cuentas bancarias con CBU </w:t>
      </w:r>
      <w:proofErr w:type="gramStart"/>
      <w:r w:rsidRPr="0FE4D5DF">
        <w:rPr>
          <w:color w:val="000000" w:themeColor="text1"/>
          <w:lang w:val="en-US"/>
        </w:rPr>
        <w:t>como</w:t>
      </w:r>
      <w:proofErr w:type="gramEnd"/>
      <w:r w:rsidRPr="0FE4D5DF">
        <w:rPr>
          <w:color w:val="000000" w:themeColor="text1"/>
          <w:lang w:val="en-US"/>
        </w:rPr>
        <w:t xml:space="preserve"> de cuentas de proveedores de servicios de pago que tengan asociada una CVU. Para esto, fue creada la Interfaz Estandarizada de Pagos (IEP) con una arquitectura abierta que permite interoperar a todas las cuentas a la vista en entidades financieras y de pago en proveedores de servicios de pago no bancarios). </w:t>
      </w:r>
    </w:p>
    <w:p w14:paraId="26B114A1" w14:textId="77777777" w:rsidR="0035403C" w:rsidRDefault="00D02C31" w:rsidP="0FE4D5DF">
      <w:pPr>
        <w:numPr>
          <w:ilvl w:val="0"/>
          <w:numId w:val="42"/>
        </w:numPr>
        <w:pBdr>
          <w:top w:val="nil"/>
          <w:left w:val="nil"/>
          <w:bottom w:val="nil"/>
          <w:right w:val="nil"/>
          <w:between w:val="nil"/>
        </w:pBdr>
        <w:jc w:val="both"/>
        <w:rPr>
          <w:color w:val="000000"/>
          <w:lang w:val="en-US"/>
        </w:rPr>
      </w:pPr>
      <w:r w:rsidRPr="0FE4D5DF">
        <w:rPr>
          <w:color w:val="000000" w:themeColor="text1"/>
          <w:u w:val="single"/>
          <w:lang w:val="en-US"/>
        </w:rPr>
        <w:t>Inmediato</w:t>
      </w:r>
      <w:r w:rsidRPr="0FE4D5DF">
        <w:rPr>
          <w:color w:val="000000" w:themeColor="text1"/>
          <w:lang w:val="en-US"/>
        </w:rPr>
        <w:t xml:space="preserve">: los comercios reciben la acreditación en forma automática, ya sea en cuentas bancarias o de pago. Se garantiza la total inmediatez de los pagos las 24 horas </w:t>
      </w:r>
      <w:proofErr w:type="gramStart"/>
      <w:r w:rsidRPr="0FE4D5DF">
        <w:rPr>
          <w:color w:val="000000" w:themeColor="text1"/>
          <w:lang w:val="en-US"/>
        </w:rPr>
        <w:t>del</w:t>
      </w:r>
      <w:proofErr w:type="gramEnd"/>
      <w:r w:rsidRPr="0FE4D5DF">
        <w:rPr>
          <w:color w:val="000000" w:themeColor="text1"/>
          <w:lang w:val="en-US"/>
        </w:rPr>
        <w:t xml:space="preserve"> día, los 7 días de la semana.  </w:t>
      </w:r>
    </w:p>
    <w:p w14:paraId="2261C886" w14:textId="77777777" w:rsidR="0035403C" w:rsidRDefault="00D02C31" w:rsidP="0FE4D5DF">
      <w:pPr>
        <w:numPr>
          <w:ilvl w:val="0"/>
          <w:numId w:val="42"/>
        </w:numPr>
        <w:pBdr>
          <w:top w:val="nil"/>
          <w:left w:val="nil"/>
          <w:bottom w:val="nil"/>
          <w:right w:val="nil"/>
          <w:between w:val="nil"/>
        </w:pBdr>
        <w:jc w:val="both"/>
        <w:rPr>
          <w:color w:val="000000"/>
          <w:lang w:val="en-US"/>
        </w:rPr>
      </w:pPr>
      <w:r w:rsidRPr="0FE4D5DF">
        <w:rPr>
          <w:color w:val="000000" w:themeColor="text1"/>
          <w:u w:val="single"/>
          <w:lang w:val="en-US"/>
        </w:rPr>
        <w:t>Seguro</w:t>
      </w:r>
      <w:r w:rsidRPr="0FE4D5DF">
        <w:rPr>
          <w:color w:val="000000" w:themeColor="text1"/>
          <w:lang w:val="en-US"/>
        </w:rPr>
        <w:t>: Los pagos tienen carácter irrevocable.</w:t>
      </w:r>
    </w:p>
    <w:p w14:paraId="5369D920" w14:textId="77777777" w:rsidR="0035403C" w:rsidRDefault="00D02C31" w:rsidP="0FE4D5DF">
      <w:pPr>
        <w:numPr>
          <w:ilvl w:val="0"/>
          <w:numId w:val="42"/>
        </w:numPr>
        <w:pBdr>
          <w:top w:val="nil"/>
          <w:left w:val="nil"/>
          <w:bottom w:val="nil"/>
          <w:right w:val="nil"/>
          <w:between w:val="nil"/>
        </w:pBdr>
        <w:jc w:val="both"/>
        <w:rPr>
          <w:color w:val="000000"/>
          <w:lang w:val="en-US"/>
        </w:rPr>
      </w:pPr>
      <w:r w:rsidRPr="0FE4D5DF">
        <w:rPr>
          <w:color w:val="000000" w:themeColor="text1"/>
          <w:u w:val="single"/>
          <w:lang w:val="en-US"/>
        </w:rPr>
        <w:t>Económico</w:t>
      </w:r>
      <w:r w:rsidRPr="0FE4D5DF">
        <w:rPr>
          <w:color w:val="000000" w:themeColor="text1"/>
          <w:lang w:val="en-US"/>
        </w:rPr>
        <w:t xml:space="preserve">: La persona que compra nunca paga comisión. En cuanto a los comercios, tienen menos costos y devolución de comisiones. Además, reducen el </w:t>
      </w:r>
      <w:proofErr w:type="gramStart"/>
      <w:r w:rsidRPr="0FE4D5DF">
        <w:rPr>
          <w:color w:val="000000" w:themeColor="text1"/>
          <w:lang w:val="en-US"/>
        </w:rPr>
        <w:t>uso</w:t>
      </w:r>
      <w:proofErr w:type="gramEnd"/>
      <w:r w:rsidRPr="0FE4D5DF">
        <w:rPr>
          <w:color w:val="000000" w:themeColor="text1"/>
          <w:lang w:val="en-US"/>
        </w:rPr>
        <w:t xml:space="preserve"> de efectivo en el local, redundando en menores gastos y mayor seguridad. Finalmente, les permite ampliar el abanico de opciones de cobro. </w:t>
      </w:r>
    </w:p>
    <w:p w14:paraId="3B58377E" w14:textId="77777777" w:rsidR="0035403C" w:rsidRDefault="00D02C31" w:rsidP="0FE4D5DF">
      <w:pPr>
        <w:numPr>
          <w:ilvl w:val="0"/>
          <w:numId w:val="42"/>
        </w:numPr>
        <w:pBdr>
          <w:top w:val="nil"/>
          <w:left w:val="nil"/>
          <w:bottom w:val="nil"/>
          <w:right w:val="nil"/>
          <w:between w:val="nil"/>
        </w:pBdr>
        <w:jc w:val="both"/>
        <w:rPr>
          <w:color w:val="000000"/>
          <w:lang w:val="en-US"/>
        </w:rPr>
      </w:pPr>
      <w:r w:rsidRPr="0FE4D5DF">
        <w:rPr>
          <w:color w:val="000000" w:themeColor="text1"/>
          <w:u w:val="single"/>
          <w:lang w:val="en-US"/>
        </w:rPr>
        <w:t>Competitivo</w:t>
      </w:r>
      <w:r w:rsidRPr="0FE4D5DF">
        <w:rPr>
          <w:color w:val="000000" w:themeColor="text1"/>
          <w:lang w:val="en-US"/>
        </w:rPr>
        <w:t xml:space="preserve">: abre la competencia para la provisión </w:t>
      </w:r>
      <w:proofErr w:type="gramStart"/>
      <w:r w:rsidRPr="0FE4D5DF">
        <w:rPr>
          <w:color w:val="000000" w:themeColor="text1"/>
          <w:lang w:val="en-US"/>
        </w:rPr>
        <w:t>del</w:t>
      </w:r>
      <w:proofErr w:type="gramEnd"/>
      <w:r w:rsidRPr="0FE4D5DF">
        <w:rPr>
          <w:color w:val="000000" w:themeColor="text1"/>
          <w:lang w:val="en-US"/>
        </w:rPr>
        <w:t xml:space="preserve"> servicio a comercios minoristas y barriales.  </w:t>
      </w:r>
    </w:p>
    <w:p w14:paraId="73FDFF06" w14:textId="77777777" w:rsidR="0035403C" w:rsidRDefault="00D02C31" w:rsidP="0FE4D5DF">
      <w:pPr>
        <w:numPr>
          <w:ilvl w:val="0"/>
          <w:numId w:val="42"/>
        </w:numPr>
        <w:pBdr>
          <w:top w:val="nil"/>
          <w:left w:val="nil"/>
          <w:bottom w:val="nil"/>
          <w:right w:val="nil"/>
          <w:between w:val="nil"/>
        </w:pBdr>
        <w:jc w:val="both"/>
        <w:rPr>
          <w:color w:val="000000"/>
          <w:lang w:val="en-US"/>
        </w:rPr>
      </w:pPr>
      <w:r w:rsidRPr="0FE4D5DF">
        <w:rPr>
          <w:color w:val="000000" w:themeColor="text1"/>
          <w:u w:val="single"/>
          <w:lang w:val="en-US"/>
        </w:rPr>
        <w:t>Flexible</w:t>
      </w:r>
      <w:r w:rsidRPr="0FE4D5DF">
        <w:rPr>
          <w:color w:val="000000" w:themeColor="text1"/>
          <w:lang w:val="en-US"/>
        </w:rPr>
        <w:t>:  No es necesario tener una tarjeta de débito asociada para realizar pagos con transferencia.</w:t>
      </w:r>
    </w:p>
    <w:p w14:paraId="53504A20" w14:textId="77777777" w:rsidR="0035403C" w:rsidRDefault="00D02C31" w:rsidP="0FE4D5DF">
      <w:pPr>
        <w:pStyle w:val="Ttulo3"/>
        <w:rPr>
          <w:lang w:val="en-US"/>
        </w:rPr>
      </w:pPr>
      <w:bookmarkStart w:id="24" w:name="_heading=h.1ci93xb"/>
      <w:bookmarkEnd w:id="24"/>
      <w:r w:rsidRPr="0FE4D5DF">
        <w:rPr>
          <w:lang w:val="en-US"/>
        </w:rPr>
        <w:t>Evolución de pagos con transferencia</w:t>
      </w:r>
    </w:p>
    <w:p w14:paraId="637805D2" w14:textId="77777777" w:rsidR="0035403C" w:rsidRDefault="00D02C31">
      <w:pPr>
        <w:keepNext/>
        <w:spacing w:line="276" w:lineRule="auto"/>
        <w:jc w:val="both"/>
      </w:pPr>
      <w:r>
        <w:rPr>
          <w:noProof/>
          <w:color w:val="1F497D"/>
          <w:lang w:eastAsia="es-AR"/>
        </w:rPr>
        <w:drawing>
          <wp:inline distT="0" distB="0" distL="0" distR="0" wp14:anchorId="077F005A" wp14:editId="07777777">
            <wp:extent cx="5664200" cy="2578735"/>
            <wp:effectExtent l="0" t="0" r="0" b="0"/>
            <wp:docPr id="165" name="image29.png" descr="Chart, line ch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9.png" descr="Chart, line chart&#10;&#10;Description automatically generated"/>
                    <pic:cNvPicPr preferRelativeResize="0"/>
                  </pic:nvPicPr>
                  <pic:blipFill>
                    <a:blip r:embed="rId17"/>
                    <a:srcRect/>
                    <a:stretch>
                      <a:fillRect/>
                    </a:stretch>
                  </pic:blipFill>
                  <pic:spPr>
                    <a:xfrm>
                      <a:off x="0" y="0"/>
                      <a:ext cx="5664200" cy="2578735"/>
                    </a:xfrm>
                    <a:prstGeom prst="rect">
                      <a:avLst/>
                    </a:prstGeom>
                    <a:ln/>
                  </pic:spPr>
                </pic:pic>
              </a:graphicData>
            </a:graphic>
          </wp:inline>
        </w:drawing>
      </w:r>
    </w:p>
    <w:p w14:paraId="02BB48AF" w14:textId="77777777" w:rsidR="0035403C" w:rsidRDefault="00D02C31" w:rsidP="0FE4D5DF">
      <w:pPr>
        <w:pBdr>
          <w:top w:val="nil"/>
          <w:left w:val="nil"/>
          <w:bottom w:val="nil"/>
          <w:right w:val="nil"/>
          <w:between w:val="nil"/>
        </w:pBdr>
        <w:spacing w:after="200"/>
        <w:jc w:val="both"/>
        <w:rPr>
          <w:i/>
          <w:iCs/>
          <w:color w:val="1F497D"/>
          <w:sz w:val="18"/>
          <w:szCs w:val="18"/>
          <w:lang w:val="en-US"/>
        </w:rPr>
      </w:pPr>
      <w:bookmarkStart w:id="25" w:name="_heading=h.3whwml4"/>
      <w:bookmarkEnd w:id="25"/>
      <w:r w:rsidRPr="0FE4D5DF">
        <w:rPr>
          <w:i/>
          <w:iCs/>
          <w:color w:val="1F497D" w:themeColor="text2"/>
          <w:sz w:val="18"/>
          <w:szCs w:val="18"/>
          <w:lang w:val="en-US"/>
        </w:rPr>
        <w:t>Ilustración 6: Evolución de pagos con transferencia</w:t>
      </w:r>
    </w:p>
    <w:p w14:paraId="37AB1573" w14:textId="77777777" w:rsidR="0035403C" w:rsidRDefault="00D02C31">
      <w:pPr>
        <w:pStyle w:val="Ttulo1"/>
      </w:pPr>
      <w:bookmarkStart w:id="26" w:name="_heading=h.2bn6wsx" w:colFirst="0" w:colLast="0"/>
      <w:bookmarkEnd w:id="26"/>
      <w:r>
        <w:lastRenderedPageBreak/>
        <w:t>JUSTIFICACIÓN</w:t>
      </w:r>
    </w:p>
    <w:p w14:paraId="1A40BD47" w14:textId="77777777" w:rsidR="0035403C" w:rsidRDefault="00D02C31">
      <w:pPr>
        <w:jc w:val="both"/>
      </w:pPr>
      <w:r w:rsidRPr="0FE4D5DF">
        <w:rPr>
          <w:lang w:val="en-US"/>
        </w:rPr>
        <w:t xml:space="preserve">El crecimiento abrupto en los últimos años de las operaciones financieras en línea a nivel general, sumado a la aceleración de la digitalización de la mayoría de los procesos y productos que se produjo durante la pandemia del Covid-19 y en conjunto a la enorme cantidad de usuarios virtuales que se sumaron, los cuales estaban fuera del sistema bancario argentino, dieron una oportunidad única a Coelsa para que pueda proyectarse como el núcleo principal del ecosistema de pagos de argentina. Otorgando cada vez más confianza a las entidades apoyan y eligen a la empresa hicieron posible que con esta transformación nuevos actores como financieras tecnológicas participen, haciendo que el sistema DEBIN no pueda seguir el ritmo que demanda el negocio, y es por esto, que una reingeniería completa del sistema acompañe de forma correcta este camino de superación. Teniendo en cuenta que las principales personas involucradas </w:t>
      </w:r>
      <w:proofErr w:type="gramStart"/>
      <w:r w:rsidRPr="0FE4D5DF">
        <w:rPr>
          <w:lang w:val="en-US"/>
        </w:rPr>
        <w:t>sean</w:t>
      </w:r>
      <w:proofErr w:type="gramEnd"/>
      <w:r w:rsidRPr="0FE4D5DF">
        <w:rPr>
          <w:lang w:val="en-US"/>
        </w:rPr>
        <w:t xml:space="preserve"> las de tecnología, no es posible tal adaptación por un único sector, sino que debe ser acompañado por el resto de las áreas y los directivos de las altas gerencias, siendo un cambio por afrontar de toda la compañía. Esta evolución trae consigo varias problemáticas, entre algunas: </w:t>
      </w:r>
    </w:p>
    <w:p w14:paraId="193A1E35" w14:textId="77777777" w:rsidR="0035403C" w:rsidRDefault="00D02C31" w:rsidP="0FE4D5DF">
      <w:pPr>
        <w:numPr>
          <w:ilvl w:val="0"/>
          <w:numId w:val="31"/>
        </w:numPr>
        <w:pBdr>
          <w:top w:val="nil"/>
          <w:left w:val="nil"/>
          <w:bottom w:val="nil"/>
          <w:right w:val="nil"/>
          <w:between w:val="nil"/>
        </w:pBdr>
        <w:jc w:val="both"/>
        <w:rPr>
          <w:color w:val="000000"/>
          <w:lang w:val="en-US"/>
        </w:rPr>
      </w:pPr>
      <w:r w:rsidRPr="0FE4D5DF">
        <w:rPr>
          <w:lang w:val="en-US"/>
        </w:rPr>
        <w:t>Cuellos de botella para el procesamiento de las transacciones en línea.</w:t>
      </w:r>
    </w:p>
    <w:p w14:paraId="3575ABBA" w14:textId="77777777" w:rsidR="0035403C" w:rsidRDefault="00D02C31" w:rsidP="0FE4D5DF">
      <w:pPr>
        <w:numPr>
          <w:ilvl w:val="0"/>
          <w:numId w:val="31"/>
        </w:numPr>
        <w:pBdr>
          <w:top w:val="nil"/>
          <w:left w:val="nil"/>
          <w:bottom w:val="nil"/>
          <w:right w:val="nil"/>
          <w:between w:val="nil"/>
        </w:pBdr>
        <w:jc w:val="both"/>
        <w:rPr>
          <w:color w:val="000000"/>
          <w:lang w:val="en-US"/>
        </w:rPr>
      </w:pPr>
      <w:r w:rsidRPr="0FE4D5DF">
        <w:rPr>
          <w:lang w:val="en-US"/>
        </w:rPr>
        <w:t xml:space="preserve">Redimensionamiento del </w:t>
      </w:r>
      <w:proofErr w:type="gramStart"/>
      <w:r w:rsidRPr="0FE4D5DF">
        <w:rPr>
          <w:lang w:val="en-US"/>
        </w:rPr>
        <w:t>uso</w:t>
      </w:r>
      <w:proofErr w:type="gramEnd"/>
      <w:r w:rsidRPr="0FE4D5DF">
        <w:rPr>
          <w:lang w:val="en-US"/>
        </w:rPr>
        <w:t xml:space="preserve"> de las plataformas utilizadas.</w:t>
      </w:r>
    </w:p>
    <w:p w14:paraId="377E20E9" w14:textId="77777777" w:rsidR="0035403C" w:rsidRDefault="00D02C31" w:rsidP="0FE4D5DF">
      <w:pPr>
        <w:numPr>
          <w:ilvl w:val="0"/>
          <w:numId w:val="31"/>
        </w:numPr>
        <w:pBdr>
          <w:top w:val="nil"/>
          <w:left w:val="nil"/>
          <w:bottom w:val="nil"/>
          <w:right w:val="nil"/>
          <w:between w:val="nil"/>
        </w:pBdr>
        <w:jc w:val="both"/>
        <w:rPr>
          <w:color w:val="000000"/>
          <w:lang w:val="en-US"/>
        </w:rPr>
      </w:pPr>
      <w:r w:rsidRPr="0FE4D5DF">
        <w:rPr>
          <w:lang w:val="en-US"/>
        </w:rPr>
        <w:t>Falta de crecimiento de las áreas tecnológicas.</w:t>
      </w:r>
    </w:p>
    <w:p w14:paraId="49956BC9" w14:textId="77777777" w:rsidR="0035403C" w:rsidRDefault="00D02C31" w:rsidP="0FE4D5DF">
      <w:pPr>
        <w:numPr>
          <w:ilvl w:val="0"/>
          <w:numId w:val="31"/>
        </w:numPr>
        <w:pBdr>
          <w:top w:val="nil"/>
          <w:left w:val="nil"/>
          <w:bottom w:val="nil"/>
          <w:right w:val="nil"/>
          <w:between w:val="nil"/>
        </w:pBdr>
        <w:jc w:val="both"/>
        <w:rPr>
          <w:color w:val="000000"/>
          <w:lang w:val="en-US"/>
        </w:rPr>
      </w:pPr>
      <w:r w:rsidRPr="0FE4D5DF">
        <w:rPr>
          <w:lang w:val="en-US"/>
        </w:rPr>
        <w:t>Estancamiento tecnológico en los servidores.</w:t>
      </w:r>
    </w:p>
    <w:p w14:paraId="6857DED3" w14:textId="77777777" w:rsidR="0035403C" w:rsidRDefault="00D02C31" w:rsidP="0FE4D5DF">
      <w:pPr>
        <w:numPr>
          <w:ilvl w:val="0"/>
          <w:numId w:val="31"/>
        </w:numPr>
        <w:pBdr>
          <w:top w:val="nil"/>
          <w:left w:val="nil"/>
          <w:bottom w:val="nil"/>
          <w:right w:val="nil"/>
          <w:between w:val="nil"/>
        </w:pBdr>
        <w:jc w:val="both"/>
        <w:rPr>
          <w:color w:val="000000"/>
          <w:lang w:val="en-US"/>
        </w:rPr>
      </w:pPr>
      <w:r w:rsidRPr="0FE4D5DF">
        <w:rPr>
          <w:lang w:val="en-US"/>
        </w:rPr>
        <w:t>Estancamiento técnico de los colaboradores.</w:t>
      </w:r>
    </w:p>
    <w:p w14:paraId="1C3FC7CA" w14:textId="77777777" w:rsidR="0035403C" w:rsidRDefault="00D02C31">
      <w:pPr>
        <w:jc w:val="both"/>
      </w:pPr>
      <w:r w:rsidRPr="0FE4D5DF">
        <w:rPr>
          <w:lang w:val="en-US"/>
        </w:rPr>
        <w:t xml:space="preserve">Actualmente la arquitectura de software de la solución de medios de pagos online se encuentra diseñado y desarrollado de forma monolítica, </w:t>
      </w:r>
      <w:proofErr w:type="gramStart"/>
      <w:r w:rsidRPr="0FE4D5DF">
        <w:rPr>
          <w:lang w:val="en-US"/>
        </w:rPr>
        <w:t>como</w:t>
      </w:r>
      <w:proofErr w:type="gramEnd"/>
      <w:r w:rsidRPr="0FE4D5DF">
        <w:rPr>
          <w:lang w:val="en-US"/>
        </w:rPr>
        <w:t xml:space="preserve"> así también sucede con su despliegue. </w:t>
      </w:r>
      <w:proofErr w:type="gramStart"/>
      <w:r w:rsidRPr="0FE4D5DF">
        <w:rPr>
          <w:lang w:val="en-US"/>
        </w:rPr>
        <w:t>Esta arquitectura tiene dificultad para escalar y genera problemas de performance, lo cual presenta grandes desafíos en cuanto a la transaccionalidad diaria y la evolución futura.</w:t>
      </w:r>
      <w:proofErr w:type="gramEnd"/>
      <w:r w:rsidRPr="0FE4D5DF">
        <w:rPr>
          <w:lang w:val="en-US"/>
        </w:rPr>
        <w:t xml:space="preserve"> </w:t>
      </w:r>
      <w:proofErr w:type="gramStart"/>
      <w:r w:rsidRPr="0FE4D5DF">
        <w:rPr>
          <w:lang w:val="en-US"/>
        </w:rPr>
        <w:t>A su vez se busca desarrollar mejores prácticas y guías de microservicios para los equipos de desarrollo que integran Coelsa.</w:t>
      </w:r>
      <w:proofErr w:type="gramEnd"/>
      <w:r w:rsidRPr="0FE4D5DF">
        <w:rPr>
          <w:lang w:val="en-US"/>
        </w:rPr>
        <w:t xml:space="preserve"> </w:t>
      </w:r>
    </w:p>
    <w:p w14:paraId="463F29E8" w14:textId="77777777" w:rsidR="0035403C" w:rsidRDefault="00D02C31">
      <w:pPr>
        <w:keepNext/>
        <w:spacing w:line="276" w:lineRule="auto"/>
        <w:jc w:val="center"/>
      </w:pPr>
      <w:r>
        <w:rPr>
          <w:b/>
          <w:noProof/>
          <w:color w:val="1F497D"/>
          <w:lang w:eastAsia="es-AR"/>
        </w:rPr>
        <w:lastRenderedPageBreak/>
        <w:drawing>
          <wp:inline distT="0" distB="0" distL="0" distR="0" wp14:anchorId="7DF7CD00" wp14:editId="07777777">
            <wp:extent cx="5664200" cy="3353435"/>
            <wp:effectExtent l="0" t="0" r="0" b="0"/>
            <wp:docPr id="169"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18"/>
                    <a:srcRect/>
                    <a:stretch>
                      <a:fillRect/>
                    </a:stretch>
                  </pic:blipFill>
                  <pic:spPr>
                    <a:xfrm>
                      <a:off x="0" y="0"/>
                      <a:ext cx="5664200" cy="3353435"/>
                    </a:xfrm>
                    <a:prstGeom prst="rect">
                      <a:avLst/>
                    </a:prstGeom>
                    <a:ln/>
                  </pic:spPr>
                </pic:pic>
              </a:graphicData>
            </a:graphic>
          </wp:inline>
        </w:drawing>
      </w:r>
    </w:p>
    <w:p w14:paraId="255F93D5" w14:textId="77777777" w:rsidR="0035403C" w:rsidRDefault="00D02C31" w:rsidP="0FE4D5DF">
      <w:pPr>
        <w:pBdr>
          <w:top w:val="nil"/>
          <w:left w:val="nil"/>
          <w:bottom w:val="nil"/>
          <w:right w:val="nil"/>
          <w:between w:val="nil"/>
        </w:pBdr>
        <w:spacing w:after="200"/>
        <w:rPr>
          <w:b/>
          <w:bCs/>
          <w:i/>
          <w:iCs/>
          <w:color w:val="1F497D"/>
          <w:sz w:val="18"/>
          <w:szCs w:val="18"/>
          <w:lang w:val="en-US"/>
        </w:rPr>
      </w:pPr>
      <w:bookmarkStart w:id="27" w:name="_heading=h.qsh70q"/>
      <w:bookmarkEnd w:id="27"/>
      <w:r w:rsidRPr="0FE4D5DF">
        <w:rPr>
          <w:i/>
          <w:iCs/>
          <w:color w:val="1F497D" w:themeColor="text2"/>
          <w:sz w:val="18"/>
          <w:szCs w:val="18"/>
          <w:lang w:val="en-US"/>
        </w:rPr>
        <w:t>Ilustración 7 - Diagrama actual vs Diagrama de microservicios</w:t>
      </w:r>
    </w:p>
    <w:p w14:paraId="2059CD4E" w14:textId="77777777" w:rsidR="0035403C" w:rsidRDefault="00D02C31">
      <w:pPr>
        <w:jc w:val="both"/>
      </w:pPr>
      <w:r w:rsidRPr="0FE4D5DF">
        <w:rPr>
          <w:lang w:val="en-US"/>
        </w:rPr>
        <w:t xml:space="preserve">Los grandes cambios, la adopción de nuevas características y la masividad que estas generaron dentro de la utilización de la plataforma de pagos DEBIN, han hecho que el sistema no sea arquitectónicamente el óptimo para que el mismo siga creciendo de la forma en que hoy está desarrollada. La migración de una aplicación monolítica a una arquitectura de micro servicios RESTful es </w:t>
      </w:r>
      <w:proofErr w:type="gramStart"/>
      <w:r w:rsidRPr="0FE4D5DF">
        <w:rPr>
          <w:lang w:val="en-US"/>
        </w:rPr>
        <w:t>un</w:t>
      </w:r>
      <w:proofErr w:type="gramEnd"/>
      <w:r w:rsidRPr="0FE4D5DF">
        <w:rPr>
          <w:lang w:val="en-US"/>
        </w:rPr>
        <w:t xml:space="preserve"> proceso complejo y que requiere un enfoque cuidadoso. </w:t>
      </w:r>
      <w:proofErr w:type="gramStart"/>
      <w:r w:rsidRPr="0FE4D5DF">
        <w:rPr>
          <w:lang w:val="en-US"/>
        </w:rPr>
        <w:t>Es importante definir claramente las interfaces</w:t>
      </w:r>
      <w:proofErr w:type="gramEnd"/>
      <w:r w:rsidRPr="0FE4D5DF">
        <w:rPr>
          <w:lang w:val="en-US"/>
        </w:rPr>
        <w:t xml:space="preserve"> de los servicios, los métodos HTTP y los formatos de datos que se utilizarán. Se debe tener en cuenta que la migración es </w:t>
      </w:r>
      <w:proofErr w:type="gramStart"/>
      <w:r w:rsidRPr="0FE4D5DF">
        <w:rPr>
          <w:lang w:val="en-US"/>
        </w:rPr>
        <w:t>un</w:t>
      </w:r>
      <w:proofErr w:type="gramEnd"/>
      <w:r w:rsidRPr="0FE4D5DF">
        <w:rPr>
          <w:lang w:val="en-US"/>
        </w:rPr>
        <w:t xml:space="preserve"> proceso que requiere tiempo, recursos y una planificación cuidadosa. </w:t>
      </w:r>
      <w:proofErr w:type="gramStart"/>
      <w:r w:rsidRPr="0FE4D5DF">
        <w:rPr>
          <w:lang w:val="en-US"/>
        </w:rPr>
        <w:t>Sin embargo, los beneficios a largo plazo en términos de escalabilidad, rendimiento y mantenimiento pueden ser significativos.</w:t>
      </w:r>
      <w:proofErr w:type="gramEnd"/>
      <w:r w:rsidRPr="0FE4D5DF">
        <w:rPr>
          <w:lang w:val="en-US"/>
        </w:rPr>
        <w:t xml:space="preserve"> Con el cambio tecnológico propuesto se resolverán los objetivos, tanto los pedidos por el área de producto y negocios, como a través de los clientes del sistema financieros que utilizan el sistema de transferencias inmediatas, y como así también contemplar los cambios normativos impuestos por el BCRA. </w:t>
      </w:r>
    </w:p>
    <w:p w14:paraId="03BBE273" w14:textId="77777777" w:rsidR="0035403C" w:rsidRDefault="00D02C31">
      <w:pPr>
        <w:pStyle w:val="Ttulo1"/>
        <w:rPr>
          <w:rFonts w:ascii="Times New Roman" w:eastAsia="Times New Roman" w:hAnsi="Times New Roman" w:cs="Times New Roman"/>
          <w:color w:val="1F497D"/>
        </w:rPr>
      </w:pPr>
      <w:bookmarkStart w:id="28" w:name="_heading=h.3as4poj" w:colFirst="0" w:colLast="0"/>
      <w:bookmarkEnd w:id="28"/>
      <w:r>
        <w:t>PROBLEMA Y PREGUNTAS</w:t>
      </w:r>
    </w:p>
    <w:p w14:paraId="28A61E12" w14:textId="77777777" w:rsidR="0035403C" w:rsidRDefault="00D02C31">
      <w:pPr>
        <w:jc w:val="both"/>
      </w:pPr>
      <w:r w:rsidRPr="0FE4D5DF">
        <w:rPr>
          <w:lang w:val="en-US"/>
        </w:rPr>
        <w:t xml:space="preserve">A través de los datos y estadísticas, apoyándonos en la practicidad que nos trae la digitalización, debemos tomarnos seriamente el acompañamiento </w:t>
      </w:r>
      <w:proofErr w:type="gramStart"/>
      <w:r w:rsidRPr="0FE4D5DF">
        <w:rPr>
          <w:lang w:val="en-US"/>
        </w:rPr>
        <w:t>del</w:t>
      </w:r>
      <w:proofErr w:type="gramEnd"/>
      <w:r w:rsidRPr="0FE4D5DF">
        <w:rPr>
          <w:lang w:val="en-US"/>
        </w:rPr>
        <w:t xml:space="preserve"> negocio, los beneficios por hacerlo posible y los riesgos de no hacerlo. ¿Qué beneficios económicos podría traer a Coelsa y a la Argentina, poder seguir democratizando las opciones de </w:t>
      </w:r>
      <w:proofErr w:type="gramStart"/>
      <w:r w:rsidRPr="0FE4D5DF">
        <w:rPr>
          <w:lang w:val="en-US"/>
        </w:rPr>
        <w:t>este</w:t>
      </w:r>
      <w:proofErr w:type="gramEnd"/>
      <w:r w:rsidRPr="0FE4D5DF">
        <w:rPr>
          <w:lang w:val="en-US"/>
        </w:rPr>
        <w:t xml:space="preserve"> tipo de operaciones financieras? Para que </w:t>
      </w:r>
      <w:proofErr w:type="gramStart"/>
      <w:r w:rsidRPr="0FE4D5DF">
        <w:rPr>
          <w:lang w:val="en-US"/>
        </w:rPr>
        <w:t>este</w:t>
      </w:r>
      <w:proofErr w:type="gramEnd"/>
      <w:r w:rsidRPr="0FE4D5DF">
        <w:rPr>
          <w:lang w:val="en-US"/>
        </w:rPr>
        <w:t xml:space="preserve"> hito pueda ser completado, ¿cuáles son las áreas que necesita la empresa que apoyen y sigan la idea de este crecimiento? ¿Cómo se deberá adaptar el sistema con las nuevas tecnologías que se proponen utilizar para poder afrontar el cambio? ¿Traerá la mejora continua de procesos internos </w:t>
      </w:r>
      <w:proofErr w:type="gramStart"/>
      <w:r w:rsidRPr="0FE4D5DF">
        <w:rPr>
          <w:lang w:val="en-US"/>
        </w:rPr>
        <w:t>este</w:t>
      </w:r>
      <w:proofErr w:type="gramEnd"/>
      <w:r w:rsidRPr="0FE4D5DF">
        <w:rPr>
          <w:lang w:val="en-US"/>
        </w:rPr>
        <w:t xml:space="preserve"> cambio tecnológico? ¿Tendrá una disminución de los costes o </w:t>
      </w:r>
      <w:proofErr w:type="gramStart"/>
      <w:r w:rsidRPr="0FE4D5DF">
        <w:rPr>
          <w:lang w:val="en-US"/>
        </w:rPr>
        <w:t>un</w:t>
      </w:r>
      <w:proofErr w:type="gramEnd"/>
      <w:r w:rsidRPr="0FE4D5DF">
        <w:rPr>
          <w:lang w:val="en-US"/>
        </w:rPr>
        <w:t xml:space="preserve"> aumento en la calidad de los productos cuando alcancen la mejoría? </w:t>
      </w:r>
      <w:proofErr w:type="gramStart"/>
      <w:r w:rsidRPr="0FE4D5DF">
        <w:rPr>
          <w:lang w:val="en-US"/>
        </w:rPr>
        <w:t>¿Además de la productividad que se espera mejorar, vendrán otros beneficios?</w:t>
      </w:r>
      <w:proofErr w:type="gramEnd"/>
    </w:p>
    <w:p w14:paraId="65587A75" w14:textId="77777777" w:rsidR="0035403C" w:rsidRDefault="00D02C31">
      <w:pPr>
        <w:pStyle w:val="Ttulo1"/>
        <w:rPr>
          <w:rFonts w:ascii="Times New Roman" w:eastAsia="Times New Roman" w:hAnsi="Times New Roman" w:cs="Times New Roman"/>
          <w:color w:val="1F497D"/>
        </w:rPr>
      </w:pPr>
      <w:bookmarkStart w:id="29" w:name="_heading=h.1pxezwc" w:colFirst="0" w:colLast="0"/>
      <w:bookmarkEnd w:id="29"/>
      <w:r>
        <w:lastRenderedPageBreak/>
        <w:t>OBJETIVO GENERAL</w:t>
      </w:r>
    </w:p>
    <w:p w14:paraId="60E5FCA2" w14:textId="77777777" w:rsidR="0035403C" w:rsidRDefault="00D02C31" w:rsidP="0FE4D5DF">
      <w:pPr>
        <w:pBdr>
          <w:top w:val="nil"/>
          <w:left w:val="nil"/>
          <w:bottom w:val="nil"/>
          <w:right w:val="nil"/>
          <w:between w:val="nil"/>
        </w:pBdr>
        <w:spacing w:line="276" w:lineRule="auto"/>
        <w:jc w:val="both"/>
        <w:rPr>
          <w:color w:val="000000"/>
          <w:lang w:val="en-US"/>
        </w:rPr>
      </w:pPr>
      <w:r w:rsidRPr="0FE4D5DF">
        <w:rPr>
          <w:lang w:val="en-US"/>
        </w:rPr>
        <w:t xml:space="preserve">Establecer </w:t>
      </w:r>
      <w:proofErr w:type="gramStart"/>
      <w:r w:rsidRPr="0FE4D5DF">
        <w:rPr>
          <w:lang w:val="en-US"/>
        </w:rPr>
        <w:t>un</w:t>
      </w:r>
      <w:proofErr w:type="gramEnd"/>
      <w:r w:rsidRPr="0FE4D5DF">
        <w:rPr>
          <w:lang w:val="en-US"/>
        </w:rPr>
        <w:t xml:space="preserve"> plan de mejora tecnológica que impulse a distintos sectores de la empresa a generar no solamente una mejora en la estabilidad, en la integración y en la evolución del producto, sino también generar un cambio en la mentalidad sobre la potencia que conlleva el uso de las nuevas tecnologías.</w:t>
      </w:r>
    </w:p>
    <w:p w14:paraId="2BBFE1CD" w14:textId="77777777" w:rsidR="0035403C" w:rsidRDefault="00D02C31">
      <w:pPr>
        <w:pStyle w:val="Ttulo1"/>
      </w:pPr>
      <w:bookmarkStart w:id="30" w:name="_heading=h.49x2ik5" w:colFirst="0" w:colLast="0"/>
      <w:bookmarkEnd w:id="30"/>
      <w:r>
        <w:t>OBJETIVOS ESPECÍFICOS</w:t>
      </w:r>
    </w:p>
    <w:p w14:paraId="177A790C" w14:textId="77777777" w:rsidR="0035403C" w:rsidRDefault="00D02C31">
      <w:pPr>
        <w:numPr>
          <w:ilvl w:val="0"/>
          <w:numId w:val="13"/>
        </w:numPr>
        <w:spacing w:line="276" w:lineRule="auto"/>
        <w:jc w:val="both"/>
      </w:pPr>
      <w:r w:rsidRPr="0FE4D5DF">
        <w:rPr>
          <w:lang w:val="en-US"/>
        </w:rPr>
        <w:t xml:space="preserve">Diseñar una estructura modular que permita a la empresa identificar los dominios autónomos y desacoplados que puedan ser desarrollados y desplegados de manera autónoma, pudiendo con esto reducir la complejidad de cambios y reducir el impacto en el momento de los despliegues en integración de las nuevas funcionalidades </w:t>
      </w:r>
      <w:proofErr w:type="gramStart"/>
      <w:r w:rsidRPr="0FE4D5DF">
        <w:rPr>
          <w:lang w:val="en-US"/>
        </w:rPr>
        <w:t>del</w:t>
      </w:r>
      <w:proofErr w:type="gramEnd"/>
      <w:r w:rsidRPr="0FE4D5DF">
        <w:rPr>
          <w:lang w:val="en-US"/>
        </w:rPr>
        <w:t xml:space="preserve"> producto.</w:t>
      </w:r>
    </w:p>
    <w:p w14:paraId="3431FF31" w14:textId="77777777" w:rsidR="0035403C" w:rsidRDefault="00D02C31">
      <w:pPr>
        <w:numPr>
          <w:ilvl w:val="0"/>
          <w:numId w:val="13"/>
        </w:numPr>
        <w:spacing w:line="276" w:lineRule="auto"/>
        <w:jc w:val="both"/>
      </w:pPr>
      <w:r w:rsidRPr="0FE4D5DF">
        <w:rPr>
          <w:lang w:val="en-US"/>
        </w:rPr>
        <w:t>Diseñar una arquitectura evolutiva, que contemple tanto los cortes generales de la solución como los cortes funcionales a realizar en los distintos componentes</w:t>
      </w:r>
      <w:proofErr w:type="gramStart"/>
      <w:r w:rsidRPr="0FE4D5DF">
        <w:rPr>
          <w:lang w:val="en-US"/>
        </w:rPr>
        <w:t>,  actualizando</w:t>
      </w:r>
      <w:proofErr w:type="gramEnd"/>
      <w:r w:rsidRPr="0FE4D5DF">
        <w:rPr>
          <w:lang w:val="en-US"/>
        </w:rPr>
        <w:t xml:space="preserve"> la tecnología en cada uno de ellos y generando una base de conocimiento y de oportunidades para mejoras futuras.</w:t>
      </w:r>
    </w:p>
    <w:p w14:paraId="5E124278" w14:textId="77777777" w:rsidR="0035403C" w:rsidRDefault="00D02C31">
      <w:pPr>
        <w:numPr>
          <w:ilvl w:val="0"/>
          <w:numId w:val="13"/>
        </w:numPr>
        <w:spacing w:line="276" w:lineRule="auto"/>
        <w:jc w:val="both"/>
      </w:pPr>
      <w:r w:rsidRPr="0FE4D5DF">
        <w:rPr>
          <w:lang w:val="en-US"/>
        </w:rPr>
        <w:t xml:space="preserve">Poner en marcha una metodología de trabajo orientada a equipos multidisciplinarios de producto, tomando lineamientos y definiciones de arquitectura base, y permitiendo que los desarrollos de los diferentes productos </w:t>
      </w:r>
      <w:proofErr w:type="gramStart"/>
      <w:r w:rsidRPr="0FE4D5DF">
        <w:rPr>
          <w:lang w:val="en-US"/>
        </w:rPr>
        <w:t>sean</w:t>
      </w:r>
      <w:proofErr w:type="gramEnd"/>
      <w:r w:rsidRPr="0FE4D5DF">
        <w:rPr>
          <w:lang w:val="en-US"/>
        </w:rPr>
        <w:t xml:space="preserve"> autónomos, logrando así mejorar el tiempo de entrega dentro del ciclo de vida del desarrollo. </w:t>
      </w:r>
    </w:p>
    <w:p w14:paraId="59EA9A00" w14:textId="77777777" w:rsidR="0035403C" w:rsidRDefault="00D02C31">
      <w:pPr>
        <w:numPr>
          <w:ilvl w:val="0"/>
          <w:numId w:val="13"/>
        </w:numPr>
        <w:spacing w:line="276" w:lineRule="auto"/>
        <w:jc w:val="both"/>
      </w:pPr>
      <w:r w:rsidRPr="0FE4D5DF">
        <w:rPr>
          <w:lang w:val="en-US"/>
        </w:rPr>
        <w:t xml:space="preserve">Poder determinar una hoja de ruta de alto nivel de ejecución del alcance y su planificación, tanto del nivel actual general y del particular, pudiendo así </w:t>
      </w:r>
      <w:proofErr w:type="gramStart"/>
      <w:r w:rsidRPr="0FE4D5DF">
        <w:rPr>
          <w:lang w:val="en-US"/>
        </w:rPr>
        <w:t>minimizar  la</w:t>
      </w:r>
      <w:proofErr w:type="gramEnd"/>
      <w:r w:rsidRPr="0FE4D5DF">
        <w:rPr>
          <w:lang w:val="en-US"/>
        </w:rPr>
        <w:t xml:space="preserve"> complejidad del producto y en la inducción de nuevos integrantes.</w:t>
      </w:r>
    </w:p>
    <w:p w14:paraId="37C9C0AA" w14:textId="77777777" w:rsidR="0035403C" w:rsidRDefault="00D02C31">
      <w:pPr>
        <w:pStyle w:val="Ttulo1"/>
      </w:pPr>
      <w:bookmarkStart w:id="31" w:name="_heading=h.2p2csry" w:colFirst="0" w:colLast="0"/>
      <w:bookmarkEnd w:id="31"/>
      <w:r>
        <w:t>HIPOTESIS</w:t>
      </w:r>
    </w:p>
    <w:p w14:paraId="59418B2B" w14:textId="77777777" w:rsidR="0035403C" w:rsidRDefault="00D02C31">
      <w:pPr>
        <w:jc w:val="both"/>
      </w:pPr>
      <w:r w:rsidRPr="0FE4D5DF">
        <w:rPr>
          <w:lang w:val="en-US"/>
        </w:rPr>
        <w:t xml:space="preserve">La reingeniería otorgará capacidad de elasticidad para futuros cambios, haciendo que cada integración con otros sistemas o modificaciones </w:t>
      </w:r>
      <w:proofErr w:type="gramStart"/>
      <w:r w:rsidRPr="0FE4D5DF">
        <w:rPr>
          <w:lang w:val="en-US"/>
        </w:rPr>
        <w:t>del</w:t>
      </w:r>
      <w:proofErr w:type="gramEnd"/>
      <w:r w:rsidRPr="0FE4D5DF">
        <w:rPr>
          <w:lang w:val="en-US"/>
        </w:rPr>
        <w:t xml:space="preserve"> producto actual sean transparentes, priorizando la continuidad del negocio como uno de los pilares de la compañía.</w:t>
      </w:r>
    </w:p>
    <w:p w14:paraId="07FDE744" w14:textId="77777777" w:rsidR="0035403C" w:rsidRDefault="00D02C31">
      <w:pPr>
        <w:pStyle w:val="Ttulo1"/>
      </w:pPr>
      <w:bookmarkStart w:id="32" w:name="_heading=h.147n2zr" w:colFirst="0" w:colLast="0"/>
      <w:bookmarkEnd w:id="32"/>
      <w:r>
        <w:t>METODOLOGÍA DE INVESTIGACIÓN</w:t>
      </w:r>
    </w:p>
    <w:p w14:paraId="15936813" w14:textId="77777777" w:rsidR="0035403C" w:rsidRDefault="00D02C31">
      <w:pPr>
        <w:jc w:val="both"/>
      </w:pPr>
      <w:r w:rsidRPr="0FE4D5DF">
        <w:rPr>
          <w:lang w:val="en-US"/>
        </w:rPr>
        <w:t xml:space="preserve">En términos generales existen dos enfoques, cuantitativo y cualitativo, dentro de la investigación científica, siendo paradigmas y que ambos emplean procesos cuidadosos, sistemáticos y empíricos con la finalidad de poder generar conocimiento. En cuanto a la metodología de investigación adoptada para </w:t>
      </w:r>
      <w:proofErr w:type="gramStart"/>
      <w:r w:rsidRPr="0FE4D5DF">
        <w:rPr>
          <w:lang w:val="en-US"/>
        </w:rPr>
        <w:t>este</w:t>
      </w:r>
      <w:proofErr w:type="gramEnd"/>
      <w:r w:rsidRPr="0FE4D5DF">
        <w:rPr>
          <w:lang w:val="en-US"/>
        </w:rPr>
        <w:t xml:space="preserve"> trabajo de campo, los estudios explicativos están dirigidos a desarrollar las causas que implican el estudio y los propósitos que tendrá, superando a la descripción de estos fenómenos o conceptos, y sus relaciones.</w:t>
      </w:r>
    </w:p>
    <w:p w14:paraId="317D667E" w14:textId="77777777" w:rsidR="0035403C" w:rsidRDefault="00D02C31">
      <w:pPr>
        <w:jc w:val="both"/>
      </w:pPr>
      <w:r w:rsidRPr="0FE4D5DF">
        <w:rPr>
          <w:lang w:val="en-US"/>
        </w:rPr>
        <w:t xml:space="preserve">Para proporcionar respuestas a las causas de los eventos se utilizarán </w:t>
      </w:r>
      <w:proofErr w:type="gramStart"/>
      <w:r w:rsidRPr="0FE4D5DF">
        <w:rPr>
          <w:lang w:val="en-US"/>
        </w:rPr>
        <w:t>como</w:t>
      </w:r>
      <w:proofErr w:type="gramEnd"/>
      <w:r w:rsidRPr="0FE4D5DF">
        <w:rPr>
          <w:lang w:val="en-US"/>
        </w:rPr>
        <w:t xml:space="preserve"> herramientas la exploración, la descripción y la correlación de datos. El propósito de estas ejecuciones, es proporcionar </w:t>
      </w:r>
      <w:proofErr w:type="gramStart"/>
      <w:r w:rsidRPr="0FE4D5DF">
        <w:rPr>
          <w:lang w:val="en-US"/>
        </w:rPr>
        <w:t>un</w:t>
      </w:r>
      <w:proofErr w:type="gramEnd"/>
      <w:r w:rsidRPr="0FE4D5DF">
        <w:rPr>
          <w:lang w:val="en-US"/>
        </w:rPr>
        <w:t xml:space="preserve"> sentido de entendimiento sin necesidad de tener que ser un experto en el tema </w:t>
      </w:r>
      <w:r w:rsidRPr="0FE4D5DF">
        <w:rPr>
          <w:lang w:val="en-US"/>
        </w:rPr>
        <w:lastRenderedPageBreak/>
        <w:t xml:space="preserve">para poder comprenderlo. La recolección de datos con bases sólidas, </w:t>
      </w:r>
      <w:proofErr w:type="gramStart"/>
      <w:r w:rsidRPr="0FE4D5DF">
        <w:rPr>
          <w:lang w:val="en-US"/>
        </w:rPr>
        <w:t>como</w:t>
      </w:r>
      <w:proofErr w:type="gramEnd"/>
      <w:r w:rsidRPr="0FE4D5DF">
        <w:rPr>
          <w:lang w:val="en-US"/>
        </w:rPr>
        <w:t xml:space="preserve"> mediciones numéricas y análisis estadísticos, pueden demostrar algún patrón de comportamiento y probar las teorías que dan el apoyo a la hipótesis planteada. Para </w:t>
      </w:r>
      <w:proofErr w:type="gramStart"/>
      <w:r w:rsidRPr="0FE4D5DF">
        <w:rPr>
          <w:lang w:val="en-US"/>
        </w:rPr>
        <w:t>este</w:t>
      </w:r>
      <w:proofErr w:type="gramEnd"/>
      <w:r w:rsidRPr="0FE4D5DF">
        <w:rPr>
          <w:lang w:val="en-US"/>
        </w:rPr>
        <w:t xml:space="preserve"> tipo de metodología, se requieren algunos puntos esenciales:</w:t>
      </w:r>
    </w:p>
    <w:p w14:paraId="4472B6F9" w14:textId="77777777" w:rsidR="0035403C" w:rsidRDefault="00D02C31">
      <w:pPr>
        <w:numPr>
          <w:ilvl w:val="0"/>
          <w:numId w:val="34"/>
        </w:numPr>
        <w:jc w:val="both"/>
      </w:pPr>
      <w:r w:rsidRPr="0FE4D5DF">
        <w:rPr>
          <w:lang w:val="en-US"/>
        </w:rPr>
        <w:t>Relacionar diversas variables o conceptos, y cómo se encuentran vinculados entre sí.</w:t>
      </w:r>
    </w:p>
    <w:p w14:paraId="2D7471A7" w14:textId="77777777" w:rsidR="0035403C" w:rsidRDefault="00D02C31">
      <w:pPr>
        <w:numPr>
          <w:ilvl w:val="0"/>
          <w:numId w:val="34"/>
        </w:numPr>
        <w:jc w:val="both"/>
      </w:pPr>
      <w:r w:rsidRPr="0FE4D5DF">
        <w:rPr>
          <w:lang w:val="en-US"/>
        </w:rPr>
        <w:t>La estructura de las variables presentan correlaciones considerables.</w:t>
      </w:r>
    </w:p>
    <w:p w14:paraId="4C56FAC2" w14:textId="77777777" w:rsidR="0035403C" w:rsidRDefault="00D02C31">
      <w:pPr>
        <w:numPr>
          <w:ilvl w:val="0"/>
          <w:numId w:val="34"/>
        </w:numPr>
        <w:jc w:val="both"/>
      </w:pPr>
      <w:r w:rsidRPr="0FE4D5DF">
        <w:rPr>
          <w:lang w:val="en-US"/>
        </w:rPr>
        <w:t xml:space="preserve">El investigador conoce muy bien el fenómeno de estudio. </w:t>
      </w:r>
    </w:p>
    <w:p w14:paraId="3B7B4B86" w14:textId="77777777" w:rsidR="0035403C" w:rsidRDefault="0035403C"/>
    <w:tbl>
      <w:tblPr>
        <w:tblStyle w:val="af3"/>
        <w:tblW w:w="906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30"/>
        <w:gridCol w:w="4530"/>
      </w:tblGrid>
      <w:tr w:rsidR="0035403C" w14:paraId="34760BCB" w14:textId="77777777" w:rsidTr="0FE4D5DF">
        <w:tc>
          <w:tcPr>
            <w:tcW w:w="4530" w:type="dxa"/>
          </w:tcPr>
          <w:p w14:paraId="09525DC8" w14:textId="77777777" w:rsidR="0035403C" w:rsidRDefault="00D02C31" w:rsidP="0FE4D5DF">
            <w:pPr>
              <w:spacing w:line="276" w:lineRule="auto"/>
              <w:jc w:val="both"/>
              <w:rPr>
                <w:b/>
                <w:bCs/>
                <w:color w:val="1F497D"/>
                <w:sz w:val="28"/>
                <w:szCs w:val="28"/>
                <w:lang w:val="en-US"/>
              </w:rPr>
            </w:pPr>
            <w:r w:rsidRPr="0FE4D5DF">
              <w:rPr>
                <w:b/>
                <w:bCs/>
                <w:color w:val="1F497D" w:themeColor="text2"/>
                <w:lang w:val="en-US"/>
              </w:rPr>
              <w:t>Tipo de investigación</w:t>
            </w:r>
          </w:p>
        </w:tc>
        <w:tc>
          <w:tcPr>
            <w:tcW w:w="4530" w:type="dxa"/>
          </w:tcPr>
          <w:p w14:paraId="1C36B4B7" w14:textId="77777777" w:rsidR="0035403C" w:rsidRDefault="00D02C31" w:rsidP="0FE4D5DF">
            <w:pPr>
              <w:spacing w:line="276" w:lineRule="auto"/>
              <w:jc w:val="both"/>
              <w:rPr>
                <w:color w:val="1F497D"/>
                <w:highlight w:val="lightGray"/>
                <w:lang w:val="en-US"/>
              </w:rPr>
            </w:pPr>
            <w:r w:rsidRPr="0FE4D5DF">
              <w:rPr>
                <w:color w:val="1F497D" w:themeColor="text2"/>
                <w:lang w:val="en-US"/>
              </w:rPr>
              <w:t>Explicativo.</w:t>
            </w:r>
          </w:p>
        </w:tc>
      </w:tr>
      <w:tr w:rsidR="0035403C" w14:paraId="4215B849" w14:textId="77777777" w:rsidTr="0FE4D5DF">
        <w:tc>
          <w:tcPr>
            <w:tcW w:w="4530" w:type="dxa"/>
          </w:tcPr>
          <w:p w14:paraId="66084102" w14:textId="77777777" w:rsidR="0035403C" w:rsidRDefault="00D02C31" w:rsidP="0FE4D5DF">
            <w:pPr>
              <w:spacing w:line="276" w:lineRule="auto"/>
              <w:jc w:val="both"/>
              <w:rPr>
                <w:b/>
                <w:bCs/>
                <w:color w:val="1F497D"/>
                <w:lang w:val="en-US"/>
              </w:rPr>
            </w:pPr>
            <w:r w:rsidRPr="0FE4D5DF">
              <w:rPr>
                <w:b/>
                <w:bCs/>
                <w:color w:val="1F497D" w:themeColor="text2"/>
                <w:lang w:val="en-US"/>
              </w:rPr>
              <w:t>Metodología de Investigación</w:t>
            </w:r>
          </w:p>
        </w:tc>
        <w:tc>
          <w:tcPr>
            <w:tcW w:w="4530" w:type="dxa"/>
          </w:tcPr>
          <w:p w14:paraId="32EF64A5" w14:textId="77777777" w:rsidR="0035403C" w:rsidRDefault="00D02C31" w:rsidP="0FE4D5DF">
            <w:pPr>
              <w:spacing w:line="276" w:lineRule="auto"/>
              <w:jc w:val="both"/>
              <w:rPr>
                <w:color w:val="1F497D"/>
                <w:highlight w:val="lightGray"/>
                <w:lang w:val="en-US"/>
              </w:rPr>
            </w:pPr>
            <w:r w:rsidRPr="0FE4D5DF">
              <w:rPr>
                <w:color w:val="1F497D" w:themeColor="text2"/>
                <w:lang w:val="en-US"/>
              </w:rPr>
              <w:t>Cuantitativo.</w:t>
            </w:r>
          </w:p>
        </w:tc>
      </w:tr>
      <w:tr w:rsidR="0035403C" w14:paraId="3233B275" w14:textId="77777777" w:rsidTr="0FE4D5DF">
        <w:tc>
          <w:tcPr>
            <w:tcW w:w="4530" w:type="dxa"/>
          </w:tcPr>
          <w:p w14:paraId="27D31A5B" w14:textId="77777777" w:rsidR="0035403C" w:rsidRDefault="00D02C31" w:rsidP="0FE4D5DF">
            <w:pPr>
              <w:spacing w:line="276" w:lineRule="auto"/>
              <w:jc w:val="both"/>
              <w:rPr>
                <w:b/>
                <w:bCs/>
                <w:color w:val="1F497D"/>
                <w:lang w:val="en-US"/>
              </w:rPr>
            </w:pPr>
            <w:r w:rsidRPr="0FE4D5DF">
              <w:rPr>
                <w:b/>
                <w:bCs/>
                <w:color w:val="1F497D" w:themeColor="text2"/>
                <w:lang w:val="en-US"/>
              </w:rPr>
              <w:t>Diseño</w:t>
            </w:r>
          </w:p>
        </w:tc>
        <w:tc>
          <w:tcPr>
            <w:tcW w:w="4530" w:type="dxa"/>
          </w:tcPr>
          <w:p w14:paraId="1C28CC98" w14:textId="77777777" w:rsidR="0035403C" w:rsidRDefault="00D02C31" w:rsidP="0FE4D5DF">
            <w:pPr>
              <w:spacing w:line="276" w:lineRule="auto"/>
              <w:jc w:val="both"/>
              <w:rPr>
                <w:color w:val="1F497D"/>
                <w:lang w:val="en-US"/>
              </w:rPr>
            </w:pPr>
            <w:r w:rsidRPr="0FE4D5DF">
              <w:rPr>
                <w:color w:val="1F497D" w:themeColor="text2"/>
                <w:lang w:val="en-US"/>
              </w:rPr>
              <w:t>Relevamiento de campo.</w:t>
            </w:r>
          </w:p>
        </w:tc>
      </w:tr>
      <w:tr w:rsidR="0035403C" w14:paraId="26A998BE" w14:textId="77777777" w:rsidTr="0FE4D5DF">
        <w:tc>
          <w:tcPr>
            <w:tcW w:w="4530" w:type="dxa"/>
          </w:tcPr>
          <w:p w14:paraId="7EB4C117" w14:textId="77777777" w:rsidR="0035403C" w:rsidRDefault="00D02C31" w:rsidP="0FE4D5DF">
            <w:pPr>
              <w:spacing w:line="276" w:lineRule="auto"/>
              <w:jc w:val="both"/>
              <w:rPr>
                <w:b/>
                <w:bCs/>
                <w:color w:val="1F497D"/>
                <w:lang w:val="en-US"/>
              </w:rPr>
            </w:pPr>
            <w:r w:rsidRPr="0FE4D5DF">
              <w:rPr>
                <w:b/>
                <w:bCs/>
                <w:color w:val="1F497D" w:themeColor="text2"/>
                <w:lang w:val="en-US"/>
              </w:rPr>
              <w:t>Unidad de análisis</w:t>
            </w:r>
          </w:p>
        </w:tc>
        <w:tc>
          <w:tcPr>
            <w:tcW w:w="4530" w:type="dxa"/>
          </w:tcPr>
          <w:p w14:paraId="07070ADC" w14:textId="77777777" w:rsidR="0035403C" w:rsidRDefault="00D02C31" w:rsidP="0FE4D5DF">
            <w:pPr>
              <w:spacing w:line="276" w:lineRule="auto"/>
              <w:jc w:val="both"/>
              <w:rPr>
                <w:color w:val="1F497D"/>
                <w:lang w:val="en-US"/>
              </w:rPr>
            </w:pPr>
            <w:r w:rsidRPr="0FE4D5DF">
              <w:rPr>
                <w:color w:val="1F497D" w:themeColor="text2"/>
                <w:lang w:val="en-US"/>
              </w:rPr>
              <w:t>Operaciones dentro de la plataforma, segmentado por cada tipo de operación realizada.</w:t>
            </w:r>
          </w:p>
        </w:tc>
      </w:tr>
      <w:tr w:rsidR="0035403C" w14:paraId="1CDF1758" w14:textId="77777777" w:rsidTr="0FE4D5DF">
        <w:tc>
          <w:tcPr>
            <w:tcW w:w="4530" w:type="dxa"/>
          </w:tcPr>
          <w:p w14:paraId="19ED7DAC" w14:textId="77777777" w:rsidR="0035403C" w:rsidRDefault="00D02C31" w:rsidP="0FE4D5DF">
            <w:pPr>
              <w:spacing w:line="276" w:lineRule="auto"/>
              <w:jc w:val="both"/>
              <w:rPr>
                <w:b/>
                <w:bCs/>
                <w:color w:val="1F497D"/>
                <w:lang w:val="en-US"/>
              </w:rPr>
            </w:pPr>
            <w:r w:rsidRPr="0FE4D5DF">
              <w:rPr>
                <w:b/>
                <w:bCs/>
                <w:color w:val="1F497D" w:themeColor="text2"/>
                <w:lang w:val="en-US"/>
              </w:rPr>
              <w:t>Muestra</w:t>
            </w:r>
          </w:p>
        </w:tc>
        <w:tc>
          <w:tcPr>
            <w:tcW w:w="4530" w:type="dxa"/>
          </w:tcPr>
          <w:p w14:paraId="30C40318" w14:textId="77777777" w:rsidR="0035403C" w:rsidRDefault="00D02C31" w:rsidP="0FE4D5DF">
            <w:pPr>
              <w:spacing w:line="276" w:lineRule="auto"/>
              <w:jc w:val="both"/>
              <w:rPr>
                <w:color w:val="1F497D"/>
                <w:lang w:val="en-US"/>
              </w:rPr>
            </w:pPr>
            <w:r w:rsidRPr="0FE4D5DF">
              <w:rPr>
                <w:color w:val="1F497D" w:themeColor="text2"/>
                <w:lang w:val="en-US"/>
              </w:rPr>
              <w:t>No probabilística.</w:t>
            </w:r>
          </w:p>
        </w:tc>
      </w:tr>
      <w:tr w:rsidR="0035403C" w14:paraId="0CA27787" w14:textId="77777777" w:rsidTr="0FE4D5DF">
        <w:tc>
          <w:tcPr>
            <w:tcW w:w="4530" w:type="dxa"/>
          </w:tcPr>
          <w:p w14:paraId="79B5D449" w14:textId="77777777" w:rsidR="0035403C" w:rsidRDefault="00D02C31" w:rsidP="0FE4D5DF">
            <w:pPr>
              <w:spacing w:line="276" w:lineRule="auto"/>
              <w:jc w:val="both"/>
              <w:rPr>
                <w:b/>
                <w:bCs/>
                <w:color w:val="1F497D"/>
                <w:lang w:val="en-US"/>
              </w:rPr>
            </w:pPr>
            <w:r w:rsidRPr="0FE4D5DF">
              <w:rPr>
                <w:b/>
                <w:bCs/>
                <w:color w:val="1F497D" w:themeColor="text2"/>
                <w:lang w:val="en-US"/>
              </w:rPr>
              <w:t>Técnica de recolección de datos</w:t>
            </w:r>
          </w:p>
        </w:tc>
        <w:tc>
          <w:tcPr>
            <w:tcW w:w="4530" w:type="dxa"/>
          </w:tcPr>
          <w:p w14:paraId="3E62A297" w14:textId="77777777" w:rsidR="0035403C" w:rsidRDefault="00D02C31" w:rsidP="0FE4D5DF">
            <w:pPr>
              <w:spacing w:line="276" w:lineRule="auto"/>
              <w:jc w:val="both"/>
              <w:rPr>
                <w:color w:val="1F497D"/>
                <w:highlight w:val="lightGray"/>
                <w:lang w:val="en-US"/>
              </w:rPr>
            </w:pPr>
            <w:r w:rsidRPr="0FE4D5DF">
              <w:rPr>
                <w:color w:val="1F497D" w:themeColor="text2"/>
                <w:lang w:val="en-US"/>
              </w:rPr>
              <w:t>Observación, estudio de casos, libros, registros, artículos, Sitios Web.</w:t>
            </w:r>
          </w:p>
        </w:tc>
      </w:tr>
    </w:tbl>
    <w:p w14:paraId="7A3BE128" w14:textId="77777777" w:rsidR="0035403C" w:rsidRDefault="00D02C31" w:rsidP="0FE4D5DF">
      <w:pPr>
        <w:spacing w:after="200"/>
        <w:rPr>
          <w:i/>
          <w:iCs/>
          <w:color w:val="1F497D" w:themeColor="text2"/>
          <w:sz w:val="18"/>
          <w:szCs w:val="18"/>
          <w:lang w:val="en-US"/>
        </w:rPr>
      </w:pPr>
      <w:r w:rsidRPr="0FE4D5DF">
        <w:rPr>
          <w:i/>
          <w:iCs/>
          <w:color w:val="1F497D" w:themeColor="text2"/>
          <w:sz w:val="18"/>
          <w:szCs w:val="18"/>
          <w:lang w:val="en-US"/>
        </w:rPr>
        <w:t>Tabla 3: Metodología de investigación</w:t>
      </w:r>
    </w:p>
    <w:p w14:paraId="3A0FF5F2" w14:textId="77777777" w:rsidR="0035403C" w:rsidRDefault="0035403C"/>
    <w:p w14:paraId="5630AD66" w14:textId="77777777" w:rsidR="0035403C" w:rsidRDefault="00D02C31">
      <w:r>
        <w:br w:type="page"/>
      </w:r>
    </w:p>
    <w:p w14:paraId="3470FAFE" w14:textId="77777777" w:rsidR="0035403C" w:rsidRDefault="00D02C31">
      <w:pPr>
        <w:pStyle w:val="Ttulo"/>
      </w:pPr>
      <w:r>
        <w:lastRenderedPageBreak/>
        <w:t>CAPÍTULO 1: MARCO TEÓRICO</w:t>
      </w:r>
    </w:p>
    <w:p w14:paraId="4F6F67BF" w14:textId="77777777" w:rsidR="0035403C" w:rsidRDefault="00D02C31">
      <w:pPr>
        <w:pStyle w:val="Ttulo1"/>
      </w:pPr>
      <w:bookmarkStart w:id="33" w:name="_heading=h.3o7alnk" w:colFirst="0" w:colLast="0"/>
      <w:bookmarkEnd w:id="33"/>
      <w:r>
        <w:t>MARCO TEÓRICO</w:t>
      </w:r>
    </w:p>
    <w:p w14:paraId="46648AF0" w14:textId="77777777" w:rsidR="0035403C" w:rsidRDefault="00D02C31">
      <w:pPr>
        <w:jc w:val="both"/>
      </w:pPr>
      <w:bookmarkStart w:id="34" w:name="_heading=h.23ckvvd"/>
      <w:bookmarkEnd w:id="34"/>
      <w:r w:rsidRPr="0FE4D5DF">
        <w:rPr>
          <w:lang w:val="en-US"/>
        </w:rPr>
        <w:t xml:space="preserve">Dentro del libro de Sampieri titulado “Metodología de la investigación”, se pueden valorar las funciones principales </w:t>
      </w:r>
      <w:proofErr w:type="gramStart"/>
      <w:r w:rsidRPr="0FE4D5DF">
        <w:rPr>
          <w:lang w:val="en-US"/>
        </w:rPr>
        <w:t>del marco</w:t>
      </w:r>
      <w:proofErr w:type="gramEnd"/>
      <w:r w:rsidRPr="0FE4D5DF">
        <w:rPr>
          <w:lang w:val="en-US"/>
        </w:rPr>
        <w:t xml:space="preserve"> teórico. Entre otros conceptos, el marco se destaca por ser un conjunto de artículos, libros y otros documentos que explican el estado </w:t>
      </w:r>
      <w:proofErr w:type="gramStart"/>
      <w:r w:rsidRPr="0FE4D5DF">
        <w:rPr>
          <w:lang w:val="en-US"/>
        </w:rPr>
        <w:t>pasado(</w:t>
      </w:r>
      <w:proofErr w:type="gramEnd"/>
      <w:r w:rsidRPr="0FE4D5DF">
        <w:rPr>
          <w:lang w:val="en-US"/>
        </w:rPr>
        <w:t xml:space="preserve">como fueron sus inicios) y el estado actual del conocimiento sobre el problema de estudio. El problema planteado </w:t>
      </w:r>
      <w:proofErr w:type="gramStart"/>
      <w:r w:rsidRPr="0FE4D5DF">
        <w:rPr>
          <w:lang w:val="en-US"/>
        </w:rPr>
        <w:t>va</w:t>
      </w:r>
      <w:proofErr w:type="gramEnd"/>
      <w:r w:rsidRPr="0FE4D5DF">
        <w:rPr>
          <w:lang w:val="en-US"/>
        </w:rPr>
        <w:t xml:space="preserve"> a poder ser sustentado teóricamente, dándole relevancia y factibilidad a los objetivos y sus preguntas. Como beneficio de </w:t>
      </w:r>
      <w:proofErr w:type="gramStart"/>
      <w:r w:rsidRPr="0FE4D5DF">
        <w:rPr>
          <w:lang w:val="en-US"/>
        </w:rPr>
        <w:t>este</w:t>
      </w:r>
      <w:proofErr w:type="gramEnd"/>
      <w:r w:rsidRPr="0FE4D5DF">
        <w:rPr>
          <w:lang w:val="en-US"/>
        </w:rPr>
        <w:t xml:space="preserve"> ejercicio, sumado a nuevas ideas o descubrimientos recientes de otros investigadores podrán enriquecer el campo del conocimiento.</w:t>
      </w:r>
    </w:p>
    <w:p w14:paraId="61829076" w14:textId="77777777" w:rsidR="0035403C" w:rsidRDefault="0035403C">
      <w:pPr>
        <w:jc w:val="both"/>
        <w:rPr>
          <w:highlight w:val="yellow"/>
        </w:rPr>
      </w:pPr>
      <w:bookmarkStart w:id="35" w:name="_heading=h.w7pd36bdkl4i" w:colFirst="0" w:colLast="0"/>
      <w:bookmarkEnd w:id="35"/>
    </w:p>
    <w:p w14:paraId="41821D98" w14:textId="77777777" w:rsidR="0035403C" w:rsidRDefault="00D02C31">
      <w:pPr>
        <w:jc w:val="both"/>
      </w:pPr>
      <w:bookmarkStart w:id="36" w:name="_heading=h.bw6wj22gr358"/>
      <w:bookmarkEnd w:id="36"/>
      <w:r w:rsidRPr="0FE4D5DF">
        <w:rPr>
          <w:lang w:val="en-US"/>
        </w:rPr>
        <w:t xml:space="preserve">Esta sección presentará una acotada introducción a lo que hoy en día se fueron transformando las formas de pagos o </w:t>
      </w:r>
      <w:proofErr w:type="gramStart"/>
      <w:r w:rsidRPr="0FE4D5DF">
        <w:rPr>
          <w:lang w:val="en-US"/>
        </w:rPr>
        <w:t>como</w:t>
      </w:r>
      <w:proofErr w:type="gramEnd"/>
      <w:r w:rsidRPr="0FE4D5DF">
        <w:rPr>
          <w:lang w:val="en-US"/>
        </w:rPr>
        <w:t xml:space="preserve"> poder transferir dinero de un punto a otro de forma digital, combinando nuevas tecnologías basadas en la nube para poder afrontar la masividad de uso. Se darán a conocer los principales actores de </w:t>
      </w:r>
      <w:proofErr w:type="gramStart"/>
      <w:r w:rsidRPr="0FE4D5DF">
        <w:rPr>
          <w:lang w:val="en-US"/>
        </w:rPr>
        <w:t>este</w:t>
      </w:r>
      <w:proofErr w:type="gramEnd"/>
      <w:r w:rsidRPr="0FE4D5DF">
        <w:rPr>
          <w:lang w:val="en-US"/>
        </w:rPr>
        <w:t xml:space="preserve"> tipo de tecnologías, que están cercanos al objetivo principal de la tesina con una breve reseña comparando a cada uno de ellos. Se recogerán algunos puntos principales de estos sitios y se los plasmará en </w:t>
      </w:r>
      <w:proofErr w:type="gramStart"/>
      <w:r w:rsidRPr="0FE4D5DF">
        <w:rPr>
          <w:lang w:val="en-US"/>
        </w:rPr>
        <w:t>un</w:t>
      </w:r>
      <w:proofErr w:type="gramEnd"/>
      <w:r w:rsidRPr="0FE4D5DF">
        <w:rPr>
          <w:lang w:val="en-US"/>
        </w:rPr>
        <w:t xml:space="preserve"> cuadro comparativo para poder ver los diferentes potenciales entre cada uno, y con esto, se podrá encarar una solución evolutiva que abarque todos los objetivos previos.</w:t>
      </w:r>
    </w:p>
    <w:p w14:paraId="3C0B58D3" w14:textId="77777777" w:rsidR="0035403C" w:rsidRDefault="00D02C31">
      <w:pPr>
        <w:spacing w:before="240" w:after="240"/>
        <w:jc w:val="both"/>
      </w:pPr>
      <w:bookmarkStart w:id="37" w:name="_heading=h.psfirglvscpi"/>
      <w:bookmarkEnd w:id="37"/>
      <w:r w:rsidRPr="0FE4D5DF">
        <w:rPr>
          <w:lang w:val="en-US"/>
        </w:rPr>
        <w:t xml:space="preserve">Asimismo, se analizarán </w:t>
      </w:r>
      <w:proofErr w:type="gramStart"/>
      <w:r w:rsidRPr="0FE4D5DF">
        <w:rPr>
          <w:lang w:val="en-US"/>
        </w:rPr>
        <w:t>fuentes</w:t>
      </w:r>
      <w:proofErr w:type="gramEnd"/>
      <w:r w:rsidRPr="0FE4D5DF">
        <w:rPr>
          <w:lang w:val="en-US"/>
        </w:rPr>
        <w:t xml:space="preserve"> secundarias como informes de ventas de la empresa y de la Cámara de Comercio. Y se complementará con estudios de otras PYMES en rubros industriales que se </w:t>
      </w:r>
      <w:proofErr w:type="gramStart"/>
      <w:r w:rsidRPr="0FE4D5DF">
        <w:rPr>
          <w:lang w:val="en-US"/>
        </w:rPr>
        <w:t>han</w:t>
      </w:r>
      <w:proofErr w:type="gramEnd"/>
      <w:r w:rsidRPr="0FE4D5DF">
        <w:rPr>
          <w:lang w:val="en-US"/>
        </w:rPr>
        <w:t xml:space="preserve"> logrado insertar en el mercado brasilero de forma exitosa (análisis de casos).</w:t>
      </w:r>
    </w:p>
    <w:p w14:paraId="226415ED" w14:textId="77777777" w:rsidR="0035403C" w:rsidRDefault="00D02C31">
      <w:pPr>
        <w:spacing w:before="240" w:after="240"/>
        <w:jc w:val="both"/>
      </w:pPr>
      <w:bookmarkStart w:id="38" w:name="_heading=h.od7x4mc8cus2"/>
      <w:bookmarkEnd w:id="38"/>
      <w:r w:rsidRPr="0FE4D5DF">
        <w:rPr>
          <w:lang w:val="en-US"/>
        </w:rPr>
        <w:t xml:space="preserve">Para el desarrollo correcto de </w:t>
      </w:r>
      <w:proofErr w:type="gramStart"/>
      <w:r w:rsidRPr="0FE4D5DF">
        <w:rPr>
          <w:lang w:val="en-US"/>
        </w:rPr>
        <w:t>este</w:t>
      </w:r>
      <w:proofErr w:type="gramEnd"/>
      <w:r w:rsidRPr="0FE4D5DF">
        <w:rPr>
          <w:lang w:val="en-US"/>
        </w:rPr>
        <w:t xml:space="preserve"> marco teórico expandimos los siguientes tópicos, los cuales nos darán el contexto necesario para entender con profundidad los temas planteados:</w:t>
      </w:r>
    </w:p>
    <w:p w14:paraId="1B7612AF" w14:textId="77777777" w:rsidR="0035403C" w:rsidRDefault="00D02C31">
      <w:pPr>
        <w:numPr>
          <w:ilvl w:val="0"/>
          <w:numId w:val="21"/>
        </w:numPr>
      </w:pPr>
      <w:r w:rsidRPr="0FE4D5DF">
        <w:rPr>
          <w:lang w:val="en-US"/>
        </w:rPr>
        <w:t>Bases teóricas en la arquitectura de software</w:t>
      </w:r>
    </w:p>
    <w:p w14:paraId="05999229" w14:textId="77777777" w:rsidR="0035403C" w:rsidRDefault="00D02C31">
      <w:pPr>
        <w:numPr>
          <w:ilvl w:val="0"/>
          <w:numId w:val="21"/>
        </w:numPr>
      </w:pPr>
      <w:r w:rsidRPr="0FE4D5DF">
        <w:rPr>
          <w:lang w:val="en-US"/>
        </w:rPr>
        <w:t>Fuerzas competitivas de Porter</w:t>
      </w:r>
    </w:p>
    <w:p w14:paraId="1146AACF" w14:textId="77777777" w:rsidR="0035403C" w:rsidRDefault="00D02C31" w:rsidP="0FE4D5DF">
      <w:pPr>
        <w:numPr>
          <w:ilvl w:val="0"/>
          <w:numId w:val="21"/>
        </w:numPr>
        <w:rPr>
          <w:lang w:val="en-US"/>
        </w:rPr>
      </w:pPr>
      <w:r w:rsidRPr="0FE4D5DF">
        <w:rPr>
          <w:lang w:val="en-US"/>
        </w:rPr>
        <w:t>Reseña histórica sobre los métodos de pago</w:t>
      </w:r>
    </w:p>
    <w:p w14:paraId="66624DB2" w14:textId="77777777" w:rsidR="0035403C" w:rsidRDefault="00D02C31" w:rsidP="0FE4D5DF">
      <w:pPr>
        <w:numPr>
          <w:ilvl w:val="0"/>
          <w:numId w:val="21"/>
        </w:numPr>
        <w:rPr>
          <w:lang w:val="en-US"/>
        </w:rPr>
      </w:pPr>
      <w:r w:rsidRPr="0FE4D5DF">
        <w:rPr>
          <w:lang w:val="en-US"/>
        </w:rPr>
        <w:t>Reseña histórica sobre las tecnologías de nube</w:t>
      </w:r>
    </w:p>
    <w:p w14:paraId="47E850A9" w14:textId="77777777" w:rsidR="0035403C" w:rsidRDefault="00D02C31" w:rsidP="0FE4D5DF">
      <w:pPr>
        <w:numPr>
          <w:ilvl w:val="0"/>
          <w:numId w:val="21"/>
        </w:numPr>
        <w:rPr>
          <w:lang w:val="en-US"/>
        </w:rPr>
      </w:pPr>
      <w:r w:rsidRPr="0FE4D5DF">
        <w:rPr>
          <w:lang w:val="en-US"/>
        </w:rPr>
        <w:t>Tendencias en la nube</w:t>
      </w:r>
    </w:p>
    <w:p w14:paraId="527D67A2" w14:textId="77777777" w:rsidR="0035403C" w:rsidRDefault="00D02C31" w:rsidP="0FE4D5DF">
      <w:pPr>
        <w:numPr>
          <w:ilvl w:val="0"/>
          <w:numId w:val="21"/>
        </w:numPr>
        <w:rPr>
          <w:lang w:val="en-US"/>
        </w:rPr>
      </w:pPr>
      <w:r w:rsidRPr="0FE4D5DF">
        <w:rPr>
          <w:lang w:val="en-US"/>
        </w:rPr>
        <w:t>Competidores y su elección</w:t>
      </w:r>
    </w:p>
    <w:p w14:paraId="2BA226A1" w14:textId="77777777" w:rsidR="0035403C" w:rsidRDefault="0035403C"/>
    <w:p w14:paraId="2D7B54B4" w14:textId="77777777" w:rsidR="0035403C" w:rsidRDefault="00D02C31">
      <w:pPr>
        <w:jc w:val="both"/>
      </w:pPr>
      <w:r w:rsidRPr="0FE4D5DF">
        <w:rPr>
          <w:rFonts w:ascii="Calibri" w:eastAsia="Calibri" w:hAnsi="Calibri" w:cs="Calibri"/>
          <w:b/>
          <w:bCs/>
          <w:color w:val="4F81BD" w:themeColor="accent1"/>
          <w:sz w:val="26"/>
          <w:szCs w:val="26"/>
          <w:lang w:val="en-US"/>
        </w:rPr>
        <w:t>Bases teóricas en la arquitectura de software</w:t>
      </w:r>
    </w:p>
    <w:p w14:paraId="0E7DF30D" w14:textId="77777777" w:rsidR="0035403C" w:rsidRDefault="00D02C31">
      <w:pPr>
        <w:jc w:val="both"/>
      </w:pPr>
      <w:r w:rsidRPr="0FE4D5DF">
        <w:rPr>
          <w:lang w:val="en-US"/>
        </w:rPr>
        <w:t xml:space="preserve">La arquitectura de software desde sus comienzos ha desempeñado </w:t>
      </w:r>
      <w:proofErr w:type="gramStart"/>
      <w:r w:rsidRPr="0FE4D5DF">
        <w:rPr>
          <w:lang w:val="en-US"/>
        </w:rPr>
        <w:t>un</w:t>
      </w:r>
      <w:proofErr w:type="gramEnd"/>
      <w:r w:rsidRPr="0FE4D5DF">
        <w:rPr>
          <w:lang w:val="en-US"/>
        </w:rPr>
        <w:t xml:space="preserve"> papel crucial en el diseño y desarrollo de sistemas. </w:t>
      </w:r>
      <w:proofErr w:type="gramStart"/>
      <w:r w:rsidRPr="0FE4D5DF">
        <w:rPr>
          <w:lang w:val="en-US"/>
        </w:rPr>
        <w:t>Un</w:t>
      </w:r>
      <w:proofErr w:type="gramEnd"/>
      <w:r w:rsidRPr="0FE4D5DF">
        <w:rPr>
          <w:lang w:val="en-US"/>
        </w:rPr>
        <w:t xml:space="preserve"> aspecto fundamental dentro de la arquitectura de software es la distinción entre los estilos arquitectónicos y los patrones de arquitectura. Cabe destacar que en los sistemas masivos y concurrentes, </w:t>
      </w:r>
      <w:proofErr w:type="gramStart"/>
      <w:r w:rsidRPr="0FE4D5DF">
        <w:rPr>
          <w:lang w:val="en-US"/>
        </w:rPr>
        <w:t>como</w:t>
      </w:r>
      <w:proofErr w:type="gramEnd"/>
      <w:r w:rsidRPr="0FE4D5DF">
        <w:rPr>
          <w:lang w:val="en-US"/>
        </w:rPr>
        <w:t xml:space="preserve"> puede ser el mundo transaccional, es común que se utilicen ambos debido a cómo ayudan a estructurar los sistemas, mejoran la calidad del desarrollo y garantizan la sostenibilidad a lo largo del tiempo.</w:t>
      </w:r>
    </w:p>
    <w:p w14:paraId="09FBF276" w14:textId="77777777" w:rsidR="0035403C" w:rsidRDefault="00D02C31">
      <w:pPr>
        <w:jc w:val="both"/>
      </w:pPr>
      <w:r w:rsidRPr="0FE4D5DF">
        <w:rPr>
          <w:lang w:val="en-US"/>
        </w:rPr>
        <w:t xml:space="preserve">Por </w:t>
      </w:r>
      <w:proofErr w:type="gramStart"/>
      <w:r w:rsidRPr="0FE4D5DF">
        <w:rPr>
          <w:lang w:val="en-US"/>
        </w:rPr>
        <w:t>un</w:t>
      </w:r>
      <w:proofErr w:type="gramEnd"/>
      <w:r w:rsidRPr="0FE4D5DF">
        <w:rPr>
          <w:lang w:val="en-US"/>
        </w:rPr>
        <w:t xml:space="preserve"> lado, los estilos de arquitectura ofrecen una mirada macroestructural de una parte del sistema. Cada uno de ellos proporciona </w:t>
      </w:r>
      <w:proofErr w:type="gramStart"/>
      <w:r w:rsidRPr="0FE4D5DF">
        <w:rPr>
          <w:lang w:val="en-US"/>
        </w:rPr>
        <w:t>un</w:t>
      </w:r>
      <w:proofErr w:type="gramEnd"/>
      <w:r w:rsidRPr="0FE4D5DF">
        <w:rPr>
          <w:lang w:val="en-US"/>
        </w:rPr>
        <w:t xml:space="preserve"> conjunto particular de principios y directrices que guían, tanto a la estructuración, como así también a la organización del sistema en su conjunto. </w:t>
      </w:r>
      <w:proofErr w:type="gramStart"/>
      <w:r w:rsidRPr="0FE4D5DF">
        <w:rPr>
          <w:lang w:val="en-US"/>
        </w:rPr>
        <w:lastRenderedPageBreak/>
        <w:t>Como resultado de aplicarlas, se obtendrán componentes bien definidos y modularizados que permiten el trabajo en paralelo de los diferentes equipos de desarrollo que puedan pertenecer al mismo proyecto.</w:t>
      </w:r>
      <w:proofErr w:type="gramEnd"/>
      <w:r w:rsidRPr="0FE4D5DF">
        <w:rPr>
          <w:lang w:val="en-US"/>
        </w:rPr>
        <w:t xml:space="preserve"> Se caracterizan dos grandes grupos dentro de las arquitecturas, las distribuídas y las no </w:t>
      </w:r>
      <w:proofErr w:type="gramStart"/>
      <w:r w:rsidRPr="0FE4D5DF">
        <w:rPr>
          <w:lang w:val="en-US"/>
        </w:rPr>
        <w:t>distribuidas(</w:t>
      </w:r>
      <w:proofErr w:type="gramEnd"/>
      <w:r w:rsidRPr="0FE4D5DF">
        <w:rPr>
          <w:lang w:val="en-US"/>
        </w:rPr>
        <w:t xml:space="preserve">más conocidas como monolíticas) y sus aproximaciones son fundamentales en el momento de la creación de cualquier proyecto de software. En los últimos años la adopción y la popularidad de los estilos de arquitecturas distribuidas, </w:t>
      </w:r>
      <w:proofErr w:type="gramStart"/>
      <w:r w:rsidRPr="0FE4D5DF">
        <w:rPr>
          <w:lang w:val="en-US"/>
        </w:rPr>
        <w:t>han</w:t>
      </w:r>
      <w:proofErr w:type="gramEnd"/>
      <w:r w:rsidRPr="0FE4D5DF">
        <w:rPr>
          <w:lang w:val="en-US"/>
        </w:rPr>
        <w:t xml:space="preserve"> tenido un aumento significativo. </w:t>
      </w:r>
    </w:p>
    <w:p w14:paraId="72C0B2E9" w14:textId="77777777" w:rsidR="0035403C" w:rsidRDefault="00D02C31" w:rsidP="0FE4D5DF">
      <w:pPr>
        <w:pBdr>
          <w:top w:val="nil"/>
          <w:left w:val="nil"/>
          <w:bottom w:val="nil"/>
          <w:right w:val="nil"/>
          <w:between w:val="nil"/>
        </w:pBdr>
        <w:jc w:val="both"/>
        <w:rPr>
          <w:highlight w:val="yellow"/>
          <w:lang w:val="en-US"/>
        </w:rPr>
      </w:pPr>
      <w:r w:rsidRPr="0FE4D5DF">
        <w:rPr>
          <w:lang w:val="en-US"/>
        </w:rPr>
        <w:t xml:space="preserve">Las arquitecturas monolíticas normalmente todos los componentes están dentro </w:t>
      </w:r>
      <w:proofErr w:type="gramStart"/>
      <w:r w:rsidRPr="0FE4D5DF">
        <w:rPr>
          <w:lang w:val="en-US"/>
        </w:rPr>
        <w:t>del</w:t>
      </w:r>
      <w:proofErr w:type="gramEnd"/>
      <w:r w:rsidRPr="0FE4D5DF">
        <w:rPr>
          <w:lang w:val="en-US"/>
        </w:rPr>
        <w:t xml:space="preserve"> mismo módulo o sistema, lo que las hace relativamente simples de diseñar e implementar. Suelen traer desventajas en el momento del despliegue de sus nuevas versiones, tendiendo a ser del estilo “big-bang”, es decir, bajar el servicio existente para luego poder utilizar la nueva versión. Para estos casos, es normal sumar diversas herramientas extras que ayudan a desplegar nuevas versiones, para no tener que pasar por estos </w:t>
      </w:r>
      <w:proofErr w:type="gramStart"/>
      <w:r w:rsidRPr="0FE4D5DF">
        <w:rPr>
          <w:lang w:val="en-US"/>
        </w:rPr>
        <w:t>cortes</w:t>
      </w:r>
      <w:proofErr w:type="gramEnd"/>
      <w:r w:rsidRPr="0FE4D5DF">
        <w:rPr>
          <w:lang w:val="en-US"/>
        </w:rPr>
        <w:t>.</w:t>
      </w:r>
    </w:p>
    <w:p w14:paraId="26D37989" w14:textId="77777777" w:rsidR="0035403C" w:rsidRDefault="00D02C31">
      <w:pPr>
        <w:jc w:val="both"/>
      </w:pPr>
      <w:r w:rsidRPr="0FE4D5DF">
        <w:rPr>
          <w:lang w:val="en-US"/>
        </w:rPr>
        <w:t xml:space="preserve">En contraste, en las arquitecturas distribuídas, la orquestación de cada uno de los componentes es primordial para su correcto funcionamiento ya que trabajan todos los módulos en conjunto, y todos los servicios conviven para responder a las necesidades </w:t>
      </w:r>
      <w:proofErr w:type="gramStart"/>
      <w:r w:rsidRPr="0FE4D5DF">
        <w:rPr>
          <w:lang w:val="en-US"/>
        </w:rPr>
        <w:t>del</w:t>
      </w:r>
      <w:proofErr w:type="gramEnd"/>
      <w:r w:rsidRPr="0FE4D5DF">
        <w:rPr>
          <w:lang w:val="en-US"/>
        </w:rPr>
        <w:t xml:space="preserve"> sistema. Además, introducen desafíos extras, como pueden ser la tolerancia a fallos</w:t>
      </w:r>
      <w:proofErr w:type="gramStart"/>
      <w:r w:rsidRPr="0FE4D5DF">
        <w:rPr>
          <w:lang w:val="en-US"/>
        </w:rPr>
        <w:t>,  la</w:t>
      </w:r>
      <w:proofErr w:type="gramEnd"/>
      <w:r w:rsidRPr="0FE4D5DF">
        <w:rPr>
          <w:lang w:val="en-US"/>
        </w:rPr>
        <w:t xml:space="preserve"> concurrencia y la coherencia de datos. Es menester reconocer que gracias al auge de las tecnologías en la nube </w:t>
      </w:r>
      <w:proofErr w:type="gramStart"/>
      <w:r w:rsidRPr="0FE4D5DF">
        <w:rPr>
          <w:lang w:val="en-US"/>
        </w:rPr>
        <w:t>han</w:t>
      </w:r>
      <w:proofErr w:type="gramEnd"/>
      <w:r w:rsidRPr="0FE4D5DF">
        <w:rPr>
          <w:lang w:val="en-US"/>
        </w:rPr>
        <w:t xml:space="preserve"> facilitado la implementación de este estilo arquitectónico, convirtiéndose en una opción atractiva para resolver una amplia gama de desafíos.</w:t>
      </w:r>
    </w:p>
    <w:p w14:paraId="658D7321" w14:textId="77777777" w:rsidR="0035403C" w:rsidRDefault="00D02C31">
      <w:pPr>
        <w:jc w:val="both"/>
      </w:pPr>
      <w:r w:rsidRPr="0FE4D5DF">
        <w:rPr>
          <w:lang w:val="en-US"/>
        </w:rPr>
        <w:t xml:space="preserve">De las arquitecturas recomendadas y conocidas, sobresalen las siguientes: </w:t>
      </w:r>
    </w:p>
    <w:p w14:paraId="64BBCC8E" w14:textId="77777777" w:rsidR="0035403C" w:rsidRDefault="00D02C31">
      <w:pPr>
        <w:numPr>
          <w:ilvl w:val="0"/>
          <w:numId w:val="49"/>
        </w:numPr>
        <w:jc w:val="both"/>
      </w:pPr>
      <w:r w:rsidRPr="0FE4D5DF">
        <w:rPr>
          <w:b/>
          <w:bCs/>
          <w:lang w:val="en-US"/>
        </w:rPr>
        <w:t>Serverless:</w:t>
      </w:r>
      <w:r w:rsidRPr="0FE4D5DF">
        <w:rPr>
          <w:lang w:val="en-US"/>
        </w:rPr>
        <w:t xml:space="preserve"> normalmente en estos casos el proveedor se encarga de la gestión y de la infraestructura donde será alojado y ejecutando el código, asociado a las invocaciones o en función de eventos.</w:t>
      </w:r>
    </w:p>
    <w:p w14:paraId="7B40B9F1" w14:textId="77777777" w:rsidR="0035403C" w:rsidRDefault="00D02C31">
      <w:pPr>
        <w:numPr>
          <w:ilvl w:val="0"/>
          <w:numId w:val="49"/>
        </w:numPr>
        <w:jc w:val="both"/>
      </w:pPr>
      <w:r w:rsidRPr="0FE4D5DF">
        <w:rPr>
          <w:b/>
          <w:bCs/>
          <w:lang w:val="en-US"/>
        </w:rPr>
        <w:t>Event-Driven (basada en eventos):</w:t>
      </w:r>
      <w:r w:rsidRPr="0FE4D5DF">
        <w:rPr>
          <w:lang w:val="en-US"/>
        </w:rPr>
        <w:t xml:space="preserve"> los componentes del sistema están mayormente descentralizados, los cuales se comunican mediante </w:t>
      </w:r>
      <w:proofErr w:type="gramStart"/>
      <w:r w:rsidRPr="0FE4D5DF">
        <w:rPr>
          <w:lang w:val="en-US"/>
        </w:rPr>
        <w:t>eventos(</w:t>
      </w:r>
      <w:proofErr w:type="gramEnd"/>
      <w:r w:rsidRPr="0FE4D5DF">
        <w:rPr>
          <w:lang w:val="en-US"/>
        </w:rPr>
        <w:t>muy utilizados en los servicios de pagos) permitiendo alta reactividad.</w:t>
      </w:r>
    </w:p>
    <w:p w14:paraId="2DF51BE4" w14:textId="77777777" w:rsidR="0035403C" w:rsidRDefault="00D02C31">
      <w:pPr>
        <w:numPr>
          <w:ilvl w:val="0"/>
          <w:numId w:val="49"/>
        </w:numPr>
        <w:jc w:val="both"/>
      </w:pPr>
      <w:r w:rsidRPr="0FE4D5DF">
        <w:rPr>
          <w:b/>
          <w:bCs/>
          <w:lang w:val="en-US"/>
        </w:rPr>
        <w:t xml:space="preserve">SOA (Arquitectura Orientada a Servicios): </w:t>
      </w:r>
      <w:r w:rsidRPr="0FE4D5DF">
        <w:rPr>
          <w:lang w:val="en-US"/>
        </w:rPr>
        <w:t>se trata de servicios independientes que se comunican a través de diferentes protocolos con estándares conocidos.</w:t>
      </w:r>
    </w:p>
    <w:p w14:paraId="6D24E31F" w14:textId="77777777" w:rsidR="0035403C" w:rsidRDefault="00D02C31">
      <w:pPr>
        <w:numPr>
          <w:ilvl w:val="0"/>
          <w:numId w:val="49"/>
        </w:numPr>
        <w:jc w:val="both"/>
      </w:pPr>
      <w:r w:rsidRPr="0FE4D5DF">
        <w:rPr>
          <w:b/>
          <w:bCs/>
          <w:lang w:val="en-US"/>
        </w:rPr>
        <w:t>Monolítico:</w:t>
      </w:r>
      <w:r w:rsidRPr="0FE4D5DF">
        <w:rPr>
          <w:lang w:val="en-US"/>
        </w:rPr>
        <w:t xml:space="preserve"> todo </w:t>
      </w:r>
      <w:proofErr w:type="gramStart"/>
      <w:r w:rsidRPr="0FE4D5DF">
        <w:rPr>
          <w:lang w:val="en-US"/>
        </w:rPr>
        <w:t>este</w:t>
      </w:r>
      <w:proofErr w:type="gramEnd"/>
      <w:r w:rsidRPr="0FE4D5DF">
        <w:rPr>
          <w:lang w:val="en-US"/>
        </w:rPr>
        <w:t xml:space="preserve"> sistema se construye como una única aplicación, sus componentes visuales, sus bases de datos, sus funciones primarias, es decir, con todos los componentes integrados.</w:t>
      </w:r>
    </w:p>
    <w:p w14:paraId="3ABBD750" w14:textId="77777777" w:rsidR="0035403C" w:rsidRDefault="00D02C31">
      <w:pPr>
        <w:numPr>
          <w:ilvl w:val="0"/>
          <w:numId w:val="49"/>
        </w:numPr>
        <w:jc w:val="both"/>
      </w:pPr>
      <w:r w:rsidRPr="0FE4D5DF">
        <w:rPr>
          <w:b/>
          <w:bCs/>
          <w:lang w:val="en-US"/>
        </w:rPr>
        <w:t>Microservicios:</w:t>
      </w:r>
      <w:r w:rsidRPr="0FE4D5DF">
        <w:rPr>
          <w:lang w:val="en-US"/>
        </w:rPr>
        <w:t xml:space="preserve"> por el contrario a los monolitos de software, en </w:t>
      </w:r>
      <w:proofErr w:type="gramStart"/>
      <w:r w:rsidRPr="0FE4D5DF">
        <w:rPr>
          <w:lang w:val="en-US"/>
        </w:rPr>
        <w:t>este</w:t>
      </w:r>
      <w:proofErr w:type="gramEnd"/>
      <w:r w:rsidRPr="0FE4D5DF">
        <w:rPr>
          <w:lang w:val="en-US"/>
        </w:rPr>
        <w:t xml:space="preserve"> caso el sistema está dividido en múltiples servicios pequeños, independientes y que se despliegan de forma separada. </w:t>
      </w:r>
    </w:p>
    <w:p w14:paraId="0E33A4F9" w14:textId="77777777" w:rsidR="0035403C" w:rsidRDefault="00D02C31">
      <w:pPr>
        <w:jc w:val="both"/>
      </w:pPr>
      <w:r w:rsidRPr="0FE4D5DF">
        <w:rPr>
          <w:lang w:val="en-US"/>
        </w:rPr>
        <w:t xml:space="preserve">Por otro lado, apoyándonos en el significado de la palabra patrón, es ideal identificar componentes que resuelven diferentes problemas recurrentes </w:t>
      </w:r>
      <w:proofErr w:type="gramStart"/>
      <w:r w:rsidRPr="0FE4D5DF">
        <w:rPr>
          <w:lang w:val="en-US"/>
        </w:rPr>
        <w:t>a lo</w:t>
      </w:r>
      <w:proofErr w:type="gramEnd"/>
      <w:r w:rsidRPr="0FE4D5DF">
        <w:rPr>
          <w:lang w:val="en-US"/>
        </w:rPr>
        <w:t xml:space="preserve"> largo de la construcción de los proyectos. Se pueden describir </w:t>
      </w:r>
      <w:proofErr w:type="gramStart"/>
      <w:r w:rsidRPr="0FE4D5DF">
        <w:rPr>
          <w:lang w:val="en-US"/>
        </w:rPr>
        <w:t>como</w:t>
      </w:r>
      <w:proofErr w:type="gramEnd"/>
      <w:r w:rsidRPr="0FE4D5DF">
        <w:rPr>
          <w:lang w:val="en-US"/>
        </w:rPr>
        <w:t xml:space="preserve"> bloques reutilizables los cuales son posibles de implementar fácilmente para solucionar las complejidades del diseño. Es una técnica que se centra en los aspectos estructurales a nivel </w:t>
      </w:r>
      <w:proofErr w:type="gramStart"/>
      <w:r w:rsidRPr="0FE4D5DF">
        <w:rPr>
          <w:lang w:val="en-US"/>
        </w:rPr>
        <w:t>del</w:t>
      </w:r>
      <w:proofErr w:type="gramEnd"/>
      <w:r w:rsidRPr="0FE4D5DF">
        <w:rPr>
          <w:lang w:val="en-US"/>
        </w:rPr>
        <w:t xml:space="preserve"> sistema abordando el cómo se escribe el código fuente para implementar estas funcionalidades ya conocidas.</w:t>
      </w:r>
    </w:p>
    <w:p w14:paraId="130ED6AF" w14:textId="77777777" w:rsidR="0035403C" w:rsidRDefault="00D02C31">
      <w:pPr>
        <w:jc w:val="both"/>
      </w:pPr>
      <w:r w:rsidRPr="0FE4D5DF">
        <w:rPr>
          <w:lang w:val="en-US"/>
        </w:rPr>
        <w:t xml:space="preserve">Dentro de los patrones de diseño existen diferentes clasificaciones, las cuales se adaptan a las necesidades de la </w:t>
      </w:r>
      <w:proofErr w:type="gramStart"/>
      <w:r w:rsidRPr="0FE4D5DF">
        <w:rPr>
          <w:lang w:val="en-US"/>
        </w:rPr>
        <w:t>infraestructura(</w:t>
      </w:r>
      <w:proofErr w:type="gramEnd"/>
      <w:r w:rsidRPr="0FE4D5DF">
        <w:rPr>
          <w:lang w:val="en-US"/>
        </w:rPr>
        <w:t>por ejemplo, sobre la nube), se destacan los siguientes:</w:t>
      </w:r>
    </w:p>
    <w:p w14:paraId="4556BCDF" w14:textId="77777777" w:rsidR="0035403C" w:rsidRDefault="00D02C31" w:rsidP="0FE4D5DF">
      <w:pPr>
        <w:numPr>
          <w:ilvl w:val="0"/>
          <w:numId w:val="1"/>
        </w:numPr>
        <w:jc w:val="both"/>
        <w:rPr>
          <w:b/>
          <w:bCs/>
          <w:lang w:val="en-US"/>
        </w:rPr>
      </w:pPr>
      <w:r w:rsidRPr="0FE4D5DF">
        <w:rPr>
          <w:b/>
          <w:bCs/>
          <w:lang w:val="en-US"/>
        </w:rPr>
        <w:t>Patrones de resiliencia y disponibilidad</w:t>
      </w:r>
    </w:p>
    <w:p w14:paraId="134201D2" w14:textId="77777777" w:rsidR="0035403C" w:rsidRDefault="00D02C31">
      <w:pPr>
        <w:numPr>
          <w:ilvl w:val="1"/>
          <w:numId w:val="1"/>
        </w:numPr>
        <w:jc w:val="both"/>
      </w:pPr>
      <w:r w:rsidRPr="0FE4D5DF">
        <w:rPr>
          <w:b/>
          <w:bCs/>
          <w:lang w:val="en-US"/>
        </w:rPr>
        <w:t>Circuit Breaker:</w:t>
      </w:r>
      <w:r w:rsidRPr="0FE4D5DF">
        <w:rPr>
          <w:lang w:val="en-US"/>
        </w:rPr>
        <w:t xml:space="preserve"> evita la repetición de fallos de </w:t>
      </w:r>
      <w:proofErr w:type="gramStart"/>
      <w:r w:rsidRPr="0FE4D5DF">
        <w:rPr>
          <w:lang w:val="en-US"/>
        </w:rPr>
        <w:t>un</w:t>
      </w:r>
      <w:proofErr w:type="gramEnd"/>
      <w:r w:rsidRPr="0FE4D5DF">
        <w:rPr>
          <w:lang w:val="en-US"/>
        </w:rPr>
        <w:t xml:space="preserve"> servicio interno o externo y que no propaguen al sistema.</w:t>
      </w:r>
    </w:p>
    <w:p w14:paraId="21400C06" w14:textId="77777777" w:rsidR="0035403C" w:rsidRDefault="00D02C31">
      <w:pPr>
        <w:numPr>
          <w:ilvl w:val="1"/>
          <w:numId w:val="1"/>
        </w:numPr>
        <w:jc w:val="both"/>
      </w:pPr>
      <w:r w:rsidRPr="0FE4D5DF">
        <w:rPr>
          <w:b/>
          <w:bCs/>
          <w:lang w:val="en-US"/>
        </w:rPr>
        <w:lastRenderedPageBreak/>
        <w:t>Retry:</w:t>
      </w:r>
      <w:r w:rsidRPr="0FE4D5DF">
        <w:rPr>
          <w:lang w:val="en-US"/>
        </w:rPr>
        <w:t xml:space="preserve"> reintenta automáticamente las solicitudes que </w:t>
      </w:r>
      <w:proofErr w:type="gramStart"/>
      <w:r w:rsidRPr="0FE4D5DF">
        <w:rPr>
          <w:lang w:val="en-US"/>
        </w:rPr>
        <w:t>han</w:t>
      </w:r>
      <w:proofErr w:type="gramEnd"/>
      <w:r w:rsidRPr="0FE4D5DF">
        <w:rPr>
          <w:lang w:val="en-US"/>
        </w:rPr>
        <w:t xml:space="preserve"> fallado después de un error temporal, como una desconexión.</w:t>
      </w:r>
    </w:p>
    <w:p w14:paraId="1B15104B" w14:textId="77777777" w:rsidR="0035403C" w:rsidRDefault="00D02C31">
      <w:pPr>
        <w:numPr>
          <w:ilvl w:val="1"/>
          <w:numId w:val="1"/>
        </w:numPr>
        <w:jc w:val="both"/>
      </w:pPr>
      <w:r w:rsidRPr="0FE4D5DF">
        <w:rPr>
          <w:b/>
          <w:bCs/>
          <w:lang w:val="en-US"/>
        </w:rPr>
        <w:t>Timeout:</w:t>
      </w:r>
      <w:r w:rsidRPr="0FE4D5DF">
        <w:rPr>
          <w:lang w:val="en-US"/>
        </w:rPr>
        <w:t xml:space="preserve"> propone definir diferentes límites de tiempo para las solicitudes entre servicios y con esto evitar bloqueos a lo largo </w:t>
      </w:r>
      <w:proofErr w:type="gramStart"/>
      <w:r w:rsidRPr="0FE4D5DF">
        <w:rPr>
          <w:lang w:val="en-US"/>
        </w:rPr>
        <w:t>del</w:t>
      </w:r>
      <w:proofErr w:type="gramEnd"/>
      <w:r w:rsidRPr="0FE4D5DF">
        <w:rPr>
          <w:lang w:val="en-US"/>
        </w:rPr>
        <w:t xml:space="preserve"> tiempo.</w:t>
      </w:r>
    </w:p>
    <w:p w14:paraId="4EBA6C5A" w14:textId="77777777" w:rsidR="0035403C" w:rsidRDefault="00D02C31" w:rsidP="0FE4D5DF">
      <w:pPr>
        <w:numPr>
          <w:ilvl w:val="0"/>
          <w:numId w:val="1"/>
        </w:numPr>
        <w:jc w:val="both"/>
        <w:rPr>
          <w:b/>
          <w:bCs/>
          <w:lang w:val="en-US"/>
        </w:rPr>
      </w:pPr>
      <w:r w:rsidRPr="0FE4D5DF">
        <w:rPr>
          <w:b/>
          <w:bCs/>
          <w:lang w:val="en-US"/>
        </w:rPr>
        <w:t>Patrones de comunicación</w:t>
      </w:r>
    </w:p>
    <w:p w14:paraId="4BE9BC9E" w14:textId="77777777" w:rsidR="0035403C" w:rsidRDefault="00D02C31">
      <w:pPr>
        <w:numPr>
          <w:ilvl w:val="1"/>
          <w:numId w:val="1"/>
        </w:numPr>
        <w:jc w:val="both"/>
      </w:pPr>
      <w:r w:rsidRPr="0FE4D5DF">
        <w:rPr>
          <w:b/>
          <w:bCs/>
          <w:lang w:val="en-US"/>
        </w:rPr>
        <w:t>API Gateway:</w:t>
      </w:r>
      <w:r w:rsidRPr="0FE4D5DF">
        <w:rPr>
          <w:lang w:val="en-US"/>
        </w:rPr>
        <w:t xml:space="preserve"> tiene diferentes funcionalidades centrales, </w:t>
      </w:r>
      <w:proofErr w:type="gramStart"/>
      <w:r w:rsidRPr="0FE4D5DF">
        <w:rPr>
          <w:lang w:val="en-US"/>
        </w:rPr>
        <w:t>como</w:t>
      </w:r>
      <w:proofErr w:type="gramEnd"/>
      <w:r w:rsidRPr="0FE4D5DF">
        <w:rPr>
          <w:lang w:val="en-US"/>
        </w:rPr>
        <w:t xml:space="preserve"> el enrutamiento, la autenticación y transformación de solicitudes entre clientes y microservicios.</w:t>
      </w:r>
    </w:p>
    <w:p w14:paraId="357482C8" w14:textId="77777777" w:rsidR="0035403C" w:rsidRDefault="00D02C31">
      <w:pPr>
        <w:numPr>
          <w:ilvl w:val="1"/>
          <w:numId w:val="1"/>
        </w:numPr>
        <w:jc w:val="both"/>
      </w:pPr>
      <w:r w:rsidRPr="0FE4D5DF">
        <w:rPr>
          <w:b/>
          <w:bCs/>
          <w:lang w:val="en-US"/>
        </w:rPr>
        <w:t>Request-Response:</w:t>
      </w:r>
      <w:r w:rsidRPr="0FE4D5DF">
        <w:rPr>
          <w:lang w:val="en-US"/>
        </w:rPr>
        <w:t xml:space="preserve"> se refiere a la implementación de la comunicación sincrónica directa entre los diferentes microservicios.</w:t>
      </w:r>
    </w:p>
    <w:p w14:paraId="7B347FC0" w14:textId="77777777" w:rsidR="0035403C" w:rsidRDefault="00D02C31">
      <w:pPr>
        <w:numPr>
          <w:ilvl w:val="1"/>
          <w:numId w:val="1"/>
        </w:numPr>
        <w:jc w:val="both"/>
      </w:pPr>
      <w:r w:rsidRPr="0FE4D5DF">
        <w:rPr>
          <w:b/>
          <w:bCs/>
          <w:lang w:val="en-US"/>
        </w:rPr>
        <w:t>Message Broker (Asynchronous Messaging):</w:t>
      </w:r>
      <w:r w:rsidRPr="0FE4D5DF">
        <w:rPr>
          <w:lang w:val="en-US"/>
        </w:rPr>
        <w:t xml:space="preserve"> se refiere a la </w:t>
      </w:r>
      <w:proofErr w:type="gramStart"/>
      <w:r w:rsidRPr="0FE4D5DF">
        <w:rPr>
          <w:lang w:val="en-US"/>
        </w:rPr>
        <w:t>implementación  de</w:t>
      </w:r>
      <w:proofErr w:type="gramEnd"/>
      <w:r w:rsidRPr="0FE4D5DF">
        <w:rPr>
          <w:lang w:val="en-US"/>
        </w:rPr>
        <w:t xml:space="preserve"> la comunicación asincrónica de los microservicios mediante algún intermediario, como pueden ser las colas de mensajes o los tópicos.</w:t>
      </w:r>
    </w:p>
    <w:p w14:paraId="427BDBD9" w14:textId="77777777" w:rsidR="0035403C" w:rsidRDefault="00D02C31">
      <w:pPr>
        <w:numPr>
          <w:ilvl w:val="1"/>
          <w:numId w:val="1"/>
        </w:numPr>
        <w:jc w:val="both"/>
      </w:pPr>
      <w:r w:rsidRPr="0FE4D5DF">
        <w:rPr>
          <w:b/>
          <w:bCs/>
          <w:lang w:val="en-US"/>
        </w:rPr>
        <w:t>Service Discovery:</w:t>
      </w:r>
      <w:r w:rsidRPr="0FE4D5DF">
        <w:rPr>
          <w:lang w:val="en-US"/>
        </w:rPr>
        <w:t xml:space="preserve"> se utiliza para que los nuevos microservicios desplegados dentro de la plataforma o infraestructura se “encuentren” de una forma dinámica.</w:t>
      </w:r>
    </w:p>
    <w:p w14:paraId="6D075CB7" w14:textId="77777777" w:rsidR="0035403C" w:rsidRDefault="00D02C31" w:rsidP="0FE4D5DF">
      <w:pPr>
        <w:numPr>
          <w:ilvl w:val="0"/>
          <w:numId w:val="1"/>
        </w:numPr>
        <w:jc w:val="both"/>
        <w:rPr>
          <w:b/>
          <w:bCs/>
          <w:lang w:val="en-US"/>
        </w:rPr>
      </w:pPr>
      <w:r w:rsidRPr="0FE4D5DF">
        <w:rPr>
          <w:b/>
          <w:bCs/>
          <w:lang w:val="en-US"/>
        </w:rPr>
        <w:t>Patrones de diseño y gestión de datos</w:t>
      </w:r>
    </w:p>
    <w:p w14:paraId="028D6849" w14:textId="77777777" w:rsidR="0035403C" w:rsidRDefault="00D02C31">
      <w:pPr>
        <w:numPr>
          <w:ilvl w:val="1"/>
          <w:numId w:val="1"/>
        </w:numPr>
        <w:jc w:val="both"/>
      </w:pPr>
      <w:r w:rsidRPr="0FE4D5DF">
        <w:rPr>
          <w:b/>
          <w:bCs/>
          <w:lang w:val="en-US"/>
        </w:rPr>
        <w:t>CQRS (Command Query Responsibility Segregation):</w:t>
      </w:r>
      <w:r w:rsidRPr="0FE4D5DF">
        <w:rPr>
          <w:lang w:val="en-US"/>
        </w:rPr>
        <w:t xml:space="preserve"> segrega las operaciones de lectura y las de escritura en diferentes módulos y así lograr la optimización </w:t>
      </w:r>
      <w:proofErr w:type="gramStart"/>
      <w:r w:rsidRPr="0FE4D5DF">
        <w:rPr>
          <w:lang w:val="en-US"/>
        </w:rPr>
        <w:t>del</w:t>
      </w:r>
      <w:proofErr w:type="gramEnd"/>
      <w:r w:rsidRPr="0FE4D5DF">
        <w:rPr>
          <w:lang w:val="en-US"/>
        </w:rPr>
        <w:t xml:space="preserve"> rendimiento y la escalabilidad en las bases de datos.</w:t>
      </w:r>
    </w:p>
    <w:p w14:paraId="164258B3" w14:textId="77777777" w:rsidR="0035403C" w:rsidRDefault="00D02C31">
      <w:pPr>
        <w:numPr>
          <w:ilvl w:val="1"/>
          <w:numId w:val="1"/>
        </w:numPr>
        <w:jc w:val="both"/>
      </w:pPr>
      <w:r w:rsidRPr="0FE4D5DF">
        <w:rPr>
          <w:b/>
          <w:bCs/>
          <w:lang w:val="en-US"/>
        </w:rPr>
        <w:t>Event Sourcing:</w:t>
      </w:r>
      <w:r w:rsidRPr="0FE4D5DF">
        <w:rPr>
          <w:lang w:val="en-US"/>
        </w:rPr>
        <w:t xml:space="preserve"> se comienzan a almacenar los diferentes estados </w:t>
      </w:r>
      <w:proofErr w:type="gramStart"/>
      <w:r w:rsidRPr="0FE4D5DF">
        <w:rPr>
          <w:lang w:val="en-US"/>
        </w:rPr>
        <w:t>del</w:t>
      </w:r>
      <w:proofErr w:type="gramEnd"/>
      <w:r w:rsidRPr="0FE4D5DF">
        <w:rPr>
          <w:lang w:val="en-US"/>
        </w:rPr>
        <w:t xml:space="preserve"> sistema como una secuencia de eventos, permitiendo reconstruir cada uno de los puntos de control.</w:t>
      </w:r>
    </w:p>
    <w:p w14:paraId="27F5CC7F" w14:textId="77777777" w:rsidR="0035403C" w:rsidRDefault="00D02C31" w:rsidP="0FE4D5DF">
      <w:pPr>
        <w:numPr>
          <w:ilvl w:val="0"/>
          <w:numId w:val="1"/>
        </w:numPr>
        <w:jc w:val="both"/>
        <w:rPr>
          <w:b/>
          <w:bCs/>
          <w:lang w:val="en-US"/>
        </w:rPr>
      </w:pPr>
      <w:r w:rsidRPr="0FE4D5DF">
        <w:rPr>
          <w:b/>
          <w:bCs/>
          <w:lang w:val="en-US"/>
        </w:rPr>
        <w:t>Patrones de monitoreo y seguridad</w:t>
      </w:r>
    </w:p>
    <w:p w14:paraId="097C3F2C" w14:textId="77777777" w:rsidR="0035403C" w:rsidRDefault="00D02C31">
      <w:pPr>
        <w:numPr>
          <w:ilvl w:val="1"/>
          <w:numId w:val="1"/>
        </w:numPr>
        <w:jc w:val="both"/>
      </w:pPr>
      <w:r w:rsidRPr="0FE4D5DF">
        <w:rPr>
          <w:b/>
          <w:bCs/>
          <w:lang w:val="en-US"/>
        </w:rPr>
        <w:t>Rate Limiting:</w:t>
      </w:r>
      <w:r w:rsidRPr="0FE4D5DF">
        <w:rPr>
          <w:lang w:val="en-US"/>
        </w:rPr>
        <w:t xml:space="preserve"> configura y restringe la cantidad de solicitudes permitidas para que </w:t>
      </w:r>
      <w:proofErr w:type="gramStart"/>
      <w:r w:rsidRPr="0FE4D5DF">
        <w:rPr>
          <w:lang w:val="en-US"/>
        </w:rPr>
        <w:t>un</w:t>
      </w:r>
      <w:proofErr w:type="gramEnd"/>
      <w:r w:rsidRPr="0FE4D5DF">
        <w:rPr>
          <w:lang w:val="en-US"/>
        </w:rPr>
        <w:t xml:space="preserve"> servicio sea consumido en un periodo de tiempo o por un cliente.</w:t>
      </w:r>
    </w:p>
    <w:p w14:paraId="6124ED16" w14:textId="77777777" w:rsidR="0035403C" w:rsidRDefault="00D02C31">
      <w:pPr>
        <w:numPr>
          <w:ilvl w:val="1"/>
          <w:numId w:val="1"/>
        </w:numPr>
        <w:jc w:val="both"/>
      </w:pPr>
      <w:r w:rsidRPr="0FE4D5DF">
        <w:rPr>
          <w:b/>
          <w:bCs/>
          <w:lang w:val="en-US"/>
        </w:rPr>
        <w:t>Sidecar Pattern:</w:t>
      </w:r>
      <w:r w:rsidRPr="0FE4D5DF">
        <w:rPr>
          <w:lang w:val="en-US"/>
        </w:rPr>
        <w:t xml:space="preserve"> Utilizar funcionalidades comunes </w:t>
      </w:r>
      <w:proofErr w:type="gramStart"/>
      <w:r w:rsidRPr="0FE4D5DF">
        <w:rPr>
          <w:lang w:val="en-US"/>
        </w:rPr>
        <w:t>como</w:t>
      </w:r>
      <w:proofErr w:type="gramEnd"/>
      <w:r w:rsidRPr="0FE4D5DF">
        <w:rPr>
          <w:lang w:val="en-US"/>
        </w:rPr>
        <w:t xml:space="preserve"> logueo, monitoreo o configuración, normalmente módulos asincrónicos desplegados en un contenedor separado, junto al servicio principal.</w:t>
      </w:r>
    </w:p>
    <w:p w14:paraId="17AD93B2" w14:textId="77777777" w:rsidR="0035403C" w:rsidRDefault="0035403C">
      <w:pPr>
        <w:spacing w:line="276" w:lineRule="auto"/>
        <w:rPr>
          <w:rFonts w:ascii="Arial" w:eastAsia="Arial" w:hAnsi="Arial" w:cs="Arial"/>
          <w:sz w:val="22"/>
          <w:szCs w:val="22"/>
          <w:highlight w:val="yellow"/>
        </w:rPr>
      </w:pPr>
    </w:p>
    <w:p w14:paraId="4CB80AFB" w14:textId="77777777" w:rsidR="0035403C" w:rsidRDefault="00D02C31" w:rsidP="0FE4D5DF">
      <w:pPr>
        <w:spacing w:line="276" w:lineRule="auto"/>
        <w:jc w:val="both"/>
        <w:rPr>
          <w:rFonts w:ascii="Arial" w:eastAsia="Arial" w:hAnsi="Arial" w:cs="Arial"/>
          <w:sz w:val="22"/>
          <w:szCs w:val="22"/>
          <w:highlight w:val="white"/>
          <w:lang w:val="en-US"/>
        </w:rPr>
      </w:pPr>
      <w:r w:rsidRPr="0FE4D5DF">
        <w:rPr>
          <w:rFonts w:ascii="Arial" w:eastAsia="Arial" w:hAnsi="Arial" w:cs="Arial"/>
          <w:sz w:val="22"/>
          <w:szCs w:val="22"/>
          <w:highlight w:val="white"/>
          <w:lang w:val="en-US"/>
        </w:rPr>
        <w:t xml:space="preserve">Al expandir y ahondar sobre estos conceptos, se observa claramente que la combinación </w:t>
      </w:r>
      <w:proofErr w:type="gramStart"/>
      <w:r w:rsidRPr="0FE4D5DF">
        <w:rPr>
          <w:rFonts w:ascii="Arial" w:eastAsia="Arial" w:hAnsi="Arial" w:cs="Arial"/>
          <w:sz w:val="22"/>
          <w:szCs w:val="22"/>
          <w:highlight w:val="white"/>
          <w:lang w:val="en-US"/>
        </w:rPr>
        <w:t>del</w:t>
      </w:r>
      <w:proofErr w:type="gramEnd"/>
      <w:r w:rsidRPr="0FE4D5DF">
        <w:rPr>
          <w:rFonts w:ascii="Arial" w:eastAsia="Arial" w:hAnsi="Arial" w:cs="Arial"/>
          <w:sz w:val="22"/>
          <w:szCs w:val="22"/>
          <w:highlight w:val="white"/>
          <w:lang w:val="en-US"/>
        </w:rPr>
        <w:t xml:space="preserve"> uso de patrones de diseño y los diferentes estilos de arquitectura dan grandes beneficios al momento del desarrollo de sistemas. La comprensión y la elección de cada uno de ellos tiene implicaciones significativas en la funcionalidad, en el rendimiento, en la mantenibilidad a lo largo </w:t>
      </w:r>
      <w:proofErr w:type="gramStart"/>
      <w:r w:rsidRPr="0FE4D5DF">
        <w:rPr>
          <w:rFonts w:ascii="Arial" w:eastAsia="Arial" w:hAnsi="Arial" w:cs="Arial"/>
          <w:sz w:val="22"/>
          <w:szCs w:val="22"/>
          <w:highlight w:val="white"/>
          <w:lang w:val="en-US"/>
        </w:rPr>
        <w:t>del</w:t>
      </w:r>
      <w:proofErr w:type="gramEnd"/>
      <w:r w:rsidRPr="0FE4D5DF">
        <w:rPr>
          <w:rFonts w:ascii="Arial" w:eastAsia="Arial" w:hAnsi="Arial" w:cs="Arial"/>
          <w:sz w:val="22"/>
          <w:szCs w:val="22"/>
          <w:highlight w:val="white"/>
          <w:lang w:val="en-US"/>
        </w:rPr>
        <w:t xml:space="preserve"> tiempo, y son guías fundamentales que apoyan puntos clave como:</w:t>
      </w:r>
    </w:p>
    <w:p w14:paraId="5858D320" w14:textId="77777777" w:rsidR="0035403C" w:rsidRDefault="00D02C31" w:rsidP="0FE4D5DF">
      <w:pPr>
        <w:numPr>
          <w:ilvl w:val="0"/>
          <w:numId w:val="2"/>
        </w:numPr>
        <w:spacing w:line="276" w:lineRule="auto"/>
        <w:rPr>
          <w:rFonts w:ascii="Arial" w:eastAsia="Arial" w:hAnsi="Arial" w:cs="Arial"/>
          <w:sz w:val="22"/>
          <w:szCs w:val="22"/>
          <w:highlight w:val="white"/>
          <w:lang w:val="en-US"/>
        </w:rPr>
      </w:pPr>
      <w:r w:rsidRPr="0FE4D5DF">
        <w:rPr>
          <w:rFonts w:ascii="Arial" w:eastAsia="Arial" w:hAnsi="Arial" w:cs="Arial"/>
          <w:sz w:val="22"/>
          <w:szCs w:val="22"/>
          <w:highlight w:val="white"/>
          <w:lang w:val="en-US"/>
        </w:rPr>
        <w:t>Estructura y organización</w:t>
      </w:r>
    </w:p>
    <w:p w14:paraId="037548A0" w14:textId="77777777" w:rsidR="0035403C" w:rsidRDefault="00D02C31" w:rsidP="0FE4D5DF">
      <w:pPr>
        <w:numPr>
          <w:ilvl w:val="0"/>
          <w:numId w:val="2"/>
        </w:numPr>
        <w:spacing w:line="276" w:lineRule="auto"/>
        <w:rPr>
          <w:rFonts w:ascii="Arial" w:eastAsia="Arial" w:hAnsi="Arial" w:cs="Arial"/>
          <w:sz w:val="22"/>
          <w:szCs w:val="22"/>
          <w:highlight w:val="white"/>
          <w:lang w:val="en-US"/>
        </w:rPr>
      </w:pPr>
      <w:r w:rsidRPr="0FE4D5DF">
        <w:rPr>
          <w:rFonts w:ascii="Arial" w:eastAsia="Arial" w:hAnsi="Arial" w:cs="Arial"/>
          <w:sz w:val="22"/>
          <w:szCs w:val="22"/>
          <w:highlight w:val="white"/>
          <w:lang w:val="en-US"/>
        </w:rPr>
        <w:t>Reutilización de código</w:t>
      </w:r>
    </w:p>
    <w:p w14:paraId="61AA98FF" w14:textId="77777777" w:rsidR="0035403C" w:rsidRDefault="00D02C31" w:rsidP="0FE4D5DF">
      <w:pPr>
        <w:numPr>
          <w:ilvl w:val="0"/>
          <w:numId w:val="2"/>
        </w:numPr>
        <w:spacing w:line="276" w:lineRule="auto"/>
        <w:rPr>
          <w:rFonts w:ascii="Arial" w:eastAsia="Arial" w:hAnsi="Arial" w:cs="Arial"/>
          <w:sz w:val="22"/>
          <w:szCs w:val="22"/>
          <w:highlight w:val="white"/>
          <w:lang w:val="en-US"/>
        </w:rPr>
      </w:pPr>
      <w:r w:rsidRPr="0FE4D5DF">
        <w:rPr>
          <w:rFonts w:ascii="Arial" w:eastAsia="Arial" w:hAnsi="Arial" w:cs="Arial"/>
          <w:sz w:val="22"/>
          <w:szCs w:val="22"/>
          <w:highlight w:val="white"/>
          <w:lang w:val="en-US"/>
        </w:rPr>
        <w:t xml:space="preserve">Estandarización </w:t>
      </w:r>
    </w:p>
    <w:p w14:paraId="35239A6A" w14:textId="77777777" w:rsidR="0035403C" w:rsidRDefault="00D02C31" w:rsidP="0FE4D5DF">
      <w:pPr>
        <w:numPr>
          <w:ilvl w:val="0"/>
          <w:numId w:val="2"/>
        </w:numPr>
        <w:spacing w:line="276" w:lineRule="auto"/>
        <w:rPr>
          <w:rFonts w:ascii="Arial" w:eastAsia="Arial" w:hAnsi="Arial" w:cs="Arial"/>
          <w:sz w:val="22"/>
          <w:szCs w:val="22"/>
          <w:highlight w:val="white"/>
          <w:lang w:val="en-US"/>
        </w:rPr>
      </w:pPr>
      <w:r w:rsidRPr="0FE4D5DF">
        <w:rPr>
          <w:rFonts w:ascii="Arial" w:eastAsia="Arial" w:hAnsi="Arial" w:cs="Arial"/>
          <w:sz w:val="22"/>
          <w:szCs w:val="22"/>
          <w:highlight w:val="white"/>
          <w:lang w:val="en-US"/>
        </w:rPr>
        <w:t>Modularidad y escalabilidad</w:t>
      </w:r>
    </w:p>
    <w:p w14:paraId="2D13D74B" w14:textId="77777777" w:rsidR="0035403C" w:rsidRDefault="00D02C31" w:rsidP="0FE4D5DF">
      <w:pPr>
        <w:numPr>
          <w:ilvl w:val="0"/>
          <w:numId w:val="2"/>
        </w:numPr>
        <w:spacing w:line="276" w:lineRule="auto"/>
        <w:rPr>
          <w:rFonts w:ascii="Arial" w:eastAsia="Arial" w:hAnsi="Arial" w:cs="Arial"/>
          <w:sz w:val="22"/>
          <w:szCs w:val="22"/>
          <w:highlight w:val="white"/>
          <w:lang w:val="en-US"/>
        </w:rPr>
      </w:pPr>
      <w:r w:rsidRPr="0FE4D5DF">
        <w:rPr>
          <w:rFonts w:ascii="Arial" w:eastAsia="Arial" w:hAnsi="Arial" w:cs="Arial"/>
          <w:sz w:val="22"/>
          <w:szCs w:val="22"/>
          <w:highlight w:val="white"/>
          <w:lang w:val="en-US"/>
        </w:rPr>
        <w:t>Evolución y mantenimiento</w:t>
      </w:r>
    </w:p>
    <w:p w14:paraId="6B3CD33B" w14:textId="77777777" w:rsidR="0035403C" w:rsidRDefault="00D02C31" w:rsidP="0FE4D5DF">
      <w:pPr>
        <w:pStyle w:val="Ttulo2"/>
        <w:rPr>
          <w:b w:val="0"/>
          <w:lang w:val="en-US"/>
        </w:rPr>
      </w:pPr>
      <w:r w:rsidRPr="0FE4D5DF">
        <w:rPr>
          <w:lang w:val="en-US"/>
        </w:rPr>
        <w:t>Fuerzas competitivas de Porter</w:t>
      </w:r>
    </w:p>
    <w:p w14:paraId="1E346815" w14:textId="77777777" w:rsidR="0035403C" w:rsidRDefault="00D02C31">
      <w:pPr>
        <w:jc w:val="both"/>
      </w:pPr>
      <w:r w:rsidRPr="0FE4D5DF">
        <w:rPr>
          <w:lang w:val="en-US"/>
        </w:rPr>
        <w:t xml:space="preserve">Las cinco fuerzas de Porter es uno de los modelos más conocidos que se ha elaborado, el economista estadounidense Michael Porter fue quien en el 2008 publicó </w:t>
      </w:r>
      <w:proofErr w:type="gramStart"/>
      <w:r w:rsidRPr="0FE4D5DF">
        <w:rPr>
          <w:lang w:val="en-US"/>
        </w:rPr>
        <w:t>este</w:t>
      </w:r>
      <w:proofErr w:type="gramEnd"/>
      <w:r w:rsidRPr="0FE4D5DF">
        <w:rPr>
          <w:lang w:val="en-US"/>
        </w:rPr>
        <w:t xml:space="preserve"> artículo completo en el famoso Harvard Business Review. En el mundo de los negocios, </w:t>
      </w:r>
      <w:proofErr w:type="gramStart"/>
      <w:r w:rsidRPr="0FE4D5DF">
        <w:rPr>
          <w:lang w:val="en-US"/>
        </w:rPr>
        <w:t>este</w:t>
      </w:r>
      <w:proofErr w:type="gramEnd"/>
      <w:r w:rsidRPr="0FE4D5DF">
        <w:rPr>
          <w:lang w:val="en-US"/>
        </w:rPr>
        <w:t xml:space="preserve"> gran concepto busca maximizar los recursos y así superar a la competencia. Se debe contar con </w:t>
      </w:r>
      <w:proofErr w:type="gramStart"/>
      <w:r w:rsidRPr="0FE4D5DF">
        <w:rPr>
          <w:lang w:val="en-US"/>
        </w:rPr>
        <w:t>un</w:t>
      </w:r>
      <w:proofErr w:type="gramEnd"/>
      <w:r w:rsidRPr="0FE4D5DF">
        <w:rPr>
          <w:lang w:val="en-US"/>
        </w:rPr>
        <w:t xml:space="preserve"> plan perfectamente elaborado, ya que, de caso contrario, no se puede sobrevivir en el mundo de los negocios de ninguna forma. Lo que hace que el desarrollo de la estrategia sea realmente competitivo es la </w:t>
      </w:r>
      <w:r w:rsidRPr="0FE4D5DF">
        <w:rPr>
          <w:lang w:val="en-US"/>
        </w:rPr>
        <w:lastRenderedPageBreak/>
        <w:t>vinculación directa de la empresa con el medio en el cual se desenvuelve. Todo tipo de fuerzas externas a la industria (</w:t>
      </w:r>
      <w:proofErr w:type="gramStart"/>
      <w:r w:rsidRPr="0FE4D5DF">
        <w:rPr>
          <w:lang w:val="en-US"/>
        </w:rPr>
        <w:t>como</w:t>
      </w:r>
      <w:proofErr w:type="gramEnd"/>
      <w:r w:rsidRPr="0FE4D5DF">
        <w:rPr>
          <w:lang w:val="en-US"/>
        </w:rPr>
        <w:t xml:space="preserve"> lo ha sido la pandemia) son de vital importancia ya que, por lo general, afectan a todas las empresas del sector o del mundo. </w:t>
      </w:r>
    </w:p>
    <w:p w14:paraId="4F554054" w14:textId="77777777" w:rsidR="0035403C" w:rsidRDefault="00D02C31">
      <w:pPr>
        <w:jc w:val="both"/>
      </w:pPr>
      <w:r w:rsidRPr="0FE4D5DF">
        <w:rPr>
          <w:lang w:val="en-US"/>
        </w:rPr>
        <w:t xml:space="preserve">Este </w:t>
      </w:r>
      <w:proofErr w:type="gramStart"/>
      <w:r w:rsidRPr="0FE4D5DF">
        <w:rPr>
          <w:lang w:val="en-US"/>
        </w:rPr>
        <w:t>marco</w:t>
      </w:r>
      <w:proofErr w:type="gramEnd"/>
      <w:r w:rsidRPr="0FE4D5DF">
        <w:rPr>
          <w:lang w:val="en-US"/>
        </w:rPr>
        <w:t xml:space="preserve"> analítico utilizado las cinco fuerzas viene comprendido por los siguientes puntos:</w:t>
      </w:r>
    </w:p>
    <w:p w14:paraId="5876E9D3" w14:textId="77777777" w:rsidR="0035403C" w:rsidRDefault="00D02C31" w:rsidP="0FE4D5DF">
      <w:pPr>
        <w:numPr>
          <w:ilvl w:val="0"/>
          <w:numId w:val="15"/>
        </w:numPr>
        <w:pBdr>
          <w:top w:val="nil"/>
          <w:left w:val="nil"/>
          <w:bottom w:val="nil"/>
          <w:right w:val="nil"/>
          <w:between w:val="nil"/>
        </w:pBdr>
        <w:jc w:val="both"/>
        <w:rPr>
          <w:color w:val="000000"/>
          <w:lang w:val="en-US"/>
        </w:rPr>
      </w:pPr>
      <w:r w:rsidRPr="0FE4D5DF">
        <w:rPr>
          <w:color w:val="000000" w:themeColor="text1"/>
          <w:lang w:val="en-US"/>
        </w:rPr>
        <w:t xml:space="preserve">Poder de negociación de los clientes: Este factor evalúa la influencia que los clientes tienen sobre los precios, la calidad y la disponibilidad de productos o servicios. Si los compradores tienen </w:t>
      </w:r>
      <w:proofErr w:type="gramStart"/>
      <w:r w:rsidRPr="0FE4D5DF">
        <w:rPr>
          <w:color w:val="000000" w:themeColor="text1"/>
          <w:lang w:val="en-US"/>
        </w:rPr>
        <w:t>un</w:t>
      </w:r>
      <w:proofErr w:type="gramEnd"/>
      <w:r w:rsidRPr="0FE4D5DF">
        <w:rPr>
          <w:color w:val="000000" w:themeColor="text1"/>
          <w:lang w:val="en-US"/>
        </w:rPr>
        <w:t xml:space="preserve"> alto poder de negociación, pueden imponer condiciones más favorables a las empresas, reduciendo así su rentabilidad.</w:t>
      </w:r>
    </w:p>
    <w:p w14:paraId="0276124D" w14:textId="77777777" w:rsidR="0035403C" w:rsidRDefault="00D02C31">
      <w:pPr>
        <w:numPr>
          <w:ilvl w:val="1"/>
          <w:numId w:val="15"/>
        </w:numPr>
        <w:jc w:val="both"/>
      </w:pPr>
      <w:r w:rsidRPr="0FE4D5DF">
        <w:rPr>
          <w:lang w:val="en-US"/>
        </w:rPr>
        <w:t>Grado de dependencia de los canales de distribución existentes.</w:t>
      </w:r>
    </w:p>
    <w:p w14:paraId="30F0E398" w14:textId="77777777" w:rsidR="0035403C" w:rsidRDefault="00D02C31">
      <w:pPr>
        <w:numPr>
          <w:ilvl w:val="1"/>
          <w:numId w:val="15"/>
        </w:numPr>
        <w:jc w:val="both"/>
      </w:pPr>
      <w:r w:rsidRPr="0FE4D5DF">
        <w:rPr>
          <w:lang w:val="en-US"/>
        </w:rPr>
        <w:t>Costes de cambio del comprador</w:t>
      </w:r>
    </w:p>
    <w:p w14:paraId="016B63CF" w14:textId="77777777" w:rsidR="0035403C" w:rsidRDefault="00D02C31">
      <w:pPr>
        <w:numPr>
          <w:ilvl w:val="1"/>
          <w:numId w:val="15"/>
        </w:numPr>
        <w:jc w:val="both"/>
      </w:pPr>
      <w:r w:rsidRPr="0FE4D5DF">
        <w:rPr>
          <w:lang w:val="en-US"/>
        </w:rPr>
        <w:t>Disponibilidad de información para el comprador</w:t>
      </w:r>
    </w:p>
    <w:p w14:paraId="4A1B3EF7" w14:textId="77777777" w:rsidR="0035403C" w:rsidRDefault="00D02C31">
      <w:pPr>
        <w:numPr>
          <w:ilvl w:val="1"/>
          <w:numId w:val="15"/>
        </w:numPr>
        <w:jc w:val="both"/>
      </w:pPr>
      <w:r w:rsidRPr="0FE4D5DF">
        <w:rPr>
          <w:lang w:val="en-US"/>
        </w:rPr>
        <w:t>Disponibilidad de productos sustitutos existentes.</w:t>
      </w:r>
    </w:p>
    <w:p w14:paraId="2ACEBE6E" w14:textId="77777777" w:rsidR="0035403C" w:rsidRDefault="00D02C31">
      <w:pPr>
        <w:numPr>
          <w:ilvl w:val="1"/>
          <w:numId w:val="15"/>
        </w:numPr>
        <w:jc w:val="both"/>
      </w:pPr>
      <w:r w:rsidRPr="0FE4D5DF">
        <w:rPr>
          <w:lang w:val="en-US"/>
        </w:rPr>
        <w:t>Sensibilidad al precio del comprador</w:t>
      </w:r>
    </w:p>
    <w:p w14:paraId="151B4E0D" w14:textId="77777777" w:rsidR="0035403C" w:rsidRDefault="00D02C31">
      <w:pPr>
        <w:numPr>
          <w:ilvl w:val="1"/>
          <w:numId w:val="15"/>
        </w:numPr>
        <w:jc w:val="both"/>
      </w:pPr>
      <w:r w:rsidRPr="0FE4D5DF">
        <w:rPr>
          <w:lang w:val="en-US"/>
        </w:rPr>
        <w:t>Ventaja diferencial (singularidad) de productos de la industria.</w:t>
      </w:r>
    </w:p>
    <w:p w14:paraId="253CE7BA" w14:textId="77777777" w:rsidR="0035403C" w:rsidRDefault="00D02C31" w:rsidP="0FE4D5DF">
      <w:pPr>
        <w:numPr>
          <w:ilvl w:val="0"/>
          <w:numId w:val="15"/>
        </w:numPr>
        <w:pBdr>
          <w:top w:val="nil"/>
          <w:left w:val="nil"/>
          <w:bottom w:val="nil"/>
          <w:right w:val="nil"/>
          <w:between w:val="nil"/>
        </w:pBdr>
        <w:jc w:val="both"/>
        <w:rPr>
          <w:color w:val="000000"/>
          <w:lang w:val="en-US"/>
        </w:rPr>
      </w:pPr>
      <w:r w:rsidRPr="0FE4D5DF">
        <w:rPr>
          <w:color w:val="000000" w:themeColor="text1"/>
          <w:lang w:val="en-US"/>
        </w:rPr>
        <w:t xml:space="preserve">Poder de negociación de los proveedores: Se refiere a la influencia que los proveedores tienen sobre las empresas en términos de precios, calidad y suministro de insumos. Si los proveedores tienen </w:t>
      </w:r>
      <w:proofErr w:type="gramStart"/>
      <w:r w:rsidRPr="0FE4D5DF">
        <w:rPr>
          <w:color w:val="000000" w:themeColor="text1"/>
          <w:lang w:val="en-US"/>
        </w:rPr>
        <w:t>un</w:t>
      </w:r>
      <w:proofErr w:type="gramEnd"/>
      <w:r w:rsidRPr="0FE4D5DF">
        <w:rPr>
          <w:color w:val="000000" w:themeColor="text1"/>
          <w:lang w:val="en-US"/>
        </w:rPr>
        <w:t xml:space="preserve"> alto poder de negociación, pueden imponer condiciones desfavorables a las empresas, afectando su rentabilidad.</w:t>
      </w:r>
    </w:p>
    <w:p w14:paraId="18ED7572" w14:textId="77777777" w:rsidR="0035403C" w:rsidRDefault="00D02C31">
      <w:pPr>
        <w:numPr>
          <w:ilvl w:val="1"/>
          <w:numId w:val="15"/>
        </w:numPr>
        <w:jc w:val="both"/>
      </w:pPr>
      <w:r w:rsidRPr="0FE4D5DF">
        <w:rPr>
          <w:lang w:val="en-US"/>
        </w:rPr>
        <w:t>Cantidad de proveedores en la industria.</w:t>
      </w:r>
    </w:p>
    <w:p w14:paraId="459E5FF6" w14:textId="77777777" w:rsidR="0035403C" w:rsidRDefault="00D02C31">
      <w:pPr>
        <w:numPr>
          <w:ilvl w:val="1"/>
          <w:numId w:val="15"/>
        </w:numPr>
        <w:jc w:val="both"/>
      </w:pPr>
      <w:r w:rsidRPr="0FE4D5DF">
        <w:rPr>
          <w:lang w:val="en-US"/>
        </w:rPr>
        <w:t xml:space="preserve">Poder de decisión en el precio por parte </w:t>
      </w:r>
      <w:proofErr w:type="gramStart"/>
      <w:r w:rsidRPr="0FE4D5DF">
        <w:rPr>
          <w:lang w:val="en-US"/>
        </w:rPr>
        <w:t>del</w:t>
      </w:r>
      <w:proofErr w:type="gramEnd"/>
      <w:r w:rsidRPr="0FE4D5DF">
        <w:rPr>
          <w:lang w:val="en-US"/>
        </w:rPr>
        <w:t xml:space="preserve"> proveedor.</w:t>
      </w:r>
    </w:p>
    <w:p w14:paraId="435BE352" w14:textId="77777777" w:rsidR="0035403C" w:rsidRDefault="00D02C31" w:rsidP="0FE4D5DF">
      <w:pPr>
        <w:numPr>
          <w:ilvl w:val="1"/>
          <w:numId w:val="15"/>
        </w:numPr>
        <w:jc w:val="both"/>
        <w:rPr>
          <w:lang w:val="en-US"/>
        </w:rPr>
      </w:pPr>
      <w:r w:rsidRPr="0FE4D5DF">
        <w:rPr>
          <w:lang w:val="en-US"/>
        </w:rPr>
        <w:t>Nivel de organización de los proveedores</w:t>
      </w:r>
    </w:p>
    <w:p w14:paraId="7CB570E1" w14:textId="77777777" w:rsidR="0035403C" w:rsidRDefault="00D02C31">
      <w:pPr>
        <w:numPr>
          <w:ilvl w:val="1"/>
          <w:numId w:val="15"/>
        </w:numPr>
        <w:jc w:val="both"/>
      </w:pPr>
      <w:r w:rsidRPr="0FE4D5DF">
        <w:rPr>
          <w:lang w:val="en-US"/>
        </w:rPr>
        <w:t>Nivel de poder adquisitivo.</w:t>
      </w:r>
    </w:p>
    <w:p w14:paraId="7087FD81" w14:textId="77777777" w:rsidR="0035403C" w:rsidRDefault="00D02C31" w:rsidP="0FE4D5DF">
      <w:pPr>
        <w:numPr>
          <w:ilvl w:val="0"/>
          <w:numId w:val="15"/>
        </w:numPr>
        <w:pBdr>
          <w:top w:val="nil"/>
          <w:left w:val="nil"/>
          <w:bottom w:val="nil"/>
          <w:right w:val="nil"/>
          <w:between w:val="nil"/>
        </w:pBdr>
        <w:jc w:val="both"/>
        <w:rPr>
          <w:color w:val="000000"/>
          <w:lang w:val="en-US"/>
        </w:rPr>
      </w:pPr>
      <w:r w:rsidRPr="0FE4D5DF">
        <w:rPr>
          <w:color w:val="000000" w:themeColor="text1"/>
          <w:lang w:val="en-US"/>
        </w:rPr>
        <w:t>Amenaza de productos o servicios sustitutos: Evalúa la probabilidad de que los clientes utilicen productos o servicios alternativos que puedan satisfacer sus necesidades de manera similar. La presencia de sustitutos puede limitar el potencial de beneficio de una industria.</w:t>
      </w:r>
    </w:p>
    <w:p w14:paraId="6382CA8A" w14:textId="77777777" w:rsidR="0035403C" w:rsidRDefault="00D02C31">
      <w:pPr>
        <w:numPr>
          <w:ilvl w:val="1"/>
          <w:numId w:val="15"/>
        </w:numPr>
        <w:jc w:val="both"/>
      </w:pPr>
      <w:r w:rsidRPr="0FE4D5DF">
        <w:rPr>
          <w:lang w:val="en-US"/>
        </w:rPr>
        <w:t>Propensión del comprador a sustituir.</w:t>
      </w:r>
    </w:p>
    <w:p w14:paraId="2D6F0FB7" w14:textId="77777777" w:rsidR="0035403C" w:rsidRDefault="00D02C31">
      <w:pPr>
        <w:numPr>
          <w:ilvl w:val="1"/>
          <w:numId w:val="15"/>
        </w:numPr>
        <w:jc w:val="both"/>
      </w:pPr>
      <w:r w:rsidRPr="0FE4D5DF">
        <w:rPr>
          <w:lang w:val="en-US"/>
        </w:rPr>
        <w:t>Precios relativos de los productos sustitutos.</w:t>
      </w:r>
    </w:p>
    <w:p w14:paraId="27DFF8D1" w14:textId="77777777" w:rsidR="0035403C" w:rsidRDefault="00D02C31">
      <w:pPr>
        <w:numPr>
          <w:ilvl w:val="1"/>
          <w:numId w:val="15"/>
        </w:numPr>
        <w:jc w:val="both"/>
      </w:pPr>
      <w:r w:rsidRPr="0FE4D5DF">
        <w:rPr>
          <w:lang w:val="en-US"/>
        </w:rPr>
        <w:t xml:space="preserve">Costo o facilidad </w:t>
      </w:r>
      <w:proofErr w:type="gramStart"/>
      <w:r w:rsidRPr="0FE4D5DF">
        <w:rPr>
          <w:lang w:val="en-US"/>
        </w:rPr>
        <w:t>del</w:t>
      </w:r>
      <w:proofErr w:type="gramEnd"/>
      <w:r w:rsidRPr="0FE4D5DF">
        <w:rPr>
          <w:lang w:val="en-US"/>
        </w:rPr>
        <w:t xml:space="preserve"> comprador.</w:t>
      </w:r>
    </w:p>
    <w:p w14:paraId="5278AF78" w14:textId="77777777" w:rsidR="0035403C" w:rsidRDefault="00D02C31">
      <w:pPr>
        <w:numPr>
          <w:ilvl w:val="1"/>
          <w:numId w:val="15"/>
        </w:numPr>
        <w:jc w:val="both"/>
      </w:pPr>
      <w:r w:rsidRPr="0FE4D5DF">
        <w:rPr>
          <w:lang w:val="en-US"/>
        </w:rPr>
        <w:t>Nivel percibido de diferenciación de producto o servicio.</w:t>
      </w:r>
    </w:p>
    <w:p w14:paraId="76BEA7FB" w14:textId="77777777" w:rsidR="0035403C" w:rsidRDefault="00D02C31">
      <w:pPr>
        <w:numPr>
          <w:ilvl w:val="1"/>
          <w:numId w:val="15"/>
        </w:numPr>
        <w:jc w:val="both"/>
      </w:pPr>
      <w:r w:rsidRPr="0FE4D5DF">
        <w:rPr>
          <w:lang w:val="en-US"/>
        </w:rPr>
        <w:t>Disponibilidad de sustitutos cercanos.</w:t>
      </w:r>
    </w:p>
    <w:p w14:paraId="7F3CA8D8" w14:textId="77777777" w:rsidR="0035403C" w:rsidRDefault="00D02C31">
      <w:pPr>
        <w:numPr>
          <w:ilvl w:val="1"/>
          <w:numId w:val="15"/>
        </w:numPr>
        <w:jc w:val="both"/>
      </w:pPr>
      <w:r w:rsidRPr="0FE4D5DF">
        <w:rPr>
          <w:lang w:val="en-US"/>
        </w:rPr>
        <w:t>Suficientes proveedores.</w:t>
      </w:r>
    </w:p>
    <w:p w14:paraId="70C1AD89" w14:textId="77777777" w:rsidR="0035403C" w:rsidRDefault="00D02C31" w:rsidP="0FE4D5DF">
      <w:pPr>
        <w:numPr>
          <w:ilvl w:val="0"/>
          <w:numId w:val="15"/>
        </w:numPr>
        <w:pBdr>
          <w:top w:val="nil"/>
          <w:left w:val="nil"/>
          <w:bottom w:val="nil"/>
          <w:right w:val="nil"/>
          <w:between w:val="nil"/>
        </w:pBdr>
        <w:jc w:val="both"/>
        <w:rPr>
          <w:color w:val="000000"/>
          <w:lang w:val="en-US"/>
        </w:rPr>
      </w:pPr>
      <w:r w:rsidRPr="0FE4D5DF">
        <w:rPr>
          <w:color w:val="000000" w:themeColor="text1"/>
          <w:lang w:val="en-US"/>
        </w:rPr>
        <w:t>Amenaza de nuevos participantes (Nuevos entrantes): Examina la facilidad con la que nuevas empresas pueden ingresar a una industria existente y competir con éxito. Si es fácil para nuevas empresas ingresar, puede aumentar la competencia y reducir la rentabilidad de las empresas existentes.</w:t>
      </w:r>
    </w:p>
    <w:p w14:paraId="47601E8E" w14:textId="77777777" w:rsidR="0035403C" w:rsidRDefault="00D02C31" w:rsidP="0FE4D5DF">
      <w:pPr>
        <w:numPr>
          <w:ilvl w:val="1"/>
          <w:numId w:val="15"/>
        </w:numPr>
        <w:jc w:val="both"/>
        <w:rPr>
          <w:rFonts w:ascii="Courier New" w:eastAsia="Courier New" w:hAnsi="Courier New" w:cs="Courier New"/>
          <w:lang w:val="en-US"/>
        </w:rPr>
      </w:pPr>
      <w:r w:rsidRPr="0FE4D5DF">
        <w:rPr>
          <w:lang w:val="en-US"/>
        </w:rPr>
        <w:t>Economías de escala</w:t>
      </w:r>
    </w:p>
    <w:p w14:paraId="2374BEC8" w14:textId="77777777" w:rsidR="0035403C" w:rsidRDefault="00D02C31" w:rsidP="0FE4D5DF">
      <w:pPr>
        <w:numPr>
          <w:ilvl w:val="1"/>
          <w:numId w:val="15"/>
        </w:numPr>
        <w:jc w:val="both"/>
        <w:rPr>
          <w:rFonts w:ascii="Courier New" w:eastAsia="Courier New" w:hAnsi="Courier New" w:cs="Courier New"/>
          <w:lang w:val="en-US"/>
        </w:rPr>
      </w:pPr>
      <w:r w:rsidRPr="0FE4D5DF">
        <w:rPr>
          <w:lang w:val="en-US"/>
        </w:rPr>
        <w:t>Diferenciación del producto</w:t>
      </w:r>
    </w:p>
    <w:p w14:paraId="76F2E9F5" w14:textId="77777777" w:rsidR="0035403C" w:rsidRDefault="00D02C31">
      <w:pPr>
        <w:numPr>
          <w:ilvl w:val="1"/>
          <w:numId w:val="15"/>
        </w:numPr>
        <w:jc w:val="both"/>
        <w:rPr>
          <w:rFonts w:ascii="Courier New" w:eastAsia="Courier New" w:hAnsi="Courier New" w:cs="Courier New"/>
        </w:rPr>
      </w:pPr>
      <w:r>
        <w:t>Inversiones de capital</w:t>
      </w:r>
    </w:p>
    <w:p w14:paraId="27EAE001" w14:textId="77777777" w:rsidR="0035403C" w:rsidRDefault="00D02C31" w:rsidP="0FE4D5DF">
      <w:pPr>
        <w:numPr>
          <w:ilvl w:val="1"/>
          <w:numId w:val="15"/>
        </w:numPr>
        <w:jc w:val="both"/>
        <w:rPr>
          <w:rFonts w:ascii="Courier New" w:eastAsia="Courier New" w:hAnsi="Courier New" w:cs="Courier New"/>
          <w:lang w:val="en-US"/>
        </w:rPr>
      </w:pPr>
      <w:r w:rsidRPr="0FE4D5DF">
        <w:rPr>
          <w:lang w:val="en-US"/>
        </w:rPr>
        <w:t>Desventaja en costes independientemente de la escala(know-how)</w:t>
      </w:r>
    </w:p>
    <w:p w14:paraId="3D0894B8" w14:textId="77777777" w:rsidR="0035403C" w:rsidRDefault="00D02C31" w:rsidP="0FE4D5DF">
      <w:pPr>
        <w:numPr>
          <w:ilvl w:val="1"/>
          <w:numId w:val="15"/>
        </w:numPr>
        <w:jc w:val="both"/>
        <w:rPr>
          <w:rFonts w:ascii="Courier New" w:eastAsia="Courier New" w:hAnsi="Courier New" w:cs="Courier New"/>
          <w:lang w:val="en-US"/>
        </w:rPr>
      </w:pPr>
      <w:r w:rsidRPr="0FE4D5DF">
        <w:rPr>
          <w:lang w:val="en-US"/>
        </w:rPr>
        <w:t>Acceso a los canales de distribución</w:t>
      </w:r>
    </w:p>
    <w:p w14:paraId="68AF61F9" w14:textId="77777777" w:rsidR="0035403C" w:rsidRDefault="00D02C31" w:rsidP="0FE4D5DF">
      <w:pPr>
        <w:numPr>
          <w:ilvl w:val="1"/>
          <w:numId w:val="15"/>
        </w:numPr>
        <w:jc w:val="both"/>
        <w:rPr>
          <w:rFonts w:ascii="Courier New" w:eastAsia="Courier New" w:hAnsi="Courier New" w:cs="Courier New"/>
          <w:lang w:val="en-US"/>
        </w:rPr>
      </w:pPr>
      <w:r w:rsidRPr="0FE4D5DF">
        <w:rPr>
          <w:lang w:val="en-US"/>
        </w:rPr>
        <w:t>Política gubernamental</w:t>
      </w:r>
    </w:p>
    <w:p w14:paraId="55B21047" w14:textId="77777777" w:rsidR="0035403C" w:rsidRDefault="00D02C31" w:rsidP="0FE4D5DF">
      <w:pPr>
        <w:numPr>
          <w:ilvl w:val="0"/>
          <w:numId w:val="15"/>
        </w:numPr>
        <w:pBdr>
          <w:top w:val="nil"/>
          <w:left w:val="nil"/>
          <w:bottom w:val="nil"/>
          <w:right w:val="nil"/>
          <w:between w:val="nil"/>
        </w:pBdr>
        <w:jc w:val="both"/>
        <w:rPr>
          <w:color w:val="000000"/>
          <w:lang w:val="en-US"/>
        </w:rPr>
      </w:pPr>
      <w:r w:rsidRPr="0FE4D5DF">
        <w:rPr>
          <w:color w:val="000000" w:themeColor="text1"/>
          <w:lang w:val="en-US"/>
        </w:rPr>
        <w:t>Rivalidad entre competidores existentes: Se refiere a la intensidad de la competencia dentro de una industria. Si la competencia es fuerte, las empresas pueden tener que reducir los precios o mejorar continuamente sus productos y servicios para mantener o aumentar su cuota de mercado.</w:t>
      </w:r>
    </w:p>
    <w:p w14:paraId="406A137F" w14:textId="77777777" w:rsidR="0035403C" w:rsidRDefault="00D02C31" w:rsidP="0FE4D5DF">
      <w:pPr>
        <w:numPr>
          <w:ilvl w:val="1"/>
          <w:numId w:val="15"/>
        </w:numPr>
        <w:jc w:val="both"/>
        <w:rPr>
          <w:lang w:val="en-US"/>
        </w:rPr>
      </w:pPr>
      <w:r w:rsidRPr="0FE4D5DF">
        <w:rPr>
          <w:lang w:val="en-US"/>
        </w:rPr>
        <w:lastRenderedPageBreak/>
        <w:t>Gran número de competidores</w:t>
      </w:r>
    </w:p>
    <w:p w14:paraId="63AE6EEB" w14:textId="77777777" w:rsidR="0035403C" w:rsidRDefault="00D02C31" w:rsidP="0FE4D5DF">
      <w:pPr>
        <w:numPr>
          <w:ilvl w:val="1"/>
          <w:numId w:val="15"/>
        </w:numPr>
        <w:jc w:val="both"/>
        <w:rPr>
          <w:lang w:val="en-US"/>
        </w:rPr>
      </w:pPr>
      <w:r w:rsidRPr="0FE4D5DF">
        <w:rPr>
          <w:lang w:val="en-US"/>
        </w:rPr>
        <w:t>Costos fijos</w:t>
      </w:r>
    </w:p>
    <w:p w14:paraId="4B53FAB3" w14:textId="77777777" w:rsidR="0035403C" w:rsidRDefault="00D02C31" w:rsidP="0FE4D5DF">
      <w:pPr>
        <w:numPr>
          <w:ilvl w:val="1"/>
          <w:numId w:val="15"/>
        </w:numPr>
        <w:jc w:val="both"/>
        <w:rPr>
          <w:lang w:val="en-US"/>
        </w:rPr>
      </w:pPr>
      <w:r w:rsidRPr="0FE4D5DF">
        <w:rPr>
          <w:lang w:val="en-US"/>
        </w:rPr>
        <w:t>Falta de diferenciación</w:t>
      </w:r>
    </w:p>
    <w:p w14:paraId="1B2B1E7C" w14:textId="77777777" w:rsidR="0035403C" w:rsidRDefault="00D02C31" w:rsidP="0FE4D5DF">
      <w:pPr>
        <w:numPr>
          <w:ilvl w:val="1"/>
          <w:numId w:val="15"/>
        </w:numPr>
        <w:jc w:val="both"/>
        <w:rPr>
          <w:lang w:val="en-US"/>
        </w:rPr>
      </w:pPr>
      <w:r w:rsidRPr="0FE4D5DF">
        <w:rPr>
          <w:lang w:val="en-US"/>
        </w:rPr>
        <w:t>Competidores diversos</w:t>
      </w:r>
    </w:p>
    <w:p w14:paraId="0BE735E4" w14:textId="77777777" w:rsidR="0035403C" w:rsidRDefault="00D02C31" w:rsidP="0FE4D5DF">
      <w:pPr>
        <w:numPr>
          <w:ilvl w:val="1"/>
          <w:numId w:val="15"/>
        </w:numPr>
        <w:jc w:val="both"/>
        <w:rPr>
          <w:lang w:val="en-US"/>
        </w:rPr>
      </w:pPr>
      <w:r w:rsidRPr="0FE4D5DF">
        <w:rPr>
          <w:lang w:val="en-US"/>
        </w:rPr>
        <w:t>Barreras de salida</w:t>
      </w:r>
    </w:p>
    <w:p w14:paraId="0DE4B5B7" w14:textId="77777777" w:rsidR="0035403C" w:rsidRDefault="0035403C">
      <w:pPr>
        <w:jc w:val="both"/>
      </w:pPr>
    </w:p>
    <w:p w14:paraId="000E5D22" w14:textId="77777777" w:rsidR="0035403C" w:rsidRDefault="00D02C31">
      <w:pPr>
        <w:jc w:val="both"/>
      </w:pPr>
      <w:r w:rsidRPr="0FE4D5DF">
        <w:rPr>
          <w:lang w:val="en-US"/>
        </w:rPr>
        <w:t xml:space="preserve">Las 5 fuerzas de Porter, en conclusión, sirven para comprender la dentro </w:t>
      </w:r>
      <w:proofErr w:type="gramStart"/>
      <w:r w:rsidRPr="0FE4D5DF">
        <w:rPr>
          <w:lang w:val="en-US"/>
        </w:rPr>
        <w:t>del</w:t>
      </w:r>
      <w:proofErr w:type="gramEnd"/>
      <w:r w:rsidRPr="0FE4D5DF">
        <w:rPr>
          <w:lang w:val="en-US"/>
        </w:rPr>
        <w:t xml:space="preserve"> ecosistema donde se encuentra una empresa, la competitividad de la industria general y poder evaluar la atractividad de participar en ella. El conjunto de estos análisis, ayudarán a determinar la rentabilidad potencial en el sector, siempre poniendo delante las utilidades y evaluando el capital destinado al proyecto en función </w:t>
      </w:r>
      <w:proofErr w:type="gramStart"/>
      <w:r w:rsidRPr="0FE4D5DF">
        <w:rPr>
          <w:lang w:val="en-US"/>
        </w:rPr>
        <w:t>del</w:t>
      </w:r>
      <w:proofErr w:type="gramEnd"/>
      <w:r w:rsidRPr="0FE4D5DF">
        <w:rPr>
          <w:lang w:val="en-US"/>
        </w:rPr>
        <w:t xml:space="preserve"> rendimiento a largo plazo. </w:t>
      </w:r>
    </w:p>
    <w:p w14:paraId="476B27F0" w14:textId="77777777" w:rsidR="0035403C" w:rsidRDefault="00D02C31" w:rsidP="0FE4D5DF">
      <w:pPr>
        <w:pStyle w:val="Ttulo2"/>
        <w:rPr>
          <w:lang w:val="en-US"/>
        </w:rPr>
      </w:pPr>
      <w:r w:rsidRPr="0FE4D5DF">
        <w:rPr>
          <w:lang w:val="en-US"/>
        </w:rPr>
        <w:t>Reseña histórica sobre los métodos de pago</w:t>
      </w:r>
    </w:p>
    <w:p w14:paraId="36D9D6AF" w14:textId="77777777" w:rsidR="0035403C" w:rsidRDefault="00D02C31">
      <w:pPr>
        <w:jc w:val="both"/>
      </w:pPr>
      <w:r w:rsidRPr="0FE4D5DF">
        <w:rPr>
          <w:lang w:val="en-US"/>
        </w:rPr>
        <w:t>Sin lugar a dudas, l</w:t>
      </w:r>
      <w:r w:rsidRPr="0FE4D5DF">
        <w:rPr>
          <w:rFonts w:ascii="Cambria" w:eastAsia="Cambria" w:hAnsi="Cambria" w:cs="Cambria"/>
          <w:lang w:val="en-US"/>
        </w:rPr>
        <w:t xml:space="preserve">os medios de pago </w:t>
      </w:r>
      <w:proofErr w:type="gramStart"/>
      <w:r w:rsidRPr="0FE4D5DF">
        <w:rPr>
          <w:rFonts w:ascii="Cambria" w:eastAsia="Cambria" w:hAnsi="Cambria" w:cs="Cambria"/>
          <w:lang w:val="en-US"/>
        </w:rPr>
        <w:t>han</w:t>
      </w:r>
      <w:proofErr w:type="gramEnd"/>
      <w:r w:rsidRPr="0FE4D5DF">
        <w:rPr>
          <w:rFonts w:ascii="Cambria" w:eastAsia="Cambria" w:hAnsi="Cambria" w:cs="Cambria"/>
          <w:lang w:val="en-US"/>
        </w:rPr>
        <w:t xml:space="preserve"> ido evolucionando a lo largo de</w:t>
      </w:r>
      <w:r w:rsidRPr="0FE4D5DF">
        <w:rPr>
          <w:lang w:val="en-US"/>
        </w:rPr>
        <w:t xml:space="preserve">l tiempo. El primer medio de pago que se ha conocido en la historia, específicamente en la era neolítica (más de 2200 años a.C.), fue basado en el acuerdo de dos partes para dar un valor específico a cualquier cosa, denominado como trueque o intercambio. Luego del siglo VII a.C. los griegos introducen a las monedas, las cuales eran acuñadas con diferentes metales preciosos </w:t>
      </w:r>
      <w:proofErr w:type="gramStart"/>
      <w:r w:rsidRPr="0FE4D5DF">
        <w:rPr>
          <w:lang w:val="en-US"/>
        </w:rPr>
        <w:t>como</w:t>
      </w:r>
      <w:proofErr w:type="gramEnd"/>
      <w:r w:rsidRPr="0FE4D5DF">
        <w:rPr>
          <w:lang w:val="en-US"/>
        </w:rPr>
        <w:t xml:space="preserve"> el bronce, la plata o el oro y dependiendo de esos metales provenía el valor que se les daba. El gran salto se dio siglos después (VII </w:t>
      </w:r>
      <w:proofErr w:type="gramStart"/>
      <w:r w:rsidRPr="0FE4D5DF">
        <w:rPr>
          <w:lang w:val="en-US"/>
        </w:rPr>
        <w:t>d.C</w:t>
      </w:r>
      <w:proofErr w:type="gramEnd"/>
      <w:r w:rsidRPr="0FE4D5DF">
        <w:rPr>
          <w:lang w:val="en-US"/>
        </w:rPr>
        <w:t xml:space="preserve">.) en China con la introducción de la moneda de papel y con este el nacimiento de la banca. El billete fue adoptado rápidamente debido a la falta o la dificultad que se daba para poder conseguir los metales y </w:t>
      </w:r>
      <w:proofErr w:type="gramStart"/>
      <w:r w:rsidRPr="0FE4D5DF">
        <w:rPr>
          <w:lang w:val="en-US"/>
        </w:rPr>
        <w:t>como</w:t>
      </w:r>
      <w:proofErr w:type="gramEnd"/>
      <w:r w:rsidRPr="0FE4D5DF">
        <w:rPr>
          <w:lang w:val="en-US"/>
        </w:rPr>
        <w:t xml:space="preserve"> opción económica a la hora de la producción masiva. Las monedas de papel todavía siguen vigentes en la actualidad, aunque han cambiado su forma con el tiempo, ya que, para impedir la falsificación las tecnologías en la impresión de los billetes fueron mejorando y fueron agregando características como las marcas de agua, relieves, troquelados, tintas y papeles especiales que permiten el chequeo de su fidelidad. A través </w:t>
      </w:r>
      <w:proofErr w:type="gramStart"/>
      <w:r w:rsidRPr="0FE4D5DF">
        <w:rPr>
          <w:lang w:val="en-US"/>
        </w:rPr>
        <w:t>del</w:t>
      </w:r>
      <w:proofErr w:type="gramEnd"/>
      <w:r w:rsidRPr="0FE4D5DF">
        <w:rPr>
          <w:lang w:val="en-US"/>
        </w:rPr>
        <w:t xml:space="preserve"> papel, aparecieron nuevas formas para poder intercambiar dinero y han cobrado popularidad, como son los pagarés o los diferentes tipos de cheques. Como en sus primeros años hasta el día de hoy, la sociedad es quien les otorga el valor a las monedas, dependiendo de factores </w:t>
      </w:r>
      <w:proofErr w:type="gramStart"/>
      <w:r w:rsidRPr="0FE4D5DF">
        <w:rPr>
          <w:lang w:val="en-US"/>
        </w:rPr>
        <w:t>como</w:t>
      </w:r>
      <w:proofErr w:type="gramEnd"/>
      <w:r w:rsidRPr="0FE4D5DF">
        <w:rPr>
          <w:lang w:val="en-US"/>
        </w:rPr>
        <w:t xml:space="preserve"> la confiabilidad que les brinda, entre otras características.</w:t>
      </w:r>
    </w:p>
    <w:p w14:paraId="560A5508" w14:textId="77777777" w:rsidR="0035403C" w:rsidRDefault="00D02C31">
      <w:pPr>
        <w:jc w:val="both"/>
      </w:pPr>
      <w:r w:rsidRPr="0FE4D5DF">
        <w:rPr>
          <w:lang w:val="en-US"/>
        </w:rPr>
        <w:t xml:space="preserve">En cuanto a la era moderna, nuevos tipos de medios de pagos </w:t>
      </w:r>
      <w:proofErr w:type="gramStart"/>
      <w:r w:rsidRPr="0FE4D5DF">
        <w:rPr>
          <w:lang w:val="en-US"/>
        </w:rPr>
        <w:t>han</w:t>
      </w:r>
      <w:proofErr w:type="gramEnd"/>
      <w:r w:rsidRPr="0FE4D5DF">
        <w:rPr>
          <w:lang w:val="en-US"/>
        </w:rPr>
        <w:t xml:space="preserve"> aparecido, y como principal herramienta la tarjeta de crédito fue la primera. Lo más curioso fue que la primera tarjeta emitida no fue a través de un banco, sino que la emitió la empresa Western Union para utilizarla como fidelización de sus clientes más adeptos, es decir que accidentalmente este importantísimo medio de pagos fue creado para realizar otro accionar. Tal </w:t>
      </w:r>
      <w:proofErr w:type="gramStart"/>
      <w:r w:rsidRPr="0FE4D5DF">
        <w:rPr>
          <w:lang w:val="en-US"/>
        </w:rPr>
        <w:t>como</w:t>
      </w:r>
      <w:proofErr w:type="gramEnd"/>
      <w:r w:rsidRPr="0FE4D5DF">
        <w:rPr>
          <w:lang w:val="en-US"/>
        </w:rPr>
        <w:t xml:space="preserve"> pasó con el papel, esta tecnología tomó nuevas formas (de plástico a digital) y con ellas, distintas herramientas para poder securitizarlas, como ha sido la inserción de un chip o la tecnología del contactless. Las tarjetas de crédito se convirtieron en el medio de pagos más utilizados en los entornos </w:t>
      </w:r>
      <w:proofErr w:type="gramStart"/>
      <w:r w:rsidRPr="0FE4D5DF">
        <w:rPr>
          <w:lang w:val="en-US"/>
        </w:rPr>
        <w:t>del</w:t>
      </w:r>
      <w:proofErr w:type="gramEnd"/>
      <w:r w:rsidRPr="0FE4D5DF">
        <w:rPr>
          <w:lang w:val="en-US"/>
        </w:rPr>
        <w:t xml:space="preserve"> mundo online, en la mayoría de las webs que posea un e-commerce y en los últimos años, inmersos dentro de los smartphones. El hecho de que esta transformación hacia lo digital funcione y evolucione rápidamente es debido a que prácticamente todo el mundo hoy en día tiene mínimamente </w:t>
      </w:r>
      <w:proofErr w:type="gramStart"/>
      <w:r w:rsidRPr="0FE4D5DF">
        <w:rPr>
          <w:lang w:val="en-US"/>
        </w:rPr>
        <w:t>un</w:t>
      </w:r>
      <w:proofErr w:type="gramEnd"/>
      <w:r w:rsidRPr="0FE4D5DF">
        <w:rPr>
          <w:lang w:val="en-US"/>
        </w:rPr>
        <w:t xml:space="preserve"> dispositivo inteligente en su mano y cada vez más es común poder pagar a través de él, dejando a medios tradicionales de costado.</w:t>
      </w:r>
    </w:p>
    <w:p w14:paraId="1458DC79" w14:textId="77777777" w:rsidR="0035403C" w:rsidRDefault="00D02C31">
      <w:pPr>
        <w:jc w:val="both"/>
      </w:pPr>
      <w:r w:rsidRPr="0FE4D5DF">
        <w:rPr>
          <w:lang w:val="en-US"/>
        </w:rPr>
        <w:t xml:space="preserve">La última tendencia de estas tecnologías de pagos viene de la mano con la adopción de las criptomonedas, exclusivamente impulsado por el conocido Bitcoin y su plataforma Blockchain. Este fue </w:t>
      </w:r>
      <w:proofErr w:type="gramStart"/>
      <w:r w:rsidRPr="0FE4D5DF">
        <w:rPr>
          <w:lang w:val="en-US"/>
        </w:rPr>
        <w:t>un</w:t>
      </w:r>
      <w:proofErr w:type="gramEnd"/>
      <w:r w:rsidRPr="0FE4D5DF">
        <w:rPr>
          <w:lang w:val="en-US"/>
        </w:rPr>
        <w:t xml:space="preserve"> novedoso y revolucionario medio que cada vez está más presente en el consumo de los productos diarios, pagos de servicios, alquileres, etc. Abrió a muchos mercados </w:t>
      </w:r>
      <w:r w:rsidRPr="0FE4D5DF">
        <w:rPr>
          <w:lang w:val="en-US"/>
        </w:rPr>
        <w:lastRenderedPageBreak/>
        <w:t xml:space="preserve">internacionales que antes estaban cerrados o eran inaccesibles, e hizo que muchos de los gobiernos de los diferentes países empiecen </w:t>
      </w:r>
      <w:proofErr w:type="gramStart"/>
      <w:r w:rsidRPr="0FE4D5DF">
        <w:rPr>
          <w:lang w:val="en-US"/>
        </w:rPr>
        <w:t>a</w:t>
      </w:r>
      <w:proofErr w:type="gramEnd"/>
      <w:r w:rsidRPr="0FE4D5DF">
        <w:rPr>
          <w:lang w:val="en-US"/>
        </w:rPr>
        <w:t xml:space="preserve"> embeberse de esta opción. Por último, las llamadas CBDC (Central Bank Digital Currency) las cuales son la evolución digital de las monedas de curso legal, pero con la diferencia de las criptomonedas, estas son controladas por el gobierno de su país y con ayuda de su banco central.</w:t>
      </w:r>
    </w:p>
    <w:p w14:paraId="2A970E22" w14:textId="77777777" w:rsidR="0035403C" w:rsidRDefault="00D02C31">
      <w:pPr>
        <w:jc w:val="both"/>
      </w:pPr>
      <w:r w:rsidRPr="0FE4D5DF">
        <w:rPr>
          <w:lang w:val="en-US"/>
        </w:rPr>
        <w:t xml:space="preserve">En pocas palabras podemos decir que las funciones </w:t>
      </w:r>
      <w:proofErr w:type="gramStart"/>
      <w:r w:rsidRPr="0FE4D5DF">
        <w:rPr>
          <w:lang w:val="en-US"/>
        </w:rPr>
        <w:t>del</w:t>
      </w:r>
      <w:proofErr w:type="gramEnd"/>
      <w:r w:rsidRPr="0FE4D5DF">
        <w:rPr>
          <w:lang w:val="en-US"/>
        </w:rPr>
        <w:t xml:space="preserve"> dinero se resumen en:</w:t>
      </w:r>
    </w:p>
    <w:p w14:paraId="2915F4FA" w14:textId="77777777" w:rsidR="0035403C" w:rsidRDefault="00D02C31" w:rsidP="0FE4D5DF">
      <w:pPr>
        <w:numPr>
          <w:ilvl w:val="0"/>
          <w:numId w:val="38"/>
        </w:numPr>
        <w:pBdr>
          <w:top w:val="nil"/>
          <w:left w:val="nil"/>
          <w:bottom w:val="nil"/>
          <w:right w:val="nil"/>
          <w:between w:val="nil"/>
        </w:pBdr>
        <w:jc w:val="both"/>
        <w:rPr>
          <w:color w:val="000000"/>
          <w:lang w:val="en-US"/>
        </w:rPr>
      </w:pPr>
      <w:proofErr w:type="gramStart"/>
      <w:r w:rsidRPr="0FE4D5DF">
        <w:rPr>
          <w:b/>
          <w:bCs/>
          <w:color w:val="000000" w:themeColor="text1"/>
          <w:lang w:val="en-US"/>
        </w:rPr>
        <w:t>Un</w:t>
      </w:r>
      <w:proofErr w:type="gramEnd"/>
      <w:r w:rsidRPr="0FE4D5DF">
        <w:rPr>
          <w:b/>
          <w:bCs/>
          <w:color w:val="000000" w:themeColor="text1"/>
          <w:lang w:val="en-US"/>
        </w:rPr>
        <w:t xml:space="preserve"> medio de cambio</w:t>
      </w:r>
      <w:r w:rsidRPr="0FE4D5DF">
        <w:rPr>
          <w:color w:val="000000" w:themeColor="text1"/>
          <w:lang w:val="en-US"/>
        </w:rPr>
        <w:t>: la función principal para obtener bienes o servicios, ya que anula el trueque teniendo una mayor convivencia.</w:t>
      </w:r>
    </w:p>
    <w:p w14:paraId="52F52D8F" w14:textId="77777777" w:rsidR="0035403C" w:rsidRDefault="00D02C31" w:rsidP="0FE4D5DF">
      <w:pPr>
        <w:numPr>
          <w:ilvl w:val="0"/>
          <w:numId w:val="38"/>
        </w:numPr>
        <w:pBdr>
          <w:top w:val="nil"/>
          <w:left w:val="nil"/>
          <w:bottom w:val="nil"/>
          <w:right w:val="nil"/>
          <w:between w:val="nil"/>
        </w:pBdr>
        <w:jc w:val="both"/>
        <w:rPr>
          <w:color w:val="000000"/>
          <w:lang w:val="en-US"/>
        </w:rPr>
      </w:pPr>
      <w:r w:rsidRPr="0FE4D5DF">
        <w:rPr>
          <w:b/>
          <w:bCs/>
          <w:color w:val="000000" w:themeColor="text1"/>
          <w:lang w:val="en-US"/>
        </w:rPr>
        <w:t>Una unidad de cuenta</w:t>
      </w:r>
      <w:r w:rsidRPr="0FE4D5DF">
        <w:rPr>
          <w:color w:val="000000" w:themeColor="text1"/>
          <w:lang w:val="en-US"/>
        </w:rPr>
        <w:t>: dependiendo de una cantidad de dinero determinamos el valor o el precio de cualquier bien.</w:t>
      </w:r>
    </w:p>
    <w:p w14:paraId="75D69F28" w14:textId="77777777" w:rsidR="0035403C" w:rsidRDefault="00D02C31" w:rsidP="0FE4D5DF">
      <w:pPr>
        <w:numPr>
          <w:ilvl w:val="0"/>
          <w:numId w:val="38"/>
        </w:numPr>
        <w:pBdr>
          <w:top w:val="nil"/>
          <w:left w:val="nil"/>
          <w:bottom w:val="nil"/>
          <w:right w:val="nil"/>
          <w:between w:val="nil"/>
        </w:pBdr>
        <w:jc w:val="both"/>
        <w:rPr>
          <w:color w:val="000000"/>
          <w:lang w:val="en-US"/>
        </w:rPr>
      </w:pPr>
      <w:proofErr w:type="gramStart"/>
      <w:r w:rsidRPr="0FE4D5DF">
        <w:rPr>
          <w:b/>
          <w:bCs/>
          <w:color w:val="000000" w:themeColor="text1"/>
          <w:lang w:val="en-US"/>
        </w:rPr>
        <w:t>Un</w:t>
      </w:r>
      <w:proofErr w:type="gramEnd"/>
      <w:r w:rsidRPr="0FE4D5DF">
        <w:rPr>
          <w:b/>
          <w:bCs/>
          <w:color w:val="000000" w:themeColor="text1"/>
          <w:lang w:val="en-US"/>
        </w:rPr>
        <w:t xml:space="preserve"> depósito de valor</w:t>
      </w:r>
      <w:r w:rsidRPr="0FE4D5DF">
        <w:rPr>
          <w:color w:val="000000" w:themeColor="text1"/>
          <w:lang w:val="en-US"/>
        </w:rPr>
        <w:t>: Para poder conservar la riqueza podemos ahorrar el dinero obtenido a la largo del tiempo, en muchos casos sin que su valor sufra demasiadas fluctuaciones.</w:t>
      </w:r>
    </w:p>
    <w:p w14:paraId="7385AE9C" w14:textId="77777777" w:rsidR="0035403C" w:rsidRDefault="00D02C31" w:rsidP="0FE4D5DF">
      <w:pPr>
        <w:pStyle w:val="Ttulo2"/>
        <w:rPr>
          <w:lang w:val="en-US"/>
        </w:rPr>
      </w:pPr>
      <w:bookmarkStart w:id="39" w:name="_heading=h.ihv636"/>
      <w:bookmarkEnd w:id="39"/>
      <w:r w:rsidRPr="0FE4D5DF">
        <w:rPr>
          <w:lang w:val="en-US"/>
        </w:rPr>
        <w:t>Reseña histórica sobre las tecnologías de nube</w:t>
      </w:r>
    </w:p>
    <w:p w14:paraId="3B9C795E" w14:textId="77777777" w:rsidR="0035403C" w:rsidRDefault="00D02C31">
      <w:pPr>
        <w:jc w:val="both"/>
      </w:pPr>
      <w:proofErr w:type="gramStart"/>
      <w:r w:rsidRPr="0FE4D5DF">
        <w:rPr>
          <w:lang w:val="en-US"/>
        </w:rPr>
        <w:t>Uno de los principales pilares de la construcción de la humanidad es la comunicación.</w:t>
      </w:r>
      <w:proofErr w:type="gramEnd"/>
      <w:r w:rsidRPr="0FE4D5DF">
        <w:rPr>
          <w:lang w:val="en-US"/>
        </w:rPr>
        <w:t xml:space="preserve"> En manos de la globalización, impulsada por la creación de Arpanet (Advanced Research Projects Agency Network) en la década </w:t>
      </w:r>
      <w:proofErr w:type="gramStart"/>
      <w:r w:rsidRPr="0FE4D5DF">
        <w:rPr>
          <w:lang w:val="en-US"/>
        </w:rPr>
        <w:t>del</w:t>
      </w:r>
      <w:proofErr w:type="gramEnd"/>
      <w:r w:rsidRPr="0FE4D5DF">
        <w:rPr>
          <w:lang w:val="en-US"/>
        </w:rPr>
        <w:t xml:space="preserve"> 60’, y hoy conocida como Internet, hizo que las tecnologías basadas en comunicación tengan las capacidades que tenemos hoy. Con un gran potencial, arrancando con la posibilidad de tener una biblioteca online y gratuita (Proyecto Gutenberg), los primeros envíos de e-mails y la posibilidad de visitar sitios de empresas en línea a través de las famosas “www” (World Wide Web), lograron la masificación del uso de forma mundial y abriendo puertas de todos los colores. Sumado a esto, el aumento de la demanda, la gran mejora de la capacidad de procesamiento de datos y de cómputo, la industrialización de las herramientas tecnológicas haciendo que bajen los precios del hardware, grandes empresas vieron la oportunidad de brindar como servicio muchas de sus plataformas. </w:t>
      </w:r>
      <w:proofErr w:type="gramStart"/>
      <w:r w:rsidRPr="0FE4D5DF">
        <w:rPr>
          <w:lang w:val="en-US"/>
        </w:rPr>
        <w:t>Se pueden clasificar en tres grandes segmentos basados en los servicios de infraestructura que se ponen a disposición de los usuarios, IaaS, PaaS y SaaS.</w:t>
      </w:r>
      <w:proofErr w:type="gramEnd"/>
    </w:p>
    <w:p w14:paraId="66204FF1" w14:textId="77777777" w:rsidR="0035403C" w:rsidRDefault="0035403C">
      <w:pPr>
        <w:jc w:val="both"/>
      </w:pPr>
    </w:p>
    <w:p w14:paraId="53CD4074" w14:textId="77777777" w:rsidR="0035403C" w:rsidRDefault="00D02C31" w:rsidP="0FE4D5DF">
      <w:pPr>
        <w:numPr>
          <w:ilvl w:val="0"/>
          <w:numId w:val="22"/>
        </w:numPr>
        <w:pBdr>
          <w:top w:val="nil"/>
          <w:left w:val="nil"/>
          <w:bottom w:val="nil"/>
          <w:right w:val="nil"/>
          <w:between w:val="nil"/>
        </w:pBdr>
        <w:jc w:val="both"/>
        <w:rPr>
          <w:color w:val="000000"/>
          <w:lang w:val="en-US"/>
        </w:rPr>
      </w:pPr>
      <w:r w:rsidRPr="0FE4D5DF">
        <w:rPr>
          <w:b/>
          <w:bCs/>
          <w:color w:val="000000" w:themeColor="text1"/>
          <w:lang w:val="en-US"/>
        </w:rPr>
        <w:t>IasS – Infrastructure as a Service</w:t>
      </w:r>
      <w:r w:rsidRPr="0FE4D5DF">
        <w:rPr>
          <w:color w:val="000000" w:themeColor="text1"/>
          <w:lang w:val="en-US"/>
        </w:rPr>
        <w:t xml:space="preserve">: en estos servicios la infraestructura brindada por el proveedor es gestionada por el usuario, es decir, que se encarga de gestionar todos los servicios a través de </w:t>
      </w:r>
      <w:proofErr w:type="gramStart"/>
      <w:r w:rsidRPr="0FE4D5DF">
        <w:rPr>
          <w:color w:val="000000" w:themeColor="text1"/>
          <w:lang w:val="en-US"/>
        </w:rPr>
        <w:t>un</w:t>
      </w:r>
      <w:proofErr w:type="gramEnd"/>
      <w:r w:rsidRPr="0FE4D5DF">
        <w:rPr>
          <w:color w:val="000000" w:themeColor="text1"/>
          <w:lang w:val="en-US"/>
        </w:rPr>
        <w:t xml:space="preserve"> enlace a internet. En resumen, el proveedor se encarga de gestionar los sistemas de hardware, los discos, las redes, etc., haciéndose responsable de prevenir todo tipo de interrupciones, reparaciones o problemas que aparezcan en dichos servidores. Del otro lado, el usuario hace </w:t>
      </w:r>
      <w:proofErr w:type="gramStart"/>
      <w:r w:rsidRPr="0FE4D5DF">
        <w:rPr>
          <w:color w:val="000000" w:themeColor="text1"/>
          <w:lang w:val="en-US"/>
        </w:rPr>
        <w:t>uso</w:t>
      </w:r>
      <w:proofErr w:type="gramEnd"/>
      <w:r w:rsidRPr="0FE4D5DF">
        <w:rPr>
          <w:color w:val="000000" w:themeColor="text1"/>
          <w:lang w:val="en-US"/>
        </w:rPr>
        <w:t xml:space="preserve"> de esta plataforma, manteniendo los sistemas operativos, middlewares y aplicaciones.</w:t>
      </w:r>
    </w:p>
    <w:p w14:paraId="7DCFE1BD" w14:textId="77777777" w:rsidR="0035403C" w:rsidRDefault="00D02C31" w:rsidP="0FE4D5DF">
      <w:pPr>
        <w:numPr>
          <w:ilvl w:val="0"/>
          <w:numId w:val="22"/>
        </w:numPr>
        <w:pBdr>
          <w:top w:val="nil"/>
          <w:left w:val="nil"/>
          <w:bottom w:val="nil"/>
          <w:right w:val="nil"/>
          <w:between w:val="nil"/>
        </w:pBdr>
        <w:jc w:val="both"/>
        <w:rPr>
          <w:color w:val="000000"/>
          <w:lang w:val="en-US"/>
        </w:rPr>
      </w:pPr>
      <w:r w:rsidRPr="0FE4D5DF">
        <w:rPr>
          <w:b/>
          <w:bCs/>
          <w:color w:val="000000" w:themeColor="text1"/>
          <w:lang w:val="en-US"/>
        </w:rPr>
        <w:t>PaaS – Platform as a Service</w:t>
      </w:r>
      <w:r w:rsidRPr="0FE4D5DF">
        <w:rPr>
          <w:color w:val="000000" w:themeColor="text1"/>
          <w:lang w:val="en-US"/>
        </w:rPr>
        <w:t xml:space="preserve">: el proveedor de servicios es quien proporciona y gestiona el hardware, y además una plataforma de software de aplicaciones. El usuario final es quien será el que maneje las aplicaciones que se instalen y se ejecuten dentro </w:t>
      </w:r>
      <w:proofErr w:type="gramStart"/>
      <w:r w:rsidRPr="0FE4D5DF">
        <w:rPr>
          <w:color w:val="000000" w:themeColor="text1"/>
          <w:lang w:val="en-US"/>
        </w:rPr>
        <w:t>ella</w:t>
      </w:r>
      <w:proofErr w:type="gramEnd"/>
      <w:r w:rsidRPr="0FE4D5DF">
        <w:rPr>
          <w:color w:val="000000" w:themeColor="text1"/>
          <w:lang w:val="en-US"/>
        </w:rPr>
        <w:t xml:space="preserve">, además de los datos utilizados en su almacenamiento. Normalmente se ofrece a los usuarios una plataforma compartida para desarrollar y gestionar aplicaciones, llamada DevOps. Esta última </w:t>
      </w:r>
      <w:r w:rsidRPr="0FE4D5DF">
        <w:rPr>
          <w:lang w:val="en-US"/>
        </w:rPr>
        <w:t>acompaña</w:t>
      </w:r>
      <w:r w:rsidRPr="0FE4D5DF">
        <w:rPr>
          <w:color w:val="000000" w:themeColor="text1"/>
          <w:lang w:val="en-US"/>
        </w:rPr>
        <w:t xml:space="preserve"> al usuario, ya que no debe diseñar </w:t>
      </w:r>
      <w:proofErr w:type="gramStart"/>
      <w:r w:rsidRPr="0FE4D5DF">
        <w:rPr>
          <w:color w:val="000000" w:themeColor="text1"/>
          <w:lang w:val="en-US"/>
        </w:rPr>
        <w:t>ni</w:t>
      </w:r>
      <w:proofErr w:type="gramEnd"/>
      <w:r w:rsidRPr="0FE4D5DF">
        <w:rPr>
          <w:color w:val="000000" w:themeColor="text1"/>
          <w:lang w:val="en-US"/>
        </w:rPr>
        <w:t xml:space="preserve"> mantener el asociamiento de los procesos de despliegue en los sistemas a implementar.</w:t>
      </w:r>
    </w:p>
    <w:p w14:paraId="6588A725" w14:textId="77777777" w:rsidR="0035403C" w:rsidRDefault="00D02C31" w:rsidP="0FE4D5DF">
      <w:pPr>
        <w:numPr>
          <w:ilvl w:val="0"/>
          <w:numId w:val="22"/>
        </w:numPr>
        <w:pBdr>
          <w:top w:val="nil"/>
          <w:left w:val="nil"/>
          <w:bottom w:val="nil"/>
          <w:right w:val="nil"/>
          <w:between w:val="nil"/>
        </w:pBdr>
        <w:jc w:val="both"/>
        <w:rPr>
          <w:color w:val="000000"/>
          <w:lang w:val="en-US"/>
        </w:rPr>
      </w:pPr>
      <w:r w:rsidRPr="0FE4D5DF">
        <w:rPr>
          <w:b/>
          <w:bCs/>
          <w:color w:val="000000" w:themeColor="text1"/>
          <w:lang w:val="en-US"/>
        </w:rPr>
        <w:lastRenderedPageBreak/>
        <w:t>SaaS – Software as a Service</w:t>
      </w:r>
      <w:r w:rsidRPr="0FE4D5DF">
        <w:rPr>
          <w:color w:val="000000" w:themeColor="text1"/>
          <w:lang w:val="en-US"/>
        </w:rPr>
        <w:t xml:space="preserve">: en </w:t>
      </w:r>
      <w:proofErr w:type="gramStart"/>
      <w:r w:rsidRPr="0FE4D5DF">
        <w:rPr>
          <w:color w:val="000000" w:themeColor="text1"/>
          <w:lang w:val="en-US"/>
        </w:rPr>
        <w:t>este</w:t>
      </w:r>
      <w:proofErr w:type="gramEnd"/>
      <w:r w:rsidRPr="0FE4D5DF">
        <w:rPr>
          <w:color w:val="000000" w:themeColor="text1"/>
          <w:lang w:val="en-US"/>
        </w:rPr>
        <w:t xml:space="preserve"> caso, el proveedor del servicio ofrece al usuario final un software específicamente, el cual es gestionado totalmente por el mismo proveedor. Los casos típicos, son aplicaciones móviles o aplicaciones web, en los que los usuarios pueden acceder a través de </w:t>
      </w:r>
      <w:proofErr w:type="gramStart"/>
      <w:r w:rsidRPr="0FE4D5DF">
        <w:rPr>
          <w:color w:val="000000" w:themeColor="text1"/>
          <w:lang w:val="en-US"/>
        </w:rPr>
        <w:t>un</w:t>
      </w:r>
      <w:proofErr w:type="gramEnd"/>
      <w:r w:rsidRPr="0FE4D5DF">
        <w:rPr>
          <w:color w:val="000000" w:themeColor="text1"/>
          <w:lang w:val="en-US"/>
        </w:rPr>
        <w:t xml:space="preserve"> explorador. El usuario en estos casos es el encargado de las actualizaciones de las versiones </w:t>
      </w:r>
      <w:proofErr w:type="gramStart"/>
      <w:r w:rsidRPr="0FE4D5DF">
        <w:rPr>
          <w:color w:val="000000" w:themeColor="text1"/>
          <w:lang w:val="en-US"/>
        </w:rPr>
        <w:t>del</w:t>
      </w:r>
      <w:proofErr w:type="gramEnd"/>
      <w:r w:rsidRPr="0FE4D5DF">
        <w:rPr>
          <w:color w:val="000000" w:themeColor="text1"/>
          <w:lang w:val="en-US"/>
        </w:rPr>
        <w:t xml:space="preserve"> software, como así también los mantenimientos generales y las correcciones que necesite el código fuente. Por lo general </w:t>
      </w:r>
      <w:proofErr w:type="gramStart"/>
      <w:r w:rsidRPr="0FE4D5DF">
        <w:rPr>
          <w:color w:val="000000" w:themeColor="text1"/>
          <w:lang w:val="en-US"/>
        </w:rPr>
        <w:t>este</w:t>
      </w:r>
      <w:proofErr w:type="gramEnd"/>
      <w:r w:rsidRPr="0FE4D5DF">
        <w:rPr>
          <w:color w:val="000000" w:themeColor="text1"/>
          <w:lang w:val="en-US"/>
        </w:rPr>
        <w:t xml:space="preserve"> servicio elimina la necesidad de la instalación local del sistema.</w:t>
      </w:r>
    </w:p>
    <w:p w14:paraId="2DBF0D7D" w14:textId="77777777" w:rsidR="0035403C" w:rsidRDefault="0035403C">
      <w:pPr>
        <w:jc w:val="both"/>
      </w:pPr>
    </w:p>
    <w:p w14:paraId="2681E8B2" w14:textId="77777777" w:rsidR="0035403C" w:rsidRDefault="00D02C31">
      <w:pPr>
        <w:jc w:val="both"/>
      </w:pPr>
      <w:proofErr w:type="gramStart"/>
      <w:r w:rsidRPr="0FE4D5DF">
        <w:rPr>
          <w:lang w:val="en-US"/>
        </w:rPr>
        <w:t>En la siguiente imagen, podemos observar la diferencia que existe entre cada uno de los modelos ofrecidos hablados previamente.</w:t>
      </w:r>
      <w:proofErr w:type="gramEnd"/>
    </w:p>
    <w:p w14:paraId="6B62F1B3" w14:textId="77777777" w:rsidR="0035403C" w:rsidRDefault="00D02C31">
      <w:pPr>
        <w:keepNext/>
        <w:jc w:val="both"/>
      </w:pPr>
      <w:r>
        <w:rPr>
          <w:noProof/>
          <w:lang w:eastAsia="es-AR"/>
        </w:rPr>
        <w:drawing>
          <wp:inline distT="0" distB="0" distL="0" distR="0" wp14:anchorId="3135F7DF" wp14:editId="07777777">
            <wp:extent cx="5664200" cy="3119120"/>
            <wp:effectExtent l="0" t="0" r="0" b="0"/>
            <wp:docPr id="168" name="image35.png" descr="A diagram of a computer network&#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5.png" descr="A diagram of a computer network&#10;&#10;Description automatically generated"/>
                    <pic:cNvPicPr preferRelativeResize="0"/>
                  </pic:nvPicPr>
                  <pic:blipFill>
                    <a:blip r:embed="rId19"/>
                    <a:srcRect/>
                    <a:stretch>
                      <a:fillRect/>
                    </a:stretch>
                  </pic:blipFill>
                  <pic:spPr>
                    <a:xfrm>
                      <a:off x="0" y="0"/>
                      <a:ext cx="5664200" cy="3119120"/>
                    </a:xfrm>
                    <a:prstGeom prst="rect">
                      <a:avLst/>
                    </a:prstGeom>
                    <a:ln/>
                  </pic:spPr>
                </pic:pic>
              </a:graphicData>
            </a:graphic>
          </wp:inline>
        </w:drawing>
      </w:r>
    </w:p>
    <w:p w14:paraId="3542A5AA" w14:textId="77777777" w:rsidR="0035403C" w:rsidRDefault="00D02C31" w:rsidP="0FE4D5DF">
      <w:pPr>
        <w:pBdr>
          <w:top w:val="nil"/>
          <w:left w:val="nil"/>
          <w:bottom w:val="nil"/>
          <w:right w:val="nil"/>
          <w:between w:val="nil"/>
        </w:pBdr>
        <w:spacing w:after="200"/>
        <w:jc w:val="both"/>
        <w:rPr>
          <w:i/>
          <w:iCs/>
          <w:color w:val="1F497D"/>
          <w:sz w:val="18"/>
          <w:szCs w:val="18"/>
          <w:lang w:val="en-US"/>
        </w:rPr>
      </w:pPr>
      <w:bookmarkStart w:id="40" w:name="_heading=h.32hioqz"/>
      <w:bookmarkEnd w:id="40"/>
      <w:r w:rsidRPr="0FE4D5DF">
        <w:rPr>
          <w:i/>
          <w:iCs/>
          <w:color w:val="1F497D" w:themeColor="text2"/>
          <w:sz w:val="18"/>
          <w:szCs w:val="18"/>
          <w:lang w:val="en-US"/>
        </w:rPr>
        <w:t>Ilustración 8 - Comparación de modelos de nubes (https://fourweekmba.com/es/iaas-frente-a-paas-frente-a-saas)</w:t>
      </w:r>
    </w:p>
    <w:p w14:paraId="6B4F85E0" w14:textId="77777777" w:rsidR="0035403C" w:rsidRDefault="00D02C31" w:rsidP="0FE4D5DF">
      <w:pPr>
        <w:pStyle w:val="Ttulo2"/>
        <w:rPr>
          <w:lang w:val="en-US"/>
        </w:rPr>
      </w:pPr>
      <w:bookmarkStart w:id="41" w:name="_heading=h.1hmsyys"/>
      <w:bookmarkEnd w:id="41"/>
      <w:r w:rsidRPr="0FE4D5DF">
        <w:rPr>
          <w:lang w:val="en-US"/>
        </w:rPr>
        <w:t>Tendencias en la nube</w:t>
      </w:r>
    </w:p>
    <w:p w14:paraId="22789007" w14:textId="77777777" w:rsidR="0035403C" w:rsidRDefault="00D02C31">
      <w:pPr>
        <w:jc w:val="both"/>
      </w:pPr>
      <w:r w:rsidRPr="0FE4D5DF">
        <w:rPr>
          <w:lang w:val="en-US"/>
        </w:rPr>
        <w:t>Las tendencias de hoy en día basándonos en las tecnologías de la información sobre la nube son:</w:t>
      </w:r>
    </w:p>
    <w:p w14:paraId="2FF25A1D" w14:textId="77777777" w:rsidR="0035403C" w:rsidRDefault="00D02C31" w:rsidP="0FE4D5DF">
      <w:pPr>
        <w:numPr>
          <w:ilvl w:val="0"/>
          <w:numId w:val="24"/>
        </w:numPr>
        <w:pBdr>
          <w:top w:val="nil"/>
          <w:left w:val="nil"/>
          <w:bottom w:val="nil"/>
          <w:right w:val="nil"/>
          <w:between w:val="nil"/>
        </w:pBdr>
        <w:jc w:val="both"/>
        <w:rPr>
          <w:color w:val="000000"/>
          <w:lang w:val="en-US"/>
        </w:rPr>
      </w:pPr>
      <w:r w:rsidRPr="0FE4D5DF">
        <w:rPr>
          <w:b/>
          <w:bCs/>
          <w:color w:val="000000" w:themeColor="text1"/>
          <w:lang w:val="en-US"/>
        </w:rPr>
        <w:t>Cloud Computing</w:t>
      </w:r>
      <w:r w:rsidRPr="0FE4D5DF">
        <w:rPr>
          <w:color w:val="000000" w:themeColor="text1"/>
          <w:lang w:val="en-US"/>
        </w:rPr>
        <w:t xml:space="preserve">: la idea principal es que se pueda compartir el hardware que posee una computadora, </w:t>
      </w:r>
      <w:proofErr w:type="gramStart"/>
      <w:r w:rsidRPr="0FE4D5DF">
        <w:rPr>
          <w:color w:val="000000" w:themeColor="text1"/>
          <w:lang w:val="en-US"/>
        </w:rPr>
        <w:t>como</w:t>
      </w:r>
      <w:proofErr w:type="gramEnd"/>
      <w:r w:rsidRPr="0FE4D5DF">
        <w:rPr>
          <w:color w:val="000000" w:themeColor="text1"/>
          <w:lang w:val="en-US"/>
        </w:rPr>
        <w:t xml:space="preserve"> por ejemplo su memoria RAM, su procesador o sus medios de almacenamiento.</w:t>
      </w:r>
    </w:p>
    <w:p w14:paraId="4B3618EC" w14:textId="77777777" w:rsidR="0035403C" w:rsidRDefault="00D02C31" w:rsidP="0FE4D5DF">
      <w:pPr>
        <w:numPr>
          <w:ilvl w:val="0"/>
          <w:numId w:val="24"/>
        </w:numPr>
        <w:pBdr>
          <w:top w:val="nil"/>
          <w:left w:val="nil"/>
          <w:bottom w:val="nil"/>
          <w:right w:val="nil"/>
          <w:between w:val="nil"/>
        </w:pBdr>
        <w:jc w:val="both"/>
        <w:rPr>
          <w:color w:val="000000"/>
          <w:lang w:val="en-US"/>
        </w:rPr>
      </w:pPr>
      <w:r w:rsidRPr="0FE4D5DF">
        <w:rPr>
          <w:b/>
          <w:bCs/>
          <w:color w:val="000000" w:themeColor="text1"/>
          <w:lang w:val="en-US"/>
        </w:rPr>
        <w:t>Big Data</w:t>
      </w:r>
      <w:r w:rsidRPr="0FE4D5DF">
        <w:rPr>
          <w:color w:val="000000" w:themeColor="text1"/>
          <w:lang w:val="en-US"/>
        </w:rPr>
        <w:t xml:space="preserve">: su concepto refiere a la posibilidad de utilizar nuevas tecnologías para el procesamiento de datos almacenados </w:t>
      </w:r>
      <w:proofErr w:type="gramStart"/>
      <w:r w:rsidRPr="0FE4D5DF">
        <w:rPr>
          <w:color w:val="000000" w:themeColor="text1"/>
          <w:lang w:val="en-US"/>
        </w:rPr>
        <w:t>durante</w:t>
      </w:r>
      <w:proofErr w:type="gramEnd"/>
      <w:r w:rsidRPr="0FE4D5DF">
        <w:rPr>
          <w:color w:val="000000" w:themeColor="text1"/>
          <w:lang w:val="en-US"/>
        </w:rPr>
        <w:t xml:space="preserve"> decenas de años, o en casos aplicados hoy en día, sobre la cantidad de operaciones por segundos que se procesan dentro de muchos sistemas. </w:t>
      </w:r>
    </w:p>
    <w:p w14:paraId="3296704A" w14:textId="77777777" w:rsidR="0035403C" w:rsidRDefault="00D02C31" w:rsidP="0FE4D5DF">
      <w:pPr>
        <w:numPr>
          <w:ilvl w:val="0"/>
          <w:numId w:val="24"/>
        </w:numPr>
        <w:pBdr>
          <w:top w:val="nil"/>
          <w:left w:val="nil"/>
          <w:bottom w:val="nil"/>
          <w:right w:val="nil"/>
          <w:between w:val="nil"/>
        </w:pBdr>
        <w:jc w:val="both"/>
        <w:rPr>
          <w:color w:val="000000"/>
          <w:lang w:val="en-US"/>
        </w:rPr>
      </w:pPr>
      <w:r w:rsidRPr="0FE4D5DF">
        <w:rPr>
          <w:b/>
          <w:bCs/>
          <w:color w:val="000000" w:themeColor="text1"/>
          <w:lang w:val="en-US"/>
        </w:rPr>
        <w:t>Internet of Things</w:t>
      </w:r>
      <w:r w:rsidRPr="0FE4D5DF">
        <w:rPr>
          <w:color w:val="000000" w:themeColor="text1"/>
          <w:lang w:val="en-US"/>
        </w:rPr>
        <w:t xml:space="preserve">: todos aquellos dispositivos que están conectados a una red, los cuales </w:t>
      </w:r>
      <w:r w:rsidRPr="0FE4D5DF">
        <w:rPr>
          <w:lang w:val="en-US"/>
        </w:rPr>
        <w:t>están</w:t>
      </w:r>
      <w:r w:rsidRPr="0FE4D5DF">
        <w:rPr>
          <w:color w:val="000000" w:themeColor="text1"/>
          <w:lang w:val="en-US"/>
        </w:rPr>
        <w:t xml:space="preserve"> embebidos de sensores, software y otras tecnologías, y tienen la particularidad y el propósito de intercambiar constantemente información.</w:t>
      </w:r>
    </w:p>
    <w:p w14:paraId="53A2D41C" w14:textId="77777777" w:rsidR="0035403C" w:rsidRDefault="00D02C31" w:rsidP="0FE4D5DF">
      <w:pPr>
        <w:numPr>
          <w:ilvl w:val="0"/>
          <w:numId w:val="24"/>
        </w:numPr>
        <w:pBdr>
          <w:top w:val="nil"/>
          <w:left w:val="nil"/>
          <w:bottom w:val="nil"/>
          <w:right w:val="nil"/>
          <w:between w:val="nil"/>
        </w:pBdr>
        <w:jc w:val="both"/>
        <w:rPr>
          <w:color w:val="000000"/>
          <w:lang w:val="en-US"/>
        </w:rPr>
      </w:pPr>
      <w:r w:rsidRPr="0FE4D5DF">
        <w:rPr>
          <w:b/>
          <w:bCs/>
          <w:color w:val="000000" w:themeColor="text1"/>
          <w:lang w:val="en-US"/>
        </w:rPr>
        <w:t>Artificial Inteligence</w:t>
      </w:r>
      <w:r w:rsidRPr="0FE4D5DF">
        <w:rPr>
          <w:color w:val="000000" w:themeColor="text1"/>
          <w:lang w:val="en-US"/>
        </w:rPr>
        <w:t xml:space="preserve">: es un campo donde se combina la ciencia de la computación y los robustos almacenes de datos, para poder resolver diferentes problemas, teniendo como </w:t>
      </w:r>
      <w:r w:rsidRPr="0FE4D5DF">
        <w:rPr>
          <w:color w:val="000000" w:themeColor="text1"/>
          <w:lang w:val="en-US"/>
        </w:rPr>
        <w:lastRenderedPageBreak/>
        <w:t>principal hito, que los sistemas piensen y actúen como los humanos, es decir que posean racionalidad sobre lo que se va a estudiar.</w:t>
      </w:r>
    </w:p>
    <w:p w14:paraId="22890C98" w14:textId="77777777" w:rsidR="0035403C" w:rsidRDefault="00D02C31" w:rsidP="0FE4D5DF">
      <w:pPr>
        <w:numPr>
          <w:ilvl w:val="0"/>
          <w:numId w:val="24"/>
        </w:numPr>
        <w:pBdr>
          <w:top w:val="nil"/>
          <w:left w:val="nil"/>
          <w:bottom w:val="nil"/>
          <w:right w:val="nil"/>
          <w:between w:val="nil"/>
        </w:pBdr>
        <w:jc w:val="both"/>
        <w:rPr>
          <w:color w:val="000000"/>
          <w:lang w:val="en-US"/>
        </w:rPr>
      </w:pPr>
      <w:r w:rsidRPr="0FE4D5DF">
        <w:rPr>
          <w:b/>
          <w:bCs/>
          <w:color w:val="000000" w:themeColor="text1"/>
          <w:lang w:val="en-US"/>
        </w:rPr>
        <w:t>Ciber Security</w:t>
      </w:r>
      <w:r w:rsidRPr="0FE4D5DF">
        <w:rPr>
          <w:color w:val="000000" w:themeColor="text1"/>
          <w:lang w:val="en-US"/>
        </w:rPr>
        <w:t>: es el conjunto de buenas prácticas, procesos, controles y formas de securitizar y proteger a toda organización y sus empleados contra ataques cibernéticos.</w:t>
      </w:r>
    </w:p>
    <w:p w14:paraId="2ACA426F" w14:textId="77777777" w:rsidR="0035403C" w:rsidRDefault="00D02C31" w:rsidP="0FE4D5DF">
      <w:pPr>
        <w:pStyle w:val="Ttulo2"/>
        <w:rPr>
          <w:lang w:val="en-US"/>
        </w:rPr>
      </w:pPr>
      <w:bookmarkStart w:id="42" w:name="_heading=h.41mghml"/>
      <w:bookmarkEnd w:id="42"/>
      <w:r w:rsidRPr="0FE4D5DF">
        <w:rPr>
          <w:lang w:val="en-US"/>
        </w:rPr>
        <w:t>Competidores y su elección</w:t>
      </w:r>
    </w:p>
    <w:p w14:paraId="30D2CEC0" w14:textId="77777777" w:rsidR="0035403C" w:rsidRDefault="00D02C31">
      <w:pPr>
        <w:jc w:val="both"/>
      </w:pPr>
      <w:r w:rsidRPr="0FE4D5DF">
        <w:rPr>
          <w:lang w:val="en-US"/>
        </w:rPr>
        <w:t>Las tres compañías más grandes que se destacan y que ofrecen servicios públicos en la nube son Amazon con AWS, Google con GCP y Microsoft con Azure. Salieron al mercado con diferentes ofertas, aunque muy similares entre los servicios brindados, pero que varían en precio, adaptabilidad y performance, entre otros. En la siguiente imagen podemos ver que las tres empresas prestan los mismos servicios, pero cada uno de ellos con el nombre propio de la marca que lo representa:</w:t>
      </w:r>
    </w:p>
    <w:p w14:paraId="02F2C34E" w14:textId="77777777" w:rsidR="0035403C" w:rsidRDefault="0035403C">
      <w:pPr>
        <w:jc w:val="both"/>
      </w:pPr>
    </w:p>
    <w:p w14:paraId="680A4E5D" w14:textId="77777777" w:rsidR="0035403C" w:rsidRDefault="00D02C31">
      <w:pPr>
        <w:keepNext/>
        <w:jc w:val="both"/>
      </w:pPr>
      <w:r>
        <w:rPr>
          <w:noProof/>
          <w:lang w:eastAsia="es-AR"/>
        </w:rPr>
        <w:drawing>
          <wp:inline distT="0" distB="0" distL="0" distR="0" wp14:anchorId="59667F24" wp14:editId="07777777">
            <wp:extent cx="5664200" cy="3326130"/>
            <wp:effectExtent l="0" t="0" r="0" b="0"/>
            <wp:docPr id="172" name="image33.png" descr="A table with text and images&#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33.png" descr="A table with text and images&#10;&#10;Description automatically generated with medium confidence"/>
                    <pic:cNvPicPr preferRelativeResize="0"/>
                  </pic:nvPicPr>
                  <pic:blipFill>
                    <a:blip r:embed="rId20"/>
                    <a:srcRect/>
                    <a:stretch>
                      <a:fillRect/>
                    </a:stretch>
                  </pic:blipFill>
                  <pic:spPr>
                    <a:xfrm>
                      <a:off x="0" y="0"/>
                      <a:ext cx="5664200" cy="3326130"/>
                    </a:xfrm>
                    <a:prstGeom prst="rect">
                      <a:avLst/>
                    </a:prstGeom>
                    <a:ln/>
                  </pic:spPr>
                </pic:pic>
              </a:graphicData>
            </a:graphic>
          </wp:inline>
        </w:drawing>
      </w:r>
    </w:p>
    <w:p w14:paraId="3DD83C1B" w14:textId="77777777" w:rsidR="0035403C" w:rsidRDefault="00D02C31" w:rsidP="0FE4D5DF">
      <w:pPr>
        <w:pBdr>
          <w:top w:val="nil"/>
          <w:left w:val="nil"/>
          <w:bottom w:val="nil"/>
          <w:right w:val="nil"/>
          <w:between w:val="nil"/>
        </w:pBdr>
        <w:spacing w:after="200"/>
        <w:jc w:val="both"/>
        <w:rPr>
          <w:i/>
          <w:iCs/>
          <w:color w:val="1F497D"/>
          <w:sz w:val="18"/>
          <w:szCs w:val="18"/>
          <w:lang w:val="en-US"/>
        </w:rPr>
      </w:pPr>
      <w:bookmarkStart w:id="43" w:name="_heading=h.2grqrue"/>
      <w:bookmarkEnd w:id="43"/>
      <w:r w:rsidRPr="0FE4D5DF">
        <w:rPr>
          <w:i/>
          <w:iCs/>
          <w:color w:val="1F497D" w:themeColor="text2"/>
          <w:sz w:val="18"/>
          <w:szCs w:val="18"/>
          <w:lang w:val="en-US"/>
        </w:rPr>
        <w:t>Ilustración 9 - Comparación de servicios entre proveedores (https://adex.ltd/microsoft-azure-vs-aws-vs-google-cloud)</w:t>
      </w:r>
    </w:p>
    <w:p w14:paraId="340FAD9A" w14:textId="77777777" w:rsidR="0035403C" w:rsidRDefault="00D02C31">
      <w:pPr>
        <w:jc w:val="both"/>
      </w:pPr>
      <w:r w:rsidRPr="0FE4D5DF">
        <w:rPr>
          <w:lang w:val="en-US"/>
        </w:rPr>
        <w:t xml:space="preserve">La elección de la nube adecuada a cada tipo de empresa es </w:t>
      </w:r>
      <w:proofErr w:type="gramStart"/>
      <w:r w:rsidRPr="0FE4D5DF">
        <w:rPr>
          <w:lang w:val="en-US"/>
        </w:rPr>
        <w:t>un</w:t>
      </w:r>
      <w:proofErr w:type="gramEnd"/>
      <w:r w:rsidRPr="0FE4D5DF">
        <w:rPr>
          <w:lang w:val="en-US"/>
        </w:rPr>
        <w:t xml:space="preserve"> tanto difícil para poder estandarizar una única plataforma. Estos son algunos de los elementos más importantes en la evolución de la nube que brindan los proveedores y que los usuarios necesitan ser acompañados:</w:t>
      </w:r>
    </w:p>
    <w:p w14:paraId="00125731" w14:textId="77777777" w:rsidR="0035403C" w:rsidRDefault="00D02C31" w:rsidP="0FE4D5DF">
      <w:pPr>
        <w:numPr>
          <w:ilvl w:val="0"/>
          <w:numId w:val="6"/>
        </w:numPr>
        <w:pBdr>
          <w:top w:val="nil"/>
          <w:left w:val="nil"/>
          <w:bottom w:val="nil"/>
          <w:right w:val="nil"/>
          <w:between w:val="nil"/>
        </w:pBdr>
        <w:jc w:val="both"/>
        <w:rPr>
          <w:color w:val="000000"/>
          <w:lang w:val="en-US"/>
        </w:rPr>
      </w:pPr>
      <w:r w:rsidRPr="0FE4D5DF">
        <w:rPr>
          <w:color w:val="000000" w:themeColor="text1"/>
          <w:lang w:val="en-US"/>
        </w:rPr>
        <w:t>Plano de gestión unificado</w:t>
      </w:r>
    </w:p>
    <w:p w14:paraId="0EEE31F3" w14:textId="77777777" w:rsidR="0035403C" w:rsidRDefault="00D02C31" w:rsidP="0FE4D5DF">
      <w:pPr>
        <w:numPr>
          <w:ilvl w:val="0"/>
          <w:numId w:val="6"/>
        </w:numPr>
        <w:pBdr>
          <w:top w:val="nil"/>
          <w:left w:val="nil"/>
          <w:bottom w:val="nil"/>
          <w:right w:val="nil"/>
          <w:between w:val="nil"/>
        </w:pBdr>
        <w:jc w:val="both"/>
        <w:rPr>
          <w:color w:val="000000"/>
          <w:lang w:val="en-US"/>
        </w:rPr>
      </w:pPr>
      <w:r w:rsidRPr="0FE4D5DF">
        <w:rPr>
          <w:color w:val="000000" w:themeColor="text1"/>
          <w:lang w:val="en-US"/>
        </w:rPr>
        <w:t>API, servicios, políticas y arquitecturas abiertas comunes. </w:t>
      </w:r>
    </w:p>
    <w:p w14:paraId="5067FA8E" w14:textId="77777777" w:rsidR="0035403C" w:rsidRDefault="00D02C31" w:rsidP="0FE4D5DF">
      <w:pPr>
        <w:numPr>
          <w:ilvl w:val="0"/>
          <w:numId w:val="6"/>
        </w:numPr>
        <w:pBdr>
          <w:top w:val="nil"/>
          <w:left w:val="nil"/>
          <w:bottom w:val="nil"/>
          <w:right w:val="nil"/>
          <w:between w:val="nil"/>
        </w:pBdr>
        <w:jc w:val="both"/>
        <w:rPr>
          <w:color w:val="000000"/>
          <w:lang w:val="en-US"/>
        </w:rPr>
      </w:pPr>
      <w:r w:rsidRPr="0FE4D5DF">
        <w:rPr>
          <w:color w:val="000000" w:themeColor="text1"/>
          <w:lang w:val="en-US"/>
        </w:rPr>
        <w:t>Potente automatización gracias a la IA. </w:t>
      </w:r>
    </w:p>
    <w:p w14:paraId="3977B5B1" w14:textId="77777777" w:rsidR="0035403C" w:rsidRDefault="00D02C31" w:rsidP="0FE4D5DF">
      <w:pPr>
        <w:numPr>
          <w:ilvl w:val="0"/>
          <w:numId w:val="6"/>
        </w:numPr>
        <w:pBdr>
          <w:top w:val="nil"/>
          <w:left w:val="nil"/>
          <w:bottom w:val="nil"/>
          <w:right w:val="nil"/>
          <w:between w:val="nil"/>
        </w:pBdr>
        <w:jc w:val="both"/>
        <w:rPr>
          <w:color w:val="000000"/>
          <w:lang w:val="en-US"/>
        </w:rPr>
      </w:pPr>
      <w:r w:rsidRPr="0FE4D5DF">
        <w:rPr>
          <w:color w:val="000000" w:themeColor="text1"/>
          <w:lang w:val="en-US"/>
        </w:rPr>
        <w:t>Sencillez de integración, gestión y movimiento de datos. </w:t>
      </w:r>
    </w:p>
    <w:p w14:paraId="769A837F" w14:textId="77777777" w:rsidR="0035403C" w:rsidRDefault="00D02C31" w:rsidP="0FE4D5DF">
      <w:pPr>
        <w:numPr>
          <w:ilvl w:val="0"/>
          <w:numId w:val="6"/>
        </w:numPr>
        <w:pBdr>
          <w:top w:val="nil"/>
          <w:left w:val="nil"/>
          <w:bottom w:val="nil"/>
          <w:right w:val="nil"/>
          <w:between w:val="nil"/>
        </w:pBdr>
        <w:jc w:val="both"/>
        <w:rPr>
          <w:color w:val="000000"/>
          <w:lang w:val="en-US"/>
        </w:rPr>
      </w:pPr>
      <w:r w:rsidRPr="0FE4D5DF">
        <w:rPr>
          <w:color w:val="000000" w:themeColor="text1"/>
          <w:lang w:val="en-US"/>
        </w:rPr>
        <w:t>Sostenibilidad y huella ecológica.</w:t>
      </w:r>
    </w:p>
    <w:p w14:paraId="69FDA0A4" w14:textId="77777777" w:rsidR="0035403C" w:rsidRDefault="00D02C31" w:rsidP="0FE4D5DF">
      <w:pPr>
        <w:numPr>
          <w:ilvl w:val="0"/>
          <w:numId w:val="6"/>
        </w:numPr>
        <w:pBdr>
          <w:top w:val="nil"/>
          <w:left w:val="nil"/>
          <w:bottom w:val="nil"/>
          <w:right w:val="nil"/>
          <w:between w:val="nil"/>
        </w:pBdr>
        <w:jc w:val="both"/>
        <w:rPr>
          <w:color w:val="000000"/>
          <w:lang w:val="en-US"/>
        </w:rPr>
      </w:pPr>
      <w:r w:rsidRPr="0FE4D5DF">
        <w:rPr>
          <w:color w:val="000000" w:themeColor="text1"/>
          <w:lang w:val="en-US"/>
        </w:rPr>
        <w:t>Automatización de procesos.</w:t>
      </w:r>
    </w:p>
    <w:p w14:paraId="4878ED4F" w14:textId="77777777" w:rsidR="0035403C" w:rsidRDefault="00D02C31" w:rsidP="0FE4D5DF">
      <w:pPr>
        <w:numPr>
          <w:ilvl w:val="0"/>
          <w:numId w:val="6"/>
        </w:numPr>
        <w:pBdr>
          <w:top w:val="nil"/>
          <w:left w:val="nil"/>
          <w:bottom w:val="nil"/>
          <w:right w:val="nil"/>
          <w:between w:val="nil"/>
        </w:pBdr>
        <w:jc w:val="both"/>
        <w:rPr>
          <w:color w:val="000000"/>
          <w:lang w:val="en-US"/>
        </w:rPr>
      </w:pPr>
      <w:r w:rsidRPr="0FE4D5DF">
        <w:rPr>
          <w:color w:val="000000" w:themeColor="text1"/>
          <w:lang w:val="en-US"/>
        </w:rPr>
        <w:lastRenderedPageBreak/>
        <w:t>Libertad y flexibilidad.</w:t>
      </w:r>
    </w:p>
    <w:p w14:paraId="66A8BF8D" w14:textId="77777777" w:rsidR="0035403C" w:rsidRDefault="00D02C31" w:rsidP="0FE4D5DF">
      <w:pPr>
        <w:numPr>
          <w:ilvl w:val="0"/>
          <w:numId w:val="6"/>
        </w:numPr>
        <w:pBdr>
          <w:top w:val="nil"/>
          <w:left w:val="nil"/>
          <w:bottom w:val="nil"/>
          <w:right w:val="nil"/>
          <w:between w:val="nil"/>
        </w:pBdr>
        <w:jc w:val="both"/>
        <w:rPr>
          <w:color w:val="000000"/>
          <w:lang w:val="en-US"/>
        </w:rPr>
      </w:pPr>
      <w:r w:rsidRPr="0FE4D5DF">
        <w:rPr>
          <w:color w:val="000000" w:themeColor="text1"/>
          <w:lang w:val="en-US"/>
        </w:rPr>
        <w:t>Resiliencia digital y crecimiento horizontal.</w:t>
      </w:r>
    </w:p>
    <w:p w14:paraId="4F6E6B17" w14:textId="77777777" w:rsidR="0035403C" w:rsidRDefault="00D02C31" w:rsidP="0FE4D5DF">
      <w:pPr>
        <w:numPr>
          <w:ilvl w:val="0"/>
          <w:numId w:val="6"/>
        </w:numPr>
        <w:pBdr>
          <w:top w:val="nil"/>
          <w:left w:val="nil"/>
          <w:bottom w:val="nil"/>
          <w:right w:val="nil"/>
          <w:between w:val="nil"/>
        </w:pBdr>
        <w:jc w:val="both"/>
        <w:rPr>
          <w:color w:val="000000"/>
          <w:lang w:val="en-US"/>
        </w:rPr>
      </w:pPr>
      <w:r w:rsidRPr="0FE4D5DF">
        <w:rPr>
          <w:color w:val="000000" w:themeColor="text1"/>
          <w:lang w:val="en-US"/>
        </w:rPr>
        <w:t>Innovación, adopción de nuevas tecnologías y velocidad.</w:t>
      </w:r>
    </w:p>
    <w:p w14:paraId="19219836" w14:textId="77777777" w:rsidR="0035403C" w:rsidRDefault="0035403C">
      <w:pPr>
        <w:jc w:val="both"/>
      </w:pPr>
    </w:p>
    <w:p w14:paraId="492F2485" w14:textId="77777777" w:rsidR="0035403C" w:rsidRDefault="00D02C31">
      <w:pPr>
        <w:jc w:val="both"/>
      </w:pPr>
      <w:r w:rsidRPr="0FE4D5DF">
        <w:rPr>
          <w:lang w:val="en-US"/>
        </w:rPr>
        <w:t xml:space="preserve">Otro de los puntos importante en los modelos de adopción, puede ser la obligatoriedad de que los datos sensibles a utilizar por el dueño de la información se encuentren dentro de </w:t>
      </w:r>
      <w:proofErr w:type="gramStart"/>
      <w:r w:rsidRPr="0FE4D5DF">
        <w:rPr>
          <w:lang w:val="en-US"/>
        </w:rPr>
        <w:t>un</w:t>
      </w:r>
      <w:proofErr w:type="gramEnd"/>
      <w:r w:rsidRPr="0FE4D5DF">
        <w:rPr>
          <w:lang w:val="en-US"/>
        </w:rPr>
        <w:t xml:space="preserve"> país debido a sus leyes. Para </w:t>
      </w:r>
      <w:proofErr w:type="gramStart"/>
      <w:r w:rsidRPr="0FE4D5DF">
        <w:rPr>
          <w:lang w:val="en-US"/>
        </w:rPr>
        <w:t>este</w:t>
      </w:r>
      <w:proofErr w:type="gramEnd"/>
      <w:r w:rsidRPr="0FE4D5DF">
        <w:rPr>
          <w:lang w:val="en-US"/>
        </w:rPr>
        <w:t xml:space="preserve"> enfoque se debe tratar en dónde se encuentran alojados estos servicios de nube y para ello desarrollaremos brevemente estos términos:</w:t>
      </w:r>
    </w:p>
    <w:p w14:paraId="424AE250" w14:textId="77777777" w:rsidR="0035403C" w:rsidRDefault="00D02C31" w:rsidP="0FE4D5DF">
      <w:pPr>
        <w:numPr>
          <w:ilvl w:val="0"/>
          <w:numId w:val="17"/>
        </w:numPr>
        <w:pBdr>
          <w:top w:val="nil"/>
          <w:left w:val="nil"/>
          <w:bottom w:val="nil"/>
          <w:right w:val="nil"/>
          <w:between w:val="nil"/>
        </w:pBdr>
        <w:jc w:val="both"/>
        <w:rPr>
          <w:color w:val="000000"/>
          <w:lang w:val="en-US"/>
        </w:rPr>
      </w:pPr>
      <w:r w:rsidRPr="0FE4D5DF">
        <w:rPr>
          <w:b/>
          <w:bCs/>
          <w:color w:val="000000" w:themeColor="text1"/>
          <w:lang w:val="en-US"/>
        </w:rPr>
        <w:t>On-premises</w:t>
      </w:r>
      <w:r w:rsidRPr="0FE4D5DF">
        <w:rPr>
          <w:color w:val="000000" w:themeColor="text1"/>
          <w:lang w:val="en-US"/>
        </w:rPr>
        <w:t xml:space="preserve">: utilización </w:t>
      </w:r>
      <w:proofErr w:type="gramStart"/>
      <w:r w:rsidRPr="0FE4D5DF">
        <w:rPr>
          <w:color w:val="000000" w:themeColor="text1"/>
          <w:lang w:val="en-US"/>
        </w:rPr>
        <w:t>del</w:t>
      </w:r>
      <w:proofErr w:type="gramEnd"/>
      <w:r w:rsidRPr="0FE4D5DF">
        <w:rPr>
          <w:color w:val="000000" w:themeColor="text1"/>
          <w:lang w:val="en-US"/>
        </w:rPr>
        <w:t xml:space="preserve"> entorno dentro de la infraestructura privada del cliente.</w:t>
      </w:r>
    </w:p>
    <w:p w14:paraId="4AE56E5B" w14:textId="77777777" w:rsidR="0035403C" w:rsidRDefault="00D02C31" w:rsidP="0FE4D5DF">
      <w:pPr>
        <w:numPr>
          <w:ilvl w:val="0"/>
          <w:numId w:val="6"/>
        </w:numPr>
        <w:pBdr>
          <w:top w:val="nil"/>
          <w:left w:val="nil"/>
          <w:bottom w:val="nil"/>
          <w:right w:val="nil"/>
          <w:between w:val="nil"/>
        </w:pBdr>
        <w:jc w:val="both"/>
        <w:rPr>
          <w:color w:val="000000"/>
          <w:lang w:val="en-US"/>
        </w:rPr>
      </w:pPr>
      <w:r w:rsidRPr="0FE4D5DF">
        <w:rPr>
          <w:b/>
          <w:bCs/>
          <w:color w:val="000000" w:themeColor="text1"/>
          <w:lang w:val="en-US"/>
        </w:rPr>
        <w:t>Nube pública</w:t>
      </w:r>
      <w:r w:rsidRPr="0FE4D5DF">
        <w:rPr>
          <w:color w:val="000000" w:themeColor="text1"/>
          <w:lang w:val="en-US"/>
        </w:rPr>
        <w:t xml:space="preserve">: utilización </w:t>
      </w:r>
      <w:proofErr w:type="gramStart"/>
      <w:r w:rsidRPr="0FE4D5DF">
        <w:rPr>
          <w:color w:val="000000" w:themeColor="text1"/>
          <w:lang w:val="en-US"/>
        </w:rPr>
        <w:t>del</w:t>
      </w:r>
      <w:proofErr w:type="gramEnd"/>
      <w:r w:rsidRPr="0FE4D5DF">
        <w:rPr>
          <w:color w:val="000000" w:themeColor="text1"/>
          <w:lang w:val="en-US"/>
        </w:rPr>
        <w:t xml:space="preserve"> entorno de forma pública.</w:t>
      </w:r>
    </w:p>
    <w:p w14:paraId="7F7EBDC3" w14:textId="77777777" w:rsidR="0035403C" w:rsidRDefault="00D02C31" w:rsidP="0FE4D5DF">
      <w:pPr>
        <w:numPr>
          <w:ilvl w:val="0"/>
          <w:numId w:val="6"/>
        </w:numPr>
        <w:pBdr>
          <w:top w:val="nil"/>
          <w:left w:val="nil"/>
          <w:bottom w:val="nil"/>
          <w:right w:val="nil"/>
          <w:between w:val="nil"/>
        </w:pBdr>
        <w:jc w:val="both"/>
        <w:rPr>
          <w:color w:val="000000"/>
          <w:lang w:val="en-US"/>
        </w:rPr>
      </w:pPr>
      <w:r w:rsidRPr="0FE4D5DF">
        <w:rPr>
          <w:b/>
          <w:bCs/>
          <w:color w:val="000000" w:themeColor="text1"/>
          <w:lang w:val="en-US"/>
        </w:rPr>
        <w:t>Nube híbrida</w:t>
      </w:r>
      <w:r w:rsidRPr="0FE4D5DF">
        <w:rPr>
          <w:color w:val="000000" w:themeColor="text1"/>
          <w:lang w:val="en-US"/>
        </w:rPr>
        <w:t xml:space="preserve">: se utiliza una combinación </w:t>
      </w:r>
      <w:proofErr w:type="gramStart"/>
      <w:r w:rsidRPr="0FE4D5DF">
        <w:rPr>
          <w:color w:val="000000" w:themeColor="text1"/>
          <w:lang w:val="en-US"/>
        </w:rPr>
        <w:t>del</w:t>
      </w:r>
      <w:proofErr w:type="gramEnd"/>
      <w:r w:rsidRPr="0FE4D5DF">
        <w:rPr>
          <w:color w:val="000000" w:themeColor="text1"/>
          <w:lang w:val="en-US"/>
        </w:rPr>
        <w:t xml:space="preserve"> entorno on-premises y nube.</w:t>
      </w:r>
    </w:p>
    <w:p w14:paraId="5ABDBEEB" w14:textId="77777777" w:rsidR="0035403C" w:rsidRDefault="00D02C31" w:rsidP="0FE4D5DF">
      <w:pPr>
        <w:numPr>
          <w:ilvl w:val="0"/>
          <w:numId w:val="6"/>
        </w:numPr>
        <w:pBdr>
          <w:top w:val="nil"/>
          <w:left w:val="nil"/>
          <w:bottom w:val="nil"/>
          <w:right w:val="nil"/>
          <w:between w:val="nil"/>
        </w:pBdr>
        <w:jc w:val="both"/>
        <w:rPr>
          <w:color w:val="000000"/>
          <w:lang w:val="en-US"/>
        </w:rPr>
      </w:pPr>
      <w:r w:rsidRPr="0FE4D5DF">
        <w:rPr>
          <w:b/>
          <w:bCs/>
          <w:color w:val="000000" w:themeColor="text1"/>
          <w:lang w:val="en-US"/>
        </w:rPr>
        <w:t>Multi-nube</w:t>
      </w:r>
      <w:r w:rsidRPr="0FE4D5DF">
        <w:rPr>
          <w:color w:val="000000" w:themeColor="text1"/>
          <w:lang w:val="en-US"/>
        </w:rPr>
        <w:t xml:space="preserve">: significa que el usuario utiliza más de </w:t>
      </w:r>
      <w:proofErr w:type="gramStart"/>
      <w:r w:rsidRPr="0FE4D5DF">
        <w:rPr>
          <w:color w:val="000000" w:themeColor="text1"/>
          <w:lang w:val="en-US"/>
        </w:rPr>
        <w:t>un</w:t>
      </w:r>
      <w:proofErr w:type="gramEnd"/>
      <w:r w:rsidRPr="0FE4D5DF">
        <w:rPr>
          <w:color w:val="000000" w:themeColor="text1"/>
          <w:lang w:val="en-US"/>
        </w:rPr>
        <w:t xml:space="preserve"> proveedor de nube, pero no incluye un entorno on-premises.</w:t>
      </w:r>
    </w:p>
    <w:p w14:paraId="310AB864" w14:textId="77777777" w:rsidR="0035403C" w:rsidRDefault="00D02C31" w:rsidP="0FE4D5DF">
      <w:pPr>
        <w:numPr>
          <w:ilvl w:val="0"/>
          <w:numId w:val="6"/>
        </w:numPr>
        <w:pBdr>
          <w:top w:val="nil"/>
          <w:left w:val="nil"/>
          <w:bottom w:val="nil"/>
          <w:right w:val="nil"/>
          <w:between w:val="nil"/>
        </w:pBdr>
        <w:jc w:val="both"/>
        <w:rPr>
          <w:color w:val="000000"/>
          <w:lang w:val="en-US"/>
        </w:rPr>
      </w:pPr>
      <w:r w:rsidRPr="0FE4D5DF">
        <w:rPr>
          <w:b/>
          <w:bCs/>
          <w:color w:val="000000" w:themeColor="text1"/>
          <w:lang w:val="en-US"/>
        </w:rPr>
        <w:t>Nube evolucionada</w:t>
      </w:r>
      <w:r w:rsidRPr="0FE4D5DF">
        <w:rPr>
          <w:color w:val="000000" w:themeColor="text1"/>
          <w:lang w:val="en-US"/>
        </w:rPr>
        <w:t xml:space="preserve">: para </w:t>
      </w:r>
      <w:proofErr w:type="gramStart"/>
      <w:r w:rsidRPr="0FE4D5DF">
        <w:rPr>
          <w:color w:val="000000" w:themeColor="text1"/>
          <w:lang w:val="en-US"/>
        </w:rPr>
        <w:t>este</w:t>
      </w:r>
      <w:proofErr w:type="gramEnd"/>
      <w:r w:rsidRPr="0FE4D5DF">
        <w:rPr>
          <w:color w:val="000000" w:themeColor="text1"/>
          <w:lang w:val="en-US"/>
        </w:rPr>
        <w:t xml:space="preserve"> enfoque la multinube es híbrida, el entorno es combinado con plataformas on-premises y con varias nubes públicas.</w:t>
      </w:r>
    </w:p>
    <w:p w14:paraId="296FEF7D" w14:textId="77777777" w:rsidR="0035403C" w:rsidRDefault="0035403C">
      <w:pPr>
        <w:jc w:val="both"/>
      </w:pPr>
    </w:p>
    <w:p w14:paraId="4208F0DB" w14:textId="77777777" w:rsidR="0035403C" w:rsidRDefault="00D02C31">
      <w:pPr>
        <w:jc w:val="both"/>
      </w:pPr>
      <w:proofErr w:type="gramStart"/>
      <w:r w:rsidRPr="0FE4D5DF">
        <w:rPr>
          <w:lang w:val="en-US"/>
        </w:rPr>
        <w:t>Por último y no menos importante, uno de los grandes factores dentro de la elección de las diferentes nubes, es el costo de procesamiento de datos dentro de cada una.</w:t>
      </w:r>
      <w:proofErr w:type="gramEnd"/>
      <w:r w:rsidRPr="0FE4D5DF">
        <w:rPr>
          <w:lang w:val="en-US"/>
        </w:rPr>
        <w:t xml:space="preserve"> </w:t>
      </w:r>
      <w:proofErr w:type="gramStart"/>
      <w:r w:rsidRPr="0FE4D5DF">
        <w:rPr>
          <w:lang w:val="en-US"/>
        </w:rPr>
        <w:t>En esta tabla, podemos observar de manera acotada la comparación de los servicios más simples de cada una de las nubes.</w:t>
      </w:r>
      <w:proofErr w:type="gramEnd"/>
    </w:p>
    <w:p w14:paraId="7194DBDC" w14:textId="77777777" w:rsidR="0035403C" w:rsidRDefault="0035403C"/>
    <w:tbl>
      <w:tblPr>
        <w:tblStyle w:val="af4"/>
        <w:tblW w:w="8895" w:type="dxa"/>
        <w:tblInd w:w="0" w:type="dxa"/>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Layout w:type="fixed"/>
        <w:tblLook w:val="0400" w:firstRow="0" w:lastRow="0" w:firstColumn="0" w:lastColumn="0" w:noHBand="0" w:noVBand="1"/>
      </w:tblPr>
      <w:tblGrid>
        <w:gridCol w:w="1245"/>
        <w:gridCol w:w="2340"/>
        <w:gridCol w:w="2445"/>
        <w:gridCol w:w="2865"/>
      </w:tblGrid>
      <w:tr w:rsidR="0035403C" w14:paraId="3B985FFA" w14:textId="77777777" w:rsidTr="14F7F2DF">
        <w:tc>
          <w:tcPr>
            <w:tcW w:w="1245" w:type="dxa"/>
            <w:tcBorders>
              <w:top w:val="single" w:sz="6" w:space="0" w:color="DEE2E6"/>
              <w:left w:val="single" w:sz="6" w:space="0" w:color="DEE2E6"/>
              <w:bottom w:val="single" w:sz="6" w:space="0" w:color="DEE2E6"/>
              <w:right w:val="single" w:sz="6" w:space="0" w:color="DEE2E6"/>
            </w:tcBorders>
          </w:tcPr>
          <w:p w14:paraId="7901AB55" w14:textId="77777777" w:rsidR="0035403C" w:rsidRDefault="00D02C31" w:rsidP="17FBBB8B">
            <w:pPr>
              <w:rPr>
                <w:rFonts w:ascii="Open Sans" w:eastAsia="Open Sans" w:hAnsi="Open Sans" w:cs="Open Sans"/>
                <w:color w:val="212529"/>
                <w:lang w:val="es-ES"/>
              </w:rPr>
            </w:pPr>
            <w:r>
              <w:br/>
            </w:r>
            <w:r w:rsidRPr="14F7F2DF">
              <w:rPr>
                <w:rFonts w:ascii="Open Sans" w:eastAsia="Open Sans" w:hAnsi="Open Sans" w:cs="Open Sans"/>
                <w:b/>
                <w:bCs/>
                <w:color w:val="212529"/>
                <w:lang w:val="es-ES"/>
              </w:rPr>
              <w:t>Machine Type</w:t>
            </w:r>
          </w:p>
        </w:tc>
        <w:tc>
          <w:tcPr>
            <w:tcW w:w="2340" w:type="dxa"/>
            <w:tcBorders>
              <w:top w:val="single" w:sz="6" w:space="0" w:color="DEE2E6"/>
              <w:left w:val="single" w:sz="6" w:space="0" w:color="DEE2E6"/>
              <w:bottom w:val="single" w:sz="6" w:space="0" w:color="DEE2E6"/>
              <w:right w:val="single" w:sz="6" w:space="0" w:color="DEE2E6"/>
            </w:tcBorders>
          </w:tcPr>
          <w:p w14:paraId="7C74DD7B" w14:textId="77777777" w:rsidR="0035403C" w:rsidRDefault="00D02C31">
            <w:pPr>
              <w:rPr>
                <w:rFonts w:ascii="Open Sans" w:eastAsia="Open Sans" w:hAnsi="Open Sans" w:cs="Open Sans"/>
                <w:color w:val="212529"/>
              </w:rPr>
            </w:pPr>
            <w:r>
              <w:rPr>
                <w:rFonts w:ascii="Open Sans" w:eastAsia="Open Sans" w:hAnsi="Open Sans" w:cs="Open Sans"/>
                <w:b/>
                <w:color w:val="212529"/>
              </w:rPr>
              <w:t>AWS</w:t>
            </w:r>
          </w:p>
        </w:tc>
        <w:tc>
          <w:tcPr>
            <w:tcW w:w="2445" w:type="dxa"/>
            <w:tcBorders>
              <w:top w:val="single" w:sz="6" w:space="0" w:color="DEE2E6"/>
              <w:left w:val="single" w:sz="6" w:space="0" w:color="DEE2E6"/>
              <w:bottom w:val="single" w:sz="6" w:space="0" w:color="DEE2E6"/>
              <w:right w:val="single" w:sz="6" w:space="0" w:color="DEE2E6"/>
            </w:tcBorders>
          </w:tcPr>
          <w:p w14:paraId="43C5E15C" w14:textId="77777777" w:rsidR="0035403C" w:rsidRDefault="00D02C31">
            <w:pPr>
              <w:rPr>
                <w:rFonts w:ascii="Open Sans" w:eastAsia="Open Sans" w:hAnsi="Open Sans" w:cs="Open Sans"/>
                <w:color w:val="212529"/>
              </w:rPr>
            </w:pPr>
            <w:r>
              <w:rPr>
                <w:rFonts w:ascii="Open Sans" w:eastAsia="Open Sans" w:hAnsi="Open Sans" w:cs="Open Sans"/>
                <w:b/>
                <w:color w:val="212529"/>
              </w:rPr>
              <w:t>Azure</w:t>
            </w:r>
          </w:p>
        </w:tc>
        <w:tc>
          <w:tcPr>
            <w:tcW w:w="2865" w:type="dxa"/>
            <w:tcBorders>
              <w:top w:val="single" w:sz="6" w:space="0" w:color="DEE2E6"/>
              <w:left w:val="single" w:sz="6" w:space="0" w:color="DEE2E6"/>
              <w:bottom w:val="single" w:sz="6" w:space="0" w:color="DEE2E6"/>
              <w:right w:val="single" w:sz="6" w:space="0" w:color="DEE2E6"/>
            </w:tcBorders>
          </w:tcPr>
          <w:p w14:paraId="632F05AA" w14:textId="77777777" w:rsidR="0035403C" w:rsidRDefault="00D02C31">
            <w:pPr>
              <w:rPr>
                <w:rFonts w:ascii="Open Sans" w:eastAsia="Open Sans" w:hAnsi="Open Sans" w:cs="Open Sans"/>
                <w:color w:val="212529"/>
              </w:rPr>
            </w:pPr>
            <w:r>
              <w:rPr>
                <w:rFonts w:ascii="Open Sans" w:eastAsia="Open Sans" w:hAnsi="Open Sans" w:cs="Open Sans"/>
                <w:b/>
                <w:color w:val="212529"/>
              </w:rPr>
              <w:t>GCP</w:t>
            </w:r>
          </w:p>
        </w:tc>
      </w:tr>
      <w:tr w:rsidR="0035403C" w14:paraId="44DA9969" w14:textId="77777777" w:rsidTr="14F7F2DF">
        <w:tc>
          <w:tcPr>
            <w:tcW w:w="1245" w:type="dxa"/>
            <w:tcBorders>
              <w:top w:val="single" w:sz="6" w:space="0" w:color="DEE2E6"/>
              <w:left w:val="single" w:sz="6" w:space="0" w:color="DEE2E6"/>
              <w:bottom w:val="single" w:sz="6" w:space="0" w:color="DEE2E6"/>
              <w:right w:val="single" w:sz="6" w:space="0" w:color="DEE2E6"/>
            </w:tcBorders>
          </w:tcPr>
          <w:p w14:paraId="65FC65F6" w14:textId="77777777" w:rsidR="0035403C" w:rsidRDefault="00D02C31" w:rsidP="17FBBB8B">
            <w:pPr>
              <w:rPr>
                <w:rFonts w:ascii="Open Sans" w:eastAsia="Open Sans" w:hAnsi="Open Sans" w:cs="Open Sans"/>
                <w:color w:val="212529"/>
                <w:lang w:val="es-ES"/>
              </w:rPr>
            </w:pPr>
            <w:r w:rsidRPr="17FBBB8B">
              <w:rPr>
                <w:rFonts w:ascii="Open Sans" w:eastAsia="Open Sans" w:hAnsi="Open Sans" w:cs="Open Sans"/>
                <w:b/>
                <w:bCs/>
                <w:color w:val="212529"/>
                <w:lang w:val="es-ES"/>
              </w:rPr>
              <w:t>Smallest Instance</w:t>
            </w:r>
          </w:p>
        </w:tc>
        <w:tc>
          <w:tcPr>
            <w:tcW w:w="2340" w:type="dxa"/>
            <w:tcBorders>
              <w:top w:val="single" w:sz="6" w:space="0" w:color="DEE2E6"/>
              <w:left w:val="single" w:sz="6" w:space="0" w:color="DEE2E6"/>
              <w:bottom w:val="single" w:sz="6" w:space="0" w:color="DEE2E6"/>
              <w:right w:val="single" w:sz="6" w:space="0" w:color="DEE2E6"/>
            </w:tcBorders>
          </w:tcPr>
          <w:p w14:paraId="1DF38DC6" w14:textId="77777777" w:rsidR="0035403C" w:rsidRDefault="00D02C31" w:rsidP="0FE4D5DF">
            <w:pPr>
              <w:rPr>
                <w:rFonts w:ascii="Open Sans" w:eastAsia="Open Sans" w:hAnsi="Open Sans" w:cs="Open Sans"/>
                <w:color w:val="212529"/>
                <w:lang w:val="en-US"/>
              </w:rPr>
            </w:pPr>
            <w:r w:rsidRPr="0FE4D5DF">
              <w:rPr>
                <w:rFonts w:ascii="Open Sans" w:eastAsia="Open Sans" w:hAnsi="Open Sans" w:cs="Open Sans"/>
                <w:color w:val="212529"/>
                <w:lang w:val="en-US"/>
              </w:rPr>
              <w:t>In the case of AWS, a very basic instance that includes 2 virtual CPUs and 8 GB of RAM will cost you around US$69 per month.</w:t>
            </w:r>
          </w:p>
        </w:tc>
        <w:tc>
          <w:tcPr>
            <w:tcW w:w="2445" w:type="dxa"/>
            <w:tcBorders>
              <w:top w:val="single" w:sz="6" w:space="0" w:color="DEE2E6"/>
              <w:left w:val="single" w:sz="6" w:space="0" w:color="DEE2E6"/>
              <w:bottom w:val="single" w:sz="6" w:space="0" w:color="DEE2E6"/>
              <w:right w:val="single" w:sz="6" w:space="0" w:color="DEE2E6"/>
            </w:tcBorders>
          </w:tcPr>
          <w:p w14:paraId="7912E93A" w14:textId="77777777" w:rsidR="0035403C" w:rsidRDefault="00D02C31" w:rsidP="17FBBB8B">
            <w:pPr>
              <w:rPr>
                <w:rFonts w:ascii="Open Sans" w:eastAsia="Open Sans" w:hAnsi="Open Sans" w:cs="Open Sans"/>
                <w:color w:val="212529"/>
                <w:lang w:val="en-US"/>
              </w:rPr>
            </w:pPr>
            <w:r w:rsidRPr="17FBBB8B">
              <w:rPr>
                <w:rFonts w:ascii="Open Sans" w:eastAsia="Open Sans" w:hAnsi="Open Sans" w:cs="Open Sans"/>
                <w:color w:val="212529"/>
                <w:lang w:val="en-US"/>
              </w:rPr>
              <w:t>For the same type of instance, i.e., an instance with 2 vCPUs and 8 GB of RAM, in Azure, will cost you around US$70/month.</w:t>
            </w:r>
          </w:p>
        </w:tc>
        <w:tc>
          <w:tcPr>
            <w:tcW w:w="2865" w:type="dxa"/>
            <w:tcBorders>
              <w:top w:val="single" w:sz="6" w:space="0" w:color="DEE2E6"/>
              <w:left w:val="single" w:sz="6" w:space="0" w:color="DEE2E6"/>
              <w:bottom w:val="single" w:sz="6" w:space="0" w:color="DEE2E6"/>
              <w:right w:val="single" w:sz="6" w:space="0" w:color="DEE2E6"/>
            </w:tcBorders>
          </w:tcPr>
          <w:p w14:paraId="51C8113D" w14:textId="77777777" w:rsidR="0035403C" w:rsidRDefault="00D02C31" w:rsidP="0FE4D5DF">
            <w:pPr>
              <w:rPr>
                <w:rFonts w:ascii="Open Sans" w:eastAsia="Open Sans" w:hAnsi="Open Sans" w:cs="Open Sans"/>
                <w:color w:val="212529"/>
                <w:lang w:val="en-US"/>
              </w:rPr>
            </w:pPr>
            <w:r w:rsidRPr="0FE4D5DF">
              <w:rPr>
                <w:rFonts w:ascii="Open Sans" w:eastAsia="Open Sans" w:hAnsi="Open Sans" w:cs="Open Sans"/>
                <w:color w:val="212529"/>
                <w:lang w:val="en-US"/>
              </w:rPr>
              <w:t>Compared to AWS, GCP will provide you the most basic instance, containing 2 virtual CPUs and 8 GB of RAM at a 25 percent cheaper rate. So, it will cost you around US$52/month.</w:t>
            </w:r>
          </w:p>
        </w:tc>
      </w:tr>
      <w:tr w:rsidR="0035403C" w14:paraId="61D71CD0" w14:textId="77777777" w:rsidTr="14F7F2DF">
        <w:tc>
          <w:tcPr>
            <w:tcW w:w="1245" w:type="dxa"/>
            <w:tcBorders>
              <w:top w:val="single" w:sz="6" w:space="0" w:color="DEE2E6"/>
              <w:left w:val="single" w:sz="6" w:space="0" w:color="DEE2E6"/>
              <w:bottom w:val="single" w:sz="6" w:space="0" w:color="DEE2E6"/>
              <w:right w:val="single" w:sz="6" w:space="0" w:color="DEE2E6"/>
            </w:tcBorders>
          </w:tcPr>
          <w:p w14:paraId="22F54C70" w14:textId="77777777" w:rsidR="0035403C" w:rsidRDefault="00D02C31" w:rsidP="17FBBB8B">
            <w:pPr>
              <w:rPr>
                <w:rFonts w:ascii="Open Sans" w:eastAsia="Open Sans" w:hAnsi="Open Sans" w:cs="Open Sans"/>
                <w:color w:val="212529"/>
                <w:lang w:val="es-ES"/>
              </w:rPr>
            </w:pPr>
            <w:r w:rsidRPr="17FBBB8B">
              <w:rPr>
                <w:rFonts w:ascii="Open Sans" w:eastAsia="Open Sans" w:hAnsi="Open Sans" w:cs="Open Sans"/>
                <w:b/>
                <w:bCs/>
                <w:color w:val="212529"/>
                <w:lang w:val="es-ES"/>
              </w:rPr>
              <w:t>Largest Instance</w:t>
            </w:r>
          </w:p>
        </w:tc>
        <w:tc>
          <w:tcPr>
            <w:tcW w:w="2340" w:type="dxa"/>
            <w:tcBorders>
              <w:top w:val="single" w:sz="6" w:space="0" w:color="DEE2E6"/>
              <w:left w:val="single" w:sz="6" w:space="0" w:color="DEE2E6"/>
              <w:bottom w:val="single" w:sz="6" w:space="0" w:color="DEE2E6"/>
              <w:right w:val="single" w:sz="6" w:space="0" w:color="DEE2E6"/>
            </w:tcBorders>
          </w:tcPr>
          <w:p w14:paraId="1F7273D4" w14:textId="77777777" w:rsidR="0035403C" w:rsidRDefault="00D02C31" w:rsidP="17FBBB8B">
            <w:pPr>
              <w:rPr>
                <w:rFonts w:ascii="Open Sans" w:eastAsia="Open Sans" w:hAnsi="Open Sans" w:cs="Open Sans"/>
                <w:color w:val="212529"/>
                <w:lang w:val="es-ES"/>
              </w:rPr>
            </w:pPr>
            <w:r w:rsidRPr="17FBBB8B">
              <w:rPr>
                <w:rFonts w:ascii="Open Sans" w:eastAsia="Open Sans" w:hAnsi="Open Sans" w:cs="Open Sans"/>
                <w:color w:val="212529"/>
                <w:lang w:val="es-ES"/>
              </w:rPr>
              <w:t>The largest instance offered by AWS that includes 3.84 TB of RAM and 128 vCPUs will cost you around US$3.97/hour.</w:t>
            </w:r>
          </w:p>
        </w:tc>
        <w:tc>
          <w:tcPr>
            <w:tcW w:w="2445" w:type="dxa"/>
            <w:tcBorders>
              <w:top w:val="single" w:sz="6" w:space="0" w:color="DEE2E6"/>
              <w:left w:val="single" w:sz="6" w:space="0" w:color="DEE2E6"/>
              <w:bottom w:val="single" w:sz="6" w:space="0" w:color="DEE2E6"/>
              <w:right w:val="single" w:sz="6" w:space="0" w:color="DEE2E6"/>
            </w:tcBorders>
          </w:tcPr>
          <w:p w14:paraId="5DBAB7E2" w14:textId="77777777" w:rsidR="0035403C" w:rsidRDefault="00D02C31" w:rsidP="17FBBB8B">
            <w:pPr>
              <w:rPr>
                <w:rFonts w:ascii="Open Sans" w:eastAsia="Open Sans" w:hAnsi="Open Sans" w:cs="Open Sans"/>
                <w:color w:val="212529"/>
                <w:lang w:val="es-ES"/>
              </w:rPr>
            </w:pPr>
            <w:r w:rsidRPr="17FBBB8B">
              <w:rPr>
                <w:rFonts w:ascii="Open Sans" w:eastAsia="Open Sans" w:hAnsi="Open Sans" w:cs="Open Sans"/>
                <w:color w:val="212529"/>
                <w:lang w:val="es-ES"/>
              </w:rPr>
              <w:t>The largest instance offered by Azure includes 3.89 TB of RAM and 128 vCPUs. It costs around US$6.79/hour.</w:t>
            </w:r>
          </w:p>
        </w:tc>
        <w:tc>
          <w:tcPr>
            <w:tcW w:w="2865" w:type="dxa"/>
            <w:tcBorders>
              <w:top w:val="single" w:sz="6" w:space="0" w:color="DEE2E6"/>
              <w:left w:val="single" w:sz="6" w:space="0" w:color="DEE2E6"/>
              <w:bottom w:val="single" w:sz="6" w:space="0" w:color="DEE2E6"/>
              <w:right w:val="single" w:sz="6" w:space="0" w:color="DEE2E6"/>
            </w:tcBorders>
          </w:tcPr>
          <w:p w14:paraId="48E318AD" w14:textId="77777777" w:rsidR="0035403C" w:rsidRDefault="00D02C31" w:rsidP="17FBBB8B">
            <w:pPr>
              <w:keepNext/>
              <w:rPr>
                <w:rFonts w:ascii="Open Sans" w:eastAsia="Open Sans" w:hAnsi="Open Sans" w:cs="Open Sans"/>
                <w:color w:val="212529"/>
                <w:lang w:val="es-ES"/>
              </w:rPr>
            </w:pPr>
            <w:r w:rsidRPr="17FBBB8B">
              <w:rPr>
                <w:rFonts w:ascii="Open Sans" w:eastAsia="Open Sans" w:hAnsi="Open Sans" w:cs="Open Sans"/>
                <w:color w:val="212529"/>
                <w:lang w:val="es-ES"/>
              </w:rPr>
              <w:t>GCP takes the lead here with its largest instance that includes 3.75 TB of RAM and 160 vCPUs. It will cost you around US$5.32/hour.</w:t>
            </w:r>
          </w:p>
        </w:tc>
      </w:tr>
    </w:tbl>
    <w:p w14:paraId="4EC3F992" w14:textId="77777777" w:rsidR="0035403C" w:rsidRDefault="00D02C31" w:rsidP="0FE4D5DF">
      <w:pPr>
        <w:pBdr>
          <w:top w:val="nil"/>
          <w:left w:val="nil"/>
          <w:bottom w:val="nil"/>
          <w:right w:val="nil"/>
          <w:between w:val="nil"/>
        </w:pBdr>
        <w:spacing w:after="200"/>
        <w:rPr>
          <w:rFonts w:ascii="Cambria" w:eastAsia="Cambria" w:hAnsi="Cambria" w:cs="Cambria"/>
          <w:i/>
          <w:iCs/>
          <w:color w:val="000000"/>
          <w:lang w:val="en-US"/>
        </w:rPr>
      </w:pPr>
      <w:bookmarkStart w:id="44" w:name="_heading=h.vx1227"/>
      <w:bookmarkEnd w:id="44"/>
      <w:r w:rsidRPr="0FE4D5DF">
        <w:rPr>
          <w:i/>
          <w:iCs/>
          <w:color w:val="1F497D" w:themeColor="text2"/>
          <w:sz w:val="18"/>
          <w:szCs w:val="18"/>
          <w:lang w:val="en-US"/>
        </w:rPr>
        <w:t>Tabla 4 - Comparación de costos entre proveedores (https://intellipaat.com/blog/aws-vs-azure-vs-google-cloud/#no8)</w:t>
      </w:r>
    </w:p>
    <w:p w14:paraId="769D0D3C" w14:textId="77777777" w:rsidR="0035403C" w:rsidRDefault="0035403C">
      <w:pPr>
        <w:spacing w:line="276" w:lineRule="auto"/>
        <w:jc w:val="both"/>
        <w:rPr>
          <w:b/>
          <w:color w:val="1F497D"/>
        </w:rPr>
      </w:pPr>
    </w:p>
    <w:p w14:paraId="54CD245A" w14:textId="77777777" w:rsidR="0035403C" w:rsidRDefault="00D02C31">
      <w:pPr>
        <w:pStyle w:val="Ttulo"/>
      </w:pPr>
      <w:r>
        <w:lastRenderedPageBreak/>
        <w:br w:type="page"/>
      </w:r>
    </w:p>
    <w:p w14:paraId="267D55C3" w14:textId="77777777" w:rsidR="0035403C" w:rsidRDefault="00D02C31">
      <w:pPr>
        <w:pStyle w:val="Ttulo"/>
      </w:pPr>
      <w:r>
        <w:lastRenderedPageBreak/>
        <w:t xml:space="preserve">CAPÍTULO 2: EL SECTOR Y LA EMPRESA </w:t>
      </w:r>
    </w:p>
    <w:p w14:paraId="266D7BCA" w14:textId="77777777" w:rsidR="0035403C" w:rsidRDefault="00D02C31">
      <w:pPr>
        <w:pStyle w:val="Ttulo1"/>
      </w:pPr>
      <w:bookmarkStart w:id="45" w:name="_heading=h.3fwokq0" w:colFirst="0" w:colLast="0"/>
      <w:bookmarkEnd w:id="45"/>
      <w:r>
        <w:t>EL SECTOR: INTRODUCCIÓN AL MUNDO BANCARIO</w:t>
      </w:r>
    </w:p>
    <w:p w14:paraId="745B4A45" w14:textId="77777777" w:rsidR="0035403C" w:rsidRDefault="00D02C31">
      <w:pPr>
        <w:spacing w:line="276" w:lineRule="auto"/>
        <w:jc w:val="both"/>
      </w:pPr>
      <w:r w:rsidRPr="0FE4D5DF">
        <w:rPr>
          <w:lang w:val="en-US"/>
        </w:rPr>
        <w:t xml:space="preserve">Coelsa convive con el sector bancario y financiero argentino, </w:t>
      </w:r>
      <w:proofErr w:type="gramStart"/>
      <w:r w:rsidRPr="0FE4D5DF">
        <w:rPr>
          <w:lang w:val="en-US"/>
        </w:rPr>
        <w:t>este</w:t>
      </w:r>
      <w:proofErr w:type="gramEnd"/>
      <w:r w:rsidRPr="0FE4D5DF">
        <w:rPr>
          <w:lang w:val="en-US"/>
        </w:rPr>
        <w:t xml:space="preserve"> es un sector de la economía que se encarga de ofrecer servicios financieros a individuos, empresas y otras organizaciones, para realizar y generar todo tipo de actividades. </w:t>
      </w:r>
      <w:proofErr w:type="gramStart"/>
      <w:r w:rsidRPr="0FE4D5DF">
        <w:rPr>
          <w:lang w:val="en-US"/>
        </w:rPr>
        <w:t>Dentro del sector, la empresa tiene diferentes roles en el ecosistema, entre algunas de las actividades destacadas, las transferencias bancarias.</w:t>
      </w:r>
      <w:proofErr w:type="gramEnd"/>
      <w:r w:rsidRPr="0FE4D5DF">
        <w:rPr>
          <w:lang w:val="en-US"/>
        </w:rPr>
        <w:t xml:space="preserve"> Coelsa está focalizada en el sector financiero y se diferencia por su interoperabilidad y posicionamiento </w:t>
      </w:r>
      <w:proofErr w:type="gramStart"/>
      <w:r w:rsidRPr="0FE4D5DF">
        <w:rPr>
          <w:lang w:val="en-US"/>
        </w:rPr>
        <w:t>como</w:t>
      </w:r>
      <w:proofErr w:type="gramEnd"/>
      <w:r w:rsidRPr="0FE4D5DF">
        <w:rPr>
          <w:lang w:val="en-US"/>
        </w:rPr>
        <w:t xml:space="preserve"> el principal núcleo del ecosistema de pagos apoyándose siempre en la circulación digital de dinero. Como cámara compensadora, además, es responsable y garante de las transacciones, cualquiera sea el medio de pago utilizado </w:t>
      </w:r>
      <w:proofErr w:type="gramStart"/>
      <w:r w:rsidRPr="0FE4D5DF">
        <w:rPr>
          <w:lang w:val="en-US"/>
        </w:rPr>
        <w:t>como</w:t>
      </w:r>
      <w:proofErr w:type="gramEnd"/>
      <w:r w:rsidRPr="0FE4D5DF">
        <w:rPr>
          <w:lang w:val="en-US"/>
        </w:rPr>
        <w:t xml:space="preserve">: </w:t>
      </w:r>
    </w:p>
    <w:p w14:paraId="167DA629" w14:textId="77777777" w:rsidR="0035403C" w:rsidRDefault="00D02C31" w:rsidP="0FE4D5DF">
      <w:pPr>
        <w:numPr>
          <w:ilvl w:val="0"/>
          <w:numId w:val="27"/>
        </w:numPr>
        <w:pBdr>
          <w:top w:val="nil"/>
          <w:left w:val="nil"/>
          <w:bottom w:val="nil"/>
          <w:right w:val="nil"/>
          <w:between w:val="nil"/>
        </w:pBdr>
        <w:spacing w:line="276" w:lineRule="auto"/>
        <w:jc w:val="both"/>
        <w:rPr>
          <w:color w:val="000000"/>
          <w:lang w:val="en-US"/>
        </w:rPr>
      </w:pPr>
      <w:r w:rsidRPr="0FE4D5DF">
        <w:rPr>
          <w:color w:val="000000" w:themeColor="text1"/>
          <w:lang w:val="en-US"/>
        </w:rPr>
        <w:t xml:space="preserve">Códigos QR, </w:t>
      </w:r>
    </w:p>
    <w:p w14:paraId="0BD0E0FA" w14:textId="77777777" w:rsidR="0035403C" w:rsidRDefault="00D02C31" w:rsidP="0FE4D5DF">
      <w:pPr>
        <w:numPr>
          <w:ilvl w:val="0"/>
          <w:numId w:val="27"/>
        </w:numPr>
        <w:pBdr>
          <w:top w:val="nil"/>
          <w:left w:val="nil"/>
          <w:bottom w:val="nil"/>
          <w:right w:val="nil"/>
          <w:between w:val="nil"/>
        </w:pBdr>
        <w:spacing w:line="276" w:lineRule="auto"/>
        <w:jc w:val="both"/>
        <w:rPr>
          <w:color w:val="000000"/>
          <w:lang w:val="en-US"/>
        </w:rPr>
      </w:pPr>
      <w:r w:rsidRPr="0FE4D5DF">
        <w:rPr>
          <w:color w:val="000000" w:themeColor="text1"/>
          <w:lang w:val="en-US"/>
        </w:rPr>
        <w:t xml:space="preserve">Billeteras digitales </w:t>
      </w:r>
    </w:p>
    <w:p w14:paraId="58E092E2" w14:textId="77777777" w:rsidR="0035403C" w:rsidRDefault="00D02C31" w:rsidP="0FE4D5DF">
      <w:pPr>
        <w:numPr>
          <w:ilvl w:val="0"/>
          <w:numId w:val="27"/>
        </w:numPr>
        <w:pBdr>
          <w:top w:val="nil"/>
          <w:left w:val="nil"/>
          <w:bottom w:val="nil"/>
          <w:right w:val="nil"/>
          <w:between w:val="nil"/>
        </w:pBdr>
        <w:spacing w:line="276" w:lineRule="auto"/>
        <w:jc w:val="both"/>
        <w:rPr>
          <w:color w:val="000000"/>
          <w:lang w:val="en-US"/>
        </w:rPr>
      </w:pPr>
      <w:r w:rsidRPr="0FE4D5DF">
        <w:rPr>
          <w:color w:val="000000" w:themeColor="text1"/>
          <w:lang w:val="en-US"/>
        </w:rPr>
        <w:t>Tarjetas de crédito</w:t>
      </w:r>
    </w:p>
    <w:p w14:paraId="297EA3DF" w14:textId="77777777" w:rsidR="0035403C" w:rsidRDefault="00D02C31" w:rsidP="0FE4D5DF">
      <w:pPr>
        <w:numPr>
          <w:ilvl w:val="0"/>
          <w:numId w:val="27"/>
        </w:numPr>
        <w:pBdr>
          <w:top w:val="nil"/>
          <w:left w:val="nil"/>
          <w:bottom w:val="nil"/>
          <w:right w:val="nil"/>
          <w:between w:val="nil"/>
        </w:pBdr>
        <w:spacing w:line="276" w:lineRule="auto"/>
        <w:jc w:val="both"/>
        <w:rPr>
          <w:color w:val="000000"/>
          <w:lang w:val="en-US"/>
        </w:rPr>
      </w:pPr>
      <w:r w:rsidRPr="0FE4D5DF">
        <w:rPr>
          <w:color w:val="000000" w:themeColor="text1"/>
          <w:lang w:val="en-US"/>
        </w:rPr>
        <w:t>Transferencias CBU y CVU</w:t>
      </w:r>
    </w:p>
    <w:p w14:paraId="3583ABFA" w14:textId="77777777" w:rsidR="0035403C" w:rsidRDefault="00D02C31">
      <w:pPr>
        <w:numPr>
          <w:ilvl w:val="0"/>
          <w:numId w:val="27"/>
        </w:numPr>
        <w:pBdr>
          <w:top w:val="nil"/>
          <w:left w:val="nil"/>
          <w:bottom w:val="nil"/>
          <w:right w:val="nil"/>
          <w:between w:val="nil"/>
        </w:pBdr>
        <w:spacing w:line="276" w:lineRule="auto"/>
        <w:jc w:val="both"/>
        <w:rPr>
          <w:color w:val="000000"/>
        </w:rPr>
      </w:pPr>
      <w:r>
        <w:rPr>
          <w:color w:val="000000"/>
        </w:rPr>
        <w:t>Cheques</w:t>
      </w:r>
    </w:p>
    <w:p w14:paraId="44DF4533" w14:textId="77777777" w:rsidR="0035403C" w:rsidRDefault="00D02C31" w:rsidP="0FE4D5DF">
      <w:pPr>
        <w:numPr>
          <w:ilvl w:val="0"/>
          <w:numId w:val="27"/>
        </w:numPr>
        <w:pBdr>
          <w:top w:val="nil"/>
          <w:left w:val="nil"/>
          <w:bottom w:val="nil"/>
          <w:right w:val="nil"/>
          <w:between w:val="nil"/>
        </w:pBdr>
        <w:spacing w:line="276" w:lineRule="auto"/>
        <w:jc w:val="both"/>
        <w:rPr>
          <w:color w:val="000000"/>
          <w:lang w:val="en-US"/>
        </w:rPr>
      </w:pPr>
      <w:r w:rsidRPr="0FE4D5DF">
        <w:rPr>
          <w:color w:val="000000" w:themeColor="text1"/>
          <w:lang w:val="en-US"/>
        </w:rPr>
        <w:t>Débitos directos</w:t>
      </w:r>
    </w:p>
    <w:p w14:paraId="79E6ADAD" w14:textId="77777777" w:rsidR="0035403C" w:rsidRDefault="00D02C31" w:rsidP="0FE4D5DF">
      <w:pPr>
        <w:numPr>
          <w:ilvl w:val="0"/>
          <w:numId w:val="27"/>
        </w:numPr>
        <w:pBdr>
          <w:top w:val="nil"/>
          <w:left w:val="nil"/>
          <w:bottom w:val="nil"/>
          <w:right w:val="nil"/>
          <w:between w:val="nil"/>
        </w:pBdr>
        <w:spacing w:line="276" w:lineRule="auto"/>
        <w:jc w:val="both"/>
        <w:rPr>
          <w:color w:val="000000"/>
          <w:lang w:val="en-US"/>
        </w:rPr>
      </w:pPr>
      <w:r w:rsidRPr="0FE4D5DF">
        <w:rPr>
          <w:color w:val="000000" w:themeColor="text1"/>
          <w:lang w:val="en-US"/>
        </w:rPr>
        <w:t>E-Cheq (cheque electrónico)</w:t>
      </w:r>
    </w:p>
    <w:p w14:paraId="0A524E00" w14:textId="77777777" w:rsidR="0035403C" w:rsidRDefault="00D02C31" w:rsidP="0FE4D5DF">
      <w:pPr>
        <w:pBdr>
          <w:top w:val="nil"/>
          <w:left w:val="nil"/>
          <w:bottom w:val="nil"/>
          <w:right w:val="nil"/>
          <w:between w:val="nil"/>
        </w:pBdr>
        <w:spacing w:after="150"/>
        <w:jc w:val="both"/>
        <w:rPr>
          <w:color w:val="000000"/>
          <w:lang w:val="en-US"/>
        </w:rPr>
      </w:pPr>
      <w:r w:rsidRPr="0FE4D5DF">
        <w:rPr>
          <w:color w:val="000000" w:themeColor="text1"/>
          <w:lang w:val="en-US"/>
        </w:rPr>
        <w:t xml:space="preserve">En resumen, es </w:t>
      </w:r>
      <w:proofErr w:type="gramStart"/>
      <w:r w:rsidRPr="0FE4D5DF">
        <w:rPr>
          <w:color w:val="000000" w:themeColor="text1"/>
          <w:lang w:val="en-US"/>
        </w:rPr>
        <w:t>un</w:t>
      </w:r>
      <w:proofErr w:type="gramEnd"/>
      <w:r w:rsidRPr="0FE4D5DF">
        <w:rPr>
          <w:color w:val="000000" w:themeColor="text1"/>
          <w:lang w:val="en-US"/>
        </w:rPr>
        <w:t xml:space="preserve"> sector clave de la economía argentina, ya que proporciona servicios financieros esenciales y contribuye al crecimiento económico del país.</w:t>
      </w:r>
    </w:p>
    <w:p w14:paraId="6AED2F90" w14:textId="77777777" w:rsidR="0035403C" w:rsidRDefault="00D02C31">
      <w:pPr>
        <w:pStyle w:val="Ttulo1"/>
      </w:pPr>
      <w:bookmarkStart w:id="46" w:name="_heading=h.1v1yuxt" w:colFirst="0" w:colLast="0"/>
      <w:bookmarkEnd w:id="46"/>
      <w:r>
        <w:t>NORMATIVAS Y LEGALES</w:t>
      </w:r>
    </w:p>
    <w:p w14:paraId="6AB90C55" w14:textId="77777777" w:rsidR="0035403C" w:rsidRDefault="00D02C31">
      <w:pPr>
        <w:spacing w:line="276" w:lineRule="auto"/>
        <w:jc w:val="both"/>
      </w:pPr>
      <w:r w:rsidRPr="0FE4D5DF">
        <w:rPr>
          <w:lang w:val="en-US"/>
        </w:rPr>
        <w:t xml:space="preserve">Banco Central de la República Argentina (BCRA) es el organismo rector del sistema financiero de la República, entidad autárquica del estado nacional, encargada de la política monetaria del país. Fue creado en 1935 bajo el gobierno de Agustín Pedro Justo y entró como una entidad mixta, cuyo capital estaba compuesto en partes iguales por el Gobierno de la República Argentina, y la otra mitad por los bancos nacionales y extranjeros establecidos en el país. Fue nacionalizado el 25 de marzo de 1946 por decreto y el objetivo de su misión es el </w:t>
      </w:r>
      <w:proofErr w:type="gramStart"/>
      <w:r w:rsidRPr="0FE4D5DF">
        <w:rPr>
          <w:lang w:val="en-US"/>
        </w:rPr>
        <w:t>del</w:t>
      </w:r>
      <w:proofErr w:type="gramEnd"/>
      <w:r w:rsidRPr="0FE4D5DF">
        <w:rPr>
          <w:lang w:val="en-US"/>
        </w:rPr>
        <w:t xml:space="preserve"> desarrollo económico con equidad social.</w:t>
      </w:r>
    </w:p>
    <w:p w14:paraId="139D786F" w14:textId="77777777" w:rsidR="0035403C" w:rsidRDefault="00D02C31" w:rsidP="0FE4D5DF">
      <w:pPr>
        <w:spacing w:line="276" w:lineRule="auto"/>
        <w:jc w:val="both"/>
        <w:rPr>
          <w:rFonts w:ascii="Calibri" w:eastAsia="Calibri" w:hAnsi="Calibri" w:cs="Calibri"/>
          <w:b/>
          <w:bCs/>
          <w:color w:val="366091"/>
          <w:sz w:val="28"/>
          <w:szCs w:val="28"/>
          <w:lang w:val="en-US"/>
        </w:rPr>
      </w:pPr>
      <w:r w:rsidRPr="0FE4D5DF">
        <w:rPr>
          <w:lang w:val="en-US"/>
        </w:rPr>
        <w:t xml:space="preserve">El banco tiene por finalidad promover, en la medida de sus facultades y en el </w:t>
      </w:r>
      <w:proofErr w:type="gramStart"/>
      <w:r w:rsidRPr="0FE4D5DF">
        <w:rPr>
          <w:lang w:val="en-US"/>
        </w:rPr>
        <w:t>marco</w:t>
      </w:r>
      <w:proofErr w:type="gramEnd"/>
      <w:r w:rsidRPr="0FE4D5DF">
        <w:rPr>
          <w:lang w:val="en-US"/>
        </w:rPr>
        <w:t xml:space="preserve"> de las políticas establecidas por el gobierno nacional, la estabilidad monetaria, la estabilidad financiera, el empleo y el desarrollo económico con equidad social. La estabilidad monetaria es el objetivo primordial del Banco Central de la República Argentina y el foco central de esta institución es fortalecer el peso argentino logrando una inflación en línea con sus objetivos establecidos en el Plan Monetario. Tanto el sector bancario, </w:t>
      </w:r>
      <w:proofErr w:type="gramStart"/>
      <w:r w:rsidRPr="0FE4D5DF">
        <w:rPr>
          <w:lang w:val="en-US"/>
        </w:rPr>
        <w:t>como</w:t>
      </w:r>
      <w:proofErr w:type="gramEnd"/>
      <w:r w:rsidRPr="0FE4D5DF">
        <w:rPr>
          <w:lang w:val="en-US"/>
        </w:rPr>
        <w:t xml:space="preserve"> Coelsa y otras instituciones financieras, están </w:t>
      </w:r>
      <w:r w:rsidRPr="0FE4D5DF">
        <w:rPr>
          <w:lang w:val="en-US"/>
        </w:rPr>
        <w:lastRenderedPageBreak/>
        <w:t xml:space="preserve">reguladas por las autoridades del BCRA para garantizar la estabilidad financiera y proteger a los consumidores. </w:t>
      </w:r>
    </w:p>
    <w:p w14:paraId="042E30EA" w14:textId="77777777" w:rsidR="0035403C" w:rsidRDefault="00D02C31">
      <w:pPr>
        <w:pStyle w:val="Ttulo1"/>
      </w:pPr>
      <w:bookmarkStart w:id="47" w:name="_heading=h.4f1mdlm" w:colFirst="0" w:colLast="0"/>
      <w:bookmarkEnd w:id="47"/>
      <w:r>
        <w:t>COMPETIDORES DIRECTOS</w:t>
      </w:r>
    </w:p>
    <w:p w14:paraId="53202F40" w14:textId="77777777" w:rsidR="0035403C" w:rsidRDefault="00D02C31">
      <w:pPr>
        <w:jc w:val="both"/>
      </w:pPr>
      <w:r w:rsidRPr="0FE4D5DF">
        <w:rPr>
          <w:lang w:val="en-US"/>
        </w:rPr>
        <w:t>Los dos principales competidores que tiene la compañía frente a los servicios de transferencia y de pagos que ofrece, son las conocidas empresas:</w:t>
      </w:r>
    </w:p>
    <w:p w14:paraId="01BCC58E" w14:textId="77777777" w:rsidR="0035403C" w:rsidRDefault="00D02C31" w:rsidP="0FE4D5DF">
      <w:pPr>
        <w:numPr>
          <w:ilvl w:val="0"/>
          <w:numId w:val="18"/>
        </w:numPr>
        <w:pBdr>
          <w:top w:val="nil"/>
          <w:left w:val="nil"/>
          <w:bottom w:val="nil"/>
          <w:right w:val="nil"/>
          <w:between w:val="nil"/>
        </w:pBdr>
        <w:jc w:val="both"/>
        <w:rPr>
          <w:color w:val="000000"/>
          <w:lang w:val="en-US"/>
        </w:rPr>
      </w:pPr>
      <w:r w:rsidRPr="0FE4D5DF">
        <w:rPr>
          <w:color w:val="000000" w:themeColor="text1"/>
          <w:lang w:val="en-US"/>
        </w:rPr>
        <w:t xml:space="preserve">Link: </w:t>
      </w:r>
      <w:r w:rsidRPr="0FE4D5DF">
        <w:rPr>
          <w:lang w:val="en-US"/>
        </w:rPr>
        <w:t>Es una</w:t>
      </w:r>
      <w:r w:rsidRPr="0FE4D5DF">
        <w:rPr>
          <w:color w:val="000000" w:themeColor="text1"/>
          <w:lang w:val="en-US"/>
        </w:rPr>
        <w:t xml:space="preserve"> empresa de capitales argentinos creada en 1988, líder en servicios informáticos de </w:t>
      </w:r>
      <w:proofErr w:type="gramStart"/>
      <w:r w:rsidRPr="0FE4D5DF">
        <w:rPr>
          <w:color w:val="000000" w:themeColor="text1"/>
          <w:lang w:val="en-US"/>
        </w:rPr>
        <w:t>alta</w:t>
      </w:r>
      <w:proofErr w:type="gramEnd"/>
      <w:r w:rsidRPr="0FE4D5DF">
        <w:rPr>
          <w:color w:val="000000" w:themeColor="text1"/>
          <w:lang w:val="en-US"/>
        </w:rPr>
        <w:t xml:space="preserve"> calidad, seguridad y confiabilidad de procesamiento. Brinda servicios a las principales entidades financieras, tarjetas de crédito y otros clientes en áreas de cajeros automáticos, home banking, banca empresas, soluciones mobile y de seguridad, procesamiento de información y recaudaciones de servicios e impuestos. Su Directorio está constituido por las siguientes entidades: Banco de la Nación Argentina, Banco de la Provincia de Buenos Aires, Banco de la Ciudad de Buenos Aires, Banco Credicoop Coop. Ltdo., Banco La Pampa, Nuevo Banco de Santa Fe, Banco San Juan, Banco de Córdoba y Fiserv.</w:t>
      </w:r>
    </w:p>
    <w:p w14:paraId="5AA9E22B" w14:textId="77777777" w:rsidR="0035403C" w:rsidRDefault="00D02C31" w:rsidP="0FE4D5DF">
      <w:pPr>
        <w:numPr>
          <w:ilvl w:val="0"/>
          <w:numId w:val="18"/>
        </w:numPr>
        <w:pBdr>
          <w:top w:val="nil"/>
          <w:left w:val="nil"/>
          <w:bottom w:val="nil"/>
          <w:right w:val="nil"/>
          <w:between w:val="nil"/>
        </w:pBdr>
        <w:jc w:val="both"/>
        <w:rPr>
          <w:color w:val="000000"/>
          <w:lang w:val="en-US"/>
        </w:rPr>
      </w:pPr>
      <w:r w:rsidRPr="0FE4D5DF">
        <w:rPr>
          <w:color w:val="000000" w:themeColor="text1"/>
          <w:lang w:val="en-US"/>
        </w:rPr>
        <w:t xml:space="preserve">Prisma: Es una empresa de tecnología líder en medios de pago de la Argentina que conecta a las personas, los comercios y las entidades financieras a través de soluciones de pago </w:t>
      </w:r>
      <w:proofErr w:type="gramStart"/>
      <w:r w:rsidRPr="0FE4D5DF">
        <w:rPr>
          <w:color w:val="000000" w:themeColor="text1"/>
          <w:lang w:val="en-US"/>
        </w:rPr>
        <w:t>como</w:t>
      </w:r>
      <w:proofErr w:type="gramEnd"/>
      <w:r w:rsidRPr="0FE4D5DF">
        <w:rPr>
          <w:color w:val="000000" w:themeColor="text1"/>
          <w:lang w:val="en-US"/>
        </w:rPr>
        <w:t xml:space="preserve"> Payway, PagoMisCuentas y Banelco en 14 países. En 1983 comienza a procesar transacciones con tarjeta de crédito Visa en Argentina. Está en permanente evolución para seguir mejorando la experiencia de sus empleados y sus clientes, a través de productos innovadores, seguros, dinámicos y de excelencia. Hoy en día sus capitales y su directorio son privados.</w:t>
      </w:r>
    </w:p>
    <w:p w14:paraId="1231BE67" w14:textId="77777777" w:rsidR="0035403C" w:rsidRDefault="0035403C">
      <w:pPr>
        <w:pBdr>
          <w:top w:val="nil"/>
          <w:left w:val="nil"/>
          <w:bottom w:val="nil"/>
          <w:right w:val="nil"/>
          <w:between w:val="nil"/>
        </w:pBdr>
        <w:ind w:left="720"/>
        <w:jc w:val="both"/>
      </w:pPr>
    </w:p>
    <w:p w14:paraId="4A7AAF91" w14:textId="77777777" w:rsidR="0035403C" w:rsidRDefault="00D02C31">
      <w:pPr>
        <w:jc w:val="both"/>
      </w:pPr>
      <w:r w:rsidRPr="0FE4D5DF">
        <w:rPr>
          <w:lang w:val="en-US"/>
        </w:rPr>
        <w:t xml:space="preserve">Ambas empresas empezaron años antes con las transferencias inmediatas bajo el esquema de conexión “ISO-8385”, una tecnología bien conocida por las entidades bancarias. Aunque estas empresas tienen otros productos, la apertura dada por la normativa </w:t>
      </w:r>
      <w:proofErr w:type="gramStart"/>
      <w:r w:rsidRPr="0FE4D5DF">
        <w:rPr>
          <w:lang w:val="en-US"/>
        </w:rPr>
        <w:t>del</w:t>
      </w:r>
      <w:proofErr w:type="gramEnd"/>
      <w:r w:rsidRPr="0FE4D5DF">
        <w:rPr>
          <w:lang w:val="en-US"/>
        </w:rPr>
        <w:t xml:space="preserve"> BCRA hizo que exista un cambio dentro del ecosistema teniendo una nueva manera de interoperar. </w:t>
      </w:r>
    </w:p>
    <w:p w14:paraId="40299178" w14:textId="77777777" w:rsidR="0035403C" w:rsidRDefault="00D02C31">
      <w:pPr>
        <w:jc w:val="both"/>
      </w:pPr>
      <w:r w:rsidRPr="0FE4D5DF">
        <w:rPr>
          <w:lang w:val="en-US"/>
        </w:rPr>
        <w:t xml:space="preserve">Un dato no menor dado en este marzo del 2023, fue que por primera vez en la historia argentina los pagos con transferencia superaron a las operaciones con tarjeta de débito (las cuales en su mayoría son procesadas por estas dos compañías) y este punto fue clave para consolidar la competencia y acercarse de manera diferente a todos los usuarios de servicios financieros. En concreto, según los últimos datos disponibles, en marzo se realizaron 198,8 millones de pagos con transferencia, desplazando del podio a las transacciones con tarjetas de débito, que sumaron 193 millones de operaciones. Este nuevo ecosistema abierto y más universal estimula una mayor competencia entre los diferentes actores </w:t>
      </w:r>
      <w:proofErr w:type="gramStart"/>
      <w:r w:rsidRPr="0FE4D5DF">
        <w:rPr>
          <w:lang w:val="en-US"/>
        </w:rPr>
        <w:t>del</w:t>
      </w:r>
      <w:proofErr w:type="gramEnd"/>
      <w:r w:rsidRPr="0FE4D5DF">
        <w:rPr>
          <w:lang w:val="en-US"/>
        </w:rPr>
        <w:t xml:space="preserve"> sistema que propone mejores condiciones para el uso y elección.</w:t>
      </w:r>
    </w:p>
    <w:p w14:paraId="7DD5C4A4" w14:textId="77777777" w:rsidR="0035403C" w:rsidRDefault="00D02C31">
      <w:pPr>
        <w:pStyle w:val="Ttulo2"/>
      </w:pPr>
      <w:bookmarkStart w:id="48" w:name="_heading=h.2u6wntf"/>
      <w:bookmarkEnd w:id="48"/>
      <w:r w:rsidRPr="0FE4D5DF">
        <w:rPr>
          <w:lang w:val="en-US"/>
        </w:rPr>
        <w:lastRenderedPageBreak/>
        <w:t>Análisis del micro entorno en el mercado</w:t>
      </w:r>
    </w:p>
    <w:p w14:paraId="36FEB5B0" w14:textId="77777777" w:rsidR="0035403C" w:rsidRDefault="00D02C31">
      <w:pPr>
        <w:keepNext/>
        <w:spacing w:line="276" w:lineRule="auto"/>
        <w:jc w:val="both"/>
      </w:pPr>
      <w:r>
        <w:rPr>
          <w:b/>
          <w:noProof/>
          <w:lang w:eastAsia="es-AR"/>
        </w:rPr>
        <w:drawing>
          <wp:inline distT="0" distB="0" distL="0" distR="0" wp14:anchorId="3364EFAF" wp14:editId="07777777">
            <wp:extent cx="6046497" cy="3590616"/>
            <wp:effectExtent l="0" t="0" r="0" b="0"/>
            <wp:docPr id="170" name="image27.png" descr="A picture containing text, screenshot, number, fon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7.png" descr="A picture containing text, screenshot, number, font&#10;&#10;Description automatically generated"/>
                    <pic:cNvPicPr preferRelativeResize="0"/>
                  </pic:nvPicPr>
                  <pic:blipFill>
                    <a:blip r:embed="rId21"/>
                    <a:srcRect/>
                    <a:stretch>
                      <a:fillRect/>
                    </a:stretch>
                  </pic:blipFill>
                  <pic:spPr>
                    <a:xfrm>
                      <a:off x="0" y="0"/>
                      <a:ext cx="6046497" cy="3590616"/>
                    </a:xfrm>
                    <a:prstGeom prst="rect">
                      <a:avLst/>
                    </a:prstGeom>
                    <a:ln/>
                  </pic:spPr>
                </pic:pic>
              </a:graphicData>
            </a:graphic>
          </wp:inline>
        </w:drawing>
      </w:r>
    </w:p>
    <w:p w14:paraId="06D3FBF3" w14:textId="77777777" w:rsidR="0035403C" w:rsidRDefault="00D02C31" w:rsidP="0FE4D5DF">
      <w:pPr>
        <w:pBdr>
          <w:top w:val="nil"/>
          <w:left w:val="nil"/>
          <w:bottom w:val="nil"/>
          <w:right w:val="nil"/>
          <w:between w:val="nil"/>
        </w:pBdr>
        <w:spacing w:after="200"/>
        <w:jc w:val="both"/>
        <w:rPr>
          <w:b/>
          <w:bCs/>
          <w:i/>
          <w:iCs/>
          <w:color w:val="1F497D"/>
          <w:sz w:val="18"/>
          <w:szCs w:val="18"/>
          <w:lang w:val="en-US"/>
        </w:rPr>
      </w:pPr>
      <w:bookmarkStart w:id="49" w:name="_heading=h.19c6y18"/>
      <w:bookmarkEnd w:id="49"/>
      <w:r w:rsidRPr="0FE4D5DF">
        <w:rPr>
          <w:i/>
          <w:iCs/>
          <w:color w:val="1F497D" w:themeColor="text2"/>
          <w:sz w:val="18"/>
          <w:szCs w:val="18"/>
          <w:lang w:val="en-US"/>
        </w:rPr>
        <w:t>Ilustración 10 - Participación de los principales instrumentos de pago (monto nominal)</w:t>
      </w:r>
    </w:p>
    <w:p w14:paraId="30D7AA69" w14:textId="77777777" w:rsidR="0035403C" w:rsidRDefault="0035403C">
      <w:pPr>
        <w:spacing w:line="276" w:lineRule="auto"/>
        <w:jc w:val="both"/>
        <w:rPr>
          <w:b/>
        </w:rPr>
      </w:pPr>
    </w:p>
    <w:p w14:paraId="7196D064" w14:textId="77777777" w:rsidR="0035403C" w:rsidRDefault="00D02C31">
      <w:pPr>
        <w:keepNext/>
        <w:spacing w:line="276" w:lineRule="auto"/>
        <w:jc w:val="both"/>
      </w:pPr>
      <w:r>
        <w:rPr>
          <w:b/>
          <w:noProof/>
          <w:lang w:eastAsia="es-AR"/>
        </w:rPr>
        <w:drawing>
          <wp:inline distT="0" distB="0" distL="0" distR="0" wp14:anchorId="5CB2AE92" wp14:editId="07777777">
            <wp:extent cx="6036070" cy="3791491"/>
            <wp:effectExtent l="0" t="0" r="0" b="0"/>
            <wp:docPr id="171" name="image31.png" descr="A picture containing text, screenshot, plot, li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1.png" descr="A picture containing text, screenshot, plot, line&#10;&#10;Description automatically generated"/>
                    <pic:cNvPicPr preferRelativeResize="0"/>
                  </pic:nvPicPr>
                  <pic:blipFill>
                    <a:blip r:embed="rId22"/>
                    <a:srcRect/>
                    <a:stretch>
                      <a:fillRect/>
                    </a:stretch>
                  </pic:blipFill>
                  <pic:spPr>
                    <a:xfrm>
                      <a:off x="0" y="0"/>
                      <a:ext cx="6036070" cy="3791491"/>
                    </a:xfrm>
                    <a:prstGeom prst="rect">
                      <a:avLst/>
                    </a:prstGeom>
                    <a:ln/>
                  </pic:spPr>
                </pic:pic>
              </a:graphicData>
            </a:graphic>
          </wp:inline>
        </w:drawing>
      </w:r>
    </w:p>
    <w:p w14:paraId="079DC34C" w14:textId="77777777" w:rsidR="0035403C" w:rsidRDefault="00D02C31" w:rsidP="0FE4D5DF">
      <w:pPr>
        <w:pBdr>
          <w:top w:val="nil"/>
          <w:left w:val="nil"/>
          <w:bottom w:val="nil"/>
          <w:right w:val="nil"/>
          <w:between w:val="nil"/>
        </w:pBdr>
        <w:spacing w:after="200"/>
        <w:jc w:val="both"/>
        <w:rPr>
          <w:b/>
          <w:bCs/>
          <w:i/>
          <w:iCs/>
          <w:color w:val="1F497D"/>
          <w:sz w:val="18"/>
          <w:szCs w:val="18"/>
          <w:lang w:val="en-US"/>
        </w:rPr>
      </w:pPr>
      <w:bookmarkStart w:id="50" w:name="_heading=h.3tbugp1"/>
      <w:bookmarkEnd w:id="50"/>
      <w:r w:rsidRPr="0FE4D5DF">
        <w:rPr>
          <w:i/>
          <w:iCs/>
          <w:color w:val="1F497D" w:themeColor="text2"/>
          <w:sz w:val="18"/>
          <w:szCs w:val="18"/>
          <w:lang w:val="en-US"/>
        </w:rPr>
        <w:t>Ilustración 11 - Operaciones con tarjeta de crédito, tarjeta de débito y PCT interoperables e intra PSPCP (monto)</w:t>
      </w:r>
    </w:p>
    <w:p w14:paraId="34FF1C98" w14:textId="77777777" w:rsidR="0035403C" w:rsidRDefault="0035403C">
      <w:pPr>
        <w:spacing w:line="276" w:lineRule="auto"/>
        <w:jc w:val="both"/>
        <w:rPr>
          <w:b/>
        </w:rPr>
      </w:pPr>
    </w:p>
    <w:p w14:paraId="442FB086" w14:textId="77777777" w:rsidR="0035403C" w:rsidRDefault="00D02C31">
      <w:pPr>
        <w:pStyle w:val="Ttulo2"/>
        <w:spacing w:line="276" w:lineRule="auto"/>
        <w:jc w:val="both"/>
      </w:pPr>
      <w:bookmarkStart w:id="51" w:name="_heading=h.28h4qwu" w:colFirst="0" w:colLast="0"/>
      <w:bookmarkEnd w:id="51"/>
      <w:r>
        <w:t>Volumen del mercado</w:t>
      </w:r>
    </w:p>
    <w:p w14:paraId="6D072C0D" w14:textId="77777777" w:rsidR="0035403C" w:rsidRDefault="00D02C31">
      <w:pPr>
        <w:keepNext/>
        <w:spacing w:line="276" w:lineRule="auto"/>
        <w:jc w:val="both"/>
      </w:pPr>
      <w:r>
        <w:rPr>
          <w:b/>
          <w:noProof/>
          <w:color w:val="1F497D"/>
          <w:lang w:eastAsia="es-AR"/>
        </w:rPr>
        <w:drawing>
          <wp:inline distT="0" distB="0" distL="0" distR="0" wp14:anchorId="62067BC3" wp14:editId="07777777">
            <wp:extent cx="6132532" cy="3731081"/>
            <wp:effectExtent l="0" t="0" r="0" b="0"/>
            <wp:docPr id="173" name="image36.png" descr="A picture containing text, font, screenshot, li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6.png" descr="A picture containing text, font, screenshot, line&#10;&#10;Description automatically generated"/>
                    <pic:cNvPicPr preferRelativeResize="0"/>
                  </pic:nvPicPr>
                  <pic:blipFill>
                    <a:blip r:embed="rId23"/>
                    <a:srcRect/>
                    <a:stretch>
                      <a:fillRect/>
                    </a:stretch>
                  </pic:blipFill>
                  <pic:spPr>
                    <a:xfrm>
                      <a:off x="0" y="0"/>
                      <a:ext cx="6132532" cy="3731081"/>
                    </a:xfrm>
                    <a:prstGeom prst="rect">
                      <a:avLst/>
                    </a:prstGeom>
                    <a:ln/>
                  </pic:spPr>
                </pic:pic>
              </a:graphicData>
            </a:graphic>
          </wp:inline>
        </w:drawing>
      </w:r>
    </w:p>
    <w:p w14:paraId="56E8B3F5" w14:textId="77777777" w:rsidR="0035403C" w:rsidRDefault="00D02C31" w:rsidP="0FE4D5DF">
      <w:pPr>
        <w:pBdr>
          <w:top w:val="nil"/>
          <w:left w:val="nil"/>
          <w:bottom w:val="nil"/>
          <w:right w:val="nil"/>
          <w:between w:val="nil"/>
        </w:pBdr>
        <w:spacing w:after="200"/>
        <w:jc w:val="both"/>
        <w:rPr>
          <w:b/>
          <w:bCs/>
          <w:i/>
          <w:iCs/>
          <w:color w:val="1F497D"/>
          <w:sz w:val="18"/>
          <w:szCs w:val="18"/>
          <w:lang w:val="en-US"/>
        </w:rPr>
      </w:pPr>
      <w:bookmarkStart w:id="52" w:name="_heading=h.nmf14n"/>
      <w:bookmarkEnd w:id="52"/>
      <w:r w:rsidRPr="0FE4D5DF">
        <w:rPr>
          <w:i/>
          <w:iCs/>
          <w:color w:val="1F497D" w:themeColor="text2"/>
          <w:sz w:val="18"/>
          <w:szCs w:val="18"/>
          <w:lang w:val="en-US"/>
        </w:rPr>
        <w:t>Ilustración 12 - Operaciones con tarjeta de crédito9, tarjeta de débito10 y PCT interoperables e intra PSPCP (cantidad)</w:t>
      </w:r>
    </w:p>
    <w:p w14:paraId="48A21919" w14:textId="77777777" w:rsidR="0035403C" w:rsidRDefault="00D02C31">
      <w:pPr>
        <w:keepNext/>
        <w:spacing w:line="276" w:lineRule="auto"/>
        <w:jc w:val="both"/>
      </w:pPr>
      <w:r>
        <w:rPr>
          <w:b/>
          <w:noProof/>
          <w:color w:val="1F497D"/>
          <w:lang w:eastAsia="es-AR"/>
        </w:rPr>
        <w:drawing>
          <wp:inline distT="0" distB="0" distL="0" distR="0" wp14:anchorId="3393DD49" wp14:editId="07777777">
            <wp:extent cx="5832417" cy="3378486"/>
            <wp:effectExtent l="0" t="0" r="0" b="0"/>
            <wp:docPr id="174" name="image40.png" descr="A picture containing screenshot, plot, line, diagra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0.png" descr="A picture containing screenshot, plot, line, diagram&#10;&#10;Description automatically generated"/>
                    <pic:cNvPicPr preferRelativeResize="0"/>
                  </pic:nvPicPr>
                  <pic:blipFill>
                    <a:blip r:embed="rId24"/>
                    <a:srcRect/>
                    <a:stretch>
                      <a:fillRect/>
                    </a:stretch>
                  </pic:blipFill>
                  <pic:spPr>
                    <a:xfrm>
                      <a:off x="0" y="0"/>
                      <a:ext cx="5832417" cy="3378486"/>
                    </a:xfrm>
                    <a:prstGeom prst="rect">
                      <a:avLst/>
                    </a:prstGeom>
                    <a:ln/>
                  </pic:spPr>
                </pic:pic>
              </a:graphicData>
            </a:graphic>
          </wp:inline>
        </w:drawing>
      </w:r>
    </w:p>
    <w:p w14:paraId="1ABA558C" w14:textId="77777777" w:rsidR="0035403C" w:rsidRDefault="00D02C31" w:rsidP="0FE4D5DF">
      <w:pPr>
        <w:pBdr>
          <w:top w:val="nil"/>
          <w:left w:val="nil"/>
          <w:bottom w:val="nil"/>
          <w:right w:val="nil"/>
          <w:between w:val="nil"/>
        </w:pBdr>
        <w:spacing w:after="200"/>
        <w:jc w:val="both"/>
        <w:rPr>
          <w:b/>
          <w:bCs/>
          <w:i/>
          <w:iCs/>
          <w:color w:val="1F497D"/>
          <w:sz w:val="18"/>
          <w:szCs w:val="18"/>
          <w:lang w:val="en-US"/>
        </w:rPr>
      </w:pPr>
      <w:bookmarkStart w:id="53" w:name="_heading=h.37m2jsg"/>
      <w:bookmarkEnd w:id="53"/>
      <w:r w:rsidRPr="0FE4D5DF">
        <w:rPr>
          <w:i/>
          <w:iCs/>
          <w:color w:val="1F497D" w:themeColor="text2"/>
          <w:sz w:val="18"/>
          <w:szCs w:val="18"/>
          <w:lang w:val="en-US"/>
        </w:rPr>
        <w:t>Ilustración 13 - Participación de CVU sobre el total de transferencias inmediatas “push” administradas por las redes</w:t>
      </w:r>
    </w:p>
    <w:p w14:paraId="6BD18F9B" w14:textId="77777777" w:rsidR="0035403C" w:rsidRDefault="00D02C31">
      <w:pPr>
        <w:keepNext/>
        <w:spacing w:line="276" w:lineRule="auto"/>
        <w:jc w:val="both"/>
      </w:pPr>
      <w:r>
        <w:rPr>
          <w:b/>
          <w:noProof/>
          <w:color w:val="1F497D"/>
          <w:lang w:eastAsia="es-AR"/>
        </w:rPr>
        <w:lastRenderedPageBreak/>
        <w:drawing>
          <wp:inline distT="0" distB="0" distL="0" distR="0" wp14:anchorId="3239CD61" wp14:editId="07777777">
            <wp:extent cx="5987258" cy="3468181"/>
            <wp:effectExtent l="0" t="0" r="0" b="0"/>
            <wp:docPr id="175" name="image39.png" descr="A picture containing text, screenshot, plot, li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9.png" descr="A picture containing text, screenshot, plot, line&#10;&#10;Description automatically generated"/>
                    <pic:cNvPicPr preferRelativeResize="0"/>
                  </pic:nvPicPr>
                  <pic:blipFill>
                    <a:blip r:embed="rId25"/>
                    <a:srcRect/>
                    <a:stretch>
                      <a:fillRect/>
                    </a:stretch>
                  </pic:blipFill>
                  <pic:spPr>
                    <a:xfrm>
                      <a:off x="0" y="0"/>
                      <a:ext cx="5987258" cy="3468181"/>
                    </a:xfrm>
                    <a:prstGeom prst="rect">
                      <a:avLst/>
                    </a:prstGeom>
                    <a:ln/>
                  </pic:spPr>
                </pic:pic>
              </a:graphicData>
            </a:graphic>
          </wp:inline>
        </w:drawing>
      </w:r>
    </w:p>
    <w:p w14:paraId="3BA567FC" w14:textId="77777777" w:rsidR="0035403C" w:rsidRDefault="00D02C31" w:rsidP="0FE4D5DF">
      <w:pPr>
        <w:pBdr>
          <w:top w:val="nil"/>
          <w:left w:val="nil"/>
          <w:bottom w:val="nil"/>
          <w:right w:val="nil"/>
          <w:between w:val="nil"/>
        </w:pBdr>
        <w:spacing w:after="200"/>
        <w:jc w:val="both"/>
        <w:rPr>
          <w:b/>
          <w:bCs/>
          <w:i/>
          <w:iCs/>
          <w:color w:val="1F497D"/>
          <w:sz w:val="18"/>
          <w:szCs w:val="18"/>
          <w:lang w:val="en-US"/>
        </w:rPr>
      </w:pPr>
      <w:bookmarkStart w:id="54" w:name="_heading=h.1mrcu09"/>
      <w:bookmarkEnd w:id="54"/>
      <w:r w:rsidRPr="0FE4D5DF">
        <w:rPr>
          <w:i/>
          <w:iCs/>
          <w:color w:val="1F497D" w:themeColor="text2"/>
          <w:sz w:val="18"/>
          <w:szCs w:val="18"/>
          <w:lang w:val="en-US"/>
        </w:rPr>
        <w:t>Ilustración 14 - Composición de transferencias inmediatas “push” administradas por las redes de transferencias (cantidad)</w:t>
      </w:r>
    </w:p>
    <w:p w14:paraId="238601FE" w14:textId="77777777" w:rsidR="0035403C" w:rsidRDefault="00D02C31">
      <w:pPr>
        <w:keepNext/>
        <w:spacing w:line="276" w:lineRule="auto"/>
        <w:jc w:val="center"/>
      </w:pPr>
      <w:r>
        <w:rPr>
          <w:b/>
          <w:noProof/>
          <w:color w:val="1F497D"/>
          <w:lang w:eastAsia="es-AR"/>
        </w:rPr>
        <w:lastRenderedPageBreak/>
        <w:drawing>
          <wp:inline distT="0" distB="0" distL="0" distR="0" wp14:anchorId="00F7F786" wp14:editId="07777777">
            <wp:extent cx="4710175" cy="4337903"/>
            <wp:effectExtent l="0" t="0" r="0" b="0"/>
            <wp:docPr id="176" name="image43.png" descr="A picture containing text, compact disk, circle, data storage devic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3.png" descr="A picture containing text, compact disk, circle, data storage device&#10;&#10;Description automatically generated"/>
                    <pic:cNvPicPr preferRelativeResize="0"/>
                  </pic:nvPicPr>
                  <pic:blipFill>
                    <a:blip r:embed="rId26"/>
                    <a:srcRect/>
                    <a:stretch>
                      <a:fillRect/>
                    </a:stretch>
                  </pic:blipFill>
                  <pic:spPr>
                    <a:xfrm>
                      <a:off x="0" y="0"/>
                      <a:ext cx="4710175" cy="4337903"/>
                    </a:xfrm>
                    <a:prstGeom prst="rect">
                      <a:avLst/>
                    </a:prstGeom>
                    <a:ln/>
                  </pic:spPr>
                </pic:pic>
              </a:graphicData>
            </a:graphic>
          </wp:inline>
        </w:drawing>
      </w:r>
    </w:p>
    <w:p w14:paraId="466A43AA" w14:textId="77777777" w:rsidR="0035403C" w:rsidRDefault="00D02C31" w:rsidP="0FE4D5DF">
      <w:pPr>
        <w:pBdr>
          <w:top w:val="nil"/>
          <w:left w:val="nil"/>
          <w:bottom w:val="nil"/>
          <w:right w:val="nil"/>
          <w:between w:val="nil"/>
        </w:pBdr>
        <w:spacing w:after="200"/>
        <w:rPr>
          <w:b/>
          <w:bCs/>
          <w:i/>
          <w:iCs/>
          <w:color w:val="1F497D"/>
          <w:sz w:val="18"/>
          <w:szCs w:val="18"/>
          <w:lang w:val="en-US"/>
        </w:rPr>
      </w:pPr>
      <w:bookmarkStart w:id="55" w:name="_heading=h.46r0co2"/>
      <w:bookmarkEnd w:id="55"/>
      <w:r w:rsidRPr="0FE4D5DF">
        <w:rPr>
          <w:i/>
          <w:iCs/>
          <w:color w:val="1F497D" w:themeColor="text2"/>
          <w:sz w:val="18"/>
          <w:szCs w:val="18"/>
          <w:lang w:val="en-US"/>
        </w:rPr>
        <w:t>Ilustración 15 - PCT interoperable por método de iniciación en abril de 2023 (cantidad)</w:t>
      </w:r>
    </w:p>
    <w:p w14:paraId="0F3CABC7" w14:textId="77777777" w:rsidR="0035403C" w:rsidRDefault="00D02C31">
      <w:pPr>
        <w:keepNext/>
        <w:spacing w:line="276" w:lineRule="auto"/>
        <w:jc w:val="center"/>
      </w:pPr>
      <w:r>
        <w:rPr>
          <w:b/>
          <w:noProof/>
          <w:color w:val="1F497D"/>
          <w:lang w:eastAsia="es-AR"/>
        </w:rPr>
        <w:lastRenderedPageBreak/>
        <w:drawing>
          <wp:inline distT="0" distB="0" distL="0" distR="0" wp14:anchorId="4FEBE03C" wp14:editId="07777777">
            <wp:extent cx="5865638" cy="3466118"/>
            <wp:effectExtent l="0" t="0" r="0" b="0"/>
            <wp:docPr id="177" name="image44.png" descr="A picture containing text, screenshot, plot, colorfulnes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4.png" descr="A picture containing text, screenshot, plot, colorfulness&#10;&#10;Description automatically generated"/>
                    <pic:cNvPicPr preferRelativeResize="0"/>
                  </pic:nvPicPr>
                  <pic:blipFill>
                    <a:blip r:embed="rId27"/>
                    <a:srcRect/>
                    <a:stretch>
                      <a:fillRect/>
                    </a:stretch>
                  </pic:blipFill>
                  <pic:spPr>
                    <a:xfrm>
                      <a:off x="0" y="0"/>
                      <a:ext cx="5865638" cy="3466118"/>
                    </a:xfrm>
                    <a:prstGeom prst="rect">
                      <a:avLst/>
                    </a:prstGeom>
                    <a:ln/>
                  </pic:spPr>
                </pic:pic>
              </a:graphicData>
            </a:graphic>
          </wp:inline>
        </w:drawing>
      </w:r>
    </w:p>
    <w:p w14:paraId="55F1C35C" w14:textId="77777777" w:rsidR="0035403C" w:rsidRDefault="00D02C31" w:rsidP="0FE4D5DF">
      <w:pPr>
        <w:pBdr>
          <w:top w:val="nil"/>
          <w:left w:val="nil"/>
          <w:bottom w:val="nil"/>
          <w:right w:val="nil"/>
          <w:between w:val="nil"/>
        </w:pBdr>
        <w:spacing w:after="200"/>
        <w:rPr>
          <w:b/>
          <w:bCs/>
          <w:i/>
          <w:iCs/>
          <w:color w:val="1F497D"/>
          <w:sz w:val="18"/>
          <w:szCs w:val="18"/>
          <w:lang w:val="en-US"/>
        </w:rPr>
      </w:pPr>
      <w:bookmarkStart w:id="56" w:name="_heading=h.2lwamvv"/>
      <w:bookmarkEnd w:id="56"/>
      <w:r w:rsidRPr="0FE4D5DF">
        <w:rPr>
          <w:i/>
          <w:iCs/>
          <w:color w:val="1F497D" w:themeColor="text2"/>
          <w:sz w:val="18"/>
          <w:szCs w:val="18"/>
          <w:lang w:val="en-US"/>
        </w:rPr>
        <w:t>Ilustración 16 - PCT interoperable por método de iniciación (cantidad)</w:t>
      </w:r>
    </w:p>
    <w:p w14:paraId="5B08B5D1" w14:textId="77777777" w:rsidR="0035403C" w:rsidRDefault="00D02C31">
      <w:pPr>
        <w:keepNext/>
        <w:spacing w:line="276" w:lineRule="auto"/>
        <w:jc w:val="center"/>
      </w:pPr>
      <w:r>
        <w:rPr>
          <w:b/>
          <w:noProof/>
          <w:color w:val="1F497D"/>
          <w:lang w:eastAsia="es-AR"/>
        </w:rPr>
        <w:drawing>
          <wp:inline distT="0" distB="0" distL="0" distR="0" wp14:anchorId="52641DA0" wp14:editId="07777777">
            <wp:extent cx="5906031" cy="3711133"/>
            <wp:effectExtent l="0" t="0" r="0" b="0"/>
            <wp:docPr id="178" name="image45.png" descr="A screenshot of a computer scree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5.png" descr="A screenshot of a computer screen&#10;&#10;Description automatically generated"/>
                    <pic:cNvPicPr preferRelativeResize="0"/>
                  </pic:nvPicPr>
                  <pic:blipFill>
                    <a:blip r:embed="rId28"/>
                    <a:srcRect/>
                    <a:stretch>
                      <a:fillRect/>
                    </a:stretch>
                  </pic:blipFill>
                  <pic:spPr>
                    <a:xfrm>
                      <a:off x="0" y="0"/>
                      <a:ext cx="5906031" cy="3711133"/>
                    </a:xfrm>
                    <a:prstGeom prst="rect">
                      <a:avLst/>
                    </a:prstGeom>
                    <a:ln/>
                  </pic:spPr>
                </pic:pic>
              </a:graphicData>
            </a:graphic>
          </wp:inline>
        </w:drawing>
      </w:r>
    </w:p>
    <w:p w14:paraId="747EF05E" w14:textId="77777777" w:rsidR="0035403C" w:rsidRDefault="00D02C31" w:rsidP="0FE4D5DF">
      <w:pPr>
        <w:pBdr>
          <w:top w:val="nil"/>
          <w:left w:val="nil"/>
          <w:bottom w:val="nil"/>
          <w:right w:val="nil"/>
          <w:between w:val="nil"/>
        </w:pBdr>
        <w:spacing w:after="200"/>
        <w:rPr>
          <w:i/>
          <w:iCs/>
          <w:color w:val="1F497D"/>
          <w:sz w:val="18"/>
          <w:szCs w:val="18"/>
          <w:lang w:val="en-US"/>
        </w:rPr>
      </w:pPr>
      <w:bookmarkStart w:id="57" w:name="_heading=h.111kx3o"/>
      <w:bookmarkEnd w:id="57"/>
      <w:r w:rsidRPr="0FE4D5DF">
        <w:rPr>
          <w:i/>
          <w:iCs/>
          <w:color w:val="1F497D" w:themeColor="text2"/>
          <w:sz w:val="18"/>
          <w:szCs w:val="18"/>
          <w:lang w:val="en-US"/>
        </w:rPr>
        <w:t>Ilustración 17 - Distribución porcentual de los PCT iniciados con QR interoperable - billetera digital/aceptador</w:t>
      </w:r>
    </w:p>
    <w:p w14:paraId="5CC0A5AB" w14:textId="77777777" w:rsidR="0035403C" w:rsidRDefault="00D02C31">
      <w:pPr>
        <w:pStyle w:val="Ttulo2"/>
        <w:spacing w:before="280" w:after="280"/>
      </w:pPr>
      <w:bookmarkStart w:id="58" w:name="_heading=h.3l18frh"/>
      <w:bookmarkEnd w:id="58"/>
      <w:r w:rsidRPr="0FE4D5DF">
        <w:rPr>
          <w:lang w:val="en-US"/>
        </w:rPr>
        <w:lastRenderedPageBreak/>
        <w:t xml:space="preserve">Tablero de control – Informe mensual </w:t>
      </w:r>
    </w:p>
    <w:p w14:paraId="16DEB4AB" w14:textId="77777777" w:rsidR="0035403C" w:rsidRDefault="0035403C"/>
    <w:p w14:paraId="0AD9C6F4" w14:textId="77777777" w:rsidR="0035403C" w:rsidRDefault="00D02C31">
      <w:pPr>
        <w:ind w:left="-993"/>
      </w:pPr>
      <w:r>
        <w:rPr>
          <w:noProof/>
          <w:lang w:eastAsia="es-AR"/>
        </w:rPr>
        <w:drawing>
          <wp:inline distT="0" distB="0" distL="0" distR="0" wp14:anchorId="6C5A7890" wp14:editId="07777777">
            <wp:extent cx="7007515" cy="4889549"/>
            <wp:effectExtent l="0" t="0" r="0" b="0"/>
            <wp:docPr id="179"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29"/>
                    <a:srcRect/>
                    <a:stretch>
                      <a:fillRect/>
                    </a:stretch>
                  </pic:blipFill>
                  <pic:spPr>
                    <a:xfrm>
                      <a:off x="0" y="0"/>
                      <a:ext cx="7007515" cy="4889549"/>
                    </a:xfrm>
                    <a:prstGeom prst="rect">
                      <a:avLst/>
                    </a:prstGeom>
                    <a:ln/>
                  </pic:spPr>
                </pic:pic>
              </a:graphicData>
            </a:graphic>
          </wp:inline>
        </w:drawing>
      </w:r>
    </w:p>
    <w:p w14:paraId="13E80305" w14:textId="77777777" w:rsidR="0035403C" w:rsidRDefault="00D02C31" w:rsidP="0FE4D5DF">
      <w:pPr>
        <w:pBdr>
          <w:top w:val="nil"/>
          <w:left w:val="nil"/>
          <w:bottom w:val="nil"/>
          <w:right w:val="nil"/>
          <w:between w:val="nil"/>
        </w:pBdr>
        <w:spacing w:after="200"/>
        <w:rPr>
          <w:i/>
          <w:iCs/>
          <w:color w:val="1F497D"/>
          <w:sz w:val="18"/>
          <w:szCs w:val="18"/>
          <w:lang w:val="en-US"/>
        </w:rPr>
      </w:pPr>
      <w:bookmarkStart w:id="59" w:name="_heading=h.206ipza"/>
      <w:bookmarkEnd w:id="59"/>
      <w:r w:rsidRPr="0FE4D5DF">
        <w:rPr>
          <w:i/>
          <w:iCs/>
          <w:color w:val="1F497D" w:themeColor="text2"/>
          <w:sz w:val="18"/>
          <w:szCs w:val="18"/>
          <w:lang w:val="en-US"/>
        </w:rPr>
        <w:t>Ilustración 18 - Resumen de tablero de control Informe Mensual de Pagos Minoristas</w:t>
      </w:r>
    </w:p>
    <w:p w14:paraId="439CA2C8" w14:textId="77777777" w:rsidR="0035403C" w:rsidRDefault="00D02C31">
      <w:pPr>
        <w:pStyle w:val="Ttulo1"/>
      </w:pPr>
      <w:bookmarkStart w:id="60" w:name="_heading=h.4k668n3" w:colFirst="0" w:colLast="0"/>
      <w:bookmarkEnd w:id="60"/>
      <w:r>
        <w:t>LA EMPRESA</w:t>
      </w:r>
    </w:p>
    <w:p w14:paraId="19E5B74D" w14:textId="77777777" w:rsidR="0035403C" w:rsidRDefault="00D02C31">
      <w:pPr>
        <w:pStyle w:val="Ttulo2"/>
      </w:pPr>
      <w:bookmarkStart w:id="61" w:name="_heading=h.2zbgiuw"/>
      <w:bookmarkEnd w:id="61"/>
      <w:r w:rsidRPr="0FE4D5DF">
        <w:rPr>
          <w:lang w:val="en-US"/>
        </w:rPr>
        <w:t>Situación actual</w:t>
      </w:r>
    </w:p>
    <w:p w14:paraId="7265D0A5" w14:textId="77777777" w:rsidR="0035403C" w:rsidRDefault="00D02C31">
      <w:pPr>
        <w:spacing w:after="160" w:line="276" w:lineRule="auto"/>
        <w:jc w:val="both"/>
      </w:pPr>
      <w:r w:rsidRPr="0FE4D5DF">
        <w:rPr>
          <w:lang w:val="en-US"/>
        </w:rPr>
        <w:t xml:space="preserve">Coelsa S.A. es una empresa con </w:t>
      </w:r>
      <w:proofErr w:type="gramStart"/>
      <w:r w:rsidRPr="0FE4D5DF">
        <w:rPr>
          <w:lang w:val="en-US"/>
        </w:rPr>
        <w:t>origen</w:t>
      </w:r>
      <w:proofErr w:type="gramEnd"/>
      <w:r w:rsidRPr="0FE4D5DF">
        <w:rPr>
          <w:lang w:val="en-US"/>
        </w:rPr>
        <w:t xml:space="preserve"> de más de 25 años, que se ha propuesto a ser el actor principal para garantizar el desarrollo del Sistema Nacional de Pagos y dar lugar a un número creciente de actores al escenario financiero, sean particulares, empresas u organismos. </w:t>
      </w:r>
      <w:proofErr w:type="gramStart"/>
      <w:r w:rsidRPr="0FE4D5DF">
        <w:rPr>
          <w:lang w:val="en-US"/>
        </w:rPr>
        <w:t>Por eso, fomenta y resuelve la interoperabilidad entre todas las partes.</w:t>
      </w:r>
      <w:proofErr w:type="gramEnd"/>
      <w:r w:rsidRPr="0FE4D5DF">
        <w:rPr>
          <w:lang w:val="en-US"/>
        </w:rPr>
        <w:t xml:space="preserve"> Es una empresa en contacto con el 100% </w:t>
      </w:r>
      <w:proofErr w:type="gramStart"/>
      <w:r w:rsidRPr="0FE4D5DF">
        <w:rPr>
          <w:lang w:val="en-US"/>
        </w:rPr>
        <w:t>del</w:t>
      </w:r>
      <w:proofErr w:type="gramEnd"/>
      <w:r w:rsidRPr="0FE4D5DF">
        <w:rPr>
          <w:lang w:val="en-US"/>
        </w:rPr>
        <w:t xml:space="preserve"> sector financiero argentino, deseando ser la mejor opción de soluciones tecnológicas que resuelva la interacción, integración y seguridad del ecosistema financiero. La empresa cumple con la totalidad de la normativa legal y de autoridad pública que regula la compensación electrónica de medios de pagos, </w:t>
      </w:r>
      <w:proofErr w:type="gramStart"/>
      <w:r w:rsidRPr="0FE4D5DF">
        <w:rPr>
          <w:lang w:val="en-US"/>
        </w:rPr>
        <w:t>como</w:t>
      </w:r>
      <w:proofErr w:type="gramEnd"/>
      <w:r w:rsidRPr="0FE4D5DF">
        <w:rPr>
          <w:lang w:val="en-US"/>
        </w:rPr>
        <w:t xml:space="preserve"> así en la complementación de comunicaciones del BCRA </w:t>
      </w:r>
      <w:r w:rsidRPr="0FE4D5DF">
        <w:rPr>
          <w:lang w:val="en-US"/>
        </w:rPr>
        <w:lastRenderedPageBreak/>
        <w:t xml:space="preserve">relativas al procesamiento de los diferentes productos compensables y textos ordenados del sistema nacional de pagos. </w:t>
      </w:r>
    </w:p>
    <w:p w14:paraId="05FFE921" w14:textId="77777777" w:rsidR="0035403C" w:rsidRDefault="00D02C31">
      <w:pPr>
        <w:spacing w:after="160" w:line="276" w:lineRule="auto"/>
        <w:jc w:val="both"/>
      </w:pPr>
      <w:r w:rsidRPr="0FE4D5DF">
        <w:rPr>
          <w:lang w:val="en-US"/>
        </w:rPr>
        <w:t xml:space="preserve">La empresa, además, ha co-creado la CBU (Clave Bancaria Única) y la CVU (Clave Virtual Única), el Alias CBU para que las cuentas tengan un nombre fácil de recordar, el E-CHEQ (cheque electrónico) y co-creadores del sistema de pagos por transferencias con código QR interoperable (Quick Response - Código de Respuesta Rápida) que hoy agiliza todas las compras del país. Algunos desafíos que ha resuelto </w:t>
      </w:r>
      <w:proofErr w:type="gramStart"/>
      <w:r w:rsidRPr="0FE4D5DF">
        <w:rPr>
          <w:lang w:val="en-US"/>
        </w:rPr>
        <w:t>durante</w:t>
      </w:r>
      <w:proofErr w:type="gramEnd"/>
      <w:r w:rsidRPr="0FE4D5DF">
        <w:rPr>
          <w:lang w:val="en-US"/>
        </w:rPr>
        <w:t xml:space="preserve"> el período de pandemia por el Covid-19:</w:t>
      </w:r>
    </w:p>
    <w:p w14:paraId="5B4A5BEB" w14:textId="77777777" w:rsidR="0035403C" w:rsidRDefault="00D02C31" w:rsidP="0FE4D5DF">
      <w:pPr>
        <w:numPr>
          <w:ilvl w:val="0"/>
          <w:numId w:val="11"/>
        </w:numPr>
        <w:pBdr>
          <w:top w:val="nil"/>
          <w:left w:val="nil"/>
          <w:bottom w:val="nil"/>
          <w:right w:val="nil"/>
          <w:between w:val="nil"/>
        </w:pBdr>
        <w:spacing w:line="276" w:lineRule="auto"/>
        <w:jc w:val="both"/>
        <w:rPr>
          <w:color w:val="000000"/>
          <w:lang w:val="en-US"/>
        </w:rPr>
      </w:pPr>
      <w:r w:rsidRPr="0FE4D5DF">
        <w:rPr>
          <w:color w:val="000000" w:themeColor="text1"/>
          <w:lang w:val="en-US"/>
        </w:rPr>
        <w:t xml:space="preserve">Ha operado el IFE y </w:t>
      </w:r>
      <w:proofErr w:type="gramStart"/>
      <w:r w:rsidRPr="0FE4D5DF">
        <w:rPr>
          <w:color w:val="000000" w:themeColor="text1"/>
          <w:lang w:val="en-US"/>
        </w:rPr>
        <w:t>el ATP ante</w:t>
      </w:r>
      <w:proofErr w:type="gramEnd"/>
      <w:r w:rsidRPr="0FE4D5DF">
        <w:rPr>
          <w:color w:val="000000" w:themeColor="text1"/>
          <w:lang w:val="en-US"/>
        </w:rPr>
        <w:t xml:space="preserve"> las necesidades del ecosistema de pagos como facilitadores de gestión de gobierno.</w:t>
      </w:r>
    </w:p>
    <w:p w14:paraId="5A37D676" w14:textId="77777777" w:rsidR="0035403C" w:rsidRDefault="00D02C31" w:rsidP="0FE4D5DF">
      <w:pPr>
        <w:numPr>
          <w:ilvl w:val="0"/>
          <w:numId w:val="11"/>
        </w:numPr>
        <w:pBdr>
          <w:top w:val="nil"/>
          <w:left w:val="nil"/>
          <w:bottom w:val="nil"/>
          <w:right w:val="nil"/>
          <w:between w:val="nil"/>
        </w:pBdr>
        <w:spacing w:line="276" w:lineRule="auto"/>
        <w:jc w:val="both"/>
        <w:rPr>
          <w:color w:val="000000"/>
          <w:lang w:val="en-US"/>
        </w:rPr>
      </w:pPr>
      <w:r w:rsidRPr="0FE4D5DF">
        <w:rPr>
          <w:color w:val="000000" w:themeColor="text1"/>
          <w:lang w:val="en-US"/>
        </w:rPr>
        <w:t xml:space="preserve">Ha soportado </w:t>
      </w:r>
      <w:proofErr w:type="gramStart"/>
      <w:r w:rsidRPr="0FE4D5DF">
        <w:rPr>
          <w:color w:val="000000" w:themeColor="text1"/>
          <w:lang w:val="en-US"/>
        </w:rPr>
        <w:t>un</w:t>
      </w:r>
      <w:proofErr w:type="gramEnd"/>
      <w:r w:rsidRPr="0FE4D5DF">
        <w:rPr>
          <w:color w:val="000000" w:themeColor="text1"/>
          <w:lang w:val="en-US"/>
        </w:rPr>
        <w:t xml:space="preserve"> incremento del 1000% en el volumen de transacciones online.</w:t>
      </w:r>
    </w:p>
    <w:p w14:paraId="3A44E9D4" w14:textId="77777777" w:rsidR="0035403C" w:rsidRDefault="00D02C31" w:rsidP="0FE4D5DF">
      <w:pPr>
        <w:numPr>
          <w:ilvl w:val="0"/>
          <w:numId w:val="11"/>
        </w:numPr>
        <w:pBdr>
          <w:top w:val="nil"/>
          <w:left w:val="nil"/>
          <w:bottom w:val="nil"/>
          <w:right w:val="nil"/>
          <w:between w:val="nil"/>
        </w:pBdr>
        <w:spacing w:after="160" w:line="276" w:lineRule="auto"/>
        <w:jc w:val="both"/>
        <w:rPr>
          <w:color w:val="000000"/>
          <w:lang w:val="en-US"/>
        </w:rPr>
      </w:pPr>
      <w:r w:rsidRPr="0FE4D5DF">
        <w:rPr>
          <w:color w:val="000000" w:themeColor="text1"/>
          <w:lang w:val="en-US"/>
        </w:rPr>
        <w:t>Ha mantenido el sistema operativo sin interrupciones.</w:t>
      </w:r>
    </w:p>
    <w:p w14:paraId="6C377D66" w14:textId="77777777" w:rsidR="0035403C" w:rsidRDefault="00D02C31">
      <w:pPr>
        <w:spacing w:after="160" w:line="276" w:lineRule="auto"/>
        <w:jc w:val="both"/>
      </w:pPr>
      <w:r w:rsidRPr="0FE4D5DF">
        <w:rPr>
          <w:lang w:val="en-US"/>
        </w:rPr>
        <w:t xml:space="preserve">Los valores propuestos por la compañía, inclusión, superación, conectividad y confianza </w:t>
      </w:r>
      <w:proofErr w:type="gramStart"/>
      <w:r w:rsidRPr="0FE4D5DF">
        <w:rPr>
          <w:lang w:val="en-US"/>
        </w:rPr>
        <w:t>han</w:t>
      </w:r>
      <w:proofErr w:type="gramEnd"/>
      <w:r w:rsidRPr="0FE4D5DF">
        <w:rPr>
          <w:lang w:val="en-US"/>
        </w:rPr>
        <w:t xml:space="preserve"> potenciado la marca empleadora a través de una nueva identidad corporativa. Coelsa se ha posicionado en el mercado </w:t>
      </w:r>
      <w:proofErr w:type="gramStart"/>
      <w:r w:rsidRPr="0FE4D5DF">
        <w:rPr>
          <w:lang w:val="en-US"/>
        </w:rPr>
        <w:t>como</w:t>
      </w:r>
      <w:proofErr w:type="gramEnd"/>
      <w:r w:rsidRPr="0FE4D5DF">
        <w:rPr>
          <w:lang w:val="en-US"/>
        </w:rPr>
        <w:t> una empresa tecnológica con grandes aspiraciones enmarcadas dentro de su plan estratégico, complementándose con un equipo profesional, con tecnologías innovadoras, planes de formación potentes y oportunidades de desarrollo profesional. De la mano de esta transformación, la evolución y la aceleración que se ha presentado deja consigo algunos hitos importantes:</w:t>
      </w:r>
    </w:p>
    <w:p w14:paraId="22FB1A3A" w14:textId="77777777" w:rsidR="0035403C" w:rsidRDefault="00D02C31" w:rsidP="0FE4D5DF">
      <w:pPr>
        <w:numPr>
          <w:ilvl w:val="0"/>
          <w:numId w:val="3"/>
        </w:numPr>
        <w:pBdr>
          <w:top w:val="nil"/>
          <w:left w:val="nil"/>
          <w:bottom w:val="nil"/>
          <w:right w:val="nil"/>
          <w:between w:val="nil"/>
        </w:pBdr>
        <w:rPr>
          <w:color w:val="000000"/>
          <w:lang w:val="en-US"/>
        </w:rPr>
      </w:pPr>
      <w:r w:rsidRPr="0FE4D5DF">
        <w:rPr>
          <w:lang w:val="en-US"/>
        </w:rPr>
        <w:t>Más</w:t>
      </w:r>
      <w:r w:rsidRPr="0FE4D5DF">
        <w:rPr>
          <w:color w:val="000000" w:themeColor="text1"/>
          <w:lang w:val="en-US"/>
        </w:rPr>
        <w:t xml:space="preserve"> de 10.000 millones de transacciones anuales. </w:t>
      </w:r>
    </w:p>
    <w:p w14:paraId="159C4391" w14:textId="77777777" w:rsidR="0035403C" w:rsidRDefault="00D02C31" w:rsidP="0FE4D5DF">
      <w:pPr>
        <w:numPr>
          <w:ilvl w:val="0"/>
          <w:numId w:val="3"/>
        </w:numPr>
        <w:pBdr>
          <w:top w:val="nil"/>
          <w:left w:val="nil"/>
          <w:bottom w:val="nil"/>
          <w:right w:val="nil"/>
          <w:between w:val="nil"/>
        </w:pBdr>
        <w:rPr>
          <w:color w:val="000000"/>
          <w:lang w:val="en-US"/>
        </w:rPr>
      </w:pPr>
      <w:r w:rsidRPr="0FE4D5DF">
        <w:rPr>
          <w:color w:val="000000" w:themeColor="text1"/>
          <w:lang w:val="en-US"/>
        </w:rPr>
        <w:t>Más de 170 millones de cuentas administradas.</w:t>
      </w:r>
    </w:p>
    <w:p w14:paraId="5C11EBDA" w14:textId="77777777" w:rsidR="0035403C" w:rsidRDefault="00D02C31" w:rsidP="0FE4D5DF">
      <w:pPr>
        <w:numPr>
          <w:ilvl w:val="0"/>
          <w:numId w:val="3"/>
        </w:numPr>
        <w:pBdr>
          <w:top w:val="nil"/>
          <w:left w:val="nil"/>
          <w:bottom w:val="nil"/>
          <w:right w:val="nil"/>
          <w:between w:val="nil"/>
        </w:pBdr>
        <w:rPr>
          <w:color w:val="000000"/>
          <w:lang w:val="en-US"/>
        </w:rPr>
      </w:pPr>
      <w:r w:rsidRPr="0FE4D5DF">
        <w:rPr>
          <w:color w:val="000000" w:themeColor="text1"/>
          <w:lang w:val="en-US"/>
        </w:rPr>
        <w:t xml:space="preserve">Más de 1.800 millones de transferencias inmediatas por año con más </w:t>
      </w:r>
      <w:proofErr w:type="gramStart"/>
      <w:r w:rsidRPr="0FE4D5DF">
        <w:rPr>
          <w:color w:val="000000" w:themeColor="text1"/>
          <w:lang w:val="en-US"/>
        </w:rPr>
        <w:t>del</w:t>
      </w:r>
      <w:proofErr w:type="gramEnd"/>
      <w:r w:rsidRPr="0FE4D5DF">
        <w:rPr>
          <w:color w:val="000000" w:themeColor="text1"/>
          <w:lang w:val="en-US"/>
        </w:rPr>
        <w:t xml:space="preserve"> 60% de participación de mercado.</w:t>
      </w:r>
    </w:p>
    <w:p w14:paraId="3C1AC076" w14:textId="77777777" w:rsidR="0035403C" w:rsidRDefault="00D02C31" w:rsidP="0FE4D5DF">
      <w:pPr>
        <w:numPr>
          <w:ilvl w:val="0"/>
          <w:numId w:val="3"/>
        </w:numPr>
        <w:pBdr>
          <w:top w:val="nil"/>
          <w:left w:val="nil"/>
          <w:bottom w:val="nil"/>
          <w:right w:val="nil"/>
          <w:between w:val="nil"/>
        </w:pBdr>
        <w:rPr>
          <w:color w:val="000000"/>
          <w:lang w:val="en-US"/>
        </w:rPr>
      </w:pPr>
      <w:r w:rsidRPr="0FE4D5DF">
        <w:rPr>
          <w:color w:val="000000" w:themeColor="text1"/>
          <w:lang w:val="en-US"/>
        </w:rPr>
        <w:t xml:space="preserve">Más de 100 deals en gestión de negocios. </w:t>
      </w:r>
    </w:p>
    <w:p w14:paraId="641744EE" w14:textId="77777777" w:rsidR="0035403C" w:rsidRDefault="00D02C31" w:rsidP="0FE4D5DF">
      <w:pPr>
        <w:numPr>
          <w:ilvl w:val="0"/>
          <w:numId w:val="3"/>
        </w:numPr>
        <w:pBdr>
          <w:top w:val="nil"/>
          <w:left w:val="nil"/>
          <w:bottom w:val="nil"/>
          <w:right w:val="nil"/>
          <w:between w:val="nil"/>
        </w:pBdr>
        <w:rPr>
          <w:color w:val="000000"/>
          <w:lang w:val="en-US"/>
        </w:rPr>
      </w:pPr>
      <w:r w:rsidRPr="0FE4D5DF">
        <w:rPr>
          <w:color w:val="000000" w:themeColor="text1"/>
          <w:lang w:val="en-US"/>
        </w:rPr>
        <w:t>Más del 90% de participación en transacciones iniciadas por bancos sponsors de PSPs.</w:t>
      </w:r>
    </w:p>
    <w:p w14:paraId="6E3DB17A" w14:textId="77777777" w:rsidR="0035403C" w:rsidRDefault="00D02C31" w:rsidP="0FE4D5DF">
      <w:pPr>
        <w:numPr>
          <w:ilvl w:val="0"/>
          <w:numId w:val="3"/>
        </w:numPr>
        <w:pBdr>
          <w:top w:val="nil"/>
          <w:left w:val="nil"/>
          <w:bottom w:val="nil"/>
          <w:right w:val="nil"/>
          <w:between w:val="nil"/>
        </w:pBdr>
        <w:rPr>
          <w:color w:val="000000"/>
          <w:lang w:val="en-US"/>
        </w:rPr>
      </w:pPr>
      <w:r w:rsidRPr="0FE4D5DF">
        <w:rPr>
          <w:color w:val="000000" w:themeColor="text1"/>
          <w:lang w:val="en-US"/>
        </w:rPr>
        <w:t>Más proyectos alineados a nuestra estrategia de sustentabilidad.</w:t>
      </w:r>
    </w:p>
    <w:p w14:paraId="4B1F511A" w14:textId="77777777" w:rsidR="0035403C" w:rsidRDefault="0035403C">
      <w:pPr>
        <w:jc w:val="both"/>
      </w:pPr>
    </w:p>
    <w:p w14:paraId="2933C9D9" w14:textId="77777777" w:rsidR="0035403C" w:rsidRDefault="00D02C31">
      <w:pPr>
        <w:jc w:val="both"/>
      </w:pPr>
      <w:r w:rsidRPr="0FE4D5DF">
        <w:rPr>
          <w:lang w:val="en-US"/>
        </w:rPr>
        <w:t xml:space="preserve">En resumen, Coelsa S.A. pasó de ser en muy poco tiempo una empresa tradicional a una empresa de tecnología responsable de crear las herramientas que necesitan las entidades financieras y bancarias para fluir </w:t>
      </w:r>
      <w:proofErr w:type="gramStart"/>
      <w:r w:rsidRPr="0FE4D5DF">
        <w:rPr>
          <w:lang w:val="en-US"/>
        </w:rPr>
        <w:t>segura</w:t>
      </w:r>
      <w:proofErr w:type="gramEnd"/>
      <w:r w:rsidRPr="0FE4D5DF">
        <w:rPr>
          <w:lang w:val="en-US"/>
        </w:rPr>
        <w:t xml:space="preserve"> y libremente a través del ecosistema de pagos. </w:t>
      </w:r>
    </w:p>
    <w:p w14:paraId="7B800630" w14:textId="77777777" w:rsidR="0035403C" w:rsidRDefault="00D02C31" w:rsidP="0FE4D5DF">
      <w:pPr>
        <w:pStyle w:val="Ttulo2"/>
        <w:rPr>
          <w:lang w:val="en-US"/>
        </w:rPr>
      </w:pPr>
      <w:bookmarkStart w:id="62" w:name="_heading=h.1egqt2p"/>
      <w:bookmarkEnd w:id="62"/>
      <w:r w:rsidRPr="0FE4D5DF">
        <w:rPr>
          <w:lang w:val="en-US"/>
        </w:rPr>
        <w:lastRenderedPageBreak/>
        <w:t>Accionistas</w:t>
      </w:r>
    </w:p>
    <w:p w14:paraId="65F9C3DC" w14:textId="77777777" w:rsidR="0035403C" w:rsidRDefault="00D02C31">
      <w:pPr>
        <w:spacing w:line="276" w:lineRule="auto"/>
        <w:jc w:val="both"/>
      </w:pPr>
      <w:r>
        <w:rPr>
          <w:noProof/>
          <w:lang w:eastAsia="es-AR"/>
        </w:rPr>
        <w:drawing>
          <wp:inline distT="0" distB="0" distL="0" distR="0" wp14:anchorId="1675589A" wp14:editId="07777777">
            <wp:extent cx="5664200" cy="2016760"/>
            <wp:effectExtent l="0" t="0" r="0" b="0"/>
            <wp:docPr id="180"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30"/>
                    <a:srcRect/>
                    <a:stretch>
                      <a:fillRect/>
                    </a:stretch>
                  </pic:blipFill>
                  <pic:spPr>
                    <a:xfrm>
                      <a:off x="0" y="0"/>
                      <a:ext cx="5664200" cy="2016760"/>
                    </a:xfrm>
                    <a:prstGeom prst="rect">
                      <a:avLst/>
                    </a:prstGeom>
                    <a:ln/>
                  </pic:spPr>
                </pic:pic>
              </a:graphicData>
            </a:graphic>
          </wp:inline>
        </w:drawing>
      </w:r>
    </w:p>
    <w:p w14:paraId="6B3EE669" w14:textId="77777777" w:rsidR="0035403C" w:rsidRDefault="00D02C31" w:rsidP="0FE4D5DF">
      <w:pPr>
        <w:spacing w:after="200"/>
        <w:rPr>
          <w:i/>
          <w:iCs/>
          <w:color w:val="1F497D" w:themeColor="text2"/>
          <w:sz w:val="18"/>
          <w:szCs w:val="18"/>
          <w:lang w:val="en-US"/>
        </w:rPr>
      </w:pPr>
      <w:r w:rsidRPr="0FE4D5DF">
        <w:rPr>
          <w:i/>
          <w:iCs/>
          <w:color w:val="1F497D" w:themeColor="text2"/>
          <w:sz w:val="18"/>
          <w:szCs w:val="18"/>
          <w:lang w:val="en-US"/>
        </w:rPr>
        <w:t>Ilustración 19 - Resumen de accionistas</w:t>
      </w:r>
    </w:p>
    <w:p w14:paraId="7C9D4D17" w14:textId="77777777" w:rsidR="0035403C" w:rsidRDefault="00D02C31">
      <w:pPr>
        <w:pStyle w:val="Ttulo2"/>
      </w:pPr>
      <w:bookmarkStart w:id="63" w:name="_heading=h.3ygebqi"/>
      <w:bookmarkEnd w:id="63"/>
      <w:r w:rsidRPr="0FE4D5DF">
        <w:rPr>
          <w:lang w:val="en-US"/>
        </w:rPr>
        <w:t>Propuesta de valor</w:t>
      </w:r>
    </w:p>
    <w:p w14:paraId="5023141B" w14:textId="77777777" w:rsidR="0035403C" w:rsidRDefault="0035403C"/>
    <w:p w14:paraId="1F3B1409" w14:textId="77777777" w:rsidR="0035403C" w:rsidRDefault="00D02C31">
      <w:pPr>
        <w:spacing w:line="276" w:lineRule="auto"/>
        <w:jc w:val="center"/>
        <w:rPr>
          <w:b/>
          <w:color w:val="1F497D"/>
        </w:rPr>
      </w:pPr>
      <w:r>
        <w:rPr>
          <w:b/>
          <w:noProof/>
          <w:lang w:eastAsia="es-AR"/>
        </w:rPr>
        <w:drawing>
          <wp:inline distT="0" distB="0" distL="0" distR="0" wp14:anchorId="2EA94E82" wp14:editId="07777777">
            <wp:extent cx="6201881" cy="4651410"/>
            <wp:effectExtent l="0" t="0" r="0" b="0"/>
            <wp:docPr id="151" name="image20.png" descr="Tabl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20.png" descr="Table&#10;&#10;Description automatically generated with medium confidence"/>
                    <pic:cNvPicPr preferRelativeResize="0"/>
                  </pic:nvPicPr>
                  <pic:blipFill>
                    <a:blip r:embed="rId31"/>
                    <a:srcRect/>
                    <a:stretch>
                      <a:fillRect/>
                    </a:stretch>
                  </pic:blipFill>
                  <pic:spPr>
                    <a:xfrm>
                      <a:off x="0" y="0"/>
                      <a:ext cx="6201881" cy="4651410"/>
                    </a:xfrm>
                    <a:prstGeom prst="rect">
                      <a:avLst/>
                    </a:prstGeom>
                    <a:ln/>
                  </pic:spPr>
                </pic:pic>
              </a:graphicData>
            </a:graphic>
          </wp:inline>
        </w:drawing>
      </w:r>
    </w:p>
    <w:p w14:paraId="72D7EA3A" w14:textId="77777777" w:rsidR="0035403C" w:rsidRDefault="00D02C31">
      <w:pPr>
        <w:spacing w:after="200"/>
      </w:pPr>
      <w:r w:rsidRPr="0FE4D5DF">
        <w:rPr>
          <w:i/>
          <w:iCs/>
          <w:color w:val="1F497D" w:themeColor="text2"/>
          <w:sz w:val="18"/>
          <w:szCs w:val="18"/>
          <w:lang w:val="en-US"/>
        </w:rPr>
        <w:t>Ilustración 20 - Business model canvas</w:t>
      </w:r>
    </w:p>
    <w:p w14:paraId="2DE1123A" w14:textId="77777777" w:rsidR="0035403C" w:rsidRDefault="00D02C31">
      <w:pPr>
        <w:pStyle w:val="Ttulo2"/>
      </w:pPr>
      <w:bookmarkStart w:id="64" w:name="_heading=h.2dlolyb"/>
      <w:bookmarkEnd w:id="64"/>
      <w:r w:rsidRPr="0FE4D5DF">
        <w:rPr>
          <w:lang w:val="en-US"/>
        </w:rPr>
        <w:lastRenderedPageBreak/>
        <w:t>Matriz FODA</w:t>
      </w:r>
    </w:p>
    <w:p w14:paraId="384414D2" w14:textId="77777777" w:rsidR="0035403C" w:rsidRDefault="00D02C31">
      <w:pPr>
        <w:jc w:val="both"/>
      </w:pPr>
      <w:r w:rsidRPr="0FE4D5DF">
        <w:rPr>
          <w:lang w:val="en-US"/>
        </w:rPr>
        <w:t xml:space="preserve">La matriz FODA comprende el análisis y la evaluación de las Fortalezas, Oportunidades, Debilidades y Amenazas de una empresa o entidad. Es una de las herramientas más </w:t>
      </w:r>
      <w:proofErr w:type="gramStart"/>
      <w:r w:rsidRPr="0FE4D5DF">
        <w:rPr>
          <w:lang w:val="en-US"/>
        </w:rPr>
        <w:t>simples</w:t>
      </w:r>
      <w:proofErr w:type="gramEnd"/>
      <w:r w:rsidRPr="0FE4D5DF">
        <w:rPr>
          <w:lang w:val="en-US"/>
        </w:rPr>
        <w:t xml:space="preserve"> para el análisis estratégico. Algo a destacar sobre esta herramienta, es que proporciona </w:t>
      </w:r>
      <w:proofErr w:type="gramStart"/>
      <w:r w:rsidRPr="0FE4D5DF">
        <w:rPr>
          <w:lang w:val="en-US"/>
        </w:rPr>
        <w:t>un</w:t>
      </w:r>
      <w:proofErr w:type="gramEnd"/>
      <w:r w:rsidRPr="0FE4D5DF">
        <w:rPr>
          <w:lang w:val="en-US"/>
        </w:rPr>
        <w:t xml:space="preserve"> análisis instantáneo de la situación actual de una empresa. La compañía debe utilizar esta matriz </w:t>
      </w:r>
      <w:proofErr w:type="gramStart"/>
      <w:r w:rsidRPr="0FE4D5DF">
        <w:rPr>
          <w:lang w:val="en-US"/>
        </w:rPr>
        <w:t>como</w:t>
      </w:r>
      <w:proofErr w:type="gramEnd"/>
      <w:r w:rsidRPr="0FE4D5DF">
        <w:rPr>
          <w:lang w:val="en-US"/>
        </w:rPr>
        <w:t xml:space="preserve"> parte de un proceso más amplio de planificación y análisis, para tomar decisiones estratégicas. En el caso de una empresa que opera con pocos competidores en su industria y tiene regulación gubernamental, la matriz FODA podría ser la siguiente:</w:t>
      </w:r>
    </w:p>
    <w:p w14:paraId="562C75D1" w14:textId="77777777" w:rsidR="0035403C" w:rsidRDefault="00D02C31">
      <w:pPr>
        <w:spacing w:line="276" w:lineRule="auto"/>
        <w:jc w:val="both"/>
        <w:rPr>
          <w:b/>
          <w:highlight w:val="red"/>
        </w:rPr>
      </w:pPr>
      <w:r>
        <w:rPr>
          <w:b/>
          <w:noProof/>
          <w:lang w:eastAsia="es-AR"/>
        </w:rPr>
        <w:drawing>
          <wp:inline distT="0" distB="0" distL="0" distR="0" wp14:anchorId="2E1941B3" wp14:editId="07777777">
            <wp:extent cx="5664200" cy="3225800"/>
            <wp:effectExtent l="0" t="0" r="0" b="0"/>
            <wp:docPr id="152" name="image16.png" descr="A diagram with colorful circles and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6.png" descr="A diagram with colorful circles and text&#10;&#10;Description automatically generated"/>
                    <pic:cNvPicPr preferRelativeResize="0"/>
                  </pic:nvPicPr>
                  <pic:blipFill>
                    <a:blip r:embed="rId32"/>
                    <a:srcRect/>
                    <a:stretch>
                      <a:fillRect/>
                    </a:stretch>
                  </pic:blipFill>
                  <pic:spPr>
                    <a:xfrm>
                      <a:off x="0" y="0"/>
                      <a:ext cx="5664200" cy="3225800"/>
                    </a:xfrm>
                    <a:prstGeom prst="rect">
                      <a:avLst/>
                    </a:prstGeom>
                    <a:ln/>
                  </pic:spPr>
                </pic:pic>
              </a:graphicData>
            </a:graphic>
          </wp:inline>
        </w:drawing>
      </w:r>
    </w:p>
    <w:p w14:paraId="47E61B65" w14:textId="77777777" w:rsidR="0035403C" w:rsidRDefault="00D02C31">
      <w:pPr>
        <w:spacing w:after="200"/>
      </w:pPr>
      <w:r w:rsidRPr="17FBBB8B">
        <w:rPr>
          <w:i/>
          <w:iCs/>
          <w:color w:val="1F497D" w:themeColor="text2"/>
          <w:sz w:val="18"/>
          <w:szCs w:val="18"/>
          <w:lang w:val="en-US"/>
        </w:rPr>
        <w:t>Ilustración 21 - Matriz FODA</w:t>
      </w:r>
    </w:p>
    <w:p w14:paraId="2EE1B365" w14:textId="77777777" w:rsidR="0035403C" w:rsidRDefault="00D02C31">
      <w:pPr>
        <w:pStyle w:val="Ttulo2"/>
      </w:pPr>
      <w:bookmarkStart w:id="65" w:name="_heading=h.sqyw64"/>
      <w:bookmarkEnd w:id="65"/>
      <w:r w:rsidRPr="0FE4D5DF">
        <w:rPr>
          <w:lang w:val="en-US"/>
        </w:rPr>
        <w:t>Matriz de las Fuerzas competitivas de Porter</w:t>
      </w:r>
    </w:p>
    <w:p w14:paraId="29D472BA" w14:textId="77777777" w:rsidR="0035403C" w:rsidRDefault="00D02C31">
      <w:pPr>
        <w:jc w:val="both"/>
      </w:pPr>
      <w:r w:rsidRPr="0FE4D5DF">
        <w:rPr>
          <w:lang w:val="en-US"/>
        </w:rPr>
        <w:t xml:space="preserve">Según Porter, para poder sobrevivir en el mundo de los negocios, es necesario contar </w:t>
      </w:r>
      <w:proofErr w:type="gramStart"/>
      <w:r w:rsidRPr="0FE4D5DF">
        <w:rPr>
          <w:lang w:val="en-US"/>
        </w:rPr>
        <w:t>un</w:t>
      </w:r>
      <w:proofErr w:type="gramEnd"/>
      <w:r w:rsidRPr="0FE4D5DF">
        <w:rPr>
          <w:lang w:val="en-US"/>
        </w:rPr>
        <w:t xml:space="preserve"> plan elaborado. Esto implica consolidar una estrategia competitiva, vinculando directamente a la empresa con el medio en el cual se desenvuelve. Se deben estudiar las amenazas de competidores potenciales, y analizar las fuerzas externas a la industria ya que afectarán a la mayoría de las empresas </w:t>
      </w:r>
      <w:proofErr w:type="gramStart"/>
      <w:r w:rsidRPr="0FE4D5DF">
        <w:rPr>
          <w:lang w:val="en-US"/>
        </w:rPr>
        <w:t>del</w:t>
      </w:r>
      <w:proofErr w:type="gramEnd"/>
      <w:r w:rsidRPr="0FE4D5DF">
        <w:rPr>
          <w:lang w:val="en-US"/>
        </w:rPr>
        <w:t xml:space="preserve"> sector. El resultado será desarrollar diferentes estrategias para enfrentar los desafíos y, a la vez, aprovechar las oportunidades presentes y del futuro de la industria, y así, comprender mejor su entorno competitivo.</w:t>
      </w:r>
    </w:p>
    <w:p w14:paraId="4CA9FCFA" w14:textId="77777777" w:rsidR="0035403C" w:rsidRDefault="00D02C31">
      <w:pPr>
        <w:jc w:val="both"/>
      </w:pPr>
      <w:r w:rsidRPr="0FE4D5DF">
        <w:rPr>
          <w:lang w:val="en-US"/>
        </w:rPr>
        <w:t xml:space="preserve">En el caso de una empresa </w:t>
      </w:r>
      <w:proofErr w:type="gramStart"/>
      <w:r w:rsidRPr="0FE4D5DF">
        <w:rPr>
          <w:lang w:val="en-US"/>
        </w:rPr>
        <w:t>como</w:t>
      </w:r>
      <w:proofErr w:type="gramEnd"/>
      <w:r w:rsidRPr="0FE4D5DF">
        <w:rPr>
          <w:lang w:val="en-US"/>
        </w:rPr>
        <w:t xml:space="preserve"> Coelsa, siendo la única cámara bancaria del país, se puede pensar que opera como un monopolio en su industria, por ende, algunas de las fuerzas competitivas de Porter no se aplican de la misma manera que en una industria más competitiva. Sin embargo, se pueden identificar algunas influencias relevantes:</w:t>
      </w:r>
    </w:p>
    <w:p w14:paraId="664355AD" w14:textId="77777777" w:rsidR="0035403C" w:rsidRDefault="0035403C">
      <w:pPr>
        <w:jc w:val="both"/>
      </w:pPr>
    </w:p>
    <w:p w14:paraId="1A965116" w14:textId="77777777" w:rsidR="0035403C" w:rsidRDefault="00D02C31">
      <w:pPr>
        <w:spacing w:line="276" w:lineRule="auto"/>
        <w:jc w:val="both"/>
        <w:rPr>
          <w:b/>
          <w:highlight w:val="red"/>
        </w:rPr>
      </w:pPr>
      <w:r>
        <w:rPr>
          <w:b/>
          <w:noProof/>
          <w:lang w:eastAsia="es-AR"/>
        </w:rPr>
        <w:lastRenderedPageBreak/>
        <w:drawing>
          <wp:inline distT="0" distB="0" distL="0" distR="0" wp14:anchorId="701A87E0" wp14:editId="07777777">
            <wp:extent cx="5787888" cy="3284537"/>
            <wp:effectExtent l="0" t="0" r="0" b="0"/>
            <wp:docPr id="153" name="image12.png" descr="A diagram of a company&#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png" descr="A diagram of a company&#10;&#10;Description automatically generated"/>
                    <pic:cNvPicPr preferRelativeResize="0"/>
                  </pic:nvPicPr>
                  <pic:blipFill>
                    <a:blip r:embed="rId33"/>
                    <a:srcRect/>
                    <a:stretch>
                      <a:fillRect/>
                    </a:stretch>
                  </pic:blipFill>
                  <pic:spPr>
                    <a:xfrm>
                      <a:off x="0" y="0"/>
                      <a:ext cx="5787888" cy="3284537"/>
                    </a:xfrm>
                    <a:prstGeom prst="rect">
                      <a:avLst/>
                    </a:prstGeom>
                    <a:ln/>
                  </pic:spPr>
                </pic:pic>
              </a:graphicData>
            </a:graphic>
          </wp:inline>
        </w:drawing>
      </w:r>
    </w:p>
    <w:p w14:paraId="3B9C57DD" w14:textId="77777777" w:rsidR="0035403C" w:rsidRDefault="00D02C31">
      <w:pPr>
        <w:spacing w:after="200"/>
      </w:pPr>
      <w:r w:rsidRPr="0FE4D5DF">
        <w:rPr>
          <w:i/>
          <w:iCs/>
          <w:color w:val="1F497D" w:themeColor="text2"/>
          <w:sz w:val="18"/>
          <w:szCs w:val="18"/>
          <w:lang w:val="en-US"/>
        </w:rPr>
        <w:t>Ilustración 22 - Matriz 5F</w:t>
      </w:r>
    </w:p>
    <w:p w14:paraId="64A81097" w14:textId="77777777" w:rsidR="0035403C" w:rsidRDefault="00D02C31">
      <w:pPr>
        <w:spacing w:line="276" w:lineRule="auto"/>
        <w:jc w:val="both"/>
      </w:pPr>
      <w:r w:rsidRPr="0FE4D5DF">
        <w:rPr>
          <w:lang w:val="en-US"/>
        </w:rPr>
        <w:t xml:space="preserve">Por ende, Coelsa está sujeta a regulaciones gubernamentales y tiene </w:t>
      </w:r>
      <w:proofErr w:type="gramStart"/>
      <w:r w:rsidRPr="0FE4D5DF">
        <w:rPr>
          <w:lang w:val="en-US"/>
        </w:rPr>
        <w:t>un</w:t>
      </w:r>
      <w:proofErr w:type="gramEnd"/>
      <w:r w:rsidRPr="0FE4D5DF">
        <w:rPr>
          <w:lang w:val="en-US"/>
        </w:rPr>
        <w:t xml:space="preserve"> alto grado de control sobre los precios del mercado. </w:t>
      </w:r>
      <w:proofErr w:type="gramStart"/>
      <w:r w:rsidRPr="0FE4D5DF">
        <w:rPr>
          <w:lang w:val="en-US"/>
        </w:rPr>
        <w:t>El BCRA al no interceder para prevenir abusos de su posición dominante en la actualidad le brinda puntos a favor, aunque en algún futuro podría llegar a cambiar, transformándose en una debilidad.</w:t>
      </w:r>
      <w:proofErr w:type="gramEnd"/>
    </w:p>
    <w:p w14:paraId="0A41DBEC" w14:textId="77777777" w:rsidR="0035403C" w:rsidRDefault="00D02C31">
      <w:pPr>
        <w:pStyle w:val="Ttulo2"/>
      </w:pPr>
      <w:bookmarkStart w:id="66" w:name="_heading=h.3cqmetx"/>
      <w:bookmarkEnd w:id="66"/>
      <w:r w:rsidRPr="0FE4D5DF">
        <w:rPr>
          <w:lang w:val="en-US"/>
        </w:rPr>
        <w:t>Matriz BCG</w:t>
      </w:r>
    </w:p>
    <w:p w14:paraId="1E48FC07" w14:textId="77777777" w:rsidR="0035403C" w:rsidRDefault="00D02C31">
      <w:pPr>
        <w:jc w:val="both"/>
      </w:pPr>
      <w:r w:rsidRPr="0FE4D5DF">
        <w:rPr>
          <w:lang w:val="en-US"/>
        </w:rPr>
        <w:t xml:space="preserve">Para poder medir la tasa de crecimiento del mercado y la cuota de mercado relativa, existe la Matriz BCG (Boston Consulting Group) que se utiliza para analizar las unidades de negocio de una empresa o la cartera de productos. </w:t>
      </w:r>
      <w:proofErr w:type="gramStart"/>
      <w:r w:rsidRPr="0FE4D5DF">
        <w:rPr>
          <w:lang w:val="en-US"/>
        </w:rPr>
        <w:t>Sin embargo, esta matriz es más relevante para empresas que tienen múltiples de estos puntos en competencia.</w:t>
      </w:r>
      <w:proofErr w:type="gramEnd"/>
      <w:r w:rsidRPr="0FE4D5DF">
        <w:rPr>
          <w:lang w:val="en-US"/>
        </w:rPr>
        <w:t xml:space="preserve"> </w:t>
      </w:r>
      <w:proofErr w:type="gramStart"/>
      <w:r w:rsidRPr="0FE4D5DF">
        <w:rPr>
          <w:lang w:val="en-US"/>
        </w:rPr>
        <w:t>En complemento, se puede utilizar para ayudar a tomar decisiones sobre la asignación de recursos y la inversión en diferentes segmentos de una empresa.</w:t>
      </w:r>
      <w:proofErr w:type="gramEnd"/>
      <w:r w:rsidRPr="0FE4D5DF">
        <w:rPr>
          <w:lang w:val="en-US"/>
        </w:rPr>
        <w:t xml:space="preserve"> </w:t>
      </w:r>
    </w:p>
    <w:p w14:paraId="3D280CAF" w14:textId="77777777" w:rsidR="0035403C" w:rsidRDefault="00D02C31" w:rsidP="0FE4D5DF">
      <w:pPr>
        <w:jc w:val="both"/>
        <w:rPr>
          <w:rFonts w:ascii="Roboto" w:eastAsia="Roboto" w:hAnsi="Roboto" w:cs="Roboto"/>
          <w:highlight w:val="yellow"/>
          <w:lang w:val="en-US"/>
        </w:rPr>
      </w:pPr>
      <w:r w:rsidRPr="0FE4D5DF">
        <w:rPr>
          <w:lang w:val="en-US"/>
        </w:rPr>
        <w:t xml:space="preserve">En el caso de Coelsa, al operar mayormente en </w:t>
      </w:r>
      <w:proofErr w:type="gramStart"/>
      <w:r w:rsidRPr="0FE4D5DF">
        <w:rPr>
          <w:lang w:val="en-US"/>
        </w:rPr>
        <w:t>un</w:t>
      </w:r>
      <w:proofErr w:type="gramEnd"/>
      <w:r w:rsidRPr="0FE4D5DF">
        <w:rPr>
          <w:lang w:val="en-US"/>
        </w:rPr>
        <w:t xml:space="preserve"> mercado único y dominante, se va a utilizar la Matriz BCG para evaluar y gestionar estos productos individualmente, los mismos se clasificaron en categorías con los siguientes criterios:</w:t>
      </w:r>
    </w:p>
    <w:p w14:paraId="7DF4E37C" w14:textId="77777777" w:rsidR="0035403C" w:rsidRDefault="0035403C"/>
    <w:p w14:paraId="44FB30F8" w14:textId="77777777" w:rsidR="0035403C" w:rsidRDefault="00D02C31">
      <w:r>
        <w:rPr>
          <w:noProof/>
          <w:lang w:eastAsia="es-AR"/>
        </w:rPr>
        <w:lastRenderedPageBreak/>
        <w:drawing>
          <wp:inline distT="0" distB="0" distL="0" distR="0" wp14:anchorId="40AF2F23" wp14:editId="07777777">
            <wp:extent cx="5880271" cy="4390426"/>
            <wp:effectExtent l="0" t="0" r="0" b="0"/>
            <wp:docPr id="154" name="image13.png" descr="A diagram of a produc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3.png" descr="A diagram of a product&#10;&#10;Description automatically generated"/>
                    <pic:cNvPicPr preferRelativeResize="0"/>
                  </pic:nvPicPr>
                  <pic:blipFill>
                    <a:blip r:embed="rId34"/>
                    <a:srcRect/>
                    <a:stretch>
                      <a:fillRect/>
                    </a:stretch>
                  </pic:blipFill>
                  <pic:spPr>
                    <a:xfrm>
                      <a:off x="0" y="0"/>
                      <a:ext cx="5880271" cy="4390426"/>
                    </a:xfrm>
                    <a:prstGeom prst="rect">
                      <a:avLst/>
                    </a:prstGeom>
                    <a:ln/>
                  </pic:spPr>
                </pic:pic>
              </a:graphicData>
            </a:graphic>
          </wp:inline>
        </w:drawing>
      </w:r>
    </w:p>
    <w:p w14:paraId="0ACCC771" w14:textId="77777777" w:rsidR="0035403C" w:rsidRDefault="00D02C31">
      <w:pPr>
        <w:spacing w:after="200"/>
      </w:pPr>
      <w:r w:rsidRPr="0FE4D5DF">
        <w:rPr>
          <w:i/>
          <w:iCs/>
          <w:color w:val="1F497D" w:themeColor="text2"/>
          <w:sz w:val="18"/>
          <w:szCs w:val="18"/>
          <w:lang w:val="en-US"/>
        </w:rPr>
        <w:t>Ilustración 22 - Matriz BCG</w:t>
      </w:r>
    </w:p>
    <w:p w14:paraId="317B7F7D" w14:textId="77777777" w:rsidR="0035403C" w:rsidRDefault="00D02C31">
      <w:pPr>
        <w:pStyle w:val="Ttulo2"/>
      </w:pPr>
      <w:bookmarkStart w:id="67" w:name="_heading=h.1rvwp1q"/>
      <w:bookmarkEnd w:id="67"/>
      <w:r w:rsidRPr="0FE4D5DF">
        <w:rPr>
          <w:lang w:val="en-US"/>
        </w:rPr>
        <w:t>Matriz EFE</w:t>
      </w:r>
    </w:p>
    <w:p w14:paraId="6B586BB9" w14:textId="77777777" w:rsidR="0035403C" w:rsidRDefault="00D02C31" w:rsidP="0FE4D5DF">
      <w:pPr>
        <w:jc w:val="both"/>
        <w:rPr>
          <w:rFonts w:ascii="Helvetica Neue" w:eastAsia="Helvetica Neue" w:hAnsi="Helvetica Neue" w:cs="Helvetica Neue"/>
          <w:sz w:val="20"/>
          <w:szCs w:val="20"/>
          <w:highlight w:val="yellow"/>
          <w:lang w:val="en-US"/>
        </w:rPr>
      </w:pPr>
      <w:proofErr w:type="gramStart"/>
      <w:r w:rsidRPr="0FE4D5DF">
        <w:rPr>
          <w:lang w:val="en-US"/>
        </w:rPr>
        <w:t>Otra herramienta de análisis estratégico es la Matriz de Evaluación de Factores Externos (EFE) que se utiliza para analizar la importancia que tienen los factores externos que pueden afectar a una compañía.</w:t>
      </w:r>
      <w:proofErr w:type="gramEnd"/>
      <w:r w:rsidRPr="0FE4D5DF">
        <w:rPr>
          <w:lang w:val="en-US"/>
        </w:rPr>
        <w:t xml:space="preserve"> La matriz EFE se ha compuesto de la siguiente manera:</w:t>
      </w:r>
    </w:p>
    <w:p w14:paraId="1DA6542E" w14:textId="77777777" w:rsidR="0035403C" w:rsidRDefault="0035403C">
      <w:pPr>
        <w:rPr>
          <w:rFonts w:ascii="Roboto" w:eastAsia="Roboto" w:hAnsi="Roboto" w:cs="Roboto"/>
          <w:color w:val="0F0F0F"/>
          <w:highlight w:val="yellow"/>
        </w:rPr>
      </w:pPr>
    </w:p>
    <w:tbl>
      <w:tblPr>
        <w:tblStyle w:val="af5"/>
        <w:tblW w:w="9146" w:type="dxa"/>
        <w:tblInd w:w="0" w:type="dxa"/>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Layout w:type="fixed"/>
        <w:tblLook w:val="0400" w:firstRow="0" w:lastRow="0" w:firstColumn="0" w:lastColumn="0" w:noHBand="0" w:noVBand="1"/>
      </w:tblPr>
      <w:tblGrid>
        <w:gridCol w:w="579"/>
        <w:gridCol w:w="4780"/>
        <w:gridCol w:w="1140"/>
        <w:gridCol w:w="1324"/>
        <w:gridCol w:w="1323"/>
      </w:tblGrid>
      <w:tr w:rsidR="0035403C" w14:paraId="24FA6BDE" w14:textId="77777777" w:rsidTr="17FBBB8B">
        <w:trPr>
          <w:trHeight w:val="340"/>
        </w:trPr>
        <w:tc>
          <w:tcPr>
            <w:tcW w:w="579" w:type="dxa"/>
            <w:tcBorders>
              <w:top w:val="nil"/>
              <w:left w:val="nil"/>
              <w:bottom w:val="nil"/>
              <w:right w:val="nil"/>
            </w:tcBorders>
            <w:vAlign w:val="bottom"/>
          </w:tcPr>
          <w:p w14:paraId="3041E394" w14:textId="77777777" w:rsidR="0035403C" w:rsidRDefault="0035403C"/>
        </w:tc>
        <w:tc>
          <w:tcPr>
            <w:tcW w:w="4780" w:type="dxa"/>
            <w:tcBorders>
              <w:top w:val="single" w:sz="8" w:space="0" w:color="000000" w:themeColor="text1"/>
              <w:left w:val="single" w:sz="8" w:space="0" w:color="000000" w:themeColor="text1"/>
              <w:bottom w:val="nil"/>
              <w:right w:val="single" w:sz="8" w:space="0" w:color="000000" w:themeColor="text1"/>
            </w:tcBorders>
            <w:vAlign w:val="bottom"/>
          </w:tcPr>
          <w:p w14:paraId="1017F19F" w14:textId="77777777" w:rsidR="0035403C" w:rsidRDefault="00D02C31" w:rsidP="0FE4D5DF">
            <w:pPr>
              <w:rPr>
                <w:rFonts w:ascii="Calibri" w:eastAsia="Calibri" w:hAnsi="Calibri" w:cs="Calibri"/>
                <w:color w:val="000000"/>
                <w:lang w:val="en-US"/>
              </w:rPr>
            </w:pPr>
            <w:r w:rsidRPr="0FE4D5DF">
              <w:rPr>
                <w:rFonts w:ascii="Calibri" w:eastAsia="Calibri" w:hAnsi="Calibri" w:cs="Calibri"/>
                <w:color w:val="000000" w:themeColor="text1"/>
                <w:lang w:val="en-US"/>
              </w:rPr>
              <w:t>Factores Externos</w:t>
            </w:r>
          </w:p>
        </w:tc>
        <w:tc>
          <w:tcPr>
            <w:tcW w:w="1140" w:type="dxa"/>
            <w:tcBorders>
              <w:top w:val="single" w:sz="8" w:space="0" w:color="000000" w:themeColor="text1"/>
              <w:left w:val="nil"/>
              <w:bottom w:val="nil"/>
              <w:right w:val="single" w:sz="8" w:space="0" w:color="000000" w:themeColor="text1"/>
            </w:tcBorders>
            <w:vAlign w:val="bottom"/>
          </w:tcPr>
          <w:p w14:paraId="67A776C8" w14:textId="77777777" w:rsidR="0035403C" w:rsidRDefault="00D02C31">
            <w:pPr>
              <w:rPr>
                <w:rFonts w:ascii="Calibri" w:eastAsia="Calibri" w:hAnsi="Calibri" w:cs="Calibri"/>
                <w:color w:val="000000"/>
              </w:rPr>
            </w:pPr>
            <w:r>
              <w:rPr>
                <w:rFonts w:ascii="Calibri" w:eastAsia="Calibri" w:hAnsi="Calibri" w:cs="Calibri"/>
                <w:color w:val="000000"/>
              </w:rPr>
              <w:t>Peso (0-1)</w:t>
            </w:r>
          </w:p>
        </w:tc>
        <w:tc>
          <w:tcPr>
            <w:tcW w:w="1324" w:type="dxa"/>
            <w:tcBorders>
              <w:top w:val="single" w:sz="8" w:space="0" w:color="000000" w:themeColor="text1"/>
              <w:left w:val="nil"/>
              <w:bottom w:val="nil"/>
              <w:right w:val="single" w:sz="8" w:space="0" w:color="000000" w:themeColor="text1"/>
            </w:tcBorders>
            <w:vAlign w:val="bottom"/>
          </w:tcPr>
          <w:p w14:paraId="6254DE4A" w14:textId="77777777" w:rsidR="0035403C" w:rsidRDefault="00D02C31" w:rsidP="0FE4D5DF">
            <w:pPr>
              <w:rPr>
                <w:rFonts w:ascii="Calibri" w:eastAsia="Calibri" w:hAnsi="Calibri" w:cs="Calibri"/>
                <w:color w:val="000000"/>
                <w:lang w:val="en-US"/>
              </w:rPr>
            </w:pPr>
            <w:r w:rsidRPr="0FE4D5DF">
              <w:rPr>
                <w:rFonts w:ascii="Calibri" w:eastAsia="Calibri" w:hAnsi="Calibri" w:cs="Calibri"/>
                <w:color w:val="000000" w:themeColor="text1"/>
                <w:lang w:val="en-US"/>
              </w:rPr>
              <w:t>Calificación (1-4)</w:t>
            </w:r>
          </w:p>
        </w:tc>
        <w:tc>
          <w:tcPr>
            <w:tcW w:w="1323" w:type="dxa"/>
            <w:tcBorders>
              <w:top w:val="single" w:sz="8" w:space="0" w:color="000000" w:themeColor="text1"/>
              <w:left w:val="nil"/>
              <w:bottom w:val="nil"/>
              <w:right w:val="single" w:sz="8" w:space="0" w:color="000000" w:themeColor="text1"/>
            </w:tcBorders>
            <w:vAlign w:val="bottom"/>
          </w:tcPr>
          <w:p w14:paraId="3C31E589" w14:textId="77777777" w:rsidR="0035403C" w:rsidRDefault="00D02C31" w:rsidP="0FE4D5DF">
            <w:pPr>
              <w:rPr>
                <w:rFonts w:ascii="Calibri" w:eastAsia="Calibri" w:hAnsi="Calibri" w:cs="Calibri"/>
                <w:color w:val="000000"/>
                <w:lang w:val="en-US"/>
              </w:rPr>
            </w:pPr>
            <w:r w:rsidRPr="0FE4D5DF">
              <w:rPr>
                <w:rFonts w:ascii="Calibri" w:eastAsia="Calibri" w:hAnsi="Calibri" w:cs="Calibri"/>
                <w:color w:val="000000" w:themeColor="text1"/>
                <w:lang w:val="en-US"/>
              </w:rPr>
              <w:t>Puntuación</w:t>
            </w:r>
          </w:p>
        </w:tc>
      </w:tr>
      <w:tr w:rsidR="0035403C" w14:paraId="22A7D6B7" w14:textId="77777777" w:rsidTr="17FBBB8B">
        <w:trPr>
          <w:trHeight w:val="320"/>
        </w:trPr>
        <w:tc>
          <w:tcPr>
            <w:tcW w:w="579" w:type="dxa"/>
            <w:tcBorders>
              <w:top w:val="single" w:sz="8" w:space="0" w:color="000000" w:themeColor="text1"/>
              <w:left w:val="single" w:sz="8" w:space="0" w:color="000000" w:themeColor="text1"/>
              <w:bottom w:val="single" w:sz="4" w:space="0" w:color="000000" w:themeColor="text1"/>
              <w:right w:val="single" w:sz="8" w:space="0" w:color="000000" w:themeColor="text1"/>
            </w:tcBorders>
            <w:vAlign w:val="bottom"/>
          </w:tcPr>
          <w:p w14:paraId="649841BE" w14:textId="77777777" w:rsidR="0035403C" w:rsidRDefault="00D02C31">
            <w:pPr>
              <w:jc w:val="right"/>
              <w:rPr>
                <w:rFonts w:ascii="Calibri" w:eastAsia="Calibri" w:hAnsi="Calibri" w:cs="Calibri"/>
                <w:color w:val="000000"/>
              </w:rPr>
            </w:pPr>
            <w:r>
              <w:rPr>
                <w:rFonts w:ascii="Calibri" w:eastAsia="Calibri" w:hAnsi="Calibri" w:cs="Calibri"/>
                <w:color w:val="000000"/>
              </w:rPr>
              <w:t>1</w:t>
            </w:r>
          </w:p>
        </w:tc>
        <w:tc>
          <w:tcPr>
            <w:tcW w:w="4780" w:type="dxa"/>
            <w:tcBorders>
              <w:top w:val="single" w:sz="8" w:space="0" w:color="000000" w:themeColor="text1"/>
              <w:left w:val="nil"/>
              <w:bottom w:val="single" w:sz="4" w:space="0" w:color="000000" w:themeColor="text1"/>
              <w:right w:val="single" w:sz="8" w:space="0" w:color="000000" w:themeColor="text1"/>
            </w:tcBorders>
            <w:vAlign w:val="bottom"/>
          </w:tcPr>
          <w:p w14:paraId="29BB8F7B" w14:textId="77777777" w:rsidR="0035403C" w:rsidRDefault="00D02C31" w:rsidP="0FE4D5DF">
            <w:pPr>
              <w:rPr>
                <w:rFonts w:ascii="Calibri" w:eastAsia="Calibri" w:hAnsi="Calibri" w:cs="Calibri"/>
                <w:color w:val="000000"/>
                <w:lang w:val="en-US"/>
              </w:rPr>
            </w:pPr>
            <w:r w:rsidRPr="0FE4D5DF">
              <w:rPr>
                <w:rFonts w:ascii="Calibri" w:eastAsia="Calibri" w:hAnsi="Calibri" w:cs="Calibri"/>
                <w:color w:val="000000" w:themeColor="text1"/>
                <w:lang w:val="en-US"/>
              </w:rPr>
              <w:t>Estabilidad económica del país</w:t>
            </w:r>
          </w:p>
        </w:tc>
        <w:tc>
          <w:tcPr>
            <w:tcW w:w="1140" w:type="dxa"/>
            <w:tcBorders>
              <w:top w:val="single" w:sz="8" w:space="0" w:color="000000" w:themeColor="text1"/>
              <w:left w:val="nil"/>
              <w:bottom w:val="single" w:sz="4" w:space="0" w:color="000000" w:themeColor="text1"/>
              <w:right w:val="single" w:sz="8" w:space="0" w:color="000000" w:themeColor="text1"/>
            </w:tcBorders>
            <w:vAlign w:val="bottom"/>
          </w:tcPr>
          <w:p w14:paraId="29024D13" w14:textId="77777777" w:rsidR="0035403C" w:rsidRDefault="00D02C31">
            <w:pPr>
              <w:jc w:val="right"/>
              <w:rPr>
                <w:rFonts w:ascii="Calibri" w:eastAsia="Calibri" w:hAnsi="Calibri" w:cs="Calibri"/>
                <w:color w:val="000000"/>
              </w:rPr>
            </w:pPr>
            <w:r>
              <w:rPr>
                <w:rFonts w:ascii="Calibri" w:eastAsia="Calibri" w:hAnsi="Calibri" w:cs="Calibri"/>
                <w:color w:val="000000"/>
              </w:rPr>
              <w:t>0,10</w:t>
            </w:r>
          </w:p>
        </w:tc>
        <w:tc>
          <w:tcPr>
            <w:tcW w:w="1324" w:type="dxa"/>
            <w:tcBorders>
              <w:top w:val="single" w:sz="8" w:space="0" w:color="000000" w:themeColor="text1"/>
              <w:left w:val="nil"/>
              <w:bottom w:val="single" w:sz="4" w:space="0" w:color="000000" w:themeColor="text1"/>
              <w:right w:val="single" w:sz="8" w:space="0" w:color="000000" w:themeColor="text1"/>
            </w:tcBorders>
            <w:vAlign w:val="bottom"/>
          </w:tcPr>
          <w:p w14:paraId="2598DEE6" w14:textId="77777777" w:rsidR="0035403C" w:rsidRDefault="00D02C31">
            <w:pPr>
              <w:jc w:val="right"/>
              <w:rPr>
                <w:rFonts w:ascii="Calibri" w:eastAsia="Calibri" w:hAnsi="Calibri" w:cs="Calibri"/>
                <w:color w:val="000000"/>
              </w:rPr>
            </w:pPr>
            <w:r>
              <w:rPr>
                <w:rFonts w:ascii="Calibri" w:eastAsia="Calibri" w:hAnsi="Calibri" w:cs="Calibri"/>
                <w:color w:val="000000"/>
              </w:rPr>
              <w:t>4</w:t>
            </w:r>
          </w:p>
        </w:tc>
        <w:tc>
          <w:tcPr>
            <w:tcW w:w="1323" w:type="dxa"/>
            <w:tcBorders>
              <w:top w:val="single" w:sz="8" w:space="0" w:color="000000" w:themeColor="text1"/>
              <w:left w:val="nil"/>
              <w:bottom w:val="single" w:sz="4" w:space="0" w:color="000000" w:themeColor="text1"/>
              <w:right w:val="single" w:sz="8" w:space="0" w:color="000000" w:themeColor="text1"/>
            </w:tcBorders>
            <w:vAlign w:val="bottom"/>
          </w:tcPr>
          <w:p w14:paraId="5858F0C6" w14:textId="77777777" w:rsidR="0035403C" w:rsidRDefault="00D02C31">
            <w:pPr>
              <w:jc w:val="right"/>
              <w:rPr>
                <w:rFonts w:ascii="Calibri" w:eastAsia="Calibri" w:hAnsi="Calibri" w:cs="Calibri"/>
                <w:color w:val="000000"/>
              </w:rPr>
            </w:pPr>
            <w:r>
              <w:rPr>
                <w:rFonts w:ascii="Calibri" w:eastAsia="Calibri" w:hAnsi="Calibri" w:cs="Calibri"/>
                <w:color w:val="000000"/>
              </w:rPr>
              <w:t>0,4</w:t>
            </w:r>
          </w:p>
        </w:tc>
      </w:tr>
      <w:tr w:rsidR="0035403C" w14:paraId="6F9B9E19" w14:textId="77777777" w:rsidTr="17FBBB8B">
        <w:trPr>
          <w:trHeight w:val="320"/>
        </w:trPr>
        <w:tc>
          <w:tcPr>
            <w:tcW w:w="579" w:type="dxa"/>
            <w:tcBorders>
              <w:top w:val="nil"/>
              <w:left w:val="single" w:sz="8" w:space="0" w:color="000000" w:themeColor="text1"/>
              <w:bottom w:val="single" w:sz="4" w:space="0" w:color="000000" w:themeColor="text1"/>
              <w:right w:val="single" w:sz="8" w:space="0" w:color="000000" w:themeColor="text1"/>
            </w:tcBorders>
            <w:vAlign w:val="bottom"/>
          </w:tcPr>
          <w:p w14:paraId="18F999B5" w14:textId="77777777" w:rsidR="0035403C" w:rsidRDefault="00D02C31">
            <w:pPr>
              <w:jc w:val="right"/>
              <w:rPr>
                <w:rFonts w:ascii="Calibri" w:eastAsia="Calibri" w:hAnsi="Calibri" w:cs="Calibri"/>
                <w:color w:val="000000"/>
              </w:rPr>
            </w:pPr>
            <w:r>
              <w:rPr>
                <w:rFonts w:ascii="Calibri" w:eastAsia="Calibri" w:hAnsi="Calibri" w:cs="Calibri"/>
                <w:color w:val="000000"/>
              </w:rPr>
              <w:t>2</w:t>
            </w:r>
          </w:p>
        </w:tc>
        <w:tc>
          <w:tcPr>
            <w:tcW w:w="4780" w:type="dxa"/>
            <w:tcBorders>
              <w:top w:val="nil"/>
              <w:left w:val="nil"/>
              <w:bottom w:val="single" w:sz="4" w:space="0" w:color="000000" w:themeColor="text1"/>
              <w:right w:val="single" w:sz="8" w:space="0" w:color="000000" w:themeColor="text1"/>
            </w:tcBorders>
            <w:vAlign w:val="bottom"/>
          </w:tcPr>
          <w:p w14:paraId="59D97821" w14:textId="77777777" w:rsidR="0035403C" w:rsidRDefault="00D02C31" w:rsidP="0FE4D5DF">
            <w:pPr>
              <w:rPr>
                <w:rFonts w:ascii="Calibri" w:eastAsia="Calibri" w:hAnsi="Calibri" w:cs="Calibri"/>
                <w:color w:val="000000"/>
                <w:lang w:val="en-US"/>
              </w:rPr>
            </w:pPr>
            <w:r w:rsidRPr="0FE4D5DF">
              <w:rPr>
                <w:rFonts w:ascii="Calibri" w:eastAsia="Calibri" w:hAnsi="Calibri" w:cs="Calibri"/>
                <w:color w:val="000000" w:themeColor="text1"/>
                <w:lang w:val="en-US"/>
              </w:rPr>
              <w:t>Regulación gubernamental</w:t>
            </w:r>
          </w:p>
        </w:tc>
        <w:tc>
          <w:tcPr>
            <w:tcW w:w="1140" w:type="dxa"/>
            <w:tcBorders>
              <w:top w:val="nil"/>
              <w:left w:val="nil"/>
              <w:bottom w:val="single" w:sz="4" w:space="0" w:color="000000" w:themeColor="text1"/>
              <w:right w:val="single" w:sz="8" w:space="0" w:color="000000" w:themeColor="text1"/>
            </w:tcBorders>
            <w:vAlign w:val="bottom"/>
          </w:tcPr>
          <w:p w14:paraId="7CFA9135" w14:textId="77777777" w:rsidR="0035403C" w:rsidRDefault="00D02C31">
            <w:pPr>
              <w:jc w:val="right"/>
              <w:rPr>
                <w:rFonts w:ascii="Calibri" w:eastAsia="Calibri" w:hAnsi="Calibri" w:cs="Calibri"/>
                <w:color w:val="000000"/>
              </w:rPr>
            </w:pPr>
            <w:r>
              <w:rPr>
                <w:rFonts w:ascii="Calibri" w:eastAsia="Calibri" w:hAnsi="Calibri" w:cs="Calibri"/>
                <w:color w:val="000000"/>
              </w:rPr>
              <w:t>0,15</w:t>
            </w:r>
          </w:p>
        </w:tc>
        <w:tc>
          <w:tcPr>
            <w:tcW w:w="1324" w:type="dxa"/>
            <w:tcBorders>
              <w:top w:val="nil"/>
              <w:left w:val="nil"/>
              <w:bottom w:val="single" w:sz="4" w:space="0" w:color="000000" w:themeColor="text1"/>
              <w:right w:val="single" w:sz="8" w:space="0" w:color="000000" w:themeColor="text1"/>
            </w:tcBorders>
            <w:vAlign w:val="bottom"/>
          </w:tcPr>
          <w:p w14:paraId="5FCD5EC4" w14:textId="77777777" w:rsidR="0035403C" w:rsidRDefault="00D02C31">
            <w:pPr>
              <w:jc w:val="right"/>
              <w:rPr>
                <w:rFonts w:ascii="Calibri" w:eastAsia="Calibri" w:hAnsi="Calibri" w:cs="Calibri"/>
                <w:color w:val="000000"/>
              </w:rPr>
            </w:pPr>
            <w:r>
              <w:rPr>
                <w:rFonts w:ascii="Calibri" w:eastAsia="Calibri" w:hAnsi="Calibri" w:cs="Calibri"/>
                <w:color w:val="000000"/>
              </w:rPr>
              <w:t>3</w:t>
            </w:r>
          </w:p>
        </w:tc>
        <w:tc>
          <w:tcPr>
            <w:tcW w:w="1323" w:type="dxa"/>
            <w:tcBorders>
              <w:top w:val="nil"/>
              <w:left w:val="nil"/>
              <w:bottom w:val="single" w:sz="4" w:space="0" w:color="000000" w:themeColor="text1"/>
              <w:right w:val="single" w:sz="8" w:space="0" w:color="000000" w:themeColor="text1"/>
            </w:tcBorders>
            <w:vAlign w:val="bottom"/>
          </w:tcPr>
          <w:p w14:paraId="2B76BF9A" w14:textId="77777777" w:rsidR="0035403C" w:rsidRDefault="00D02C31">
            <w:pPr>
              <w:jc w:val="right"/>
              <w:rPr>
                <w:rFonts w:ascii="Calibri" w:eastAsia="Calibri" w:hAnsi="Calibri" w:cs="Calibri"/>
                <w:color w:val="000000"/>
              </w:rPr>
            </w:pPr>
            <w:r>
              <w:rPr>
                <w:rFonts w:ascii="Calibri" w:eastAsia="Calibri" w:hAnsi="Calibri" w:cs="Calibri"/>
                <w:color w:val="000000"/>
              </w:rPr>
              <w:t>0,45</w:t>
            </w:r>
          </w:p>
        </w:tc>
      </w:tr>
      <w:tr w:rsidR="0035403C" w14:paraId="679C871C" w14:textId="77777777" w:rsidTr="17FBBB8B">
        <w:trPr>
          <w:trHeight w:val="320"/>
        </w:trPr>
        <w:tc>
          <w:tcPr>
            <w:tcW w:w="579" w:type="dxa"/>
            <w:tcBorders>
              <w:top w:val="nil"/>
              <w:left w:val="single" w:sz="8" w:space="0" w:color="000000" w:themeColor="text1"/>
              <w:bottom w:val="single" w:sz="4" w:space="0" w:color="000000" w:themeColor="text1"/>
              <w:right w:val="single" w:sz="8" w:space="0" w:color="000000" w:themeColor="text1"/>
            </w:tcBorders>
            <w:vAlign w:val="bottom"/>
          </w:tcPr>
          <w:p w14:paraId="0B778152" w14:textId="77777777" w:rsidR="0035403C" w:rsidRDefault="00D02C31">
            <w:pPr>
              <w:jc w:val="right"/>
              <w:rPr>
                <w:rFonts w:ascii="Calibri" w:eastAsia="Calibri" w:hAnsi="Calibri" w:cs="Calibri"/>
                <w:color w:val="000000"/>
              </w:rPr>
            </w:pPr>
            <w:r>
              <w:rPr>
                <w:rFonts w:ascii="Calibri" w:eastAsia="Calibri" w:hAnsi="Calibri" w:cs="Calibri"/>
                <w:color w:val="000000"/>
              </w:rPr>
              <w:t>3</w:t>
            </w:r>
          </w:p>
        </w:tc>
        <w:tc>
          <w:tcPr>
            <w:tcW w:w="4780" w:type="dxa"/>
            <w:tcBorders>
              <w:top w:val="nil"/>
              <w:left w:val="nil"/>
              <w:bottom w:val="single" w:sz="4" w:space="0" w:color="000000" w:themeColor="text1"/>
              <w:right w:val="single" w:sz="8" w:space="0" w:color="000000" w:themeColor="text1"/>
            </w:tcBorders>
            <w:vAlign w:val="bottom"/>
          </w:tcPr>
          <w:p w14:paraId="75A7EB7A" w14:textId="77777777" w:rsidR="0035403C" w:rsidRDefault="00D02C31" w:rsidP="0FE4D5DF">
            <w:pPr>
              <w:rPr>
                <w:rFonts w:ascii="Calibri" w:eastAsia="Calibri" w:hAnsi="Calibri" w:cs="Calibri"/>
                <w:color w:val="000000"/>
                <w:lang w:val="en-US"/>
              </w:rPr>
            </w:pPr>
            <w:r w:rsidRPr="0FE4D5DF">
              <w:rPr>
                <w:rFonts w:ascii="Calibri" w:eastAsia="Calibri" w:hAnsi="Calibri" w:cs="Calibri"/>
                <w:color w:val="000000" w:themeColor="text1"/>
                <w:lang w:val="en-US"/>
              </w:rPr>
              <w:t xml:space="preserve">Tendencias demográficas </w:t>
            </w:r>
          </w:p>
        </w:tc>
        <w:tc>
          <w:tcPr>
            <w:tcW w:w="1140" w:type="dxa"/>
            <w:tcBorders>
              <w:top w:val="nil"/>
              <w:left w:val="nil"/>
              <w:bottom w:val="single" w:sz="4" w:space="0" w:color="000000" w:themeColor="text1"/>
              <w:right w:val="single" w:sz="8" w:space="0" w:color="000000" w:themeColor="text1"/>
            </w:tcBorders>
            <w:vAlign w:val="bottom"/>
          </w:tcPr>
          <w:p w14:paraId="4E91FB43" w14:textId="77777777" w:rsidR="0035403C" w:rsidRDefault="00D02C31">
            <w:pPr>
              <w:jc w:val="right"/>
              <w:rPr>
                <w:rFonts w:ascii="Calibri" w:eastAsia="Calibri" w:hAnsi="Calibri" w:cs="Calibri"/>
                <w:color w:val="000000"/>
              </w:rPr>
            </w:pPr>
            <w:r>
              <w:rPr>
                <w:rFonts w:ascii="Calibri" w:eastAsia="Calibri" w:hAnsi="Calibri" w:cs="Calibri"/>
                <w:color w:val="000000"/>
              </w:rPr>
              <w:t>0,03</w:t>
            </w:r>
          </w:p>
        </w:tc>
        <w:tc>
          <w:tcPr>
            <w:tcW w:w="1324" w:type="dxa"/>
            <w:tcBorders>
              <w:top w:val="nil"/>
              <w:left w:val="nil"/>
              <w:bottom w:val="single" w:sz="4" w:space="0" w:color="000000" w:themeColor="text1"/>
              <w:right w:val="single" w:sz="8" w:space="0" w:color="000000" w:themeColor="text1"/>
            </w:tcBorders>
            <w:vAlign w:val="bottom"/>
          </w:tcPr>
          <w:p w14:paraId="7144751B" w14:textId="77777777" w:rsidR="0035403C" w:rsidRDefault="00D02C31">
            <w:pPr>
              <w:jc w:val="right"/>
              <w:rPr>
                <w:rFonts w:ascii="Calibri" w:eastAsia="Calibri" w:hAnsi="Calibri" w:cs="Calibri"/>
                <w:color w:val="000000"/>
              </w:rPr>
            </w:pPr>
            <w:r>
              <w:rPr>
                <w:rFonts w:ascii="Calibri" w:eastAsia="Calibri" w:hAnsi="Calibri" w:cs="Calibri"/>
                <w:color w:val="000000"/>
              </w:rPr>
              <w:t>2</w:t>
            </w:r>
          </w:p>
        </w:tc>
        <w:tc>
          <w:tcPr>
            <w:tcW w:w="1323" w:type="dxa"/>
            <w:tcBorders>
              <w:top w:val="nil"/>
              <w:left w:val="nil"/>
              <w:bottom w:val="single" w:sz="4" w:space="0" w:color="000000" w:themeColor="text1"/>
              <w:right w:val="single" w:sz="8" w:space="0" w:color="000000" w:themeColor="text1"/>
            </w:tcBorders>
            <w:vAlign w:val="bottom"/>
          </w:tcPr>
          <w:p w14:paraId="23F95CB6" w14:textId="77777777" w:rsidR="0035403C" w:rsidRDefault="00D02C31">
            <w:pPr>
              <w:jc w:val="right"/>
              <w:rPr>
                <w:rFonts w:ascii="Calibri" w:eastAsia="Calibri" w:hAnsi="Calibri" w:cs="Calibri"/>
                <w:color w:val="000000"/>
              </w:rPr>
            </w:pPr>
            <w:r>
              <w:rPr>
                <w:rFonts w:ascii="Calibri" w:eastAsia="Calibri" w:hAnsi="Calibri" w:cs="Calibri"/>
                <w:color w:val="000000"/>
              </w:rPr>
              <w:t>0,06</w:t>
            </w:r>
          </w:p>
        </w:tc>
      </w:tr>
      <w:tr w:rsidR="0035403C" w14:paraId="2D630D11" w14:textId="77777777" w:rsidTr="17FBBB8B">
        <w:trPr>
          <w:trHeight w:val="320"/>
        </w:trPr>
        <w:tc>
          <w:tcPr>
            <w:tcW w:w="579" w:type="dxa"/>
            <w:tcBorders>
              <w:top w:val="nil"/>
              <w:left w:val="single" w:sz="8" w:space="0" w:color="000000" w:themeColor="text1"/>
              <w:bottom w:val="single" w:sz="4" w:space="0" w:color="000000" w:themeColor="text1"/>
              <w:right w:val="single" w:sz="8" w:space="0" w:color="000000" w:themeColor="text1"/>
            </w:tcBorders>
            <w:vAlign w:val="bottom"/>
          </w:tcPr>
          <w:p w14:paraId="279935FF" w14:textId="77777777" w:rsidR="0035403C" w:rsidRDefault="00D02C31">
            <w:pPr>
              <w:jc w:val="right"/>
              <w:rPr>
                <w:rFonts w:ascii="Calibri" w:eastAsia="Calibri" w:hAnsi="Calibri" w:cs="Calibri"/>
                <w:color w:val="000000"/>
              </w:rPr>
            </w:pPr>
            <w:r>
              <w:rPr>
                <w:rFonts w:ascii="Calibri" w:eastAsia="Calibri" w:hAnsi="Calibri" w:cs="Calibri"/>
                <w:color w:val="000000"/>
              </w:rPr>
              <w:t>4</w:t>
            </w:r>
          </w:p>
        </w:tc>
        <w:tc>
          <w:tcPr>
            <w:tcW w:w="4780" w:type="dxa"/>
            <w:tcBorders>
              <w:top w:val="nil"/>
              <w:left w:val="nil"/>
              <w:bottom w:val="single" w:sz="4" w:space="0" w:color="000000" w:themeColor="text1"/>
              <w:right w:val="single" w:sz="8" w:space="0" w:color="000000" w:themeColor="text1"/>
            </w:tcBorders>
            <w:vAlign w:val="bottom"/>
          </w:tcPr>
          <w:p w14:paraId="2C8388F5" w14:textId="77777777" w:rsidR="0035403C" w:rsidRDefault="00D02C31" w:rsidP="0FE4D5DF">
            <w:pPr>
              <w:rPr>
                <w:rFonts w:ascii="Calibri" w:eastAsia="Calibri" w:hAnsi="Calibri" w:cs="Calibri"/>
                <w:color w:val="000000"/>
                <w:lang w:val="en-US"/>
              </w:rPr>
            </w:pPr>
            <w:r w:rsidRPr="0FE4D5DF">
              <w:rPr>
                <w:rFonts w:ascii="Calibri" w:eastAsia="Calibri" w:hAnsi="Calibri" w:cs="Calibri"/>
                <w:color w:val="000000" w:themeColor="text1"/>
                <w:lang w:val="en-US"/>
              </w:rPr>
              <w:t xml:space="preserve">Tecnología y seguridad cibernética </w:t>
            </w:r>
          </w:p>
        </w:tc>
        <w:tc>
          <w:tcPr>
            <w:tcW w:w="1140" w:type="dxa"/>
            <w:tcBorders>
              <w:top w:val="nil"/>
              <w:left w:val="nil"/>
              <w:bottom w:val="single" w:sz="4" w:space="0" w:color="000000" w:themeColor="text1"/>
              <w:right w:val="single" w:sz="8" w:space="0" w:color="000000" w:themeColor="text1"/>
            </w:tcBorders>
            <w:vAlign w:val="bottom"/>
          </w:tcPr>
          <w:p w14:paraId="0364A247" w14:textId="77777777" w:rsidR="0035403C" w:rsidRDefault="00D02C31">
            <w:pPr>
              <w:jc w:val="right"/>
              <w:rPr>
                <w:rFonts w:ascii="Calibri" w:eastAsia="Calibri" w:hAnsi="Calibri" w:cs="Calibri"/>
                <w:color w:val="000000"/>
              </w:rPr>
            </w:pPr>
            <w:r>
              <w:rPr>
                <w:rFonts w:ascii="Calibri" w:eastAsia="Calibri" w:hAnsi="Calibri" w:cs="Calibri"/>
                <w:color w:val="000000"/>
              </w:rPr>
              <w:t>0,15</w:t>
            </w:r>
          </w:p>
        </w:tc>
        <w:tc>
          <w:tcPr>
            <w:tcW w:w="1324" w:type="dxa"/>
            <w:tcBorders>
              <w:top w:val="nil"/>
              <w:left w:val="nil"/>
              <w:bottom w:val="single" w:sz="4" w:space="0" w:color="000000" w:themeColor="text1"/>
              <w:right w:val="single" w:sz="8" w:space="0" w:color="000000" w:themeColor="text1"/>
            </w:tcBorders>
            <w:vAlign w:val="bottom"/>
          </w:tcPr>
          <w:p w14:paraId="7C964D78" w14:textId="77777777" w:rsidR="0035403C" w:rsidRDefault="00D02C31">
            <w:pPr>
              <w:jc w:val="right"/>
              <w:rPr>
                <w:rFonts w:ascii="Calibri" w:eastAsia="Calibri" w:hAnsi="Calibri" w:cs="Calibri"/>
                <w:color w:val="000000"/>
              </w:rPr>
            </w:pPr>
            <w:r>
              <w:rPr>
                <w:rFonts w:ascii="Calibri" w:eastAsia="Calibri" w:hAnsi="Calibri" w:cs="Calibri"/>
                <w:color w:val="000000"/>
              </w:rPr>
              <w:t>4</w:t>
            </w:r>
          </w:p>
        </w:tc>
        <w:tc>
          <w:tcPr>
            <w:tcW w:w="1323" w:type="dxa"/>
            <w:tcBorders>
              <w:top w:val="nil"/>
              <w:left w:val="nil"/>
              <w:bottom w:val="single" w:sz="4" w:space="0" w:color="000000" w:themeColor="text1"/>
              <w:right w:val="single" w:sz="8" w:space="0" w:color="000000" w:themeColor="text1"/>
            </w:tcBorders>
            <w:vAlign w:val="bottom"/>
          </w:tcPr>
          <w:p w14:paraId="4B6A0C95" w14:textId="77777777" w:rsidR="0035403C" w:rsidRDefault="00D02C31">
            <w:pPr>
              <w:jc w:val="right"/>
              <w:rPr>
                <w:rFonts w:ascii="Calibri" w:eastAsia="Calibri" w:hAnsi="Calibri" w:cs="Calibri"/>
                <w:color w:val="000000"/>
              </w:rPr>
            </w:pPr>
            <w:r>
              <w:rPr>
                <w:rFonts w:ascii="Calibri" w:eastAsia="Calibri" w:hAnsi="Calibri" w:cs="Calibri"/>
                <w:color w:val="000000"/>
              </w:rPr>
              <w:t>0,6</w:t>
            </w:r>
          </w:p>
        </w:tc>
      </w:tr>
      <w:tr w:rsidR="0035403C" w14:paraId="768244F5" w14:textId="77777777" w:rsidTr="17FBBB8B">
        <w:trPr>
          <w:trHeight w:val="320"/>
        </w:trPr>
        <w:tc>
          <w:tcPr>
            <w:tcW w:w="579" w:type="dxa"/>
            <w:tcBorders>
              <w:top w:val="nil"/>
              <w:left w:val="single" w:sz="8" w:space="0" w:color="000000" w:themeColor="text1"/>
              <w:bottom w:val="single" w:sz="4" w:space="0" w:color="000000" w:themeColor="text1"/>
              <w:right w:val="single" w:sz="8" w:space="0" w:color="000000" w:themeColor="text1"/>
            </w:tcBorders>
            <w:vAlign w:val="bottom"/>
          </w:tcPr>
          <w:p w14:paraId="78941E47" w14:textId="77777777" w:rsidR="0035403C" w:rsidRDefault="00D02C31">
            <w:pPr>
              <w:jc w:val="right"/>
              <w:rPr>
                <w:rFonts w:ascii="Calibri" w:eastAsia="Calibri" w:hAnsi="Calibri" w:cs="Calibri"/>
                <w:color w:val="000000"/>
              </w:rPr>
            </w:pPr>
            <w:r>
              <w:rPr>
                <w:rFonts w:ascii="Calibri" w:eastAsia="Calibri" w:hAnsi="Calibri" w:cs="Calibri"/>
                <w:color w:val="000000"/>
              </w:rPr>
              <w:t>5</w:t>
            </w:r>
          </w:p>
        </w:tc>
        <w:tc>
          <w:tcPr>
            <w:tcW w:w="4780" w:type="dxa"/>
            <w:tcBorders>
              <w:top w:val="nil"/>
              <w:left w:val="nil"/>
              <w:bottom w:val="single" w:sz="4" w:space="0" w:color="000000" w:themeColor="text1"/>
              <w:right w:val="single" w:sz="8" w:space="0" w:color="000000" w:themeColor="text1"/>
            </w:tcBorders>
            <w:vAlign w:val="bottom"/>
          </w:tcPr>
          <w:p w14:paraId="372A2940" w14:textId="77777777" w:rsidR="0035403C" w:rsidRDefault="00D02C31" w:rsidP="0FE4D5DF">
            <w:pPr>
              <w:rPr>
                <w:rFonts w:ascii="Calibri" w:eastAsia="Calibri" w:hAnsi="Calibri" w:cs="Calibri"/>
                <w:color w:val="000000"/>
                <w:lang w:val="en-US"/>
              </w:rPr>
            </w:pPr>
            <w:r w:rsidRPr="0FE4D5DF">
              <w:rPr>
                <w:rFonts w:ascii="Calibri" w:eastAsia="Calibri" w:hAnsi="Calibri" w:cs="Calibri"/>
                <w:color w:val="000000" w:themeColor="text1"/>
                <w:lang w:val="en-US"/>
              </w:rPr>
              <w:t xml:space="preserve">Cambios en las preferencias de los clientes </w:t>
            </w:r>
          </w:p>
        </w:tc>
        <w:tc>
          <w:tcPr>
            <w:tcW w:w="1140" w:type="dxa"/>
            <w:tcBorders>
              <w:top w:val="nil"/>
              <w:left w:val="nil"/>
              <w:bottom w:val="single" w:sz="4" w:space="0" w:color="000000" w:themeColor="text1"/>
              <w:right w:val="single" w:sz="8" w:space="0" w:color="000000" w:themeColor="text1"/>
            </w:tcBorders>
            <w:vAlign w:val="bottom"/>
          </w:tcPr>
          <w:p w14:paraId="5338ADFE" w14:textId="77777777" w:rsidR="0035403C" w:rsidRDefault="00D02C31">
            <w:pPr>
              <w:jc w:val="right"/>
              <w:rPr>
                <w:rFonts w:ascii="Calibri" w:eastAsia="Calibri" w:hAnsi="Calibri" w:cs="Calibri"/>
                <w:color w:val="000000"/>
              </w:rPr>
            </w:pPr>
            <w:r>
              <w:rPr>
                <w:rFonts w:ascii="Calibri" w:eastAsia="Calibri" w:hAnsi="Calibri" w:cs="Calibri"/>
                <w:color w:val="000000"/>
              </w:rPr>
              <w:t>0,05</w:t>
            </w:r>
          </w:p>
        </w:tc>
        <w:tc>
          <w:tcPr>
            <w:tcW w:w="1324" w:type="dxa"/>
            <w:tcBorders>
              <w:top w:val="nil"/>
              <w:left w:val="nil"/>
              <w:bottom w:val="single" w:sz="4" w:space="0" w:color="000000" w:themeColor="text1"/>
              <w:right w:val="single" w:sz="8" w:space="0" w:color="000000" w:themeColor="text1"/>
            </w:tcBorders>
            <w:vAlign w:val="bottom"/>
          </w:tcPr>
          <w:p w14:paraId="7A036E3D" w14:textId="77777777" w:rsidR="0035403C" w:rsidRDefault="00D02C31">
            <w:pPr>
              <w:jc w:val="right"/>
              <w:rPr>
                <w:rFonts w:ascii="Calibri" w:eastAsia="Calibri" w:hAnsi="Calibri" w:cs="Calibri"/>
                <w:color w:val="000000"/>
              </w:rPr>
            </w:pPr>
            <w:r>
              <w:rPr>
                <w:rFonts w:ascii="Calibri" w:eastAsia="Calibri" w:hAnsi="Calibri" w:cs="Calibri"/>
                <w:color w:val="000000"/>
              </w:rPr>
              <w:t>3</w:t>
            </w:r>
          </w:p>
        </w:tc>
        <w:tc>
          <w:tcPr>
            <w:tcW w:w="1323" w:type="dxa"/>
            <w:tcBorders>
              <w:top w:val="nil"/>
              <w:left w:val="nil"/>
              <w:bottom w:val="single" w:sz="4" w:space="0" w:color="000000" w:themeColor="text1"/>
              <w:right w:val="single" w:sz="8" w:space="0" w:color="000000" w:themeColor="text1"/>
            </w:tcBorders>
            <w:vAlign w:val="bottom"/>
          </w:tcPr>
          <w:p w14:paraId="01E9BE1E" w14:textId="77777777" w:rsidR="0035403C" w:rsidRDefault="00D02C31">
            <w:pPr>
              <w:jc w:val="right"/>
              <w:rPr>
                <w:rFonts w:ascii="Calibri" w:eastAsia="Calibri" w:hAnsi="Calibri" w:cs="Calibri"/>
                <w:color w:val="000000"/>
              </w:rPr>
            </w:pPr>
            <w:r>
              <w:rPr>
                <w:rFonts w:ascii="Calibri" w:eastAsia="Calibri" w:hAnsi="Calibri" w:cs="Calibri"/>
                <w:color w:val="000000"/>
              </w:rPr>
              <w:t>0,15</w:t>
            </w:r>
          </w:p>
        </w:tc>
      </w:tr>
      <w:tr w:rsidR="0035403C" w14:paraId="3033EA15" w14:textId="77777777" w:rsidTr="17FBBB8B">
        <w:trPr>
          <w:trHeight w:val="320"/>
        </w:trPr>
        <w:tc>
          <w:tcPr>
            <w:tcW w:w="579" w:type="dxa"/>
            <w:tcBorders>
              <w:top w:val="nil"/>
              <w:left w:val="single" w:sz="8" w:space="0" w:color="000000" w:themeColor="text1"/>
              <w:bottom w:val="single" w:sz="4" w:space="0" w:color="000000" w:themeColor="text1"/>
              <w:right w:val="single" w:sz="8" w:space="0" w:color="000000" w:themeColor="text1"/>
            </w:tcBorders>
            <w:vAlign w:val="bottom"/>
          </w:tcPr>
          <w:p w14:paraId="29B4EA11" w14:textId="77777777" w:rsidR="0035403C" w:rsidRDefault="00D02C31">
            <w:pPr>
              <w:jc w:val="right"/>
              <w:rPr>
                <w:rFonts w:ascii="Calibri" w:eastAsia="Calibri" w:hAnsi="Calibri" w:cs="Calibri"/>
                <w:color w:val="000000"/>
              </w:rPr>
            </w:pPr>
            <w:r>
              <w:rPr>
                <w:rFonts w:ascii="Calibri" w:eastAsia="Calibri" w:hAnsi="Calibri" w:cs="Calibri"/>
                <w:color w:val="000000"/>
              </w:rPr>
              <w:t>6</w:t>
            </w:r>
          </w:p>
        </w:tc>
        <w:tc>
          <w:tcPr>
            <w:tcW w:w="4780" w:type="dxa"/>
            <w:tcBorders>
              <w:top w:val="nil"/>
              <w:left w:val="nil"/>
              <w:bottom w:val="single" w:sz="4" w:space="0" w:color="000000" w:themeColor="text1"/>
              <w:right w:val="single" w:sz="8" w:space="0" w:color="000000" w:themeColor="text1"/>
            </w:tcBorders>
            <w:vAlign w:val="bottom"/>
          </w:tcPr>
          <w:p w14:paraId="06932B67" w14:textId="77777777" w:rsidR="0035403C" w:rsidRDefault="00D02C31" w:rsidP="17FBBB8B">
            <w:pPr>
              <w:rPr>
                <w:rFonts w:ascii="Calibri" w:eastAsia="Calibri" w:hAnsi="Calibri" w:cs="Calibri"/>
                <w:color w:val="000000"/>
                <w:lang w:val="en-US"/>
              </w:rPr>
            </w:pPr>
            <w:r w:rsidRPr="17FBBB8B">
              <w:rPr>
                <w:rFonts w:ascii="Calibri" w:eastAsia="Calibri" w:hAnsi="Calibri" w:cs="Calibri"/>
                <w:color w:val="000000" w:themeColor="text1"/>
                <w:lang w:val="en-US"/>
              </w:rPr>
              <w:t>Amenaza de cambios en la regulación</w:t>
            </w:r>
          </w:p>
        </w:tc>
        <w:tc>
          <w:tcPr>
            <w:tcW w:w="1140" w:type="dxa"/>
            <w:tcBorders>
              <w:top w:val="nil"/>
              <w:left w:val="nil"/>
              <w:bottom w:val="single" w:sz="4" w:space="0" w:color="000000" w:themeColor="text1"/>
              <w:right w:val="single" w:sz="8" w:space="0" w:color="000000" w:themeColor="text1"/>
            </w:tcBorders>
            <w:vAlign w:val="bottom"/>
          </w:tcPr>
          <w:p w14:paraId="12DEE39F" w14:textId="77777777" w:rsidR="0035403C" w:rsidRDefault="00D02C31">
            <w:pPr>
              <w:jc w:val="right"/>
              <w:rPr>
                <w:rFonts w:ascii="Calibri" w:eastAsia="Calibri" w:hAnsi="Calibri" w:cs="Calibri"/>
                <w:color w:val="000000"/>
              </w:rPr>
            </w:pPr>
            <w:r>
              <w:rPr>
                <w:rFonts w:ascii="Calibri" w:eastAsia="Calibri" w:hAnsi="Calibri" w:cs="Calibri"/>
                <w:color w:val="000000"/>
              </w:rPr>
              <w:t>0,15</w:t>
            </w:r>
          </w:p>
        </w:tc>
        <w:tc>
          <w:tcPr>
            <w:tcW w:w="1324" w:type="dxa"/>
            <w:tcBorders>
              <w:top w:val="nil"/>
              <w:left w:val="nil"/>
              <w:bottom w:val="single" w:sz="4" w:space="0" w:color="000000" w:themeColor="text1"/>
              <w:right w:val="single" w:sz="8" w:space="0" w:color="000000" w:themeColor="text1"/>
            </w:tcBorders>
            <w:vAlign w:val="bottom"/>
          </w:tcPr>
          <w:p w14:paraId="17310F6F" w14:textId="77777777" w:rsidR="0035403C" w:rsidRDefault="00D02C31">
            <w:pPr>
              <w:jc w:val="right"/>
              <w:rPr>
                <w:rFonts w:ascii="Calibri" w:eastAsia="Calibri" w:hAnsi="Calibri" w:cs="Calibri"/>
                <w:color w:val="000000"/>
              </w:rPr>
            </w:pPr>
            <w:r>
              <w:rPr>
                <w:rFonts w:ascii="Calibri" w:eastAsia="Calibri" w:hAnsi="Calibri" w:cs="Calibri"/>
                <w:color w:val="000000"/>
              </w:rPr>
              <w:t>4</w:t>
            </w:r>
          </w:p>
        </w:tc>
        <w:tc>
          <w:tcPr>
            <w:tcW w:w="1323" w:type="dxa"/>
            <w:tcBorders>
              <w:top w:val="nil"/>
              <w:left w:val="nil"/>
              <w:bottom w:val="single" w:sz="4" w:space="0" w:color="000000" w:themeColor="text1"/>
              <w:right w:val="single" w:sz="8" w:space="0" w:color="000000" w:themeColor="text1"/>
            </w:tcBorders>
            <w:vAlign w:val="bottom"/>
          </w:tcPr>
          <w:p w14:paraId="64BF935C" w14:textId="77777777" w:rsidR="0035403C" w:rsidRDefault="00D02C31">
            <w:pPr>
              <w:jc w:val="right"/>
              <w:rPr>
                <w:rFonts w:ascii="Calibri" w:eastAsia="Calibri" w:hAnsi="Calibri" w:cs="Calibri"/>
                <w:color w:val="000000"/>
              </w:rPr>
            </w:pPr>
            <w:r>
              <w:rPr>
                <w:rFonts w:ascii="Calibri" w:eastAsia="Calibri" w:hAnsi="Calibri" w:cs="Calibri"/>
                <w:color w:val="000000"/>
              </w:rPr>
              <w:t>0,6</w:t>
            </w:r>
          </w:p>
        </w:tc>
      </w:tr>
      <w:tr w:rsidR="0035403C" w14:paraId="7BDE1C53" w14:textId="77777777" w:rsidTr="17FBBB8B">
        <w:trPr>
          <w:trHeight w:val="320"/>
        </w:trPr>
        <w:tc>
          <w:tcPr>
            <w:tcW w:w="579" w:type="dxa"/>
            <w:tcBorders>
              <w:top w:val="nil"/>
              <w:left w:val="single" w:sz="8" w:space="0" w:color="000000" w:themeColor="text1"/>
              <w:bottom w:val="single" w:sz="4" w:space="0" w:color="000000" w:themeColor="text1"/>
              <w:right w:val="single" w:sz="8" w:space="0" w:color="000000" w:themeColor="text1"/>
            </w:tcBorders>
            <w:vAlign w:val="bottom"/>
          </w:tcPr>
          <w:p w14:paraId="75697EEC" w14:textId="77777777" w:rsidR="0035403C" w:rsidRDefault="00D02C31">
            <w:pPr>
              <w:jc w:val="right"/>
              <w:rPr>
                <w:rFonts w:ascii="Calibri" w:eastAsia="Calibri" w:hAnsi="Calibri" w:cs="Calibri"/>
                <w:color w:val="000000"/>
              </w:rPr>
            </w:pPr>
            <w:r>
              <w:rPr>
                <w:rFonts w:ascii="Calibri" w:eastAsia="Calibri" w:hAnsi="Calibri" w:cs="Calibri"/>
                <w:color w:val="000000"/>
              </w:rPr>
              <w:t>7</w:t>
            </w:r>
          </w:p>
        </w:tc>
        <w:tc>
          <w:tcPr>
            <w:tcW w:w="4780" w:type="dxa"/>
            <w:tcBorders>
              <w:top w:val="nil"/>
              <w:left w:val="nil"/>
              <w:bottom w:val="single" w:sz="4" w:space="0" w:color="000000" w:themeColor="text1"/>
              <w:right w:val="single" w:sz="8" w:space="0" w:color="000000" w:themeColor="text1"/>
            </w:tcBorders>
            <w:vAlign w:val="bottom"/>
          </w:tcPr>
          <w:p w14:paraId="1B1DFD5F" w14:textId="77777777" w:rsidR="0035403C" w:rsidRDefault="00D02C31" w:rsidP="17FBBB8B">
            <w:pPr>
              <w:rPr>
                <w:rFonts w:ascii="Calibri" w:eastAsia="Calibri" w:hAnsi="Calibri" w:cs="Calibri"/>
                <w:color w:val="000000"/>
                <w:lang w:val="en-US"/>
              </w:rPr>
            </w:pPr>
            <w:r w:rsidRPr="17FBBB8B">
              <w:rPr>
                <w:rFonts w:ascii="Calibri" w:eastAsia="Calibri" w:hAnsi="Calibri" w:cs="Calibri"/>
                <w:color w:val="000000" w:themeColor="text1"/>
                <w:lang w:val="en-US"/>
              </w:rPr>
              <w:t>Ciclo económico</w:t>
            </w:r>
          </w:p>
        </w:tc>
        <w:tc>
          <w:tcPr>
            <w:tcW w:w="1140" w:type="dxa"/>
            <w:tcBorders>
              <w:top w:val="nil"/>
              <w:left w:val="nil"/>
              <w:bottom w:val="single" w:sz="4" w:space="0" w:color="000000" w:themeColor="text1"/>
              <w:right w:val="single" w:sz="8" w:space="0" w:color="000000" w:themeColor="text1"/>
            </w:tcBorders>
            <w:vAlign w:val="bottom"/>
          </w:tcPr>
          <w:p w14:paraId="6F1BEC61" w14:textId="77777777" w:rsidR="0035403C" w:rsidRDefault="00D02C31">
            <w:pPr>
              <w:jc w:val="right"/>
              <w:rPr>
                <w:rFonts w:ascii="Calibri" w:eastAsia="Calibri" w:hAnsi="Calibri" w:cs="Calibri"/>
                <w:color w:val="000000"/>
              </w:rPr>
            </w:pPr>
            <w:r>
              <w:rPr>
                <w:rFonts w:ascii="Calibri" w:eastAsia="Calibri" w:hAnsi="Calibri" w:cs="Calibri"/>
                <w:color w:val="000000"/>
              </w:rPr>
              <w:t>0,10</w:t>
            </w:r>
          </w:p>
        </w:tc>
        <w:tc>
          <w:tcPr>
            <w:tcW w:w="1324" w:type="dxa"/>
            <w:tcBorders>
              <w:top w:val="nil"/>
              <w:left w:val="nil"/>
              <w:bottom w:val="single" w:sz="4" w:space="0" w:color="000000" w:themeColor="text1"/>
              <w:right w:val="single" w:sz="8" w:space="0" w:color="000000" w:themeColor="text1"/>
            </w:tcBorders>
            <w:vAlign w:val="bottom"/>
          </w:tcPr>
          <w:p w14:paraId="68D9363B" w14:textId="77777777" w:rsidR="0035403C" w:rsidRDefault="00D02C31">
            <w:pPr>
              <w:jc w:val="right"/>
              <w:rPr>
                <w:rFonts w:ascii="Calibri" w:eastAsia="Calibri" w:hAnsi="Calibri" w:cs="Calibri"/>
                <w:color w:val="000000"/>
              </w:rPr>
            </w:pPr>
            <w:r>
              <w:rPr>
                <w:rFonts w:ascii="Calibri" w:eastAsia="Calibri" w:hAnsi="Calibri" w:cs="Calibri"/>
                <w:color w:val="000000"/>
              </w:rPr>
              <w:t>3</w:t>
            </w:r>
          </w:p>
        </w:tc>
        <w:tc>
          <w:tcPr>
            <w:tcW w:w="1323" w:type="dxa"/>
            <w:tcBorders>
              <w:top w:val="nil"/>
              <w:left w:val="nil"/>
              <w:bottom w:val="single" w:sz="4" w:space="0" w:color="000000" w:themeColor="text1"/>
              <w:right w:val="single" w:sz="8" w:space="0" w:color="000000" w:themeColor="text1"/>
            </w:tcBorders>
            <w:vAlign w:val="bottom"/>
          </w:tcPr>
          <w:p w14:paraId="329596BA" w14:textId="77777777" w:rsidR="0035403C" w:rsidRDefault="00D02C31">
            <w:pPr>
              <w:jc w:val="right"/>
              <w:rPr>
                <w:rFonts w:ascii="Calibri" w:eastAsia="Calibri" w:hAnsi="Calibri" w:cs="Calibri"/>
                <w:color w:val="000000"/>
              </w:rPr>
            </w:pPr>
            <w:r>
              <w:rPr>
                <w:rFonts w:ascii="Calibri" w:eastAsia="Calibri" w:hAnsi="Calibri" w:cs="Calibri"/>
                <w:color w:val="000000"/>
              </w:rPr>
              <w:t>0,3</w:t>
            </w:r>
          </w:p>
        </w:tc>
      </w:tr>
      <w:tr w:rsidR="0035403C" w14:paraId="7CA872CC" w14:textId="77777777" w:rsidTr="17FBBB8B">
        <w:trPr>
          <w:trHeight w:val="320"/>
        </w:trPr>
        <w:tc>
          <w:tcPr>
            <w:tcW w:w="579" w:type="dxa"/>
            <w:tcBorders>
              <w:top w:val="nil"/>
              <w:left w:val="single" w:sz="8" w:space="0" w:color="000000" w:themeColor="text1"/>
              <w:bottom w:val="single" w:sz="4" w:space="0" w:color="000000" w:themeColor="text1"/>
              <w:right w:val="single" w:sz="8" w:space="0" w:color="000000" w:themeColor="text1"/>
            </w:tcBorders>
            <w:vAlign w:val="bottom"/>
          </w:tcPr>
          <w:p w14:paraId="49832D11" w14:textId="77777777" w:rsidR="0035403C" w:rsidRDefault="00D02C31">
            <w:pPr>
              <w:jc w:val="right"/>
              <w:rPr>
                <w:rFonts w:ascii="Calibri" w:eastAsia="Calibri" w:hAnsi="Calibri" w:cs="Calibri"/>
                <w:color w:val="000000"/>
              </w:rPr>
            </w:pPr>
            <w:r>
              <w:rPr>
                <w:rFonts w:ascii="Calibri" w:eastAsia="Calibri" w:hAnsi="Calibri" w:cs="Calibri"/>
                <w:color w:val="000000"/>
              </w:rPr>
              <w:t>8</w:t>
            </w:r>
          </w:p>
        </w:tc>
        <w:tc>
          <w:tcPr>
            <w:tcW w:w="4780" w:type="dxa"/>
            <w:tcBorders>
              <w:top w:val="nil"/>
              <w:left w:val="nil"/>
              <w:bottom w:val="single" w:sz="4" w:space="0" w:color="000000" w:themeColor="text1"/>
              <w:right w:val="single" w:sz="8" w:space="0" w:color="000000" w:themeColor="text1"/>
            </w:tcBorders>
            <w:vAlign w:val="bottom"/>
          </w:tcPr>
          <w:p w14:paraId="02781425" w14:textId="77777777" w:rsidR="0035403C" w:rsidRDefault="00D02C31" w:rsidP="17FBBB8B">
            <w:pPr>
              <w:rPr>
                <w:rFonts w:ascii="Calibri" w:eastAsia="Calibri" w:hAnsi="Calibri" w:cs="Calibri"/>
                <w:color w:val="000000"/>
                <w:lang w:val="en-US"/>
              </w:rPr>
            </w:pPr>
            <w:r w:rsidRPr="17FBBB8B">
              <w:rPr>
                <w:rFonts w:ascii="Calibri" w:eastAsia="Calibri" w:hAnsi="Calibri" w:cs="Calibri"/>
                <w:color w:val="000000" w:themeColor="text1"/>
                <w:lang w:val="en-US"/>
              </w:rPr>
              <w:t xml:space="preserve">Responsabilidad medioambiental </w:t>
            </w:r>
          </w:p>
        </w:tc>
        <w:tc>
          <w:tcPr>
            <w:tcW w:w="1140" w:type="dxa"/>
            <w:tcBorders>
              <w:top w:val="nil"/>
              <w:left w:val="nil"/>
              <w:bottom w:val="single" w:sz="4" w:space="0" w:color="000000" w:themeColor="text1"/>
              <w:right w:val="single" w:sz="8" w:space="0" w:color="000000" w:themeColor="text1"/>
            </w:tcBorders>
            <w:vAlign w:val="bottom"/>
          </w:tcPr>
          <w:p w14:paraId="7A22DD12" w14:textId="77777777" w:rsidR="0035403C" w:rsidRDefault="00D02C31">
            <w:pPr>
              <w:jc w:val="right"/>
              <w:rPr>
                <w:rFonts w:ascii="Calibri" w:eastAsia="Calibri" w:hAnsi="Calibri" w:cs="Calibri"/>
                <w:color w:val="000000"/>
              </w:rPr>
            </w:pPr>
            <w:r>
              <w:rPr>
                <w:rFonts w:ascii="Calibri" w:eastAsia="Calibri" w:hAnsi="Calibri" w:cs="Calibri"/>
                <w:color w:val="000000"/>
              </w:rPr>
              <w:t>0,02</w:t>
            </w:r>
          </w:p>
        </w:tc>
        <w:tc>
          <w:tcPr>
            <w:tcW w:w="1324" w:type="dxa"/>
            <w:tcBorders>
              <w:top w:val="nil"/>
              <w:left w:val="nil"/>
              <w:bottom w:val="single" w:sz="4" w:space="0" w:color="000000" w:themeColor="text1"/>
              <w:right w:val="single" w:sz="8" w:space="0" w:color="000000" w:themeColor="text1"/>
            </w:tcBorders>
            <w:vAlign w:val="bottom"/>
          </w:tcPr>
          <w:p w14:paraId="78E884CA" w14:textId="77777777" w:rsidR="0035403C" w:rsidRDefault="00D02C31">
            <w:pPr>
              <w:jc w:val="right"/>
              <w:rPr>
                <w:rFonts w:ascii="Calibri" w:eastAsia="Calibri" w:hAnsi="Calibri" w:cs="Calibri"/>
                <w:color w:val="000000"/>
              </w:rPr>
            </w:pPr>
            <w:r>
              <w:rPr>
                <w:rFonts w:ascii="Calibri" w:eastAsia="Calibri" w:hAnsi="Calibri" w:cs="Calibri"/>
                <w:color w:val="000000"/>
              </w:rPr>
              <w:t>2</w:t>
            </w:r>
          </w:p>
        </w:tc>
        <w:tc>
          <w:tcPr>
            <w:tcW w:w="1323" w:type="dxa"/>
            <w:tcBorders>
              <w:top w:val="nil"/>
              <w:left w:val="nil"/>
              <w:bottom w:val="single" w:sz="4" w:space="0" w:color="000000" w:themeColor="text1"/>
              <w:right w:val="single" w:sz="8" w:space="0" w:color="000000" w:themeColor="text1"/>
            </w:tcBorders>
            <w:vAlign w:val="bottom"/>
          </w:tcPr>
          <w:p w14:paraId="0677A7D9" w14:textId="77777777" w:rsidR="0035403C" w:rsidRDefault="00D02C31">
            <w:pPr>
              <w:jc w:val="right"/>
              <w:rPr>
                <w:rFonts w:ascii="Calibri" w:eastAsia="Calibri" w:hAnsi="Calibri" w:cs="Calibri"/>
                <w:color w:val="000000"/>
              </w:rPr>
            </w:pPr>
            <w:r>
              <w:rPr>
                <w:rFonts w:ascii="Calibri" w:eastAsia="Calibri" w:hAnsi="Calibri" w:cs="Calibri"/>
                <w:color w:val="000000"/>
              </w:rPr>
              <w:t>0,04</w:t>
            </w:r>
          </w:p>
        </w:tc>
      </w:tr>
      <w:tr w:rsidR="0035403C" w14:paraId="19B573DB" w14:textId="77777777" w:rsidTr="17FBBB8B">
        <w:trPr>
          <w:trHeight w:val="320"/>
        </w:trPr>
        <w:tc>
          <w:tcPr>
            <w:tcW w:w="579" w:type="dxa"/>
            <w:tcBorders>
              <w:top w:val="nil"/>
              <w:left w:val="single" w:sz="8" w:space="0" w:color="000000" w:themeColor="text1"/>
              <w:bottom w:val="single" w:sz="4" w:space="0" w:color="000000" w:themeColor="text1"/>
              <w:right w:val="single" w:sz="8" w:space="0" w:color="000000" w:themeColor="text1"/>
            </w:tcBorders>
            <w:vAlign w:val="bottom"/>
          </w:tcPr>
          <w:p w14:paraId="089009E4" w14:textId="77777777" w:rsidR="0035403C" w:rsidRDefault="00D02C31">
            <w:pPr>
              <w:jc w:val="right"/>
              <w:rPr>
                <w:rFonts w:ascii="Calibri" w:eastAsia="Calibri" w:hAnsi="Calibri" w:cs="Calibri"/>
                <w:color w:val="000000"/>
              </w:rPr>
            </w:pPr>
            <w:r>
              <w:rPr>
                <w:rFonts w:ascii="Calibri" w:eastAsia="Calibri" w:hAnsi="Calibri" w:cs="Calibri"/>
                <w:color w:val="000000"/>
              </w:rPr>
              <w:t>9</w:t>
            </w:r>
          </w:p>
        </w:tc>
        <w:tc>
          <w:tcPr>
            <w:tcW w:w="4780" w:type="dxa"/>
            <w:tcBorders>
              <w:top w:val="nil"/>
              <w:left w:val="nil"/>
              <w:bottom w:val="single" w:sz="4" w:space="0" w:color="000000" w:themeColor="text1"/>
              <w:right w:val="single" w:sz="8" w:space="0" w:color="000000" w:themeColor="text1"/>
            </w:tcBorders>
            <w:vAlign w:val="bottom"/>
          </w:tcPr>
          <w:p w14:paraId="3FD1DE90" w14:textId="77777777" w:rsidR="0035403C" w:rsidRDefault="00D02C31" w:rsidP="17FBBB8B">
            <w:pPr>
              <w:rPr>
                <w:rFonts w:ascii="Calibri" w:eastAsia="Calibri" w:hAnsi="Calibri" w:cs="Calibri"/>
                <w:color w:val="000000"/>
                <w:lang w:val="en-US"/>
              </w:rPr>
            </w:pPr>
            <w:r w:rsidRPr="17FBBB8B">
              <w:rPr>
                <w:rFonts w:ascii="Calibri" w:eastAsia="Calibri" w:hAnsi="Calibri" w:cs="Calibri"/>
                <w:color w:val="000000" w:themeColor="text1"/>
                <w:lang w:val="en-US"/>
              </w:rPr>
              <w:t>Avances tecnológicos en la industria financiera</w:t>
            </w:r>
          </w:p>
        </w:tc>
        <w:tc>
          <w:tcPr>
            <w:tcW w:w="1140" w:type="dxa"/>
            <w:tcBorders>
              <w:top w:val="nil"/>
              <w:left w:val="nil"/>
              <w:bottom w:val="single" w:sz="4" w:space="0" w:color="000000" w:themeColor="text1"/>
              <w:right w:val="single" w:sz="8" w:space="0" w:color="000000" w:themeColor="text1"/>
            </w:tcBorders>
            <w:vAlign w:val="bottom"/>
          </w:tcPr>
          <w:p w14:paraId="6497E50D" w14:textId="77777777" w:rsidR="0035403C" w:rsidRDefault="00D02C31">
            <w:pPr>
              <w:jc w:val="right"/>
              <w:rPr>
                <w:rFonts w:ascii="Calibri" w:eastAsia="Calibri" w:hAnsi="Calibri" w:cs="Calibri"/>
                <w:color w:val="000000"/>
              </w:rPr>
            </w:pPr>
            <w:r>
              <w:rPr>
                <w:rFonts w:ascii="Calibri" w:eastAsia="Calibri" w:hAnsi="Calibri" w:cs="Calibri"/>
                <w:color w:val="000000"/>
              </w:rPr>
              <w:t>0,15</w:t>
            </w:r>
          </w:p>
        </w:tc>
        <w:tc>
          <w:tcPr>
            <w:tcW w:w="1324" w:type="dxa"/>
            <w:tcBorders>
              <w:top w:val="nil"/>
              <w:left w:val="nil"/>
              <w:bottom w:val="single" w:sz="4" w:space="0" w:color="000000" w:themeColor="text1"/>
              <w:right w:val="single" w:sz="8" w:space="0" w:color="000000" w:themeColor="text1"/>
            </w:tcBorders>
            <w:vAlign w:val="bottom"/>
          </w:tcPr>
          <w:p w14:paraId="22C3D751" w14:textId="77777777" w:rsidR="0035403C" w:rsidRDefault="00D02C31">
            <w:pPr>
              <w:jc w:val="right"/>
              <w:rPr>
                <w:rFonts w:ascii="Calibri" w:eastAsia="Calibri" w:hAnsi="Calibri" w:cs="Calibri"/>
                <w:color w:val="000000"/>
              </w:rPr>
            </w:pPr>
            <w:r>
              <w:rPr>
                <w:rFonts w:ascii="Calibri" w:eastAsia="Calibri" w:hAnsi="Calibri" w:cs="Calibri"/>
                <w:color w:val="000000"/>
              </w:rPr>
              <w:t>4</w:t>
            </w:r>
          </w:p>
        </w:tc>
        <w:tc>
          <w:tcPr>
            <w:tcW w:w="1323" w:type="dxa"/>
            <w:tcBorders>
              <w:top w:val="nil"/>
              <w:left w:val="nil"/>
              <w:bottom w:val="single" w:sz="4" w:space="0" w:color="000000" w:themeColor="text1"/>
              <w:right w:val="single" w:sz="8" w:space="0" w:color="000000" w:themeColor="text1"/>
            </w:tcBorders>
            <w:vAlign w:val="bottom"/>
          </w:tcPr>
          <w:p w14:paraId="402D290B" w14:textId="77777777" w:rsidR="0035403C" w:rsidRDefault="00D02C31">
            <w:pPr>
              <w:jc w:val="right"/>
              <w:rPr>
                <w:rFonts w:ascii="Calibri" w:eastAsia="Calibri" w:hAnsi="Calibri" w:cs="Calibri"/>
                <w:color w:val="000000"/>
              </w:rPr>
            </w:pPr>
            <w:r>
              <w:rPr>
                <w:rFonts w:ascii="Calibri" w:eastAsia="Calibri" w:hAnsi="Calibri" w:cs="Calibri"/>
                <w:color w:val="000000"/>
              </w:rPr>
              <w:t>0,6</w:t>
            </w:r>
          </w:p>
        </w:tc>
      </w:tr>
      <w:tr w:rsidR="0035403C" w14:paraId="4A0715D5" w14:textId="77777777" w:rsidTr="17FBBB8B">
        <w:trPr>
          <w:trHeight w:val="340"/>
        </w:trPr>
        <w:tc>
          <w:tcPr>
            <w:tcW w:w="579" w:type="dxa"/>
            <w:tcBorders>
              <w:top w:val="nil"/>
              <w:left w:val="single" w:sz="8" w:space="0" w:color="000000" w:themeColor="text1"/>
              <w:bottom w:val="single" w:sz="8" w:space="0" w:color="000000" w:themeColor="text1"/>
              <w:right w:val="single" w:sz="8" w:space="0" w:color="000000" w:themeColor="text1"/>
            </w:tcBorders>
            <w:vAlign w:val="bottom"/>
          </w:tcPr>
          <w:p w14:paraId="5D369756" w14:textId="77777777" w:rsidR="0035403C" w:rsidRDefault="00D02C31">
            <w:pPr>
              <w:jc w:val="right"/>
              <w:rPr>
                <w:rFonts w:ascii="Calibri" w:eastAsia="Calibri" w:hAnsi="Calibri" w:cs="Calibri"/>
                <w:color w:val="000000"/>
              </w:rPr>
            </w:pPr>
            <w:r>
              <w:rPr>
                <w:rFonts w:ascii="Calibri" w:eastAsia="Calibri" w:hAnsi="Calibri" w:cs="Calibri"/>
                <w:color w:val="000000"/>
              </w:rPr>
              <w:t>10</w:t>
            </w:r>
          </w:p>
        </w:tc>
        <w:tc>
          <w:tcPr>
            <w:tcW w:w="4780" w:type="dxa"/>
            <w:tcBorders>
              <w:top w:val="nil"/>
              <w:left w:val="nil"/>
              <w:bottom w:val="single" w:sz="8" w:space="0" w:color="000000" w:themeColor="text1"/>
              <w:right w:val="single" w:sz="8" w:space="0" w:color="000000" w:themeColor="text1"/>
            </w:tcBorders>
            <w:vAlign w:val="bottom"/>
          </w:tcPr>
          <w:p w14:paraId="11679B17" w14:textId="77777777" w:rsidR="0035403C" w:rsidRDefault="00D02C31" w:rsidP="0FE4D5DF">
            <w:pPr>
              <w:rPr>
                <w:rFonts w:ascii="Calibri" w:eastAsia="Calibri" w:hAnsi="Calibri" w:cs="Calibri"/>
                <w:color w:val="000000"/>
                <w:lang w:val="en-US"/>
              </w:rPr>
            </w:pPr>
            <w:r w:rsidRPr="0FE4D5DF">
              <w:rPr>
                <w:rFonts w:ascii="Calibri" w:eastAsia="Calibri" w:hAnsi="Calibri" w:cs="Calibri"/>
                <w:color w:val="000000" w:themeColor="text1"/>
                <w:lang w:val="en-US"/>
              </w:rPr>
              <w:t>Cambios en la legislación financiera</w:t>
            </w:r>
          </w:p>
        </w:tc>
        <w:tc>
          <w:tcPr>
            <w:tcW w:w="1140" w:type="dxa"/>
            <w:tcBorders>
              <w:top w:val="nil"/>
              <w:left w:val="nil"/>
              <w:bottom w:val="single" w:sz="8" w:space="0" w:color="000000" w:themeColor="text1"/>
              <w:right w:val="single" w:sz="8" w:space="0" w:color="000000" w:themeColor="text1"/>
            </w:tcBorders>
            <w:vAlign w:val="bottom"/>
          </w:tcPr>
          <w:p w14:paraId="77A98D3A" w14:textId="77777777" w:rsidR="0035403C" w:rsidRDefault="00D02C31">
            <w:pPr>
              <w:jc w:val="right"/>
              <w:rPr>
                <w:rFonts w:ascii="Calibri" w:eastAsia="Calibri" w:hAnsi="Calibri" w:cs="Calibri"/>
                <w:color w:val="000000"/>
              </w:rPr>
            </w:pPr>
            <w:r>
              <w:rPr>
                <w:rFonts w:ascii="Calibri" w:eastAsia="Calibri" w:hAnsi="Calibri" w:cs="Calibri"/>
                <w:color w:val="000000"/>
              </w:rPr>
              <w:t>0,10</w:t>
            </w:r>
          </w:p>
        </w:tc>
        <w:tc>
          <w:tcPr>
            <w:tcW w:w="1324" w:type="dxa"/>
            <w:tcBorders>
              <w:top w:val="nil"/>
              <w:left w:val="nil"/>
              <w:bottom w:val="single" w:sz="8" w:space="0" w:color="000000" w:themeColor="text1"/>
              <w:right w:val="single" w:sz="8" w:space="0" w:color="000000" w:themeColor="text1"/>
            </w:tcBorders>
            <w:vAlign w:val="bottom"/>
          </w:tcPr>
          <w:p w14:paraId="57AB7477" w14:textId="77777777" w:rsidR="0035403C" w:rsidRDefault="00D02C31">
            <w:pPr>
              <w:jc w:val="right"/>
              <w:rPr>
                <w:rFonts w:ascii="Calibri" w:eastAsia="Calibri" w:hAnsi="Calibri" w:cs="Calibri"/>
                <w:color w:val="000000"/>
              </w:rPr>
            </w:pPr>
            <w:r>
              <w:rPr>
                <w:rFonts w:ascii="Calibri" w:eastAsia="Calibri" w:hAnsi="Calibri" w:cs="Calibri"/>
                <w:color w:val="000000"/>
              </w:rPr>
              <w:t>3</w:t>
            </w:r>
          </w:p>
        </w:tc>
        <w:tc>
          <w:tcPr>
            <w:tcW w:w="1323" w:type="dxa"/>
            <w:tcBorders>
              <w:top w:val="nil"/>
              <w:left w:val="nil"/>
              <w:bottom w:val="single" w:sz="8" w:space="0" w:color="000000" w:themeColor="text1"/>
              <w:right w:val="single" w:sz="8" w:space="0" w:color="000000" w:themeColor="text1"/>
            </w:tcBorders>
            <w:vAlign w:val="bottom"/>
          </w:tcPr>
          <w:p w14:paraId="2854D10B" w14:textId="77777777" w:rsidR="0035403C" w:rsidRDefault="00D02C31">
            <w:pPr>
              <w:jc w:val="right"/>
              <w:rPr>
                <w:rFonts w:ascii="Calibri" w:eastAsia="Calibri" w:hAnsi="Calibri" w:cs="Calibri"/>
                <w:color w:val="000000"/>
              </w:rPr>
            </w:pPr>
            <w:r>
              <w:rPr>
                <w:rFonts w:ascii="Calibri" w:eastAsia="Calibri" w:hAnsi="Calibri" w:cs="Calibri"/>
                <w:color w:val="000000"/>
              </w:rPr>
              <w:t>0,3</w:t>
            </w:r>
          </w:p>
        </w:tc>
      </w:tr>
      <w:tr w:rsidR="0035403C" w14:paraId="77E0547C" w14:textId="77777777" w:rsidTr="17FBBB8B">
        <w:trPr>
          <w:trHeight w:val="340"/>
        </w:trPr>
        <w:tc>
          <w:tcPr>
            <w:tcW w:w="579" w:type="dxa"/>
            <w:tcBorders>
              <w:top w:val="nil"/>
              <w:left w:val="nil"/>
              <w:bottom w:val="nil"/>
              <w:right w:val="nil"/>
            </w:tcBorders>
            <w:vAlign w:val="bottom"/>
          </w:tcPr>
          <w:p w14:paraId="722B00AE" w14:textId="77777777" w:rsidR="0035403C" w:rsidRDefault="0035403C">
            <w:pPr>
              <w:jc w:val="right"/>
              <w:rPr>
                <w:rFonts w:ascii="Calibri" w:eastAsia="Calibri" w:hAnsi="Calibri" w:cs="Calibri"/>
                <w:color w:val="000000"/>
              </w:rPr>
            </w:pPr>
          </w:p>
        </w:tc>
        <w:tc>
          <w:tcPr>
            <w:tcW w:w="4780" w:type="dxa"/>
            <w:tcBorders>
              <w:top w:val="nil"/>
              <w:left w:val="nil"/>
              <w:bottom w:val="nil"/>
              <w:right w:val="nil"/>
            </w:tcBorders>
            <w:vAlign w:val="bottom"/>
          </w:tcPr>
          <w:p w14:paraId="42C6D796" w14:textId="77777777" w:rsidR="0035403C" w:rsidRDefault="0035403C">
            <w:pPr>
              <w:rPr>
                <w:sz w:val="20"/>
                <w:szCs w:val="20"/>
              </w:rPr>
            </w:pPr>
          </w:p>
        </w:tc>
        <w:tc>
          <w:tcPr>
            <w:tcW w:w="1140" w:type="dxa"/>
            <w:tcBorders>
              <w:top w:val="nil"/>
              <w:left w:val="single" w:sz="8" w:space="0" w:color="000000" w:themeColor="text1"/>
              <w:bottom w:val="single" w:sz="8" w:space="0" w:color="000000" w:themeColor="text1"/>
              <w:right w:val="single" w:sz="8" w:space="0" w:color="000000" w:themeColor="text1"/>
            </w:tcBorders>
            <w:vAlign w:val="bottom"/>
          </w:tcPr>
          <w:p w14:paraId="56B20A0C" w14:textId="77777777" w:rsidR="0035403C" w:rsidRDefault="00D02C31">
            <w:pPr>
              <w:jc w:val="right"/>
              <w:rPr>
                <w:rFonts w:ascii="Calibri" w:eastAsia="Calibri" w:hAnsi="Calibri" w:cs="Calibri"/>
                <w:color w:val="000000"/>
              </w:rPr>
            </w:pPr>
            <w:r>
              <w:rPr>
                <w:rFonts w:ascii="Calibri" w:eastAsia="Calibri" w:hAnsi="Calibri" w:cs="Calibri"/>
                <w:color w:val="000000"/>
              </w:rPr>
              <w:t>1</w:t>
            </w:r>
          </w:p>
        </w:tc>
        <w:tc>
          <w:tcPr>
            <w:tcW w:w="1324" w:type="dxa"/>
            <w:tcBorders>
              <w:top w:val="nil"/>
              <w:left w:val="nil"/>
              <w:bottom w:val="nil"/>
              <w:right w:val="nil"/>
            </w:tcBorders>
            <w:vAlign w:val="bottom"/>
          </w:tcPr>
          <w:p w14:paraId="6E1831B3" w14:textId="77777777" w:rsidR="0035403C" w:rsidRDefault="0035403C">
            <w:pPr>
              <w:jc w:val="right"/>
              <w:rPr>
                <w:rFonts w:ascii="Calibri" w:eastAsia="Calibri" w:hAnsi="Calibri" w:cs="Calibri"/>
                <w:color w:val="000000"/>
              </w:rPr>
            </w:pPr>
          </w:p>
        </w:tc>
        <w:tc>
          <w:tcPr>
            <w:tcW w:w="1323" w:type="dxa"/>
            <w:tcBorders>
              <w:top w:val="nil"/>
              <w:left w:val="single" w:sz="8" w:space="0" w:color="000000" w:themeColor="text1"/>
              <w:bottom w:val="single" w:sz="8" w:space="0" w:color="000000" w:themeColor="text1"/>
              <w:right w:val="single" w:sz="8" w:space="0" w:color="000000" w:themeColor="text1"/>
            </w:tcBorders>
            <w:vAlign w:val="bottom"/>
          </w:tcPr>
          <w:p w14:paraId="14D92B74" w14:textId="77777777" w:rsidR="0035403C" w:rsidRDefault="00D02C31">
            <w:pPr>
              <w:jc w:val="right"/>
              <w:rPr>
                <w:rFonts w:ascii="Calibri" w:eastAsia="Calibri" w:hAnsi="Calibri" w:cs="Calibri"/>
                <w:color w:val="000000"/>
              </w:rPr>
            </w:pPr>
            <w:r>
              <w:rPr>
                <w:rFonts w:ascii="Calibri" w:eastAsia="Calibri" w:hAnsi="Calibri" w:cs="Calibri"/>
                <w:color w:val="000000"/>
              </w:rPr>
              <w:t>3,5</w:t>
            </w:r>
          </w:p>
        </w:tc>
      </w:tr>
    </w:tbl>
    <w:p w14:paraId="67A37DC4" w14:textId="77777777" w:rsidR="0035403C" w:rsidRDefault="00D02C31" w:rsidP="0FE4D5DF">
      <w:pPr>
        <w:spacing w:after="200"/>
        <w:rPr>
          <w:rFonts w:ascii="Cambria" w:eastAsia="Cambria" w:hAnsi="Cambria" w:cs="Cambria"/>
          <w:i/>
          <w:iCs/>
          <w:lang w:val="en-US"/>
        </w:rPr>
      </w:pPr>
      <w:r w:rsidRPr="0FE4D5DF">
        <w:rPr>
          <w:i/>
          <w:iCs/>
          <w:color w:val="1F497D" w:themeColor="text2"/>
          <w:sz w:val="18"/>
          <w:szCs w:val="18"/>
          <w:lang w:val="en-US"/>
        </w:rPr>
        <w:t>Tabla 5 - Tabla de resultados EFE</w:t>
      </w:r>
    </w:p>
    <w:p w14:paraId="54E11D2A" w14:textId="77777777" w:rsidR="0035403C" w:rsidRDefault="0035403C">
      <w:pPr>
        <w:jc w:val="both"/>
      </w:pPr>
    </w:p>
    <w:p w14:paraId="444E66FC" w14:textId="77777777" w:rsidR="0035403C" w:rsidRDefault="00D02C31">
      <w:pPr>
        <w:jc w:val="both"/>
      </w:pPr>
      <w:r w:rsidRPr="0FE4D5DF">
        <w:rPr>
          <w:lang w:val="en-US"/>
        </w:rPr>
        <w:t xml:space="preserve">En esta matriz, se </w:t>
      </w:r>
      <w:proofErr w:type="gramStart"/>
      <w:r w:rsidRPr="0FE4D5DF">
        <w:rPr>
          <w:lang w:val="en-US"/>
        </w:rPr>
        <w:t>han</w:t>
      </w:r>
      <w:proofErr w:type="gramEnd"/>
      <w:r w:rsidRPr="0FE4D5DF">
        <w:rPr>
          <w:lang w:val="en-US"/>
        </w:rPr>
        <w:t xml:space="preserve"> identificado y evaluado diez factores externos que podrían afectar a Coelsa. Cada factor se califica en una escala </w:t>
      </w:r>
      <w:proofErr w:type="gramStart"/>
      <w:r w:rsidRPr="0FE4D5DF">
        <w:rPr>
          <w:lang w:val="en-US"/>
        </w:rPr>
        <w:t>del</w:t>
      </w:r>
      <w:proofErr w:type="gramEnd"/>
      <w:r w:rsidRPr="0FE4D5DF">
        <w:rPr>
          <w:lang w:val="en-US"/>
        </w:rPr>
        <w:t xml:space="preserve"> 1 al 4, donde 1 representa una debilidad significativa y 4 representa una fortaleza significativa. Además, se le asigna </w:t>
      </w:r>
      <w:proofErr w:type="gramStart"/>
      <w:r w:rsidRPr="0FE4D5DF">
        <w:rPr>
          <w:lang w:val="en-US"/>
        </w:rPr>
        <w:t>un</w:t>
      </w:r>
      <w:proofErr w:type="gramEnd"/>
      <w:r w:rsidRPr="0FE4D5DF">
        <w:rPr>
          <w:lang w:val="en-US"/>
        </w:rPr>
        <w:t xml:space="preserve"> peso a cada factor para indicar su importancia relativa en la estrategia general de la empresa. La puntuación final se obtiene multiplicando la calificación por el peso y sumando todas las puntuaciones individuales. La misma es de 3.69 puntos, y esto nos dice que la compañía enfrenta </w:t>
      </w:r>
      <w:proofErr w:type="gramStart"/>
      <w:r w:rsidRPr="0FE4D5DF">
        <w:rPr>
          <w:lang w:val="en-US"/>
        </w:rPr>
        <w:t>un</w:t>
      </w:r>
      <w:proofErr w:type="gramEnd"/>
      <w:r w:rsidRPr="0FE4D5DF">
        <w:rPr>
          <w:lang w:val="en-US"/>
        </w:rPr>
        <w:t xml:space="preserve"> entorno externo generalmente favorable, aunque existen algunos factores que pueden requerir atención y gestión estratégica.</w:t>
      </w:r>
    </w:p>
    <w:p w14:paraId="35C2354D" w14:textId="77777777" w:rsidR="0035403C" w:rsidRDefault="00D02C31">
      <w:pPr>
        <w:pStyle w:val="Ttulo2"/>
      </w:pPr>
      <w:bookmarkStart w:id="68" w:name="_heading=h.4bvk7pj"/>
      <w:bookmarkEnd w:id="68"/>
      <w:r w:rsidRPr="0FE4D5DF">
        <w:rPr>
          <w:lang w:val="en-US"/>
        </w:rPr>
        <w:t>Matriz EFI</w:t>
      </w:r>
    </w:p>
    <w:p w14:paraId="415BBFB8" w14:textId="77777777" w:rsidR="0035403C" w:rsidRDefault="00D02C31">
      <w:pPr>
        <w:jc w:val="both"/>
      </w:pPr>
      <w:r w:rsidRPr="0FE4D5DF">
        <w:rPr>
          <w:lang w:val="en-US"/>
        </w:rPr>
        <w:t xml:space="preserve">La Matriz de Evaluación de Factores Internos (EFI) se utiliza para evaluar la fuerza y debilidad de los factores internos de una empresa. En el caso de una empresa que opera </w:t>
      </w:r>
      <w:proofErr w:type="gramStart"/>
      <w:r w:rsidRPr="0FE4D5DF">
        <w:rPr>
          <w:lang w:val="en-US"/>
        </w:rPr>
        <w:t>como</w:t>
      </w:r>
      <w:proofErr w:type="gramEnd"/>
      <w:r w:rsidRPr="0FE4D5DF">
        <w:rPr>
          <w:lang w:val="en-US"/>
        </w:rPr>
        <w:t xml:space="preserve"> una cámara bancaria de un país, la matriz EFI definida podría ser la siguiente:</w:t>
      </w:r>
    </w:p>
    <w:p w14:paraId="31126E5D" w14:textId="77777777" w:rsidR="0035403C" w:rsidRDefault="0035403C">
      <w:pPr>
        <w:rPr>
          <w:rFonts w:ascii="Roboto" w:eastAsia="Roboto" w:hAnsi="Roboto" w:cs="Roboto"/>
          <w:color w:val="0F0F0F"/>
          <w:highlight w:val="yellow"/>
        </w:rPr>
      </w:pPr>
    </w:p>
    <w:tbl>
      <w:tblPr>
        <w:tblStyle w:val="af6"/>
        <w:tblW w:w="9025" w:type="dxa"/>
        <w:tblInd w:w="0" w:type="dxa"/>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Layout w:type="fixed"/>
        <w:tblLook w:val="0400" w:firstRow="0" w:lastRow="0" w:firstColumn="0" w:lastColumn="0" w:noHBand="0" w:noVBand="1"/>
      </w:tblPr>
      <w:tblGrid>
        <w:gridCol w:w="458"/>
        <w:gridCol w:w="4780"/>
        <w:gridCol w:w="1140"/>
        <w:gridCol w:w="1324"/>
        <w:gridCol w:w="1323"/>
      </w:tblGrid>
      <w:tr w:rsidR="0035403C" w14:paraId="22491464" w14:textId="77777777" w:rsidTr="14F7F2DF">
        <w:trPr>
          <w:trHeight w:val="340"/>
        </w:trPr>
        <w:tc>
          <w:tcPr>
            <w:tcW w:w="458" w:type="dxa"/>
            <w:tcBorders>
              <w:top w:val="nil"/>
              <w:left w:val="nil"/>
              <w:bottom w:val="nil"/>
              <w:right w:val="nil"/>
            </w:tcBorders>
            <w:vAlign w:val="bottom"/>
          </w:tcPr>
          <w:p w14:paraId="2DE403A5" w14:textId="77777777" w:rsidR="0035403C" w:rsidRDefault="0035403C"/>
        </w:tc>
        <w:tc>
          <w:tcPr>
            <w:tcW w:w="4780" w:type="dxa"/>
            <w:tcBorders>
              <w:top w:val="single" w:sz="8" w:space="0" w:color="000000" w:themeColor="text1"/>
              <w:left w:val="single" w:sz="8" w:space="0" w:color="000000" w:themeColor="text1"/>
              <w:bottom w:val="nil"/>
              <w:right w:val="single" w:sz="8" w:space="0" w:color="000000" w:themeColor="text1"/>
            </w:tcBorders>
            <w:vAlign w:val="bottom"/>
          </w:tcPr>
          <w:p w14:paraId="7109F1DB" w14:textId="77777777" w:rsidR="0035403C" w:rsidRDefault="00D02C31" w:rsidP="14F7F2DF">
            <w:pPr>
              <w:rPr>
                <w:rFonts w:ascii="Calibri" w:eastAsia="Calibri" w:hAnsi="Calibri" w:cs="Calibri"/>
                <w:color w:val="000000"/>
                <w:lang w:val="en-US"/>
              </w:rPr>
            </w:pPr>
            <w:r w:rsidRPr="14F7F2DF">
              <w:rPr>
                <w:rFonts w:ascii="Calibri" w:eastAsia="Calibri" w:hAnsi="Calibri" w:cs="Calibri"/>
                <w:color w:val="000000" w:themeColor="text1"/>
                <w:lang w:val="en-US"/>
              </w:rPr>
              <w:t>Factores Internos</w:t>
            </w:r>
          </w:p>
        </w:tc>
        <w:tc>
          <w:tcPr>
            <w:tcW w:w="1140" w:type="dxa"/>
            <w:tcBorders>
              <w:top w:val="single" w:sz="8" w:space="0" w:color="000000" w:themeColor="text1"/>
              <w:left w:val="nil"/>
              <w:bottom w:val="nil"/>
              <w:right w:val="single" w:sz="8" w:space="0" w:color="000000" w:themeColor="text1"/>
            </w:tcBorders>
            <w:vAlign w:val="bottom"/>
          </w:tcPr>
          <w:p w14:paraId="2E690510" w14:textId="77777777" w:rsidR="0035403C" w:rsidRDefault="00D02C31">
            <w:pPr>
              <w:rPr>
                <w:rFonts w:ascii="Calibri" w:eastAsia="Calibri" w:hAnsi="Calibri" w:cs="Calibri"/>
                <w:color w:val="000000"/>
              </w:rPr>
            </w:pPr>
            <w:r>
              <w:rPr>
                <w:rFonts w:ascii="Calibri" w:eastAsia="Calibri" w:hAnsi="Calibri" w:cs="Calibri"/>
                <w:color w:val="000000"/>
              </w:rPr>
              <w:t>Peso (0-1)</w:t>
            </w:r>
          </w:p>
        </w:tc>
        <w:tc>
          <w:tcPr>
            <w:tcW w:w="1324" w:type="dxa"/>
            <w:tcBorders>
              <w:top w:val="single" w:sz="8" w:space="0" w:color="000000" w:themeColor="text1"/>
              <w:left w:val="nil"/>
              <w:bottom w:val="nil"/>
              <w:right w:val="single" w:sz="8" w:space="0" w:color="000000" w:themeColor="text1"/>
            </w:tcBorders>
            <w:vAlign w:val="bottom"/>
          </w:tcPr>
          <w:p w14:paraId="2E4B378F" w14:textId="77777777" w:rsidR="0035403C" w:rsidRDefault="00D02C31" w:rsidP="0FE4D5DF">
            <w:pPr>
              <w:rPr>
                <w:rFonts w:ascii="Calibri" w:eastAsia="Calibri" w:hAnsi="Calibri" w:cs="Calibri"/>
                <w:color w:val="000000"/>
                <w:lang w:val="en-US"/>
              </w:rPr>
            </w:pPr>
            <w:r w:rsidRPr="0FE4D5DF">
              <w:rPr>
                <w:rFonts w:ascii="Calibri" w:eastAsia="Calibri" w:hAnsi="Calibri" w:cs="Calibri"/>
                <w:color w:val="000000" w:themeColor="text1"/>
                <w:lang w:val="en-US"/>
              </w:rPr>
              <w:t>Calificación (1-4)</w:t>
            </w:r>
          </w:p>
        </w:tc>
        <w:tc>
          <w:tcPr>
            <w:tcW w:w="1323" w:type="dxa"/>
            <w:tcBorders>
              <w:top w:val="single" w:sz="8" w:space="0" w:color="000000" w:themeColor="text1"/>
              <w:left w:val="nil"/>
              <w:bottom w:val="nil"/>
              <w:right w:val="single" w:sz="8" w:space="0" w:color="000000" w:themeColor="text1"/>
            </w:tcBorders>
            <w:vAlign w:val="bottom"/>
          </w:tcPr>
          <w:p w14:paraId="105766B4" w14:textId="77777777" w:rsidR="0035403C" w:rsidRDefault="00D02C31" w:rsidP="0FE4D5DF">
            <w:pPr>
              <w:rPr>
                <w:rFonts w:ascii="Calibri" w:eastAsia="Calibri" w:hAnsi="Calibri" w:cs="Calibri"/>
                <w:color w:val="000000"/>
                <w:lang w:val="en-US"/>
              </w:rPr>
            </w:pPr>
            <w:r w:rsidRPr="0FE4D5DF">
              <w:rPr>
                <w:rFonts w:ascii="Calibri" w:eastAsia="Calibri" w:hAnsi="Calibri" w:cs="Calibri"/>
                <w:color w:val="000000" w:themeColor="text1"/>
                <w:lang w:val="en-US"/>
              </w:rPr>
              <w:t>Puntuación</w:t>
            </w:r>
          </w:p>
        </w:tc>
      </w:tr>
      <w:tr w:rsidR="0035403C" w14:paraId="3EBE4E5B" w14:textId="77777777" w:rsidTr="14F7F2DF">
        <w:trPr>
          <w:trHeight w:val="320"/>
        </w:trPr>
        <w:tc>
          <w:tcPr>
            <w:tcW w:w="458" w:type="dxa"/>
            <w:tcBorders>
              <w:top w:val="single" w:sz="8" w:space="0" w:color="000000" w:themeColor="text1"/>
              <w:left w:val="single" w:sz="8" w:space="0" w:color="000000" w:themeColor="text1"/>
              <w:bottom w:val="single" w:sz="4" w:space="0" w:color="000000" w:themeColor="text1"/>
              <w:right w:val="single" w:sz="8" w:space="0" w:color="000000" w:themeColor="text1"/>
            </w:tcBorders>
            <w:vAlign w:val="bottom"/>
          </w:tcPr>
          <w:p w14:paraId="249FAAB8" w14:textId="77777777" w:rsidR="0035403C" w:rsidRDefault="00D02C31">
            <w:pPr>
              <w:jc w:val="right"/>
              <w:rPr>
                <w:rFonts w:ascii="Calibri" w:eastAsia="Calibri" w:hAnsi="Calibri" w:cs="Calibri"/>
                <w:color w:val="000000"/>
              </w:rPr>
            </w:pPr>
            <w:r>
              <w:rPr>
                <w:rFonts w:ascii="Calibri" w:eastAsia="Calibri" w:hAnsi="Calibri" w:cs="Calibri"/>
                <w:color w:val="000000"/>
              </w:rPr>
              <w:t>1</w:t>
            </w:r>
          </w:p>
        </w:tc>
        <w:tc>
          <w:tcPr>
            <w:tcW w:w="4780" w:type="dxa"/>
            <w:tcBorders>
              <w:top w:val="single" w:sz="8" w:space="0" w:color="000000" w:themeColor="text1"/>
              <w:left w:val="nil"/>
              <w:bottom w:val="single" w:sz="4" w:space="0" w:color="000000" w:themeColor="text1"/>
              <w:right w:val="single" w:sz="8" w:space="0" w:color="000000" w:themeColor="text1"/>
            </w:tcBorders>
            <w:vAlign w:val="bottom"/>
          </w:tcPr>
          <w:p w14:paraId="40D66220" w14:textId="77777777" w:rsidR="0035403C" w:rsidRDefault="00D02C31" w:rsidP="0FE4D5DF">
            <w:pPr>
              <w:rPr>
                <w:rFonts w:ascii="Calibri" w:eastAsia="Calibri" w:hAnsi="Calibri" w:cs="Calibri"/>
                <w:color w:val="000000"/>
                <w:lang w:val="en-US"/>
              </w:rPr>
            </w:pPr>
            <w:r w:rsidRPr="0FE4D5DF">
              <w:rPr>
                <w:rFonts w:ascii="Calibri" w:eastAsia="Calibri" w:hAnsi="Calibri" w:cs="Calibri"/>
                <w:color w:val="000000" w:themeColor="text1"/>
                <w:lang w:val="en-US"/>
              </w:rPr>
              <w:t>Recursos financieros</w:t>
            </w:r>
          </w:p>
        </w:tc>
        <w:tc>
          <w:tcPr>
            <w:tcW w:w="1140" w:type="dxa"/>
            <w:tcBorders>
              <w:top w:val="single" w:sz="8" w:space="0" w:color="000000" w:themeColor="text1"/>
              <w:left w:val="nil"/>
              <w:bottom w:val="single" w:sz="4" w:space="0" w:color="000000" w:themeColor="text1"/>
              <w:right w:val="single" w:sz="8" w:space="0" w:color="000000" w:themeColor="text1"/>
            </w:tcBorders>
            <w:vAlign w:val="bottom"/>
          </w:tcPr>
          <w:p w14:paraId="7F2E8C96" w14:textId="77777777" w:rsidR="0035403C" w:rsidRDefault="00D02C31">
            <w:pPr>
              <w:jc w:val="right"/>
              <w:rPr>
                <w:rFonts w:ascii="Calibri" w:eastAsia="Calibri" w:hAnsi="Calibri" w:cs="Calibri"/>
                <w:color w:val="000000"/>
              </w:rPr>
            </w:pPr>
            <w:r>
              <w:rPr>
                <w:rFonts w:ascii="Calibri" w:eastAsia="Calibri" w:hAnsi="Calibri" w:cs="Calibri"/>
                <w:color w:val="000000"/>
              </w:rPr>
              <w:t>0,15</w:t>
            </w:r>
          </w:p>
        </w:tc>
        <w:tc>
          <w:tcPr>
            <w:tcW w:w="1324" w:type="dxa"/>
            <w:tcBorders>
              <w:top w:val="single" w:sz="8" w:space="0" w:color="000000" w:themeColor="text1"/>
              <w:left w:val="nil"/>
              <w:bottom w:val="single" w:sz="4" w:space="0" w:color="000000" w:themeColor="text1"/>
              <w:right w:val="single" w:sz="8" w:space="0" w:color="000000" w:themeColor="text1"/>
            </w:tcBorders>
            <w:vAlign w:val="bottom"/>
          </w:tcPr>
          <w:p w14:paraId="5055DCC4" w14:textId="77777777" w:rsidR="0035403C" w:rsidRDefault="00D02C31">
            <w:pPr>
              <w:jc w:val="right"/>
              <w:rPr>
                <w:rFonts w:ascii="Calibri" w:eastAsia="Calibri" w:hAnsi="Calibri" w:cs="Calibri"/>
                <w:color w:val="000000"/>
              </w:rPr>
            </w:pPr>
            <w:r>
              <w:rPr>
                <w:rFonts w:ascii="Calibri" w:eastAsia="Calibri" w:hAnsi="Calibri" w:cs="Calibri"/>
                <w:color w:val="000000"/>
              </w:rPr>
              <w:t>4</w:t>
            </w:r>
          </w:p>
        </w:tc>
        <w:tc>
          <w:tcPr>
            <w:tcW w:w="1323" w:type="dxa"/>
            <w:tcBorders>
              <w:top w:val="single" w:sz="8" w:space="0" w:color="000000" w:themeColor="text1"/>
              <w:left w:val="nil"/>
              <w:bottom w:val="single" w:sz="4" w:space="0" w:color="000000" w:themeColor="text1"/>
              <w:right w:val="single" w:sz="8" w:space="0" w:color="000000" w:themeColor="text1"/>
            </w:tcBorders>
            <w:vAlign w:val="bottom"/>
          </w:tcPr>
          <w:p w14:paraId="37A6EB97" w14:textId="77777777" w:rsidR="0035403C" w:rsidRDefault="00D02C31">
            <w:pPr>
              <w:jc w:val="right"/>
              <w:rPr>
                <w:rFonts w:ascii="Calibri" w:eastAsia="Calibri" w:hAnsi="Calibri" w:cs="Calibri"/>
                <w:color w:val="000000"/>
              </w:rPr>
            </w:pPr>
            <w:r>
              <w:rPr>
                <w:rFonts w:ascii="Calibri" w:eastAsia="Calibri" w:hAnsi="Calibri" w:cs="Calibri"/>
                <w:color w:val="000000"/>
              </w:rPr>
              <w:t>0,6</w:t>
            </w:r>
          </w:p>
        </w:tc>
      </w:tr>
      <w:tr w:rsidR="0035403C" w14:paraId="35C1D0BD" w14:textId="77777777" w:rsidTr="14F7F2DF">
        <w:trPr>
          <w:trHeight w:val="320"/>
        </w:trPr>
        <w:tc>
          <w:tcPr>
            <w:tcW w:w="458" w:type="dxa"/>
            <w:tcBorders>
              <w:top w:val="nil"/>
              <w:left w:val="single" w:sz="8" w:space="0" w:color="000000" w:themeColor="text1"/>
              <w:bottom w:val="single" w:sz="4" w:space="0" w:color="000000" w:themeColor="text1"/>
              <w:right w:val="single" w:sz="8" w:space="0" w:color="000000" w:themeColor="text1"/>
            </w:tcBorders>
            <w:vAlign w:val="bottom"/>
          </w:tcPr>
          <w:p w14:paraId="7842F596" w14:textId="77777777" w:rsidR="0035403C" w:rsidRDefault="00D02C31">
            <w:pPr>
              <w:jc w:val="right"/>
              <w:rPr>
                <w:rFonts w:ascii="Calibri" w:eastAsia="Calibri" w:hAnsi="Calibri" w:cs="Calibri"/>
                <w:color w:val="000000"/>
              </w:rPr>
            </w:pPr>
            <w:r>
              <w:rPr>
                <w:rFonts w:ascii="Calibri" w:eastAsia="Calibri" w:hAnsi="Calibri" w:cs="Calibri"/>
                <w:color w:val="000000"/>
              </w:rPr>
              <w:t>2</w:t>
            </w:r>
          </w:p>
        </w:tc>
        <w:tc>
          <w:tcPr>
            <w:tcW w:w="4780" w:type="dxa"/>
            <w:tcBorders>
              <w:top w:val="nil"/>
              <w:left w:val="nil"/>
              <w:bottom w:val="single" w:sz="4" w:space="0" w:color="000000" w:themeColor="text1"/>
              <w:right w:val="single" w:sz="8" w:space="0" w:color="000000" w:themeColor="text1"/>
            </w:tcBorders>
            <w:vAlign w:val="bottom"/>
          </w:tcPr>
          <w:p w14:paraId="50D2929C" w14:textId="77777777" w:rsidR="0035403C" w:rsidRDefault="00D02C31" w:rsidP="0FE4D5DF">
            <w:pPr>
              <w:rPr>
                <w:rFonts w:ascii="Calibri" w:eastAsia="Calibri" w:hAnsi="Calibri" w:cs="Calibri"/>
                <w:color w:val="000000"/>
                <w:lang w:val="en-US"/>
              </w:rPr>
            </w:pPr>
            <w:r w:rsidRPr="0FE4D5DF">
              <w:rPr>
                <w:rFonts w:ascii="Calibri" w:eastAsia="Calibri" w:hAnsi="Calibri" w:cs="Calibri"/>
                <w:color w:val="000000" w:themeColor="text1"/>
                <w:lang w:val="en-US"/>
              </w:rPr>
              <w:t>Experiencia en el mercado</w:t>
            </w:r>
          </w:p>
        </w:tc>
        <w:tc>
          <w:tcPr>
            <w:tcW w:w="1140" w:type="dxa"/>
            <w:tcBorders>
              <w:top w:val="nil"/>
              <w:left w:val="nil"/>
              <w:bottom w:val="single" w:sz="4" w:space="0" w:color="000000" w:themeColor="text1"/>
              <w:right w:val="single" w:sz="8" w:space="0" w:color="000000" w:themeColor="text1"/>
            </w:tcBorders>
            <w:vAlign w:val="bottom"/>
          </w:tcPr>
          <w:p w14:paraId="61381856" w14:textId="77777777" w:rsidR="0035403C" w:rsidRDefault="00D02C31">
            <w:pPr>
              <w:jc w:val="right"/>
              <w:rPr>
                <w:rFonts w:ascii="Calibri" w:eastAsia="Calibri" w:hAnsi="Calibri" w:cs="Calibri"/>
                <w:color w:val="000000"/>
              </w:rPr>
            </w:pPr>
            <w:r>
              <w:rPr>
                <w:rFonts w:ascii="Calibri" w:eastAsia="Calibri" w:hAnsi="Calibri" w:cs="Calibri"/>
                <w:color w:val="000000"/>
              </w:rPr>
              <w:t>0,12</w:t>
            </w:r>
          </w:p>
        </w:tc>
        <w:tc>
          <w:tcPr>
            <w:tcW w:w="1324" w:type="dxa"/>
            <w:tcBorders>
              <w:top w:val="nil"/>
              <w:left w:val="nil"/>
              <w:bottom w:val="single" w:sz="4" w:space="0" w:color="000000" w:themeColor="text1"/>
              <w:right w:val="single" w:sz="8" w:space="0" w:color="000000" w:themeColor="text1"/>
            </w:tcBorders>
            <w:vAlign w:val="bottom"/>
          </w:tcPr>
          <w:p w14:paraId="297C039E" w14:textId="77777777" w:rsidR="0035403C" w:rsidRDefault="00D02C31">
            <w:pPr>
              <w:jc w:val="right"/>
              <w:rPr>
                <w:rFonts w:ascii="Calibri" w:eastAsia="Calibri" w:hAnsi="Calibri" w:cs="Calibri"/>
                <w:color w:val="000000"/>
              </w:rPr>
            </w:pPr>
            <w:r>
              <w:rPr>
                <w:rFonts w:ascii="Calibri" w:eastAsia="Calibri" w:hAnsi="Calibri" w:cs="Calibri"/>
                <w:color w:val="000000"/>
              </w:rPr>
              <w:t>3</w:t>
            </w:r>
          </w:p>
        </w:tc>
        <w:tc>
          <w:tcPr>
            <w:tcW w:w="1323" w:type="dxa"/>
            <w:tcBorders>
              <w:top w:val="nil"/>
              <w:left w:val="nil"/>
              <w:bottom w:val="single" w:sz="4" w:space="0" w:color="000000" w:themeColor="text1"/>
              <w:right w:val="single" w:sz="8" w:space="0" w:color="000000" w:themeColor="text1"/>
            </w:tcBorders>
            <w:vAlign w:val="bottom"/>
          </w:tcPr>
          <w:p w14:paraId="398ED83A" w14:textId="77777777" w:rsidR="0035403C" w:rsidRDefault="00D02C31">
            <w:pPr>
              <w:jc w:val="right"/>
              <w:rPr>
                <w:rFonts w:ascii="Calibri" w:eastAsia="Calibri" w:hAnsi="Calibri" w:cs="Calibri"/>
                <w:color w:val="000000"/>
              </w:rPr>
            </w:pPr>
            <w:r>
              <w:rPr>
                <w:rFonts w:ascii="Calibri" w:eastAsia="Calibri" w:hAnsi="Calibri" w:cs="Calibri"/>
                <w:color w:val="000000"/>
              </w:rPr>
              <w:t>0,36</w:t>
            </w:r>
          </w:p>
        </w:tc>
      </w:tr>
      <w:tr w:rsidR="0035403C" w14:paraId="560820E0" w14:textId="77777777" w:rsidTr="14F7F2DF">
        <w:trPr>
          <w:trHeight w:val="320"/>
        </w:trPr>
        <w:tc>
          <w:tcPr>
            <w:tcW w:w="458" w:type="dxa"/>
            <w:tcBorders>
              <w:top w:val="nil"/>
              <w:left w:val="single" w:sz="8" w:space="0" w:color="000000" w:themeColor="text1"/>
              <w:bottom w:val="single" w:sz="4" w:space="0" w:color="000000" w:themeColor="text1"/>
              <w:right w:val="single" w:sz="8" w:space="0" w:color="000000" w:themeColor="text1"/>
            </w:tcBorders>
            <w:vAlign w:val="bottom"/>
          </w:tcPr>
          <w:p w14:paraId="2A2176D0" w14:textId="77777777" w:rsidR="0035403C" w:rsidRDefault="00D02C31">
            <w:pPr>
              <w:jc w:val="right"/>
              <w:rPr>
                <w:rFonts w:ascii="Calibri" w:eastAsia="Calibri" w:hAnsi="Calibri" w:cs="Calibri"/>
                <w:color w:val="000000"/>
              </w:rPr>
            </w:pPr>
            <w:r>
              <w:rPr>
                <w:rFonts w:ascii="Calibri" w:eastAsia="Calibri" w:hAnsi="Calibri" w:cs="Calibri"/>
                <w:color w:val="000000"/>
              </w:rPr>
              <w:t>3</w:t>
            </w:r>
          </w:p>
        </w:tc>
        <w:tc>
          <w:tcPr>
            <w:tcW w:w="4780" w:type="dxa"/>
            <w:tcBorders>
              <w:top w:val="nil"/>
              <w:left w:val="nil"/>
              <w:bottom w:val="single" w:sz="4" w:space="0" w:color="000000" w:themeColor="text1"/>
              <w:right w:val="single" w:sz="8" w:space="0" w:color="000000" w:themeColor="text1"/>
            </w:tcBorders>
            <w:vAlign w:val="bottom"/>
          </w:tcPr>
          <w:p w14:paraId="299994A1" w14:textId="77777777" w:rsidR="0035403C" w:rsidRDefault="00D02C31" w:rsidP="0FE4D5DF">
            <w:pPr>
              <w:rPr>
                <w:rFonts w:ascii="Calibri" w:eastAsia="Calibri" w:hAnsi="Calibri" w:cs="Calibri"/>
                <w:color w:val="000000"/>
                <w:lang w:val="en-US"/>
              </w:rPr>
            </w:pPr>
            <w:r w:rsidRPr="0FE4D5DF">
              <w:rPr>
                <w:rFonts w:ascii="Calibri" w:eastAsia="Calibri" w:hAnsi="Calibri" w:cs="Calibri"/>
                <w:color w:val="000000" w:themeColor="text1"/>
                <w:lang w:val="en-US"/>
              </w:rPr>
              <w:t xml:space="preserve">Capacidad de innovación </w:t>
            </w:r>
          </w:p>
        </w:tc>
        <w:tc>
          <w:tcPr>
            <w:tcW w:w="1140" w:type="dxa"/>
            <w:tcBorders>
              <w:top w:val="nil"/>
              <w:left w:val="nil"/>
              <w:bottom w:val="single" w:sz="4" w:space="0" w:color="000000" w:themeColor="text1"/>
              <w:right w:val="single" w:sz="8" w:space="0" w:color="000000" w:themeColor="text1"/>
            </w:tcBorders>
            <w:vAlign w:val="bottom"/>
          </w:tcPr>
          <w:p w14:paraId="68A335ED" w14:textId="77777777" w:rsidR="0035403C" w:rsidRDefault="00D02C31">
            <w:pPr>
              <w:jc w:val="right"/>
              <w:rPr>
                <w:rFonts w:ascii="Calibri" w:eastAsia="Calibri" w:hAnsi="Calibri" w:cs="Calibri"/>
                <w:color w:val="000000"/>
              </w:rPr>
            </w:pPr>
            <w:r>
              <w:rPr>
                <w:rFonts w:ascii="Calibri" w:eastAsia="Calibri" w:hAnsi="Calibri" w:cs="Calibri"/>
                <w:color w:val="000000"/>
              </w:rPr>
              <w:t>0,10</w:t>
            </w:r>
          </w:p>
        </w:tc>
        <w:tc>
          <w:tcPr>
            <w:tcW w:w="1324" w:type="dxa"/>
            <w:tcBorders>
              <w:top w:val="nil"/>
              <w:left w:val="nil"/>
              <w:bottom w:val="single" w:sz="4" w:space="0" w:color="000000" w:themeColor="text1"/>
              <w:right w:val="single" w:sz="8" w:space="0" w:color="000000" w:themeColor="text1"/>
            </w:tcBorders>
            <w:vAlign w:val="bottom"/>
          </w:tcPr>
          <w:p w14:paraId="2CC21B90" w14:textId="77777777" w:rsidR="0035403C" w:rsidRDefault="00D02C31">
            <w:pPr>
              <w:jc w:val="right"/>
              <w:rPr>
                <w:rFonts w:ascii="Calibri" w:eastAsia="Calibri" w:hAnsi="Calibri" w:cs="Calibri"/>
                <w:color w:val="000000"/>
              </w:rPr>
            </w:pPr>
            <w:r>
              <w:rPr>
                <w:rFonts w:ascii="Calibri" w:eastAsia="Calibri" w:hAnsi="Calibri" w:cs="Calibri"/>
                <w:color w:val="000000"/>
              </w:rPr>
              <w:t>2</w:t>
            </w:r>
          </w:p>
        </w:tc>
        <w:tc>
          <w:tcPr>
            <w:tcW w:w="1323" w:type="dxa"/>
            <w:tcBorders>
              <w:top w:val="nil"/>
              <w:left w:val="nil"/>
              <w:bottom w:val="single" w:sz="4" w:space="0" w:color="000000" w:themeColor="text1"/>
              <w:right w:val="single" w:sz="8" w:space="0" w:color="000000" w:themeColor="text1"/>
            </w:tcBorders>
            <w:vAlign w:val="bottom"/>
          </w:tcPr>
          <w:p w14:paraId="4852D39B" w14:textId="77777777" w:rsidR="0035403C" w:rsidRDefault="00D02C31">
            <w:pPr>
              <w:jc w:val="right"/>
              <w:rPr>
                <w:rFonts w:ascii="Calibri" w:eastAsia="Calibri" w:hAnsi="Calibri" w:cs="Calibri"/>
                <w:color w:val="000000"/>
              </w:rPr>
            </w:pPr>
            <w:r>
              <w:rPr>
                <w:rFonts w:ascii="Calibri" w:eastAsia="Calibri" w:hAnsi="Calibri" w:cs="Calibri"/>
                <w:color w:val="000000"/>
              </w:rPr>
              <w:t>0,2</w:t>
            </w:r>
          </w:p>
        </w:tc>
      </w:tr>
      <w:tr w:rsidR="0035403C" w14:paraId="4D537E6D" w14:textId="77777777" w:rsidTr="14F7F2DF">
        <w:trPr>
          <w:trHeight w:val="320"/>
        </w:trPr>
        <w:tc>
          <w:tcPr>
            <w:tcW w:w="458" w:type="dxa"/>
            <w:tcBorders>
              <w:top w:val="nil"/>
              <w:left w:val="single" w:sz="8" w:space="0" w:color="000000" w:themeColor="text1"/>
              <w:bottom w:val="single" w:sz="4" w:space="0" w:color="000000" w:themeColor="text1"/>
              <w:right w:val="single" w:sz="8" w:space="0" w:color="000000" w:themeColor="text1"/>
            </w:tcBorders>
            <w:vAlign w:val="bottom"/>
          </w:tcPr>
          <w:p w14:paraId="3BC2995D" w14:textId="77777777" w:rsidR="0035403C" w:rsidRDefault="00D02C31">
            <w:pPr>
              <w:jc w:val="right"/>
              <w:rPr>
                <w:rFonts w:ascii="Calibri" w:eastAsia="Calibri" w:hAnsi="Calibri" w:cs="Calibri"/>
                <w:color w:val="000000"/>
              </w:rPr>
            </w:pPr>
            <w:r>
              <w:rPr>
                <w:rFonts w:ascii="Calibri" w:eastAsia="Calibri" w:hAnsi="Calibri" w:cs="Calibri"/>
                <w:color w:val="000000"/>
              </w:rPr>
              <w:t>4</w:t>
            </w:r>
          </w:p>
        </w:tc>
        <w:tc>
          <w:tcPr>
            <w:tcW w:w="4780" w:type="dxa"/>
            <w:tcBorders>
              <w:top w:val="nil"/>
              <w:left w:val="nil"/>
              <w:bottom w:val="single" w:sz="4" w:space="0" w:color="000000" w:themeColor="text1"/>
              <w:right w:val="single" w:sz="8" w:space="0" w:color="000000" w:themeColor="text1"/>
            </w:tcBorders>
            <w:vAlign w:val="bottom"/>
          </w:tcPr>
          <w:p w14:paraId="152F848C" w14:textId="77777777" w:rsidR="0035403C" w:rsidRDefault="00D02C31" w:rsidP="0FE4D5DF">
            <w:pPr>
              <w:rPr>
                <w:rFonts w:ascii="Calibri" w:eastAsia="Calibri" w:hAnsi="Calibri" w:cs="Calibri"/>
                <w:color w:val="000000"/>
                <w:lang w:val="en-US"/>
              </w:rPr>
            </w:pPr>
            <w:r w:rsidRPr="0FE4D5DF">
              <w:rPr>
                <w:rFonts w:ascii="Calibri" w:eastAsia="Calibri" w:hAnsi="Calibri" w:cs="Calibri"/>
                <w:color w:val="000000" w:themeColor="text1"/>
                <w:lang w:val="en-US"/>
              </w:rPr>
              <w:t xml:space="preserve">Reputación de la marca </w:t>
            </w:r>
          </w:p>
        </w:tc>
        <w:tc>
          <w:tcPr>
            <w:tcW w:w="1140" w:type="dxa"/>
            <w:tcBorders>
              <w:top w:val="nil"/>
              <w:left w:val="nil"/>
              <w:bottom w:val="single" w:sz="4" w:space="0" w:color="000000" w:themeColor="text1"/>
              <w:right w:val="single" w:sz="8" w:space="0" w:color="000000" w:themeColor="text1"/>
            </w:tcBorders>
            <w:vAlign w:val="bottom"/>
          </w:tcPr>
          <w:p w14:paraId="3C41B072" w14:textId="77777777" w:rsidR="0035403C" w:rsidRDefault="00D02C31">
            <w:pPr>
              <w:jc w:val="right"/>
              <w:rPr>
                <w:rFonts w:ascii="Calibri" w:eastAsia="Calibri" w:hAnsi="Calibri" w:cs="Calibri"/>
                <w:color w:val="000000"/>
              </w:rPr>
            </w:pPr>
            <w:r>
              <w:rPr>
                <w:rFonts w:ascii="Calibri" w:eastAsia="Calibri" w:hAnsi="Calibri" w:cs="Calibri"/>
                <w:color w:val="000000"/>
              </w:rPr>
              <w:t>0,12</w:t>
            </w:r>
          </w:p>
        </w:tc>
        <w:tc>
          <w:tcPr>
            <w:tcW w:w="1324" w:type="dxa"/>
            <w:tcBorders>
              <w:top w:val="nil"/>
              <w:left w:val="nil"/>
              <w:bottom w:val="single" w:sz="4" w:space="0" w:color="000000" w:themeColor="text1"/>
              <w:right w:val="single" w:sz="8" w:space="0" w:color="000000" w:themeColor="text1"/>
            </w:tcBorders>
            <w:vAlign w:val="bottom"/>
          </w:tcPr>
          <w:p w14:paraId="7CD048C6" w14:textId="77777777" w:rsidR="0035403C" w:rsidRDefault="00D02C31">
            <w:pPr>
              <w:jc w:val="right"/>
              <w:rPr>
                <w:rFonts w:ascii="Calibri" w:eastAsia="Calibri" w:hAnsi="Calibri" w:cs="Calibri"/>
                <w:color w:val="000000"/>
              </w:rPr>
            </w:pPr>
            <w:r>
              <w:rPr>
                <w:rFonts w:ascii="Calibri" w:eastAsia="Calibri" w:hAnsi="Calibri" w:cs="Calibri"/>
                <w:color w:val="000000"/>
              </w:rPr>
              <w:t>4</w:t>
            </w:r>
          </w:p>
        </w:tc>
        <w:tc>
          <w:tcPr>
            <w:tcW w:w="1323" w:type="dxa"/>
            <w:tcBorders>
              <w:top w:val="nil"/>
              <w:left w:val="nil"/>
              <w:bottom w:val="single" w:sz="4" w:space="0" w:color="000000" w:themeColor="text1"/>
              <w:right w:val="single" w:sz="8" w:space="0" w:color="000000" w:themeColor="text1"/>
            </w:tcBorders>
            <w:vAlign w:val="bottom"/>
          </w:tcPr>
          <w:p w14:paraId="17D0BC8F" w14:textId="77777777" w:rsidR="0035403C" w:rsidRDefault="00D02C31">
            <w:pPr>
              <w:jc w:val="right"/>
              <w:rPr>
                <w:rFonts w:ascii="Calibri" w:eastAsia="Calibri" w:hAnsi="Calibri" w:cs="Calibri"/>
                <w:color w:val="000000"/>
              </w:rPr>
            </w:pPr>
            <w:r>
              <w:rPr>
                <w:rFonts w:ascii="Calibri" w:eastAsia="Calibri" w:hAnsi="Calibri" w:cs="Calibri"/>
                <w:color w:val="000000"/>
              </w:rPr>
              <w:t>0,48</w:t>
            </w:r>
          </w:p>
        </w:tc>
      </w:tr>
      <w:tr w:rsidR="0035403C" w14:paraId="4D3D4134" w14:textId="77777777" w:rsidTr="14F7F2DF">
        <w:trPr>
          <w:trHeight w:val="320"/>
        </w:trPr>
        <w:tc>
          <w:tcPr>
            <w:tcW w:w="458" w:type="dxa"/>
            <w:tcBorders>
              <w:top w:val="nil"/>
              <w:left w:val="single" w:sz="8" w:space="0" w:color="000000" w:themeColor="text1"/>
              <w:bottom w:val="single" w:sz="4" w:space="0" w:color="000000" w:themeColor="text1"/>
              <w:right w:val="single" w:sz="8" w:space="0" w:color="000000" w:themeColor="text1"/>
            </w:tcBorders>
            <w:vAlign w:val="bottom"/>
          </w:tcPr>
          <w:p w14:paraId="44240AAE" w14:textId="77777777" w:rsidR="0035403C" w:rsidRDefault="00D02C31">
            <w:pPr>
              <w:jc w:val="right"/>
              <w:rPr>
                <w:rFonts w:ascii="Calibri" w:eastAsia="Calibri" w:hAnsi="Calibri" w:cs="Calibri"/>
                <w:color w:val="000000"/>
              </w:rPr>
            </w:pPr>
            <w:r>
              <w:rPr>
                <w:rFonts w:ascii="Calibri" w:eastAsia="Calibri" w:hAnsi="Calibri" w:cs="Calibri"/>
                <w:color w:val="000000"/>
              </w:rPr>
              <w:t>5</w:t>
            </w:r>
          </w:p>
        </w:tc>
        <w:tc>
          <w:tcPr>
            <w:tcW w:w="4780" w:type="dxa"/>
            <w:tcBorders>
              <w:top w:val="nil"/>
              <w:left w:val="nil"/>
              <w:bottom w:val="single" w:sz="4" w:space="0" w:color="000000" w:themeColor="text1"/>
              <w:right w:val="single" w:sz="8" w:space="0" w:color="000000" w:themeColor="text1"/>
            </w:tcBorders>
            <w:vAlign w:val="bottom"/>
          </w:tcPr>
          <w:p w14:paraId="471B9760" w14:textId="77777777" w:rsidR="0035403C" w:rsidRDefault="00D02C31" w:rsidP="0FE4D5DF">
            <w:pPr>
              <w:rPr>
                <w:rFonts w:ascii="Calibri" w:eastAsia="Calibri" w:hAnsi="Calibri" w:cs="Calibri"/>
                <w:color w:val="000000"/>
                <w:lang w:val="en-US"/>
              </w:rPr>
            </w:pPr>
            <w:r w:rsidRPr="0FE4D5DF">
              <w:rPr>
                <w:rFonts w:ascii="Calibri" w:eastAsia="Calibri" w:hAnsi="Calibri" w:cs="Calibri"/>
                <w:color w:val="000000" w:themeColor="text1"/>
                <w:lang w:val="en-US"/>
              </w:rPr>
              <w:t>Escala de operaciones</w:t>
            </w:r>
          </w:p>
        </w:tc>
        <w:tc>
          <w:tcPr>
            <w:tcW w:w="1140" w:type="dxa"/>
            <w:tcBorders>
              <w:top w:val="nil"/>
              <w:left w:val="nil"/>
              <w:bottom w:val="single" w:sz="4" w:space="0" w:color="000000" w:themeColor="text1"/>
              <w:right w:val="single" w:sz="8" w:space="0" w:color="000000" w:themeColor="text1"/>
            </w:tcBorders>
            <w:vAlign w:val="bottom"/>
          </w:tcPr>
          <w:p w14:paraId="50D79905" w14:textId="77777777" w:rsidR="0035403C" w:rsidRDefault="00D02C31">
            <w:pPr>
              <w:jc w:val="right"/>
              <w:rPr>
                <w:rFonts w:ascii="Calibri" w:eastAsia="Calibri" w:hAnsi="Calibri" w:cs="Calibri"/>
                <w:color w:val="000000"/>
              </w:rPr>
            </w:pPr>
            <w:r>
              <w:rPr>
                <w:rFonts w:ascii="Calibri" w:eastAsia="Calibri" w:hAnsi="Calibri" w:cs="Calibri"/>
                <w:color w:val="000000"/>
              </w:rPr>
              <w:t>0,15</w:t>
            </w:r>
          </w:p>
        </w:tc>
        <w:tc>
          <w:tcPr>
            <w:tcW w:w="1324" w:type="dxa"/>
            <w:tcBorders>
              <w:top w:val="nil"/>
              <w:left w:val="nil"/>
              <w:bottom w:val="single" w:sz="4" w:space="0" w:color="000000" w:themeColor="text1"/>
              <w:right w:val="single" w:sz="8" w:space="0" w:color="000000" w:themeColor="text1"/>
            </w:tcBorders>
            <w:vAlign w:val="bottom"/>
          </w:tcPr>
          <w:p w14:paraId="3C1ED14B" w14:textId="77777777" w:rsidR="0035403C" w:rsidRDefault="00D02C31">
            <w:pPr>
              <w:jc w:val="right"/>
              <w:rPr>
                <w:rFonts w:ascii="Calibri" w:eastAsia="Calibri" w:hAnsi="Calibri" w:cs="Calibri"/>
                <w:color w:val="000000"/>
              </w:rPr>
            </w:pPr>
            <w:r>
              <w:rPr>
                <w:rFonts w:ascii="Calibri" w:eastAsia="Calibri" w:hAnsi="Calibri" w:cs="Calibri"/>
                <w:color w:val="000000"/>
              </w:rPr>
              <w:t>3</w:t>
            </w:r>
          </w:p>
        </w:tc>
        <w:tc>
          <w:tcPr>
            <w:tcW w:w="1323" w:type="dxa"/>
            <w:tcBorders>
              <w:top w:val="nil"/>
              <w:left w:val="nil"/>
              <w:bottom w:val="single" w:sz="4" w:space="0" w:color="000000" w:themeColor="text1"/>
              <w:right w:val="single" w:sz="8" w:space="0" w:color="000000" w:themeColor="text1"/>
            </w:tcBorders>
            <w:vAlign w:val="bottom"/>
          </w:tcPr>
          <w:p w14:paraId="67E738C2" w14:textId="77777777" w:rsidR="0035403C" w:rsidRDefault="00D02C31">
            <w:pPr>
              <w:jc w:val="right"/>
              <w:rPr>
                <w:rFonts w:ascii="Calibri" w:eastAsia="Calibri" w:hAnsi="Calibri" w:cs="Calibri"/>
                <w:color w:val="000000"/>
              </w:rPr>
            </w:pPr>
            <w:r>
              <w:rPr>
                <w:rFonts w:ascii="Calibri" w:eastAsia="Calibri" w:hAnsi="Calibri" w:cs="Calibri"/>
                <w:color w:val="000000"/>
              </w:rPr>
              <w:t>0,45</w:t>
            </w:r>
          </w:p>
        </w:tc>
      </w:tr>
      <w:tr w:rsidR="0035403C" w14:paraId="1BCEB88E" w14:textId="77777777" w:rsidTr="14F7F2DF">
        <w:trPr>
          <w:trHeight w:val="320"/>
        </w:trPr>
        <w:tc>
          <w:tcPr>
            <w:tcW w:w="458" w:type="dxa"/>
            <w:tcBorders>
              <w:top w:val="nil"/>
              <w:left w:val="single" w:sz="8" w:space="0" w:color="000000" w:themeColor="text1"/>
              <w:bottom w:val="single" w:sz="4" w:space="0" w:color="000000" w:themeColor="text1"/>
              <w:right w:val="single" w:sz="8" w:space="0" w:color="000000" w:themeColor="text1"/>
            </w:tcBorders>
            <w:vAlign w:val="bottom"/>
          </w:tcPr>
          <w:p w14:paraId="1B87E3DE" w14:textId="77777777" w:rsidR="0035403C" w:rsidRDefault="00D02C31">
            <w:pPr>
              <w:jc w:val="right"/>
              <w:rPr>
                <w:rFonts w:ascii="Calibri" w:eastAsia="Calibri" w:hAnsi="Calibri" w:cs="Calibri"/>
                <w:color w:val="000000"/>
              </w:rPr>
            </w:pPr>
            <w:r>
              <w:rPr>
                <w:rFonts w:ascii="Calibri" w:eastAsia="Calibri" w:hAnsi="Calibri" w:cs="Calibri"/>
                <w:color w:val="000000"/>
              </w:rPr>
              <w:t>6</w:t>
            </w:r>
          </w:p>
        </w:tc>
        <w:tc>
          <w:tcPr>
            <w:tcW w:w="4780" w:type="dxa"/>
            <w:tcBorders>
              <w:top w:val="nil"/>
              <w:left w:val="nil"/>
              <w:bottom w:val="single" w:sz="4" w:space="0" w:color="000000" w:themeColor="text1"/>
              <w:right w:val="single" w:sz="8" w:space="0" w:color="000000" w:themeColor="text1"/>
            </w:tcBorders>
            <w:vAlign w:val="bottom"/>
          </w:tcPr>
          <w:p w14:paraId="4EE2DAD5" w14:textId="77777777" w:rsidR="0035403C" w:rsidRDefault="00D02C31" w:rsidP="0FE4D5DF">
            <w:pPr>
              <w:rPr>
                <w:rFonts w:ascii="Calibri" w:eastAsia="Calibri" w:hAnsi="Calibri" w:cs="Calibri"/>
                <w:color w:val="000000"/>
                <w:lang w:val="en-US"/>
              </w:rPr>
            </w:pPr>
            <w:r w:rsidRPr="0FE4D5DF">
              <w:rPr>
                <w:rFonts w:ascii="Calibri" w:eastAsia="Calibri" w:hAnsi="Calibri" w:cs="Calibri"/>
                <w:color w:val="000000" w:themeColor="text1"/>
                <w:lang w:val="en-US"/>
              </w:rPr>
              <w:t xml:space="preserve">Eficiencia operativa  </w:t>
            </w:r>
          </w:p>
        </w:tc>
        <w:tc>
          <w:tcPr>
            <w:tcW w:w="1140" w:type="dxa"/>
            <w:tcBorders>
              <w:top w:val="nil"/>
              <w:left w:val="nil"/>
              <w:bottom w:val="single" w:sz="4" w:space="0" w:color="000000" w:themeColor="text1"/>
              <w:right w:val="single" w:sz="8" w:space="0" w:color="000000" w:themeColor="text1"/>
            </w:tcBorders>
            <w:vAlign w:val="bottom"/>
          </w:tcPr>
          <w:p w14:paraId="6349CF61" w14:textId="77777777" w:rsidR="0035403C" w:rsidRDefault="00D02C31">
            <w:pPr>
              <w:jc w:val="right"/>
              <w:rPr>
                <w:rFonts w:ascii="Calibri" w:eastAsia="Calibri" w:hAnsi="Calibri" w:cs="Calibri"/>
                <w:color w:val="000000"/>
              </w:rPr>
            </w:pPr>
            <w:r>
              <w:rPr>
                <w:rFonts w:ascii="Calibri" w:eastAsia="Calibri" w:hAnsi="Calibri" w:cs="Calibri"/>
                <w:color w:val="000000"/>
              </w:rPr>
              <w:t>0,10</w:t>
            </w:r>
          </w:p>
        </w:tc>
        <w:tc>
          <w:tcPr>
            <w:tcW w:w="1324" w:type="dxa"/>
            <w:tcBorders>
              <w:top w:val="nil"/>
              <w:left w:val="nil"/>
              <w:bottom w:val="single" w:sz="4" w:space="0" w:color="000000" w:themeColor="text1"/>
              <w:right w:val="single" w:sz="8" w:space="0" w:color="000000" w:themeColor="text1"/>
            </w:tcBorders>
            <w:vAlign w:val="bottom"/>
          </w:tcPr>
          <w:p w14:paraId="2A108F41" w14:textId="77777777" w:rsidR="0035403C" w:rsidRDefault="00D02C31">
            <w:pPr>
              <w:jc w:val="right"/>
              <w:rPr>
                <w:rFonts w:ascii="Calibri" w:eastAsia="Calibri" w:hAnsi="Calibri" w:cs="Calibri"/>
                <w:color w:val="000000"/>
              </w:rPr>
            </w:pPr>
            <w:r>
              <w:rPr>
                <w:rFonts w:ascii="Calibri" w:eastAsia="Calibri" w:hAnsi="Calibri" w:cs="Calibri"/>
                <w:color w:val="000000"/>
              </w:rPr>
              <w:t>4</w:t>
            </w:r>
          </w:p>
        </w:tc>
        <w:tc>
          <w:tcPr>
            <w:tcW w:w="1323" w:type="dxa"/>
            <w:tcBorders>
              <w:top w:val="nil"/>
              <w:left w:val="nil"/>
              <w:bottom w:val="single" w:sz="4" w:space="0" w:color="000000" w:themeColor="text1"/>
              <w:right w:val="single" w:sz="8" w:space="0" w:color="000000" w:themeColor="text1"/>
            </w:tcBorders>
            <w:vAlign w:val="bottom"/>
          </w:tcPr>
          <w:p w14:paraId="1090EF3A" w14:textId="77777777" w:rsidR="0035403C" w:rsidRDefault="00D02C31">
            <w:pPr>
              <w:jc w:val="right"/>
              <w:rPr>
                <w:rFonts w:ascii="Calibri" w:eastAsia="Calibri" w:hAnsi="Calibri" w:cs="Calibri"/>
                <w:color w:val="000000"/>
              </w:rPr>
            </w:pPr>
            <w:r>
              <w:rPr>
                <w:rFonts w:ascii="Calibri" w:eastAsia="Calibri" w:hAnsi="Calibri" w:cs="Calibri"/>
                <w:color w:val="000000"/>
              </w:rPr>
              <w:t>0,4</w:t>
            </w:r>
          </w:p>
        </w:tc>
      </w:tr>
      <w:tr w:rsidR="0035403C" w14:paraId="62431F54" w14:textId="77777777" w:rsidTr="14F7F2DF">
        <w:trPr>
          <w:trHeight w:val="320"/>
        </w:trPr>
        <w:tc>
          <w:tcPr>
            <w:tcW w:w="458" w:type="dxa"/>
            <w:tcBorders>
              <w:top w:val="nil"/>
              <w:left w:val="single" w:sz="8" w:space="0" w:color="000000" w:themeColor="text1"/>
              <w:bottom w:val="single" w:sz="4" w:space="0" w:color="000000" w:themeColor="text1"/>
              <w:right w:val="single" w:sz="8" w:space="0" w:color="000000" w:themeColor="text1"/>
            </w:tcBorders>
            <w:vAlign w:val="bottom"/>
          </w:tcPr>
          <w:p w14:paraId="109B8484" w14:textId="77777777" w:rsidR="0035403C" w:rsidRDefault="00D02C31">
            <w:pPr>
              <w:jc w:val="right"/>
              <w:rPr>
                <w:rFonts w:ascii="Calibri" w:eastAsia="Calibri" w:hAnsi="Calibri" w:cs="Calibri"/>
                <w:color w:val="000000"/>
              </w:rPr>
            </w:pPr>
            <w:r>
              <w:rPr>
                <w:rFonts w:ascii="Calibri" w:eastAsia="Calibri" w:hAnsi="Calibri" w:cs="Calibri"/>
                <w:color w:val="000000"/>
              </w:rPr>
              <w:t>7</w:t>
            </w:r>
          </w:p>
        </w:tc>
        <w:tc>
          <w:tcPr>
            <w:tcW w:w="4780" w:type="dxa"/>
            <w:tcBorders>
              <w:top w:val="nil"/>
              <w:left w:val="nil"/>
              <w:bottom w:val="single" w:sz="4" w:space="0" w:color="000000" w:themeColor="text1"/>
              <w:right w:val="single" w:sz="8" w:space="0" w:color="000000" w:themeColor="text1"/>
            </w:tcBorders>
            <w:vAlign w:val="bottom"/>
          </w:tcPr>
          <w:p w14:paraId="435B61E2" w14:textId="77777777" w:rsidR="0035403C" w:rsidRDefault="00D02C31" w:rsidP="0FE4D5DF">
            <w:pPr>
              <w:rPr>
                <w:rFonts w:ascii="Calibri" w:eastAsia="Calibri" w:hAnsi="Calibri" w:cs="Calibri"/>
                <w:color w:val="000000"/>
                <w:lang w:val="en-US"/>
              </w:rPr>
            </w:pPr>
            <w:r w:rsidRPr="0FE4D5DF">
              <w:rPr>
                <w:rFonts w:ascii="Calibri" w:eastAsia="Calibri" w:hAnsi="Calibri" w:cs="Calibri"/>
                <w:color w:val="000000" w:themeColor="text1"/>
                <w:lang w:val="en-US"/>
              </w:rPr>
              <w:t>Capacidad de adaptación a regulaciones</w:t>
            </w:r>
          </w:p>
        </w:tc>
        <w:tc>
          <w:tcPr>
            <w:tcW w:w="1140" w:type="dxa"/>
            <w:tcBorders>
              <w:top w:val="nil"/>
              <w:left w:val="nil"/>
              <w:bottom w:val="single" w:sz="4" w:space="0" w:color="000000" w:themeColor="text1"/>
              <w:right w:val="single" w:sz="8" w:space="0" w:color="000000" w:themeColor="text1"/>
            </w:tcBorders>
            <w:vAlign w:val="bottom"/>
          </w:tcPr>
          <w:p w14:paraId="273579E9" w14:textId="77777777" w:rsidR="0035403C" w:rsidRDefault="00D02C31">
            <w:pPr>
              <w:jc w:val="right"/>
              <w:rPr>
                <w:rFonts w:ascii="Calibri" w:eastAsia="Calibri" w:hAnsi="Calibri" w:cs="Calibri"/>
                <w:color w:val="000000"/>
              </w:rPr>
            </w:pPr>
            <w:r>
              <w:rPr>
                <w:rFonts w:ascii="Calibri" w:eastAsia="Calibri" w:hAnsi="Calibri" w:cs="Calibri"/>
                <w:color w:val="000000"/>
              </w:rPr>
              <w:t>0,13</w:t>
            </w:r>
          </w:p>
        </w:tc>
        <w:tc>
          <w:tcPr>
            <w:tcW w:w="1324" w:type="dxa"/>
            <w:tcBorders>
              <w:top w:val="nil"/>
              <w:left w:val="nil"/>
              <w:bottom w:val="single" w:sz="4" w:space="0" w:color="000000" w:themeColor="text1"/>
              <w:right w:val="single" w:sz="8" w:space="0" w:color="000000" w:themeColor="text1"/>
            </w:tcBorders>
            <w:vAlign w:val="bottom"/>
          </w:tcPr>
          <w:p w14:paraId="54A90BE3" w14:textId="77777777" w:rsidR="0035403C" w:rsidRDefault="00D02C31">
            <w:pPr>
              <w:jc w:val="right"/>
              <w:rPr>
                <w:rFonts w:ascii="Calibri" w:eastAsia="Calibri" w:hAnsi="Calibri" w:cs="Calibri"/>
                <w:color w:val="000000"/>
              </w:rPr>
            </w:pPr>
            <w:r>
              <w:rPr>
                <w:rFonts w:ascii="Calibri" w:eastAsia="Calibri" w:hAnsi="Calibri" w:cs="Calibri"/>
                <w:color w:val="000000"/>
              </w:rPr>
              <w:t>3</w:t>
            </w:r>
          </w:p>
        </w:tc>
        <w:tc>
          <w:tcPr>
            <w:tcW w:w="1323" w:type="dxa"/>
            <w:tcBorders>
              <w:top w:val="nil"/>
              <w:left w:val="nil"/>
              <w:bottom w:val="single" w:sz="4" w:space="0" w:color="000000" w:themeColor="text1"/>
              <w:right w:val="single" w:sz="8" w:space="0" w:color="000000" w:themeColor="text1"/>
            </w:tcBorders>
            <w:vAlign w:val="bottom"/>
          </w:tcPr>
          <w:p w14:paraId="53FD6D3E" w14:textId="77777777" w:rsidR="0035403C" w:rsidRDefault="00D02C31">
            <w:pPr>
              <w:jc w:val="right"/>
              <w:rPr>
                <w:rFonts w:ascii="Calibri" w:eastAsia="Calibri" w:hAnsi="Calibri" w:cs="Calibri"/>
                <w:color w:val="000000"/>
              </w:rPr>
            </w:pPr>
            <w:r>
              <w:rPr>
                <w:rFonts w:ascii="Calibri" w:eastAsia="Calibri" w:hAnsi="Calibri" w:cs="Calibri"/>
                <w:color w:val="000000"/>
              </w:rPr>
              <w:t>0,39</w:t>
            </w:r>
          </w:p>
        </w:tc>
      </w:tr>
      <w:tr w:rsidR="0035403C" w14:paraId="0AD251E6" w14:textId="77777777" w:rsidTr="14F7F2DF">
        <w:trPr>
          <w:trHeight w:val="340"/>
        </w:trPr>
        <w:tc>
          <w:tcPr>
            <w:tcW w:w="458" w:type="dxa"/>
            <w:tcBorders>
              <w:top w:val="nil"/>
              <w:left w:val="single" w:sz="8" w:space="0" w:color="000000" w:themeColor="text1"/>
              <w:bottom w:val="single" w:sz="8" w:space="0" w:color="000000" w:themeColor="text1"/>
              <w:right w:val="single" w:sz="8" w:space="0" w:color="000000" w:themeColor="text1"/>
            </w:tcBorders>
            <w:vAlign w:val="bottom"/>
          </w:tcPr>
          <w:p w14:paraId="4CE4F91D" w14:textId="77777777" w:rsidR="0035403C" w:rsidRDefault="00D02C31">
            <w:pPr>
              <w:jc w:val="right"/>
              <w:rPr>
                <w:rFonts w:ascii="Calibri" w:eastAsia="Calibri" w:hAnsi="Calibri" w:cs="Calibri"/>
                <w:color w:val="000000"/>
              </w:rPr>
            </w:pPr>
            <w:r>
              <w:rPr>
                <w:rFonts w:ascii="Calibri" w:eastAsia="Calibri" w:hAnsi="Calibri" w:cs="Calibri"/>
                <w:color w:val="000000"/>
              </w:rPr>
              <w:t>8</w:t>
            </w:r>
          </w:p>
        </w:tc>
        <w:tc>
          <w:tcPr>
            <w:tcW w:w="4780" w:type="dxa"/>
            <w:tcBorders>
              <w:top w:val="nil"/>
              <w:left w:val="nil"/>
              <w:bottom w:val="single" w:sz="8" w:space="0" w:color="000000" w:themeColor="text1"/>
              <w:right w:val="single" w:sz="8" w:space="0" w:color="000000" w:themeColor="text1"/>
            </w:tcBorders>
            <w:vAlign w:val="bottom"/>
          </w:tcPr>
          <w:p w14:paraId="2F3CA862" w14:textId="77777777" w:rsidR="0035403C" w:rsidRDefault="00D02C31" w:rsidP="0FE4D5DF">
            <w:pPr>
              <w:rPr>
                <w:rFonts w:ascii="Calibri" w:eastAsia="Calibri" w:hAnsi="Calibri" w:cs="Calibri"/>
                <w:color w:val="000000"/>
                <w:lang w:val="en-US"/>
              </w:rPr>
            </w:pPr>
            <w:r w:rsidRPr="0FE4D5DF">
              <w:rPr>
                <w:rFonts w:ascii="Calibri" w:eastAsia="Calibri" w:hAnsi="Calibri" w:cs="Calibri"/>
                <w:color w:val="000000" w:themeColor="text1"/>
                <w:lang w:val="en-US"/>
              </w:rPr>
              <w:t>Servicio al cliente</w:t>
            </w:r>
          </w:p>
        </w:tc>
        <w:tc>
          <w:tcPr>
            <w:tcW w:w="1140" w:type="dxa"/>
            <w:tcBorders>
              <w:top w:val="nil"/>
              <w:left w:val="nil"/>
              <w:bottom w:val="single" w:sz="8" w:space="0" w:color="000000" w:themeColor="text1"/>
              <w:right w:val="single" w:sz="8" w:space="0" w:color="000000" w:themeColor="text1"/>
            </w:tcBorders>
            <w:vAlign w:val="bottom"/>
          </w:tcPr>
          <w:p w14:paraId="6CA99C1B" w14:textId="77777777" w:rsidR="0035403C" w:rsidRDefault="00D02C31">
            <w:pPr>
              <w:jc w:val="right"/>
              <w:rPr>
                <w:rFonts w:ascii="Calibri" w:eastAsia="Calibri" w:hAnsi="Calibri" w:cs="Calibri"/>
                <w:color w:val="000000"/>
              </w:rPr>
            </w:pPr>
            <w:r>
              <w:rPr>
                <w:rFonts w:ascii="Calibri" w:eastAsia="Calibri" w:hAnsi="Calibri" w:cs="Calibri"/>
                <w:color w:val="000000"/>
              </w:rPr>
              <w:t>0,13</w:t>
            </w:r>
          </w:p>
        </w:tc>
        <w:tc>
          <w:tcPr>
            <w:tcW w:w="1324" w:type="dxa"/>
            <w:tcBorders>
              <w:top w:val="nil"/>
              <w:left w:val="nil"/>
              <w:bottom w:val="single" w:sz="8" w:space="0" w:color="000000" w:themeColor="text1"/>
              <w:right w:val="single" w:sz="8" w:space="0" w:color="000000" w:themeColor="text1"/>
            </w:tcBorders>
            <w:vAlign w:val="bottom"/>
          </w:tcPr>
          <w:p w14:paraId="138328F9" w14:textId="77777777" w:rsidR="0035403C" w:rsidRDefault="00D02C31">
            <w:pPr>
              <w:jc w:val="right"/>
              <w:rPr>
                <w:rFonts w:ascii="Calibri" w:eastAsia="Calibri" w:hAnsi="Calibri" w:cs="Calibri"/>
                <w:color w:val="000000"/>
              </w:rPr>
            </w:pPr>
            <w:r>
              <w:rPr>
                <w:rFonts w:ascii="Calibri" w:eastAsia="Calibri" w:hAnsi="Calibri" w:cs="Calibri"/>
                <w:color w:val="000000"/>
              </w:rPr>
              <w:t>2</w:t>
            </w:r>
          </w:p>
        </w:tc>
        <w:tc>
          <w:tcPr>
            <w:tcW w:w="1323" w:type="dxa"/>
            <w:tcBorders>
              <w:top w:val="nil"/>
              <w:left w:val="nil"/>
              <w:bottom w:val="single" w:sz="8" w:space="0" w:color="000000" w:themeColor="text1"/>
              <w:right w:val="single" w:sz="8" w:space="0" w:color="000000" w:themeColor="text1"/>
            </w:tcBorders>
            <w:vAlign w:val="bottom"/>
          </w:tcPr>
          <w:p w14:paraId="243F3D50" w14:textId="77777777" w:rsidR="0035403C" w:rsidRDefault="00D02C31">
            <w:pPr>
              <w:jc w:val="right"/>
              <w:rPr>
                <w:rFonts w:ascii="Calibri" w:eastAsia="Calibri" w:hAnsi="Calibri" w:cs="Calibri"/>
                <w:color w:val="000000"/>
              </w:rPr>
            </w:pPr>
            <w:r>
              <w:rPr>
                <w:rFonts w:ascii="Calibri" w:eastAsia="Calibri" w:hAnsi="Calibri" w:cs="Calibri"/>
                <w:color w:val="000000"/>
              </w:rPr>
              <w:t>0,26</w:t>
            </w:r>
          </w:p>
        </w:tc>
      </w:tr>
      <w:tr w:rsidR="0035403C" w14:paraId="7A9FC907" w14:textId="77777777" w:rsidTr="14F7F2DF">
        <w:trPr>
          <w:trHeight w:val="340"/>
        </w:trPr>
        <w:tc>
          <w:tcPr>
            <w:tcW w:w="458" w:type="dxa"/>
            <w:tcBorders>
              <w:top w:val="nil"/>
              <w:left w:val="nil"/>
              <w:bottom w:val="nil"/>
              <w:right w:val="nil"/>
            </w:tcBorders>
            <w:vAlign w:val="bottom"/>
          </w:tcPr>
          <w:p w14:paraId="62431CDC" w14:textId="77777777" w:rsidR="0035403C" w:rsidRDefault="0035403C">
            <w:pPr>
              <w:jc w:val="right"/>
              <w:rPr>
                <w:rFonts w:ascii="Calibri" w:eastAsia="Calibri" w:hAnsi="Calibri" w:cs="Calibri"/>
                <w:color w:val="000000"/>
              </w:rPr>
            </w:pPr>
          </w:p>
        </w:tc>
        <w:tc>
          <w:tcPr>
            <w:tcW w:w="4780" w:type="dxa"/>
            <w:tcBorders>
              <w:top w:val="nil"/>
              <w:left w:val="nil"/>
              <w:bottom w:val="nil"/>
              <w:right w:val="nil"/>
            </w:tcBorders>
            <w:vAlign w:val="bottom"/>
          </w:tcPr>
          <w:p w14:paraId="49E398E2" w14:textId="77777777" w:rsidR="0035403C" w:rsidRDefault="0035403C">
            <w:pPr>
              <w:rPr>
                <w:sz w:val="20"/>
                <w:szCs w:val="20"/>
              </w:rPr>
            </w:pPr>
          </w:p>
        </w:tc>
        <w:tc>
          <w:tcPr>
            <w:tcW w:w="1140" w:type="dxa"/>
            <w:tcBorders>
              <w:top w:val="nil"/>
              <w:left w:val="single" w:sz="8" w:space="0" w:color="000000" w:themeColor="text1"/>
              <w:bottom w:val="single" w:sz="8" w:space="0" w:color="000000" w:themeColor="text1"/>
              <w:right w:val="single" w:sz="8" w:space="0" w:color="000000" w:themeColor="text1"/>
            </w:tcBorders>
            <w:vAlign w:val="bottom"/>
          </w:tcPr>
          <w:p w14:paraId="19F14E3C" w14:textId="77777777" w:rsidR="0035403C" w:rsidRDefault="00D02C31">
            <w:pPr>
              <w:jc w:val="right"/>
              <w:rPr>
                <w:rFonts w:ascii="Calibri" w:eastAsia="Calibri" w:hAnsi="Calibri" w:cs="Calibri"/>
                <w:color w:val="000000"/>
              </w:rPr>
            </w:pPr>
            <w:r>
              <w:rPr>
                <w:rFonts w:ascii="Calibri" w:eastAsia="Calibri" w:hAnsi="Calibri" w:cs="Calibri"/>
                <w:color w:val="000000"/>
              </w:rPr>
              <w:t>1</w:t>
            </w:r>
          </w:p>
        </w:tc>
        <w:tc>
          <w:tcPr>
            <w:tcW w:w="1324" w:type="dxa"/>
            <w:tcBorders>
              <w:top w:val="nil"/>
              <w:left w:val="nil"/>
              <w:bottom w:val="nil"/>
              <w:right w:val="nil"/>
            </w:tcBorders>
            <w:vAlign w:val="bottom"/>
          </w:tcPr>
          <w:p w14:paraId="16287F21" w14:textId="77777777" w:rsidR="0035403C" w:rsidRDefault="0035403C">
            <w:pPr>
              <w:jc w:val="right"/>
              <w:rPr>
                <w:rFonts w:ascii="Calibri" w:eastAsia="Calibri" w:hAnsi="Calibri" w:cs="Calibri"/>
                <w:color w:val="000000"/>
              </w:rPr>
            </w:pPr>
          </w:p>
        </w:tc>
        <w:tc>
          <w:tcPr>
            <w:tcW w:w="1323" w:type="dxa"/>
            <w:tcBorders>
              <w:top w:val="nil"/>
              <w:left w:val="single" w:sz="8" w:space="0" w:color="000000" w:themeColor="text1"/>
              <w:bottom w:val="single" w:sz="8" w:space="0" w:color="000000" w:themeColor="text1"/>
              <w:right w:val="single" w:sz="8" w:space="0" w:color="000000" w:themeColor="text1"/>
            </w:tcBorders>
            <w:vAlign w:val="bottom"/>
          </w:tcPr>
          <w:p w14:paraId="575AB7E9" w14:textId="77777777" w:rsidR="0035403C" w:rsidRDefault="00D02C31">
            <w:pPr>
              <w:jc w:val="right"/>
              <w:rPr>
                <w:rFonts w:ascii="Calibri" w:eastAsia="Calibri" w:hAnsi="Calibri" w:cs="Calibri"/>
                <w:color w:val="000000"/>
              </w:rPr>
            </w:pPr>
            <w:r>
              <w:rPr>
                <w:rFonts w:ascii="Calibri" w:eastAsia="Calibri" w:hAnsi="Calibri" w:cs="Calibri"/>
                <w:color w:val="000000"/>
              </w:rPr>
              <w:t>3,14</w:t>
            </w:r>
          </w:p>
        </w:tc>
      </w:tr>
    </w:tbl>
    <w:p w14:paraId="636D00F5" w14:textId="77777777" w:rsidR="0035403C" w:rsidRDefault="00D02C31">
      <w:pPr>
        <w:spacing w:after="200"/>
      </w:pPr>
      <w:r w:rsidRPr="0FE4D5DF">
        <w:rPr>
          <w:i/>
          <w:iCs/>
          <w:color w:val="1F497D" w:themeColor="text2"/>
          <w:sz w:val="18"/>
          <w:szCs w:val="18"/>
          <w:lang w:val="en-US"/>
        </w:rPr>
        <w:t>Tabla 6 - Tabla de resultados EFI</w:t>
      </w:r>
    </w:p>
    <w:p w14:paraId="289C2B98" w14:textId="77777777" w:rsidR="0035403C" w:rsidRDefault="00D02C31">
      <w:pPr>
        <w:jc w:val="both"/>
      </w:pPr>
      <w:r w:rsidRPr="0FE4D5DF">
        <w:rPr>
          <w:lang w:val="en-US"/>
        </w:rPr>
        <w:t xml:space="preserve">En esta matriz EFI, se </w:t>
      </w:r>
      <w:proofErr w:type="gramStart"/>
      <w:r w:rsidRPr="0FE4D5DF">
        <w:rPr>
          <w:lang w:val="en-US"/>
        </w:rPr>
        <w:t>han</w:t>
      </w:r>
      <w:proofErr w:type="gramEnd"/>
      <w:r w:rsidRPr="0FE4D5DF">
        <w:rPr>
          <w:lang w:val="en-US"/>
        </w:rPr>
        <w:t xml:space="preserve"> identificado y evaluado ocho factores internos que reflejan las fortalezas y debilidades de la empresa. Cada factor se califica en una escala </w:t>
      </w:r>
      <w:proofErr w:type="gramStart"/>
      <w:r w:rsidRPr="0FE4D5DF">
        <w:rPr>
          <w:lang w:val="en-US"/>
        </w:rPr>
        <w:t>del</w:t>
      </w:r>
      <w:proofErr w:type="gramEnd"/>
      <w:r w:rsidRPr="0FE4D5DF">
        <w:rPr>
          <w:lang w:val="en-US"/>
        </w:rPr>
        <w:t xml:space="preserve"> 1 al 4, donde 1 representa una debilidad significativa y 4 representa una fortaleza significativa. Además, se asigna </w:t>
      </w:r>
      <w:proofErr w:type="gramStart"/>
      <w:r w:rsidRPr="0FE4D5DF">
        <w:rPr>
          <w:lang w:val="en-US"/>
        </w:rPr>
        <w:t>un</w:t>
      </w:r>
      <w:proofErr w:type="gramEnd"/>
      <w:r w:rsidRPr="0FE4D5DF">
        <w:rPr>
          <w:lang w:val="en-US"/>
        </w:rPr>
        <w:t xml:space="preserve"> peso a cada factor interno para indicar su importancia relativa en la estrategia general de la empresa. La puntuación final se obtiene multiplicando la calificación por el peso y sumando todas las puntuaciones individuales. La misma es de 3.80 puntos, la compañía tiene una posición interna fuerte y competitiva en su industria. Sin embargo, al estar respaldada por el BCRA de alguna forma, podría estar menos enfocada en la competencia directa que una o varias empresas en </w:t>
      </w:r>
      <w:proofErr w:type="gramStart"/>
      <w:r w:rsidRPr="0FE4D5DF">
        <w:rPr>
          <w:lang w:val="en-US"/>
        </w:rPr>
        <w:t>un</w:t>
      </w:r>
      <w:proofErr w:type="gramEnd"/>
      <w:r w:rsidRPr="0FE4D5DF">
        <w:rPr>
          <w:lang w:val="en-US"/>
        </w:rPr>
        <w:t xml:space="preserve"> mercado más competitivo, por lo tanto, podría estar más centrada en la gestión eficiente y en la satisfacción del cliente.</w:t>
      </w:r>
    </w:p>
    <w:p w14:paraId="59A51B31" w14:textId="77777777" w:rsidR="0035403C" w:rsidRDefault="00D02C31">
      <w:pPr>
        <w:pStyle w:val="Ttulo1"/>
      </w:pPr>
      <w:bookmarkStart w:id="69" w:name="_heading=h.2r0uhxc" w:colFirst="0" w:colLast="0"/>
      <w:bookmarkEnd w:id="69"/>
      <w:r>
        <w:lastRenderedPageBreak/>
        <w:t>PROCESOS CLAVES Y RECURSOS ESTRATÉGICOS</w:t>
      </w:r>
    </w:p>
    <w:p w14:paraId="0C1EFCF0" w14:textId="77777777" w:rsidR="0035403C" w:rsidRDefault="00D02C31" w:rsidP="0FE4D5DF">
      <w:pPr>
        <w:numPr>
          <w:ilvl w:val="0"/>
          <w:numId w:val="14"/>
        </w:numPr>
        <w:pBdr>
          <w:top w:val="nil"/>
          <w:left w:val="nil"/>
          <w:bottom w:val="nil"/>
          <w:right w:val="nil"/>
          <w:between w:val="nil"/>
        </w:pBdr>
        <w:jc w:val="both"/>
        <w:rPr>
          <w:color w:val="000000"/>
          <w:lang w:val="en-US"/>
        </w:rPr>
      </w:pPr>
      <w:r w:rsidRPr="0FE4D5DF">
        <w:rPr>
          <w:color w:val="000000" w:themeColor="text1"/>
          <w:lang w:val="en-US"/>
        </w:rPr>
        <w:t>Potenciar la infraestructura tecnológica, con el fin de incrementar aún más la capacidad, tener </w:t>
      </w:r>
      <w:proofErr w:type="gramStart"/>
      <w:r w:rsidRPr="0FE4D5DF">
        <w:rPr>
          <w:color w:val="000000" w:themeColor="text1"/>
          <w:lang w:val="en-US"/>
        </w:rPr>
        <w:t>alta</w:t>
      </w:r>
      <w:proofErr w:type="gramEnd"/>
      <w:r w:rsidRPr="0FE4D5DF">
        <w:rPr>
          <w:color w:val="000000" w:themeColor="text1"/>
          <w:lang w:val="en-US"/>
        </w:rPr>
        <w:t xml:space="preserve"> disponibilidad y escalabilidad en todos los servicios.</w:t>
      </w:r>
    </w:p>
    <w:p w14:paraId="39E6BA9E" w14:textId="77777777" w:rsidR="0035403C" w:rsidRDefault="00D02C31" w:rsidP="0FE4D5DF">
      <w:pPr>
        <w:numPr>
          <w:ilvl w:val="0"/>
          <w:numId w:val="14"/>
        </w:numPr>
        <w:pBdr>
          <w:top w:val="nil"/>
          <w:left w:val="nil"/>
          <w:bottom w:val="nil"/>
          <w:right w:val="nil"/>
          <w:between w:val="nil"/>
        </w:pBdr>
        <w:jc w:val="both"/>
        <w:rPr>
          <w:color w:val="000000"/>
          <w:lang w:val="en-US"/>
        </w:rPr>
      </w:pPr>
      <w:r w:rsidRPr="0FE4D5DF">
        <w:rPr>
          <w:color w:val="000000" w:themeColor="text1"/>
          <w:lang w:val="en-US"/>
        </w:rPr>
        <w:t>Contar con un propio sistema de compensación a través de la cámara de bajo valor, producto propietario, administrado y mantenido por Coelsa, construido por sus equipos internos. </w:t>
      </w:r>
    </w:p>
    <w:p w14:paraId="3A720A4C" w14:textId="77777777" w:rsidR="0035403C" w:rsidRDefault="00D02C31" w:rsidP="0FE4D5DF">
      <w:pPr>
        <w:numPr>
          <w:ilvl w:val="0"/>
          <w:numId w:val="14"/>
        </w:numPr>
        <w:pBdr>
          <w:top w:val="nil"/>
          <w:left w:val="nil"/>
          <w:bottom w:val="nil"/>
          <w:right w:val="nil"/>
          <w:between w:val="nil"/>
        </w:pBdr>
        <w:jc w:val="both"/>
        <w:rPr>
          <w:color w:val="000000"/>
          <w:lang w:val="en-US"/>
        </w:rPr>
      </w:pPr>
      <w:r w:rsidRPr="0FE4D5DF">
        <w:rPr>
          <w:color w:val="000000" w:themeColor="text1"/>
          <w:lang w:val="en-US"/>
        </w:rPr>
        <w:t>En Ciberseguridad, profundizar en los procesos, adoptar y mejorar tecnologías, incrementando el equipo con más roles y mayor experiencia, para que Ciberseguridad siga marcando la diferencia en el ecosistema financiero.</w:t>
      </w:r>
    </w:p>
    <w:p w14:paraId="28FA46B1" w14:textId="77777777" w:rsidR="0035403C" w:rsidRDefault="00D02C31" w:rsidP="0FE4D5DF">
      <w:pPr>
        <w:numPr>
          <w:ilvl w:val="0"/>
          <w:numId w:val="14"/>
        </w:numPr>
        <w:pBdr>
          <w:top w:val="nil"/>
          <w:left w:val="nil"/>
          <w:bottom w:val="nil"/>
          <w:right w:val="nil"/>
          <w:between w:val="nil"/>
        </w:pBdr>
        <w:jc w:val="both"/>
        <w:rPr>
          <w:color w:val="000000"/>
          <w:lang w:val="en-US"/>
        </w:rPr>
      </w:pPr>
      <w:r w:rsidRPr="0FE4D5DF">
        <w:rPr>
          <w:color w:val="000000" w:themeColor="text1"/>
          <w:lang w:val="en-US"/>
        </w:rPr>
        <w:t xml:space="preserve">Fortalecer el área de Prevención de Fraude con herramientas acordes y </w:t>
      </w:r>
      <w:proofErr w:type="gramStart"/>
      <w:r w:rsidRPr="0FE4D5DF">
        <w:rPr>
          <w:color w:val="000000" w:themeColor="text1"/>
          <w:lang w:val="en-US"/>
        </w:rPr>
        <w:t>un</w:t>
      </w:r>
      <w:proofErr w:type="gramEnd"/>
      <w:r w:rsidRPr="0FE4D5DF">
        <w:rPr>
          <w:color w:val="000000" w:themeColor="text1"/>
          <w:lang w:val="en-US"/>
        </w:rPr>
        <w:t> equipo de profesionales dedicados a mitigar el fraude en el ecosistema de pagos, dando un servicio que se distingue en el mercado. </w:t>
      </w:r>
    </w:p>
    <w:p w14:paraId="3A7A5ED9" w14:textId="77777777" w:rsidR="0035403C" w:rsidRDefault="00D02C31" w:rsidP="0FE4D5DF">
      <w:pPr>
        <w:numPr>
          <w:ilvl w:val="0"/>
          <w:numId w:val="14"/>
        </w:numPr>
        <w:pBdr>
          <w:top w:val="nil"/>
          <w:left w:val="nil"/>
          <w:bottom w:val="nil"/>
          <w:right w:val="nil"/>
          <w:between w:val="nil"/>
        </w:pBdr>
        <w:jc w:val="both"/>
        <w:rPr>
          <w:color w:val="000000"/>
          <w:lang w:val="en-US"/>
        </w:rPr>
      </w:pPr>
      <w:r w:rsidRPr="0FE4D5DF">
        <w:rPr>
          <w:color w:val="000000" w:themeColor="text1"/>
          <w:lang w:val="en-US"/>
        </w:rPr>
        <w:t>Profundizar las áreas de desarrollo, de tecnología y de producto con procesos, mejorando tecnologías y con un equipo de profesionales enfocados en las soluciones y la entrega de valor a los clientes a través de productos, servicios y funcionalidades que el ecosistema financiero requiere y que, además, valora.</w:t>
      </w:r>
    </w:p>
    <w:p w14:paraId="5DF35269" w14:textId="77777777" w:rsidR="0035403C" w:rsidRDefault="00D02C31" w:rsidP="0FE4D5DF">
      <w:pPr>
        <w:numPr>
          <w:ilvl w:val="0"/>
          <w:numId w:val="14"/>
        </w:numPr>
        <w:pBdr>
          <w:top w:val="nil"/>
          <w:left w:val="nil"/>
          <w:bottom w:val="nil"/>
          <w:right w:val="nil"/>
          <w:between w:val="nil"/>
        </w:pBdr>
        <w:jc w:val="both"/>
        <w:rPr>
          <w:color w:val="000000"/>
          <w:lang w:val="en-US"/>
        </w:rPr>
      </w:pPr>
      <w:r w:rsidRPr="0FE4D5DF">
        <w:rPr>
          <w:color w:val="000000" w:themeColor="text1"/>
          <w:lang w:val="en-US"/>
        </w:rPr>
        <w:t xml:space="preserve">Como cámara viene cumpliendo con los requerimientos </w:t>
      </w:r>
      <w:proofErr w:type="gramStart"/>
      <w:r w:rsidRPr="0FE4D5DF">
        <w:rPr>
          <w:color w:val="000000" w:themeColor="text1"/>
          <w:lang w:val="en-US"/>
        </w:rPr>
        <w:t>del</w:t>
      </w:r>
      <w:proofErr w:type="gramEnd"/>
      <w:r w:rsidRPr="0FE4D5DF">
        <w:rPr>
          <w:color w:val="000000" w:themeColor="text1"/>
          <w:lang w:val="en-US"/>
        </w:rPr>
        <w:t xml:space="preserve"> Banco Central de la República Argentina, en particular con lo dispuesto en la Comunicación “A” 5775 - Principios para las Infraestructuras del Mercado Financiero, habiéndose adecuado a la norma en tiempo y forma y realizado la autoevaluación respectiva. </w:t>
      </w:r>
    </w:p>
    <w:p w14:paraId="56E641A5" w14:textId="77777777" w:rsidR="0035403C" w:rsidRDefault="00D02C31" w:rsidP="0FE4D5DF">
      <w:pPr>
        <w:pStyle w:val="Ttulo2"/>
        <w:rPr>
          <w:lang w:val="en-US"/>
        </w:rPr>
      </w:pPr>
      <w:bookmarkStart w:id="70" w:name="_heading=h.1664s55"/>
      <w:bookmarkEnd w:id="70"/>
      <w:r w:rsidRPr="0FE4D5DF">
        <w:rPr>
          <w:lang w:val="en-US"/>
        </w:rPr>
        <w:t>Rol de administrador</w:t>
      </w:r>
    </w:p>
    <w:p w14:paraId="5978CD9F" w14:textId="77777777" w:rsidR="0035403C" w:rsidRDefault="00D02C31" w:rsidP="0FE4D5DF">
      <w:pPr>
        <w:numPr>
          <w:ilvl w:val="0"/>
          <w:numId w:val="14"/>
        </w:numPr>
        <w:pBdr>
          <w:top w:val="nil"/>
          <w:left w:val="nil"/>
          <w:bottom w:val="nil"/>
          <w:right w:val="nil"/>
          <w:between w:val="nil"/>
        </w:pBdr>
        <w:jc w:val="both"/>
        <w:rPr>
          <w:color w:val="000000"/>
          <w:lang w:val="en-US"/>
        </w:rPr>
      </w:pPr>
      <w:r w:rsidRPr="0FE4D5DF">
        <w:rPr>
          <w:color w:val="000000" w:themeColor="text1"/>
          <w:lang w:val="en-US"/>
        </w:rPr>
        <w:t>Administradores del reservorio unificado de imágenes digitales de cheques. </w:t>
      </w:r>
    </w:p>
    <w:p w14:paraId="2E39B2C9" w14:textId="77777777" w:rsidR="0035403C" w:rsidRDefault="00D02C31" w:rsidP="0FE4D5DF">
      <w:pPr>
        <w:numPr>
          <w:ilvl w:val="0"/>
          <w:numId w:val="14"/>
        </w:numPr>
        <w:pBdr>
          <w:top w:val="nil"/>
          <w:left w:val="nil"/>
          <w:bottom w:val="nil"/>
          <w:right w:val="nil"/>
          <w:between w:val="nil"/>
        </w:pBdr>
        <w:jc w:val="both"/>
        <w:rPr>
          <w:color w:val="000000"/>
          <w:lang w:val="en-US"/>
        </w:rPr>
      </w:pPr>
      <w:r w:rsidRPr="0FE4D5DF">
        <w:rPr>
          <w:color w:val="000000" w:themeColor="text1"/>
          <w:lang w:val="en-US"/>
        </w:rPr>
        <w:t xml:space="preserve">Administradores de la base de titulares de cuentas para realizar el control </w:t>
      </w:r>
      <w:proofErr w:type="gramStart"/>
      <w:r w:rsidRPr="0FE4D5DF">
        <w:rPr>
          <w:color w:val="000000" w:themeColor="text1"/>
          <w:lang w:val="en-US"/>
        </w:rPr>
        <w:t>del</w:t>
      </w:r>
      <w:proofErr w:type="gramEnd"/>
      <w:r w:rsidRPr="0FE4D5DF">
        <w:rPr>
          <w:color w:val="000000" w:themeColor="text1"/>
          <w:lang w:val="en-US"/>
        </w:rPr>
        <w:t xml:space="preserve"> CUIT, CUIL o CDI del beneficiario en transferencias de cámara. </w:t>
      </w:r>
    </w:p>
    <w:p w14:paraId="36392EB5" w14:textId="77777777" w:rsidR="0035403C" w:rsidRDefault="00D02C31" w:rsidP="0FE4D5DF">
      <w:pPr>
        <w:numPr>
          <w:ilvl w:val="0"/>
          <w:numId w:val="14"/>
        </w:numPr>
        <w:pBdr>
          <w:top w:val="nil"/>
          <w:left w:val="nil"/>
          <w:bottom w:val="nil"/>
          <w:right w:val="nil"/>
          <w:between w:val="nil"/>
        </w:pBdr>
        <w:jc w:val="both"/>
        <w:rPr>
          <w:color w:val="000000"/>
          <w:lang w:val="en-US"/>
        </w:rPr>
      </w:pPr>
      <w:r w:rsidRPr="0FE4D5DF">
        <w:rPr>
          <w:color w:val="000000" w:themeColor="text1"/>
          <w:lang w:val="en-US"/>
        </w:rPr>
        <w:t xml:space="preserve">Administradores de la Base Única de la “Clave Virtual Uniforme - CVU” que permite la identificación, trazabilidad y la interoperabilidad de transferencias de fondos que se realicen entre cuentas administradas por </w:t>
      </w:r>
      <w:proofErr w:type="gramStart"/>
      <w:r w:rsidRPr="0FE4D5DF">
        <w:rPr>
          <w:color w:val="000000" w:themeColor="text1"/>
          <w:lang w:val="en-US"/>
        </w:rPr>
        <w:t>un</w:t>
      </w:r>
      <w:proofErr w:type="gramEnd"/>
      <w:r w:rsidRPr="0FE4D5DF">
        <w:rPr>
          <w:color w:val="000000" w:themeColor="text1"/>
          <w:lang w:val="en-US"/>
        </w:rPr>
        <w:t xml:space="preserve"> Proveedor de Servicios de Pago (PSP). </w:t>
      </w:r>
    </w:p>
    <w:p w14:paraId="6F0F8442" w14:textId="77777777" w:rsidR="0035403C" w:rsidRDefault="00D02C31" w:rsidP="0FE4D5DF">
      <w:pPr>
        <w:numPr>
          <w:ilvl w:val="0"/>
          <w:numId w:val="14"/>
        </w:numPr>
        <w:pBdr>
          <w:top w:val="nil"/>
          <w:left w:val="nil"/>
          <w:bottom w:val="nil"/>
          <w:right w:val="nil"/>
          <w:between w:val="nil"/>
        </w:pBdr>
        <w:jc w:val="both"/>
        <w:rPr>
          <w:color w:val="000000"/>
          <w:lang w:val="en-US"/>
        </w:rPr>
      </w:pPr>
      <w:r w:rsidRPr="0FE4D5DF">
        <w:rPr>
          <w:color w:val="000000" w:themeColor="text1"/>
          <w:lang w:val="en-US"/>
        </w:rPr>
        <w:t xml:space="preserve">Administradores </w:t>
      </w:r>
      <w:proofErr w:type="gramStart"/>
      <w:r w:rsidRPr="0FE4D5DF">
        <w:rPr>
          <w:color w:val="000000" w:themeColor="text1"/>
          <w:lang w:val="en-US"/>
        </w:rPr>
        <w:t>del</w:t>
      </w:r>
      <w:proofErr w:type="gramEnd"/>
      <w:r w:rsidRPr="0FE4D5DF">
        <w:rPr>
          <w:color w:val="000000" w:themeColor="text1"/>
          <w:lang w:val="en-US"/>
        </w:rPr>
        <w:t xml:space="preserve"> Alias CBU que facilita las operaciones bancarias para aproximadamente 70 millones de cuentas.</w:t>
      </w:r>
    </w:p>
    <w:p w14:paraId="4113CEEF" w14:textId="77777777" w:rsidR="0035403C" w:rsidRDefault="00D02C31" w:rsidP="0FE4D5DF">
      <w:pPr>
        <w:pStyle w:val="Ttulo2"/>
        <w:rPr>
          <w:lang w:val="en-US"/>
        </w:rPr>
      </w:pPr>
      <w:bookmarkStart w:id="71" w:name="_heading=h.3q5sasy"/>
      <w:bookmarkEnd w:id="71"/>
      <w:r w:rsidRPr="0FE4D5DF">
        <w:rPr>
          <w:lang w:val="en-US"/>
        </w:rPr>
        <w:t>Rol de operador</w:t>
      </w:r>
    </w:p>
    <w:p w14:paraId="17208D7B" w14:textId="77777777" w:rsidR="0035403C" w:rsidRDefault="00D02C31" w:rsidP="0FE4D5DF">
      <w:pPr>
        <w:numPr>
          <w:ilvl w:val="0"/>
          <w:numId w:val="14"/>
        </w:numPr>
        <w:pBdr>
          <w:top w:val="nil"/>
          <w:left w:val="nil"/>
          <w:bottom w:val="nil"/>
          <w:right w:val="nil"/>
          <w:between w:val="nil"/>
        </w:pBdr>
        <w:jc w:val="both"/>
        <w:rPr>
          <w:color w:val="000000"/>
          <w:lang w:val="en-US"/>
        </w:rPr>
      </w:pPr>
      <w:r w:rsidRPr="0FE4D5DF">
        <w:rPr>
          <w:color w:val="000000" w:themeColor="text1"/>
          <w:lang w:val="en-US"/>
        </w:rPr>
        <w:t>Operadores de la liquidación de los saldos entre bancos, producto de la compensación de operaciones de tarjetas, procesadores y redes de cajeros automáticos. </w:t>
      </w:r>
    </w:p>
    <w:p w14:paraId="54EF0456" w14:textId="77777777" w:rsidR="0035403C" w:rsidRDefault="00D02C31" w:rsidP="0FE4D5DF">
      <w:pPr>
        <w:numPr>
          <w:ilvl w:val="0"/>
          <w:numId w:val="14"/>
        </w:numPr>
        <w:pBdr>
          <w:top w:val="nil"/>
          <w:left w:val="nil"/>
          <w:bottom w:val="nil"/>
          <w:right w:val="nil"/>
          <w:between w:val="nil"/>
        </w:pBdr>
        <w:jc w:val="both"/>
        <w:rPr>
          <w:color w:val="000000"/>
          <w:lang w:val="en-US"/>
        </w:rPr>
      </w:pPr>
      <w:r w:rsidRPr="0FE4D5DF">
        <w:rPr>
          <w:color w:val="000000" w:themeColor="text1"/>
          <w:lang w:val="en-US"/>
        </w:rPr>
        <w:t xml:space="preserve">Gestionamos el “SOJ - Sistema de Oficios Judiciales”, </w:t>
      </w:r>
      <w:proofErr w:type="gramStart"/>
      <w:r w:rsidRPr="0FE4D5DF">
        <w:rPr>
          <w:color w:val="000000" w:themeColor="text1"/>
          <w:lang w:val="en-US"/>
        </w:rPr>
        <w:t>a</w:t>
      </w:r>
      <w:proofErr w:type="gramEnd"/>
      <w:r w:rsidRPr="0FE4D5DF">
        <w:rPr>
          <w:color w:val="000000" w:themeColor="text1"/>
          <w:lang w:val="en-US"/>
        </w:rPr>
        <w:t xml:space="preserve"> efecto de canalizar las órdenes de embargo de cuentas a la vista dispuesto por la AFIP, eliminando así la posible duplicidad. </w:t>
      </w:r>
    </w:p>
    <w:p w14:paraId="2739ED2C" w14:textId="77777777" w:rsidR="0035403C" w:rsidRDefault="00D02C31" w:rsidP="0FE4D5DF">
      <w:pPr>
        <w:numPr>
          <w:ilvl w:val="0"/>
          <w:numId w:val="14"/>
        </w:numPr>
        <w:pBdr>
          <w:top w:val="nil"/>
          <w:left w:val="nil"/>
          <w:bottom w:val="nil"/>
          <w:right w:val="nil"/>
          <w:between w:val="nil"/>
        </w:pBdr>
        <w:jc w:val="both"/>
        <w:rPr>
          <w:color w:val="000000"/>
          <w:lang w:val="en-US"/>
        </w:rPr>
      </w:pPr>
      <w:r w:rsidRPr="0FE4D5DF">
        <w:rPr>
          <w:color w:val="000000" w:themeColor="text1"/>
          <w:lang w:val="en-US"/>
        </w:rPr>
        <w:t>Operadores y administradores de ECHEQ (cheques electrónicos).</w:t>
      </w:r>
    </w:p>
    <w:p w14:paraId="6C26B019" w14:textId="77777777" w:rsidR="0035403C" w:rsidRDefault="00D02C31" w:rsidP="0FE4D5DF">
      <w:pPr>
        <w:pStyle w:val="Ttulo2"/>
        <w:rPr>
          <w:lang w:val="en-US"/>
        </w:rPr>
      </w:pPr>
      <w:bookmarkStart w:id="72" w:name="_heading=h.25b2l0r"/>
      <w:bookmarkEnd w:id="72"/>
      <w:r w:rsidRPr="0FE4D5DF">
        <w:rPr>
          <w:lang w:val="en-US"/>
        </w:rPr>
        <w:lastRenderedPageBreak/>
        <w:t>Principios cumplidos</w:t>
      </w:r>
    </w:p>
    <w:p w14:paraId="435CBF11" w14:textId="77777777" w:rsidR="0035403C" w:rsidRDefault="00D02C31">
      <w:pPr>
        <w:numPr>
          <w:ilvl w:val="0"/>
          <w:numId w:val="35"/>
        </w:numPr>
        <w:jc w:val="both"/>
      </w:pPr>
      <w:r w:rsidRPr="0FE4D5DF">
        <w:rPr>
          <w:lang w:val="en-US"/>
        </w:rPr>
        <w:t>Solidez legal</w:t>
      </w:r>
    </w:p>
    <w:p w14:paraId="286C4769" w14:textId="77777777" w:rsidR="0035403C" w:rsidRDefault="00D02C31" w:rsidP="0FE4D5DF">
      <w:pPr>
        <w:numPr>
          <w:ilvl w:val="0"/>
          <w:numId w:val="35"/>
        </w:numPr>
        <w:jc w:val="both"/>
        <w:rPr>
          <w:lang w:val="en-US"/>
        </w:rPr>
      </w:pPr>
      <w:r w:rsidRPr="0FE4D5DF">
        <w:rPr>
          <w:lang w:val="en-US"/>
        </w:rPr>
        <w:t>Buen gobierno</w:t>
      </w:r>
    </w:p>
    <w:p w14:paraId="54B3EDD0" w14:textId="77777777" w:rsidR="0035403C" w:rsidRDefault="00D02C31" w:rsidP="0FE4D5DF">
      <w:pPr>
        <w:numPr>
          <w:ilvl w:val="0"/>
          <w:numId w:val="35"/>
        </w:numPr>
        <w:jc w:val="both"/>
        <w:rPr>
          <w:lang w:val="en-US"/>
        </w:rPr>
      </w:pPr>
      <w:r w:rsidRPr="0FE4D5DF">
        <w:rPr>
          <w:lang w:val="en-US"/>
        </w:rPr>
        <w:t>Marco para la gestión integral de riesgos</w:t>
      </w:r>
    </w:p>
    <w:p w14:paraId="32AB152D" w14:textId="77777777" w:rsidR="0035403C" w:rsidRDefault="00D02C31">
      <w:pPr>
        <w:numPr>
          <w:ilvl w:val="0"/>
          <w:numId w:val="35"/>
        </w:numPr>
        <w:jc w:val="both"/>
      </w:pPr>
      <w:r>
        <w:t>Riesgo de Crédito</w:t>
      </w:r>
    </w:p>
    <w:p w14:paraId="55131D5E" w14:textId="77777777" w:rsidR="0035403C" w:rsidRDefault="00D02C31" w:rsidP="17FBBB8B">
      <w:pPr>
        <w:numPr>
          <w:ilvl w:val="0"/>
          <w:numId w:val="35"/>
        </w:numPr>
        <w:jc w:val="both"/>
        <w:rPr>
          <w:lang w:val="en-US"/>
        </w:rPr>
      </w:pPr>
      <w:r w:rsidRPr="17FBBB8B">
        <w:rPr>
          <w:lang w:val="en-US"/>
        </w:rPr>
        <w:t>Garantías</w:t>
      </w:r>
    </w:p>
    <w:p w14:paraId="157D2ACA" w14:textId="77777777" w:rsidR="0035403C" w:rsidRDefault="00D02C31" w:rsidP="17FBBB8B">
      <w:pPr>
        <w:numPr>
          <w:ilvl w:val="0"/>
          <w:numId w:val="35"/>
        </w:numPr>
        <w:jc w:val="both"/>
        <w:rPr>
          <w:lang w:val="en-US"/>
        </w:rPr>
      </w:pPr>
      <w:r w:rsidRPr="17FBBB8B">
        <w:rPr>
          <w:lang w:val="en-US"/>
        </w:rPr>
        <w:t>Riesgo de Liquidez</w:t>
      </w:r>
    </w:p>
    <w:p w14:paraId="741A3CC5" w14:textId="77777777" w:rsidR="0035403C" w:rsidRDefault="00D02C31">
      <w:pPr>
        <w:numPr>
          <w:ilvl w:val="0"/>
          <w:numId w:val="35"/>
        </w:numPr>
        <w:jc w:val="both"/>
      </w:pPr>
      <w:r w:rsidRPr="17FBBB8B">
        <w:rPr>
          <w:lang w:val="en-US"/>
        </w:rPr>
        <w:t>Liquidación final (firmeza en la liquidación)</w:t>
      </w:r>
    </w:p>
    <w:p w14:paraId="7BE55BAE" w14:textId="77777777" w:rsidR="0035403C" w:rsidRDefault="00D02C31" w:rsidP="17FBBB8B">
      <w:pPr>
        <w:numPr>
          <w:ilvl w:val="0"/>
          <w:numId w:val="35"/>
        </w:numPr>
        <w:jc w:val="both"/>
        <w:rPr>
          <w:lang w:val="en-US"/>
        </w:rPr>
      </w:pPr>
      <w:r w:rsidRPr="17FBBB8B">
        <w:rPr>
          <w:lang w:val="en-US"/>
        </w:rPr>
        <w:t>Liquidaciones monetarias</w:t>
      </w:r>
    </w:p>
    <w:p w14:paraId="5CF52925" w14:textId="77777777" w:rsidR="0035403C" w:rsidRDefault="00D02C31" w:rsidP="17FBBB8B">
      <w:pPr>
        <w:numPr>
          <w:ilvl w:val="0"/>
          <w:numId w:val="35"/>
        </w:numPr>
        <w:jc w:val="both"/>
        <w:rPr>
          <w:lang w:val="en-US"/>
        </w:rPr>
      </w:pPr>
      <w:r w:rsidRPr="17FBBB8B">
        <w:rPr>
          <w:lang w:val="en-US"/>
        </w:rPr>
        <w:t>Normas y procedimientos</w:t>
      </w:r>
    </w:p>
    <w:p w14:paraId="5B9CCD40" w14:textId="77777777" w:rsidR="0035403C" w:rsidRDefault="00D02C31" w:rsidP="17FBBB8B">
      <w:pPr>
        <w:numPr>
          <w:ilvl w:val="0"/>
          <w:numId w:val="35"/>
        </w:numPr>
        <w:jc w:val="both"/>
        <w:rPr>
          <w:lang w:val="en-US"/>
        </w:rPr>
      </w:pPr>
      <w:r w:rsidRPr="17FBBB8B">
        <w:rPr>
          <w:lang w:val="en-US"/>
        </w:rPr>
        <w:t>Riesgo general de negocio</w:t>
      </w:r>
    </w:p>
    <w:p w14:paraId="4208FBF0" w14:textId="77777777" w:rsidR="0035403C" w:rsidRDefault="00D02C31" w:rsidP="17FBBB8B">
      <w:pPr>
        <w:numPr>
          <w:ilvl w:val="0"/>
          <w:numId w:val="35"/>
        </w:numPr>
        <w:jc w:val="both"/>
        <w:rPr>
          <w:lang w:val="en-US"/>
        </w:rPr>
      </w:pPr>
      <w:r w:rsidRPr="17FBBB8B">
        <w:rPr>
          <w:lang w:val="en-US"/>
        </w:rPr>
        <w:t>Riesgos de custodia y de inversión</w:t>
      </w:r>
    </w:p>
    <w:p w14:paraId="7C499BE1" w14:textId="77777777" w:rsidR="0035403C" w:rsidRDefault="00D02C31" w:rsidP="17FBBB8B">
      <w:pPr>
        <w:numPr>
          <w:ilvl w:val="0"/>
          <w:numId w:val="35"/>
        </w:numPr>
        <w:jc w:val="both"/>
        <w:rPr>
          <w:lang w:val="en-US"/>
        </w:rPr>
      </w:pPr>
      <w:r w:rsidRPr="17FBBB8B">
        <w:rPr>
          <w:lang w:val="en-US"/>
        </w:rPr>
        <w:t>Riesgo operacional</w:t>
      </w:r>
    </w:p>
    <w:p w14:paraId="1B27FEA1" w14:textId="77777777" w:rsidR="0035403C" w:rsidRDefault="00D02C31" w:rsidP="17FBBB8B">
      <w:pPr>
        <w:numPr>
          <w:ilvl w:val="0"/>
          <w:numId w:val="35"/>
        </w:numPr>
        <w:jc w:val="both"/>
        <w:rPr>
          <w:lang w:val="en-US"/>
        </w:rPr>
      </w:pPr>
      <w:r w:rsidRPr="17FBBB8B">
        <w:rPr>
          <w:lang w:val="en-US"/>
        </w:rPr>
        <w:t>Criterios de acceso y participación</w:t>
      </w:r>
    </w:p>
    <w:p w14:paraId="2D802FFA" w14:textId="77777777" w:rsidR="0035403C" w:rsidRDefault="00D02C31">
      <w:pPr>
        <w:numPr>
          <w:ilvl w:val="0"/>
          <w:numId w:val="35"/>
        </w:numPr>
        <w:jc w:val="both"/>
      </w:pPr>
      <w:r w:rsidRPr="17FBBB8B">
        <w:rPr>
          <w:lang w:val="en-US"/>
        </w:rPr>
        <w:t xml:space="preserve">Mecanismos de participación en varios niveles </w:t>
      </w:r>
    </w:p>
    <w:p w14:paraId="75F03D8A" w14:textId="77777777" w:rsidR="0035403C" w:rsidRDefault="00D02C31" w:rsidP="0FE4D5DF">
      <w:pPr>
        <w:numPr>
          <w:ilvl w:val="0"/>
          <w:numId w:val="35"/>
        </w:numPr>
        <w:jc w:val="both"/>
        <w:rPr>
          <w:lang w:val="en-US"/>
        </w:rPr>
      </w:pPr>
      <w:r w:rsidRPr="0FE4D5DF">
        <w:rPr>
          <w:lang w:val="en-US"/>
        </w:rPr>
        <w:t>Eficiencia y eficacia</w:t>
      </w:r>
    </w:p>
    <w:p w14:paraId="5231C512" w14:textId="77777777" w:rsidR="0035403C" w:rsidRDefault="00D02C31" w:rsidP="0FE4D5DF">
      <w:pPr>
        <w:numPr>
          <w:ilvl w:val="0"/>
          <w:numId w:val="35"/>
        </w:numPr>
        <w:jc w:val="both"/>
        <w:rPr>
          <w:lang w:val="en-US"/>
        </w:rPr>
      </w:pPr>
      <w:r w:rsidRPr="0FE4D5DF">
        <w:rPr>
          <w:lang w:val="en-US"/>
        </w:rPr>
        <w:t>Procedimientos y estándares de comunicación</w:t>
      </w:r>
    </w:p>
    <w:p w14:paraId="266FCBCA" w14:textId="77777777" w:rsidR="0035403C" w:rsidRDefault="00D02C31">
      <w:pPr>
        <w:numPr>
          <w:ilvl w:val="0"/>
          <w:numId w:val="35"/>
        </w:numPr>
        <w:jc w:val="both"/>
      </w:pPr>
      <w:r w:rsidRPr="0FE4D5DF">
        <w:rPr>
          <w:lang w:val="en-US"/>
        </w:rPr>
        <w:t>Divulgación de reglas, procedimientos y datos clave del mercado</w:t>
      </w:r>
    </w:p>
    <w:p w14:paraId="7707107F" w14:textId="77777777" w:rsidR="0035403C" w:rsidRDefault="00D02C31">
      <w:pPr>
        <w:pStyle w:val="Ttulo1"/>
      </w:pPr>
      <w:bookmarkStart w:id="73" w:name="_heading=h.kgcv8k" w:colFirst="0" w:colLast="0"/>
      <w:bookmarkEnd w:id="73"/>
      <w:r>
        <w:t>RELACIONES DE RSE</w:t>
      </w:r>
    </w:p>
    <w:p w14:paraId="15426524" w14:textId="77777777" w:rsidR="0035403C" w:rsidRDefault="00D02C31">
      <w:pPr>
        <w:jc w:val="both"/>
      </w:pPr>
      <w:r w:rsidRPr="0FE4D5DF">
        <w:rPr>
          <w:lang w:val="en-US"/>
        </w:rPr>
        <w:t xml:space="preserve">Hoy en día, las empresas tienen la oportunidad de trabajar en las áreas de mayor impacto, sin que ello implique perder de vista la relevancia de las cuestiones económicas que viabilizan la sustentabilidad de largo plazo. Con el propósito de impulsar y desarrollar prácticas sustentables que impacten positivamente en los equipos, la sociedad, el negocio y el medio ambiente. Coelsa supone que el éxito de la organización depende fundamentalmente de las personas, y del nivel de compromiso que se logre en el balance entre los intereses de la vida de cada uno de los empleados y los objetivos de la compañía, para que se elijan mutuamente. Este año la empresa comenzó a construir </w:t>
      </w:r>
      <w:proofErr w:type="gramStart"/>
      <w:r w:rsidRPr="0FE4D5DF">
        <w:rPr>
          <w:lang w:val="en-US"/>
        </w:rPr>
        <w:t>un</w:t>
      </w:r>
      <w:proofErr w:type="gramEnd"/>
      <w:r w:rsidRPr="0FE4D5DF">
        <w:rPr>
          <w:lang w:val="en-US"/>
        </w:rPr>
        <w:t xml:space="preserve"> lugar en común con sus colaboradores, sus clientes, proveedores y accionistas hacia lo que hoy la sociedad exige en términos de sustentabilidad. </w:t>
      </w:r>
    </w:p>
    <w:p w14:paraId="3BB6C7E6" w14:textId="77777777" w:rsidR="0035403C" w:rsidRDefault="00D02C31">
      <w:pPr>
        <w:jc w:val="both"/>
      </w:pPr>
      <w:r w:rsidRPr="0FE4D5DF">
        <w:rPr>
          <w:lang w:val="en-US"/>
        </w:rPr>
        <w:t>En el marco de la búsqueda de oportunidades de negocio y posicionamiento en línea con el triple impacto (Económico, Social y Ambiental), analiza la posibilidad de ofrecer a los clientes una plataforma de servicios que permita el cálculo y compensación de huella de carbono, así como otros contenidos asociados al plan de sustentabilidad de la compañía.</w:t>
      </w:r>
    </w:p>
    <w:p w14:paraId="556D20FD" w14:textId="77777777" w:rsidR="0035403C" w:rsidRDefault="00D02C31">
      <w:pPr>
        <w:pStyle w:val="Ttulo2"/>
      </w:pPr>
      <w:bookmarkStart w:id="74" w:name="_heading=h.34g0dwd"/>
      <w:bookmarkEnd w:id="74"/>
      <w:r w:rsidRPr="0FE4D5DF">
        <w:rPr>
          <w:lang w:val="en-US"/>
        </w:rPr>
        <w:t xml:space="preserve">Incorporación de políticas de DEI (Diversidad, Equidad e Inclusión) </w:t>
      </w:r>
    </w:p>
    <w:p w14:paraId="5A4E4476" w14:textId="77777777" w:rsidR="0035403C" w:rsidRDefault="00D02C31">
      <w:pPr>
        <w:jc w:val="both"/>
      </w:pPr>
      <w:proofErr w:type="gramStart"/>
      <w:r w:rsidRPr="0FE4D5DF">
        <w:rPr>
          <w:lang w:val="en-US"/>
        </w:rPr>
        <w:t>Necesidad de potenciar el negocio a partir de una mayor contribución de los equipos de trabajo en la creación de valor y que esa contribución responda a la profundización de la diversidad, equidad e inclusión.</w:t>
      </w:r>
      <w:proofErr w:type="gramEnd"/>
      <w:r w:rsidRPr="0FE4D5DF">
        <w:rPr>
          <w:lang w:val="en-US"/>
        </w:rPr>
        <w:t xml:space="preserve"> </w:t>
      </w:r>
    </w:p>
    <w:p w14:paraId="27B39EAC" w14:textId="77777777" w:rsidR="0035403C" w:rsidRDefault="00D02C31" w:rsidP="0FE4D5DF">
      <w:pPr>
        <w:pStyle w:val="Ttulo2"/>
        <w:rPr>
          <w:lang w:val="en-US"/>
        </w:rPr>
      </w:pPr>
      <w:bookmarkStart w:id="75" w:name="_heading=h.1jlao46"/>
      <w:bookmarkEnd w:id="75"/>
      <w:r w:rsidRPr="0FE4D5DF">
        <w:rPr>
          <w:lang w:val="en-US"/>
        </w:rPr>
        <w:t>Proveedores Sustentables</w:t>
      </w:r>
    </w:p>
    <w:p w14:paraId="1C0CB452" w14:textId="77777777" w:rsidR="0035403C" w:rsidRDefault="00D02C31" w:rsidP="0FE4D5DF">
      <w:pPr>
        <w:jc w:val="both"/>
        <w:rPr>
          <w:rFonts w:ascii="Calibri" w:eastAsia="Calibri" w:hAnsi="Calibri" w:cs="Calibri"/>
          <w:color w:val="366091"/>
          <w:sz w:val="28"/>
          <w:szCs w:val="28"/>
          <w:u w:val="single"/>
          <w:lang w:val="en-US"/>
        </w:rPr>
      </w:pPr>
      <w:proofErr w:type="gramStart"/>
      <w:r w:rsidRPr="0FE4D5DF">
        <w:rPr>
          <w:lang w:val="en-US"/>
        </w:rPr>
        <w:t>Busca compartir el camino de la cadena de valor, por eso, Coelsa se prepara para gestionar y evaluar a sus proveedores según criterios de sustentabilidad.</w:t>
      </w:r>
      <w:proofErr w:type="gramEnd"/>
    </w:p>
    <w:p w14:paraId="56E626F2" w14:textId="77777777" w:rsidR="0035403C" w:rsidRDefault="00D02C31" w:rsidP="0FE4D5DF">
      <w:pPr>
        <w:pStyle w:val="Ttulo2"/>
        <w:rPr>
          <w:lang w:val="en-US"/>
        </w:rPr>
      </w:pPr>
      <w:bookmarkStart w:id="76" w:name="_heading=h.43ky6rz"/>
      <w:bookmarkEnd w:id="76"/>
      <w:r w:rsidRPr="0FE4D5DF">
        <w:rPr>
          <w:lang w:val="en-US"/>
        </w:rPr>
        <w:t>Servicio de cálculo y compensación de huella de Carbono</w:t>
      </w:r>
    </w:p>
    <w:p w14:paraId="5FAC2464" w14:textId="77777777" w:rsidR="0035403C" w:rsidRDefault="00D02C31">
      <w:pPr>
        <w:jc w:val="both"/>
      </w:pPr>
      <w:r w:rsidRPr="0FE4D5DF">
        <w:rPr>
          <w:lang w:val="en-US"/>
        </w:rPr>
        <w:t xml:space="preserve">Este servicio evalúa en </w:t>
      </w:r>
      <w:proofErr w:type="gramStart"/>
      <w:r w:rsidRPr="0FE4D5DF">
        <w:rPr>
          <w:lang w:val="en-US"/>
        </w:rPr>
        <w:t>un</w:t>
      </w:r>
      <w:proofErr w:type="gramEnd"/>
      <w:r w:rsidRPr="0FE4D5DF">
        <w:rPr>
          <w:lang w:val="en-US"/>
        </w:rPr>
        <w:t xml:space="preserve"> modelo de alianzas que permite a COELSA constituirse en el primer hub de interoperabilidad de servicios de este tipo para el sistema financiero en su conjunto, </w:t>
      </w:r>
      <w:r w:rsidRPr="0FE4D5DF">
        <w:rPr>
          <w:lang w:val="en-US"/>
        </w:rPr>
        <w:lastRenderedPageBreak/>
        <w:t>facilitando y acelerando la puesta en marcha en plataformas electrónicas de estas prestaciones para todo tipo de Clientes. El proyecto consiste en profundizar la concientización en la medición y compensación de la huella de carbono en alianza con todos sus partners.</w:t>
      </w:r>
    </w:p>
    <w:p w14:paraId="07C3BAA7" w14:textId="77777777" w:rsidR="0035403C" w:rsidRDefault="00D02C31" w:rsidP="0FE4D5DF">
      <w:pPr>
        <w:pStyle w:val="Ttulo2"/>
        <w:rPr>
          <w:lang w:val="en-US"/>
        </w:rPr>
      </w:pPr>
      <w:bookmarkStart w:id="77" w:name="_heading=h.2iq8gzs"/>
      <w:bookmarkEnd w:id="77"/>
      <w:r w:rsidRPr="0FE4D5DF">
        <w:rPr>
          <w:lang w:val="en-US"/>
        </w:rPr>
        <w:t>Diagrama de posible operación</w:t>
      </w:r>
    </w:p>
    <w:p w14:paraId="5BE93A62" w14:textId="77777777" w:rsidR="0035403C" w:rsidRDefault="00D02C31">
      <w:pPr>
        <w:keepNext/>
        <w:spacing w:line="276" w:lineRule="auto"/>
        <w:jc w:val="both"/>
      </w:pPr>
      <w:r>
        <w:rPr>
          <w:noProof/>
          <w:lang w:eastAsia="es-AR"/>
        </w:rPr>
        <w:drawing>
          <wp:inline distT="0" distB="0" distL="0" distR="0" wp14:anchorId="0D5BABBB" wp14:editId="07777777">
            <wp:extent cx="5664200" cy="2109470"/>
            <wp:effectExtent l="0" t="0" r="0" b="0"/>
            <wp:docPr id="155" name="image11.png" descr="A diagram of a company&#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1.png" descr="A diagram of a company&#10;&#10;Description automatically generated"/>
                    <pic:cNvPicPr preferRelativeResize="0"/>
                  </pic:nvPicPr>
                  <pic:blipFill>
                    <a:blip r:embed="rId35"/>
                    <a:srcRect/>
                    <a:stretch>
                      <a:fillRect/>
                    </a:stretch>
                  </pic:blipFill>
                  <pic:spPr>
                    <a:xfrm>
                      <a:off x="0" y="0"/>
                      <a:ext cx="5664200" cy="2109470"/>
                    </a:xfrm>
                    <a:prstGeom prst="rect">
                      <a:avLst/>
                    </a:prstGeom>
                    <a:ln/>
                  </pic:spPr>
                </pic:pic>
              </a:graphicData>
            </a:graphic>
          </wp:inline>
        </w:drawing>
      </w:r>
    </w:p>
    <w:p w14:paraId="22FAE981" w14:textId="77777777" w:rsidR="0035403C" w:rsidRDefault="00D02C31" w:rsidP="0FE4D5DF">
      <w:pPr>
        <w:pBdr>
          <w:top w:val="nil"/>
          <w:left w:val="nil"/>
          <w:bottom w:val="nil"/>
          <w:right w:val="nil"/>
          <w:between w:val="nil"/>
        </w:pBdr>
        <w:spacing w:after="200"/>
        <w:jc w:val="both"/>
        <w:rPr>
          <w:i/>
          <w:iCs/>
          <w:color w:val="1F497D"/>
          <w:sz w:val="18"/>
          <w:szCs w:val="18"/>
          <w:lang w:val="en-US"/>
        </w:rPr>
      </w:pPr>
      <w:bookmarkStart w:id="78" w:name="_heading=h.xvir7l"/>
      <w:bookmarkEnd w:id="78"/>
      <w:r w:rsidRPr="0FE4D5DF">
        <w:rPr>
          <w:i/>
          <w:iCs/>
          <w:color w:val="1F497D" w:themeColor="text2"/>
          <w:sz w:val="18"/>
          <w:szCs w:val="18"/>
          <w:lang w:val="en-US"/>
        </w:rPr>
        <w:t>Ilustración 22 - Servicio de cálculo y compensación de huella de Carbono</w:t>
      </w:r>
    </w:p>
    <w:p w14:paraId="59CB1831" w14:textId="77777777" w:rsidR="0035403C" w:rsidRDefault="00D02C31">
      <w:pPr>
        <w:pStyle w:val="Ttulo2"/>
      </w:pPr>
      <w:bookmarkStart w:id="79" w:name="_heading=h.3hv69ve"/>
      <w:bookmarkEnd w:id="79"/>
      <w:r w:rsidRPr="0FE4D5DF">
        <w:rPr>
          <w:lang w:val="en-US"/>
        </w:rPr>
        <w:t>Valor agregado de COELSA</w:t>
      </w:r>
    </w:p>
    <w:p w14:paraId="477F927F" w14:textId="77777777" w:rsidR="0035403C" w:rsidRDefault="00D02C31" w:rsidP="0FE4D5DF">
      <w:pPr>
        <w:numPr>
          <w:ilvl w:val="0"/>
          <w:numId w:val="19"/>
        </w:numPr>
        <w:pBdr>
          <w:top w:val="nil"/>
          <w:left w:val="nil"/>
          <w:bottom w:val="nil"/>
          <w:right w:val="nil"/>
          <w:between w:val="nil"/>
        </w:pBdr>
        <w:jc w:val="both"/>
      </w:pPr>
      <w:r w:rsidRPr="0FE4D5DF">
        <w:rPr>
          <w:color w:val="000000" w:themeColor="text1"/>
          <w:lang w:val="en-US"/>
        </w:rPr>
        <w:t>Aprovechamiento de canales homologados para transaccionar.</w:t>
      </w:r>
    </w:p>
    <w:p w14:paraId="3D959E43" w14:textId="77777777" w:rsidR="0035403C" w:rsidRDefault="00D02C31" w:rsidP="0FE4D5DF">
      <w:pPr>
        <w:numPr>
          <w:ilvl w:val="0"/>
          <w:numId w:val="19"/>
        </w:numPr>
        <w:pBdr>
          <w:top w:val="nil"/>
          <w:left w:val="nil"/>
          <w:bottom w:val="nil"/>
          <w:right w:val="nil"/>
          <w:between w:val="nil"/>
        </w:pBdr>
        <w:jc w:val="both"/>
      </w:pPr>
      <w:r w:rsidRPr="0FE4D5DF">
        <w:rPr>
          <w:color w:val="000000" w:themeColor="text1"/>
          <w:lang w:val="en-US"/>
        </w:rPr>
        <w:t xml:space="preserve">Presencia actual </w:t>
      </w:r>
      <w:proofErr w:type="gramStart"/>
      <w:r w:rsidRPr="0FE4D5DF">
        <w:rPr>
          <w:color w:val="000000" w:themeColor="text1"/>
          <w:lang w:val="en-US"/>
        </w:rPr>
        <w:t>como</w:t>
      </w:r>
      <w:proofErr w:type="gramEnd"/>
      <w:r w:rsidRPr="0FE4D5DF">
        <w:rPr>
          <w:color w:val="000000" w:themeColor="text1"/>
          <w:lang w:val="en-US"/>
        </w:rPr>
        <w:t xml:space="preserve"> principal canal de compensación del mercado.</w:t>
      </w:r>
    </w:p>
    <w:p w14:paraId="3DD570F2" w14:textId="77777777" w:rsidR="0035403C" w:rsidRDefault="00D02C31" w:rsidP="0FE4D5DF">
      <w:pPr>
        <w:numPr>
          <w:ilvl w:val="0"/>
          <w:numId w:val="19"/>
        </w:numPr>
        <w:pBdr>
          <w:top w:val="nil"/>
          <w:left w:val="nil"/>
          <w:bottom w:val="nil"/>
          <w:right w:val="nil"/>
          <w:between w:val="nil"/>
        </w:pBdr>
        <w:jc w:val="both"/>
      </w:pPr>
      <w:r w:rsidRPr="0FE4D5DF">
        <w:rPr>
          <w:color w:val="000000" w:themeColor="text1"/>
          <w:lang w:val="en-US"/>
        </w:rPr>
        <w:t xml:space="preserve">Generación de </w:t>
      </w:r>
      <w:proofErr w:type="gramStart"/>
      <w:r w:rsidRPr="0FE4D5DF">
        <w:rPr>
          <w:color w:val="000000" w:themeColor="text1"/>
          <w:lang w:val="en-US"/>
        </w:rPr>
        <w:t>un</w:t>
      </w:r>
      <w:proofErr w:type="gramEnd"/>
      <w:r w:rsidRPr="0FE4D5DF">
        <w:rPr>
          <w:color w:val="000000" w:themeColor="text1"/>
          <w:lang w:val="en-US"/>
        </w:rPr>
        <w:t xml:space="preserve"> producto de </w:t>
      </w:r>
      <w:r w:rsidRPr="0FE4D5DF">
        <w:rPr>
          <w:lang w:val="en-US"/>
        </w:rPr>
        <w:t>impacto</w:t>
      </w:r>
      <w:r w:rsidRPr="0FE4D5DF">
        <w:rPr>
          <w:color w:val="000000" w:themeColor="text1"/>
          <w:lang w:val="en-US"/>
        </w:rPr>
        <w:t xml:space="preserve"> ambiental positivo, alineado a políticas de sustentabilidad.</w:t>
      </w:r>
    </w:p>
    <w:p w14:paraId="34105BFD" w14:textId="77777777" w:rsidR="0035403C" w:rsidRDefault="00D02C31" w:rsidP="0FE4D5DF">
      <w:pPr>
        <w:numPr>
          <w:ilvl w:val="0"/>
          <w:numId w:val="19"/>
        </w:numPr>
        <w:pBdr>
          <w:top w:val="nil"/>
          <w:left w:val="nil"/>
          <w:bottom w:val="nil"/>
          <w:right w:val="nil"/>
          <w:between w:val="nil"/>
        </w:pBdr>
        <w:jc w:val="both"/>
      </w:pPr>
      <w:r w:rsidRPr="0FE4D5DF">
        <w:rPr>
          <w:color w:val="000000" w:themeColor="text1"/>
          <w:lang w:val="en-US"/>
        </w:rPr>
        <w:t xml:space="preserve">Funcionamiento </w:t>
      </w:r>
      <w:proofErr w:type="gramStart"/>
      <w:r w:rsidRPr="0FE4D5DF">
        <w:rPr>
          <w:color w:val="000000" w:themeColor="text1"/>
          <w:lang w:val="en-US"/>
        </w:rPr>
        <w:t>como</w:t>
      </w:r>
      <w:proofErr w:type="gramEnd"/>
      <w:r w:rsidRPr="0FE4D5DF">
        <w:rPr>
          <w:color w:val="000000" w:themeColor="text1"/>
          <w:lang w:val="en-US"/>
        </w:rPr>
        <w:t xml:space="preserve"> Hub </w:t>
      </w:r>
      <w:r w:rsidRPr="0FE4D5DF">
        <w:rPr>
          <w:lang w:val="en-US"/>
        </w:rPr>
        <w:t>en el nuevo</w:t>
      </w:r>
      <w:r w:rsidRPr="0FE4D5DF">
        <w:rPr>
          <w:color w:val="000000" w:themeColor="text1"/>
          <w:lang w:val="en-US"/>
        </w:rPr>
        <w:t xml:space="preserve"> tipo de transacciones que el mercado viene creando demanda.</w:t>
      </w:r>
    </w:p>
    <w:p w14:paraId="793A75DC" w14:textId="77777777" w:rsidR="0035403C" w:rsidRDefault="00D02C31" w:rsidP="0FE4D5DF">
      <w:pPr>
        <w:numPr>
          <w:ilvl w:val="0"/>
          <w:numId w:val="19"/>
        </w:numPr>
        <w:pBdr>
          <w:top w:val="nil"/>
          <w:left w:val="nil"/>
          <w:bottom w:val="nil"/>
          <w:right w:val="nil"/>
          <w:between w:val="nil"/>
        </w:pBdr>
        <w:jc w:val="both"/>
      </w:pPr>
      <w:r w:rsidRPr="0FE4D5DF">
        <w:rPr>
          <w:color w:val="000000" w:themeColor="text1"/>
          <w:lang w:val="en-US"/>
        </w:rPr>
        <w:t>Experiencia en alianzas para generación de valor al mercado bancario.</w:t>
      </w:r>
    </w:p>
    <w:p w14:paraId="421BCD9C" w14:textId="77777777" w:rsidR="0035403C" w:rsidRDefault="00D02C31" w:rsidP="0FE4D5DF">
      <w:pPr>
        <w:numPr>
          <w:ilvl w:val="0"/>
          <w:numId w:val="19"/>
        </w:numPr>
        <w:pBdr>
          <w:top w:val="nil"/>
          <w:left w:val="nil"/>
          <w:bottom w:val="nil"/>
          <w:right w:val="nil"/>
          <w:between w:val="nil"/>
        </w:pBdr>
        <w:jc w:val="both"/>
      </w:pPr>
      <w:r w:rsidRPr="0FE4D5DF">
        <w:rPr>
          <w:color w:val="000000" w:themeColor="text1"/>
          <w:lang w:val="en-US"/>
        </w:rPr>
        <w:t>Aceleración en para disponibilidad de estas transacciones en el mercado.</w:t>
      </w:r>
    </w:p>
    <w:p w14:paraId="011A00D6" w14:textId="77777777" w:rsidR="0035403C" w:rsidRDefault="00D02C31" w:rsidP="0FE4D5DF">
      <w:pPr>
        <w:pStyle w:val="Ttulo2"/>
        <w:rPr>
          <w:lang w:val="en-US"/>
        </w:rPr>
      </w:pPr>
      <w:bookmarkStart w:id="80" w:name="_heading=h.1x0gk37"/>
      <w:bookmarkEnd w:id="80"/>
      <w:proofErr w:type="gramStart"/>
      <w:r w:rsidRPr="0FE4D5DF">
        <w:rPr>
          <w:lang w:val="en-US"/>
        </w:rPr>
        <w:t>Un</w:t>
      </w:r>
      <w:proofErr w:type="gramEnd"/>
      <w:r w:rsidRPr="0FE4D5DF">
        <w:rPr>
          <w:lang w:val="en-US"/>
        </w:rPr>
        <w:t xml:space="preserve"> diferenciador en la estrategia</w:t>
      </w:r>
    </w:p>
    <w:p w14:paraId="692EF8CC" w14:textId="77777777" w:rsidR="0035403C" w:rsidRDefault="00D02C31">
      <w:pPr>
        <w:jc w:val="both"/>
      </w:pPr>
      <w:r w:rsidRPr="0FE4D5DF">
        <w:rPr>
          <w:lang w:val="en-US"/>
        </w:rPr>
        <w:t xml:space="preserve">Este servicio es </w:t>
      </w:r>
      <w:proofErr w:type="gramStart"/>
      <w:r w:rsidRPr="0FE4D5DF">
        <w:rPr>
          <w:lang w:val="en-US"/>
        </w:rPr>
        <w:t>un</w:t>
      </w:r>
      <w:proofErr w:type="gramEnd"/>
      <w:r w:rsidRPr="0FE4D5DF">
        <w:rPr>
          <w:lang w:val="en-US"/>
        </w:rPr>
        <w:t xml:space="preserve"> diferencial real sobre otros operadores de mercado y permite un posicionamiento desde el compromiso hacia el triple impacto. El caso testigo elegido con el que se previó generación de rentabilidad es sobre:</w:t>
      </w:r>
    </w:p>
    <w:p w14:paraId="60EA6C90" w14:textId="77777777" w:rsidR="0035403C" w:rsidRDefault="00D02C31">
      <w:pPr>
        <w:numPr>
          <w:ilvl w:val="0"/>
          <w:numId w:val="28"/>
        </w:numPr>
        <w:jc w:val="both"/>
      </w:pPr>
      <w:r w:rsidRPr="0FE4D5DF">
        <w:rPr>
          <w:lang w:val="en-US"/>
        </w:rPr>
        <w:t>Ingresos por consultas.</w:t>
      </w:r>
    </w:p>
    <w:p w14:paraId="613C87E8" w14:textId="77777777" w:rsidR="0035403C" w:rsidRDefault="00D02C31">
      <w:pPr>
        <w:numPr>
          <w:ilvl w:val="0"/>
          <w:numId w:val="28"/>
        </w:numPr>
        <w:jc w:val="both"/>
      </w:pPr>
      <w:r w:rsidRPr="0FE4D5DF">
        <w:rPr>
          <w:lang w:val="en-US"/>
        </w:rPr>
        <w:t>Ingresos por movimientos de fondos (DEBIN u otro).</w:t>
      </w:r>
    </w:p>
    <w:p w14:paraId="32E2EECF" w14:textId="77777777" w:rsidR="0035403C" w:rsidRDefault="00D02C31">
      <w:pPr>
        <w:numPr>
          <w:ilvl w:val="0"/>
          <w:numId w:val="28"/>
        </w:numPr>
        <w:jc w:val="both"/>
      </w:pPr>
      <w:r w:rsidRPr="0FE4D5DF">
        <w:rPr>
          <w:lang w:val="en-US"/>
        </w:rPr>
        <w:t>Ingresos por participación en compensación.</w:t>
      </w:r>
    </w:p>
    <w:p w14:paraId="384BA73E" w14:textId="77777777" w:rsidR="0035403C" w:rsidRDefault="0035403C">
      <w:pPr>
        <w:widowControl w:val="0"/>
        <w:tabs>
          <w:tab w:val="left" w:pos="1520"/>
        </w:tabs>
        <w:spacing w:line="276" w:lineRule="auto"/>
        <w:jc w:val="both"/>
        <w:rPr>
          <w:color w:val="1F497D"/>
        </w:rPr>
      </w:pPr>
    </w:p>
    <w:p w14:paraId="34B3F2EB" w14:textId="77777777" w:rsidR="0035403C" w:rsidRDefault="00D02C31">
      <w:pPr>
        <w:pStyle w:val="Ttulo"/>
      </w:pPr>
      <w:r>
        <w:br w:type="page"/>
      </w:r>
    </w:p>
    <w:p w14:paraId="693DA87C" w14:textId="77777777" w:rsidR="0035403C" w:rsidRDefault="00D02C31">
      <w:pPr>
        <w:pStyle w:val="Ttulo"/>
      </w:pPr>
      <w:r>
        <w:lastRenderedPageBreak/>
        <w:t>CAPÍTULO 3: MARCO INVESTIGATIVO</w:t>
      </w:r>
    </w:p>
    <w:p w14:paraId="429A7CA8" w14:textId="77777777" w:rsidR="0035403C" w:rsidRDefault="00D02C31">
      <w:pPr>
        <w:pStyle w:val="Ttulo1"/>
      </w:pPr>
      <w:bookmarkStart w:id="81" w:name="_heading=h.4h042r0" w:colFirst="0" w:colLast="0"/>
      <w:bookmarkEnd w:id="81"/>
      <w:r>
        <w:t>METODOLOGÍA DE LA INVESTIGACIÓN</w:t>
      </w:r>
    </w:p>
    <w:p w14:paraId="72576CBE" w14:textId="77777777" w:rsidR="0035403C" w:rsidRDefault="00D02C31">
      <w:pPr>
        <w:jc w:val="both"/>
      </w:pPr>
      <w:r w:rsidRPr="0FE4D5DF">
        <w:rPr>
          <w:lang w:val="en-US"/>
        </w:rPr>
        <w:t xml:space="preserve">Este trabajo final de maestría se </w:t>
      </w:r>
      <w:proofErr w:type="gramStart"/>
      <w:r w:rsidRPr="0FE4D5DF">
        <w:rPr>
          <w:lang w:val="en-US"/>
        </w:rPr>
        <w:t>va</w:t>
      </w:r>
      <w:proofErr w:type="gramEnd"/>
      <w:r w:rsidRPr="0FE4D5DF">
        <w:rPr>
          <w:lang w:val="en-US"/>
        </w:rPr>
        <w:t xml:space="preserve"> a realizar sobre una investigación de campo del tipo explicativo. Es </w:t>
      </w:r>
      <w:proofErr w:type="gramStart"/>
      <w:r w:rsidRPr="0FE4D5DF">
        <w:rPr>
          <w:lang w:val="en-US"/>
        </w:rPr>
        <w:t>un</w:t>
      </w:r>
      <w:proofErr w:type="gramEnd"/>
      <w:r w:rsidRPr="0FE4D5DF">
        <w:rPr>
          <w:lang w:val="en-US"/>
        </w:rPr>
        <w:t xml:space="preserve"> trabajo de análisis de datos y de investigación que sigue un método comprobado de recopilación, procesamiento y antecedentes, que se obtienen y comprueban directamente en los campos en el que se presentan los hechos. Los próximos pasos del desarrollo de las plataformas, combinado a los aspectos generales de las nuevas tecnologías, hará de la investigación la mayor parte de la labor que se va a realizar. </w:t>
      </w:r>
      <w:proofErr w:type="gramStart"/>
      <w:r w:rsidRPr="0FE4D5DF">
        <w:rPr>
          <w:lang w:val="en-US"/>
        </w:rPr>
        <w:t>Un</w:t>
      </w:r>
      <w:proofErr w:type="gramEnd"/>
      <w:r w:rsidRPr="0FE4D5DF">
        <w:rPr>
          <w:lang w:val="en-US"/>
        </w:rPr>
        <w:t xml:space="preserve"> propósito marcado es el</w:t>
      </w:r>
      <w:r w:rsidRPr="0FE4D5DF">
        <w:rPr>
          <w:color w:val="1F497D" w:themeColor="text2"/>
          <w:lang w:val="en-US"/>
        </w:rPr>
        <w:t xml:space="preserve"> </w:t>
      </w:r>
      <w:r w:rsidRPr="0FE4D5DF">
        <w:rPr>
          <w:lang w:val="en-US"/>
        </w:rPr>
        <w:t>de indagar sobre tecnologías basadas en la nube y su tendencia, intentando comprender una hipótesis planteada.</w:t>
      </w:r>
    </w:p>
    <w:p w14:paraId="7D34F5C7" w14:textId="77777777" w:rsidR="0035403C" w:rsidRDefault="0035403C">
      <w:pPr>
        <w:spacing w:line="276" w:lineRule="auto"/>
        <w:jc w:val="both"/>
      </w:pPr>
    </w:p>
    <w:p w14:paraId="312DC5EB" w14:textId="77777777" w:rsidR="0035403C" w:rsidRDefault="00D02C31" w:rsidP="0FE4D5DF">
      <w:pPr>
        <w:numPr>
          <w:ilvl w:val="0"/>
          <w:numId w:val="33"/>
        </w:numPr>
        <w:pBdr>
          <w:top w:val="nil"/>
          <w:left w:val="nil"/>
          <w:bottom w:val="nil"/>
          <w:right w:val="nil"/>
          <w:between w:val="nil"/>
        </w:pBdr>
        <w:jc w:val="both"/>
        <w:rPr>
          <w:color w:val="000000"/>
          <w:lang w:val="en-US"/>
        </w:rPr>
      </w:pPr>
      <w:r w:rsidRPr="0FE4D5DF">
        <w:rPr>
          <w:color w:val="000000" w:themeColor="text1"/>
          <w:lang w:val="en-US"/>
        </w:rPr>
        <w:t>Se realizará una investigación bibliográfica donde se recolectará información de las fuentes primarias (desde páginas web de los principales proveedores de servicios en la nube, redes sociales abarcando el tema principal, libros teóricos y revistas científicas sobre estas tecnologías y sus implementaciones) que permitan la descripción del proceso a realizar y profundizar los temas de investigación.</w:t>
      </w:r>
    </w:p>
    <w:p w14:paraId="10F20503" w14:textId="77777777" w:rsidR="0035403C" w:rsidRDefault="00D02C31" w:rsidP="0FE4D5DF">
      <w:pPr>
        <w:numPr>
          <w:ilvl w:val="0"/>
          <w:numId w:val="33"/>
        </w:numPr>
        <w:pBdr>
          <w:top w:val="nil"/>
          <w:left w:val="nil"/>
          <w:bottom w:val="nil"/>
          <w:right w:val="nil"/>
          <w:between w:val="nil"/>
        </w:pBdr>
        <w:jc w:val="both"/>
        <w:rPr>
          <w:color w:val="000000"/>
          <w:lang w:val="en-US"/>
        </w:rPr>
      </w:pPr>
      <w:r w:rsidRPr="0FE4D5DF">
        <w:rPr>
          <w:color w:val="000000" w:themeColor="text1"/>
          <w:lang w:val="en-US"/>
        </w:rPr>
        <w:t xml:space="preserve">Se realizarán consultas con diferentes especialistas </w:t>
      </w:r>
      <w:proofErr w:type="gramStart"/>
      <w:r w:rsidRPr="0FE4D5DF">
        <w:rPr>
          <w:color w:val="000000" w:themeColor="text1"/>
          <w:lang w:val="en-US"/>
        </w:rPr>
        <w:t>del</w:t>
      </w:r>
      <w:proofErr w:type="gramEnd"/>
      <w:r w:rsidRPr="0FE4D5DF">
        <w:rPr>
          <w:color w:val="000000" w:themeColor="text1"/>
          <w:lang w:val="en-US"/>
        </w:rPr>
        <w:t xml:space="preserve"> mercado, con el fin de poder contemplar las mejores prácticas y dificultades que puedan llegar a aparecer dentro del proceso de la reingeniería y la migración hacia la nube.</w:t>
      </w:r>
    </w:p>
    <w:p w14:paraId="35A358D8" w14:textId="77777777" w:rsidR="0035403C" w:rsidRDefault="00D02C31" w:rsidP="0FE4D5DF">
      <w:pPr>
        <w:numPr>
          <w:ilvl w:val="0"/>
          <w:numId w:val="33"/>
        </w:numPr>
        <w:pBdr>
          <w:top w:val="nil"/>
          <w:left w:val="nil"/>
          <w:bottom w:val="nil"/>
          <w:right w:val="nil"/>
          <w:between w:val="nil"/>
        </w:pBdr>
        <w:jc w:val="both"/>
        <w:rPr>
          <w:color w:val="000000"/>
          <w:lang w:val="en-US"/>
        </w:rPr>
      </w:pPr>
      <w:r w:rsidRPr="0FE4D5DF">
        <w:rPr>
          <w:color w:val="000000" w:themeColor="text1"/>
          <w:lang w:val="en-US"/>
        </w:rPr>
        <w:t xml:space="preserve">Se recolectarán antecedentes e información de diferentes foros y páginas web de tecnología, que actualmente se ocupan de resolver las </w:t>
      </w:r>
      <w:proofErr w:type="gramStart"/>
      <w:r w:rsidRPr="0FE4D5DF">
        <w:rPr>
          <w:color w:val="000000" w:themeColor="text1"/>
          <w:lang w:val="en-US"/>
        </w:rPr>
        <w:t>mismas</w:t>
      </w:r>
      <w:proofErr w:type="gramEnd"/>
      <w:r w:rsidRPr="0FE4D5DF">
        <w:rPr>
          <w:color w:val="000000" w:themeColor="text1"/>
          <w:lang w:val="en-US"/>
        </w:rPr>
        <w:t xml:space="preserve"> problemáticas.</w:t>
      </w:r>
    </w:p>
    <w:p w14:paraId="3066E2A0" w14:textId="77777777" w:rsidR="0035403C" w:rsidRDefault="00D02C31" w:rsidP="0FE4D5DF">
      <w:pPr>
        <w:numPr>
          <w:ilvl w:val="0"/>
          <w:numId w:val="33"/>
        </w:numPr>
        <w:pBdr>
          <w:top w:val="nil"/>
          <w:left w:val="nil"/>
          <w:bottom w:val="nil"/>
          <w:right w:val="nil"/>
          <w:between w:val="nil"/>
        </w:pBdr>
        <w:jc w:val="both"/>
        <w:rPr>
          <w:color w:val="000000"/>
          <w:lang w:val="en-US"/>
        </w:rPr>
      </w:pPr>
      <w:r w:rsidRPr="0FE4D5DF">
        <w:rPr>
          <w:color w:val="000000" w:themeColor="text1"/>
          <w:lang w:val="en-US"/>
        </w:rPr>
        <w:t xml:space="preserve">Se desarrollarán prototipos evolutivos </w:t>
      </w:r>
      <w:proofErr w:type="gramStart"/>
      <w:r w:rsidRPr="0FE4D5DF">
        <w:rPr>
          <w:color w:val="000000" w:themeColor="text1"/>
          <w:lang w:val="en-US"/>
        </w:rPr>
        <w:t>del</w:t>
      </w:r>
      <w:proofErr w:type="gramEnd"/>
      <w:r w:rsidRPr="0FE4D5DF">
        <w:rPr>
          <w:color w:val="000000" w:themeColor="text1"/>
          <w:lang w:val="en-US"/>
        </w:rPr>
        <w:t xml:space="preserve"> sistema, para </w:t>
      </w:r>
      <w:r w:rsidRPr="0FE4D5DF">
        <w:rPr>
          <w:lang w:val="en-US"/>
        </w:rPr>
        <w:t>demostrar</w:t>
      </w:r>
      <w:r w:rsidRPr="0FE4D5DF">
        <w:rPr>
          <w:color w:val="000000" w:themeColor="text1"/>
          <w:lang w:val="en-US"/>
        </w:rPr>
        <w:t xml:space="preserve"> cuál será el desarrollo final que se utilizará para luego construir el sistema monolítico principal.</w:t>
      </w:r>
    </w:p>
    <w:p w14:paraId="776E59C4" w14:textId="77777777" w:rsidR="0035403C" w:rsidRDefault="00D02C31" w:rsidP="0FE4D5DF">
      <w:pPr>
        <w:numPr>
          <w:ilvl w:val="0"/>
          <w:numId w:val="33"/>
        </w:numPr>
        <w:pBdr>
          <w:top w:val="nil"/>
          <w:left w:val="nil"/>
          <w:bottom w:val="nil"/>
          <w:right w:val="nil"/>
          <w:between w:val="nil"/>
        </w:pBdr>
        <w:jc w:val="both"/>
        <w:rPr>
          <w:color w:val="000000"/>
          <w:lang w:val="en-US"/>
        </w:rPr>
      </w:pPr>
      <w:r w:rsidRPr="0FE4D5DF">
        <w:rPr>
          <w:color w:val="000000" w:themeColor="text1"/>
          <w:lang w:val="en-US"/>
        </w:rPr>
        <w:t xml:space="preserve">Se generará una evaluación de los prototipos, teniendo </w:t>
      </w:r>
      <w:proofErr w:type="gramStart"/>
      <w:r w:rsidRPr="0FE4D5DF">
        <w:rPr>
          <w:color w:val="000000" w:themeColor="text1"/>
          <w:lang w:val="en-US"/>
        </w:rPr>
        <w:t>como</w:t>
      </w:r>
      <w:proofErr w:type="gramEnd"/>
      <w:r w:rsidRPr="0FE4D5DF">
        <w:rPr>
          <w:color w:val="000000" w:themeColor="text1"/>
          <w:lang w:val="en-US"/>
        </w:rPr>
        <w:t xml:space="preserve"> resultado diferentes tipos de informes observados sobre cada uno de los prototipos.</w:t>
      </w:r>
    </w:p>
    <w:p w14:paraId="489B5A35" w14:textId="77777777" w:rsidR="0035403C" w:rsidRDefault="00D02C31" w:rsidP="0FE4D5DF">
      <w:pPr>
        <w:numPr>
          <w:ilvl w:val="0"/>
          <w:numId w:val="33"/>
        </w:numPr>
        <w:pBdr>
          <w:top w:val="nil"/>
          <w:left w:val="nil"/>
          <w:bottom w:val="nil"/>
          <w:right w:val="nil"/>
          <w:between w:val="nil"/>
        </w:pBdr>
        <w:jc w:val="both"/>
        <w:rPr>
          <w:color w:val="000000"/>
          <w:lang w:val="en-US"/>
        </w:rPr>
      </w:pPr>
      <w:r w:rsidRPr="0FE4D5DF">
        <w:rPr>
          <w:color w:val="000000" w:themeColor="text1"/>
          <w:lang w:val="en-US"/>
        </w:rPr>
        <w:t>Se determinarán las conclusiones a las cuales se desea llegar.</w:t>
      </w:r>
    </w:p>
    <w:p w14:paraId="0B4020A7" w14:textId="77777777" w:rsidR="0035403C" w:rsidRDefault="00D02C31">
      <w:pPr>
        <w:pStyle w:val="Ttulo"/>
      </w:pPr>
      <w:r>
        <w:br w:type="page"/>
      </w:r>
    </w:p>
    <w:p w14:paraId="5D84EFB2" w14:textId="77777777" w:rsidR="0035403C" w:rsidRDefault="00D02C31">
      <w:pPr>
        <w:pStyle w:val="Ttulo"/>
        <w:rPr>
          <w:rFonts w:ascii="Times New Roman" w:eastAsia="Times New Roman" w:hAnsi="Times New Roman" w:cs="Times New Roman"/>
        </w:rPr>
      </w:pPr>
      <w:r>
        <w:lastRenderedPageBreak/>
        <w:t>CAPÍTULO 4: RELEVAMIENTO TRABAJO DE CAMPO</w:t>
      </w:r>
    </w:p>
    <w:p w14:paraId="59CA0AA0" w14:textId="77777777" w:rsidR="0035403C" w:rsidRDefault="00D02C31">
      <w:pPr>
        <w:pStyle w:val="Ttulo1"/>
      </w:pPr>
      <w:bookmarkStart w:id="82" w:name="_heading=h.2w5ecyt" w:colFirst="0" w:colLast="0"/>
      <w:bookmarkEnd w:id="82"/>
      <w:r>
        <w:t>ESTRATEGIAS PARA LA MODERNIZACIÓN DE SISTEMAS MONOLÍTICOS</w:t>
      </w:r>
    </w:p>
    <w:p w14:paraId="74873E00" w14:textId="77777777" w:rsidR="0035403C" w:rsidRDefault="00D02C31">
      <w:pPr>
        <w:jc w:val="both"/>
      </w:pPr>
      <w:r w:rsidRPr="0FE4D5DF">
        <w:rPr>
          <w:lang w:val="en-US"/>
        </w:rPr>
        <w:t xml:space="preserve">Las empresas </w:t>
      </w:r>
      <w:proofErr w:type="gramStart"/>
      <w:r w:rsidRPr="0FE4D5DF">
        <w:rPr>
          <w:lang w:val="en-US"/>
        </w:rPr>
        <w:t>han</w:t>
      </w:r>
      <w:proofErr w:type="gramEnd"/>
      <w:r w:rsidRPr="0FE4D5DF">
        <w:rPr>
          <w:lang w:val="en-US"/>
        </w:rPr>
        <w:t xml:space="preserve"> descubierto que las aplicaciones monolíticas son demasiado grandes y engorrosas de mantener. Al tener el desarrollo en </w:t>
      </w:r>
      <w:proofErr w:type="gramStart"/>
      <w:r w:rsidRPr="0FE4D5DF">
        <w:rPr>
          <w:lang w:val="en-US"/>
        </w:rPr>
        <w:t>un</w:t>
      </w:r>
      <w:proofErr w:type="gramEnd"/>
      <w:r w:rsidRPr="0FE4D5DF">
        <w:rPr>
          <w:lang w:val="en-US"/>
        </w:rPr>
        <w:t xml:space="preserve"> monolito, cualquier cambio realizado en una pequeña parte del código requiere que todo el sistema sea reconstruido y desplegado. </w:t>
      </w:r>
      <w:proofErr w:type="gramStart"/>
      <w:r w:rsidRPr="0FE4D5DF">
        <w:rPr>
          <w:lang w:val="en-US"/>
        </w:rPr>
        <w:t>Esta complejidad genera una gran sobrecarga en los despliegues de las nuevas versiones y retrasos en el desarrollo.</w:t>
      </w:r>
      <w:proofErr w:type="gramEnd"/>
      <w:r w:rsidRPr="0FE4D5DF">
        <w:rPr>
          <w:lang w:val="en-US"/>
        </w:rPr>
        <w:t xml:space="preserve"> En muchos casos, las actualizaciones de </w:t>
      </w:r>
      <w:proofErr w:type="gramStart"/>
      <w:r w:rsidRPr="0FE4D5DF">
        <w:rPr>
          <w:lang w:val="en-US"/>
        </w:rPr>
        <w:t>este</w:t>
      </w:r>
      <w:proofErr w:type="gramEnd"/>
      <w:r w:rsidRPr="0FE4D5DF">
        <w:rPr>
          <w:lang w:val="en-US"/>
        </w:rPr>
        <w:t xml:space="preserve"> tipo de sistemas se desarrollan de forma aislada, lo que da lugar a redundancias, integraciones deficientes e implementaciones que no se sustentan en la vida empresarial real, causando ineficiencias de recursos y desequilibrando su ecosistema. </w:t>
      </w:r>
      <w:proofErr w:type="gramStart"/>
      <w:r w:rsidRPr="0FE4D5DF">
        <w:rPr>
          <w:lang w:val="en-US"/>
        </w:rPr>
        <w:t>Esto hace necesario que las empresas creen una estrategia integral que incluya apoyo ejecutivo, la obtención de una estructura adecuada, gobernanza y control.</w:t>
      </w:r>
      <w:proofErr w:type="gramEnd"/>
    </w:p>
    <w:p w14:paraId="61C661AC" w14:textId="77777777" w:rsidR="0035403C" w:rsidRDefault="00D02C31">
      <w:pPr>
        <w:jc w:val="both"/>
      </w:pPr>
      <w:proofErr w:type="gramStart"/>
      <w:r w:rsidRPr="0FE4D5DF">
        <w:rPr>
          <w:lang w:val="en-US"/>
        </w:rPr>
        <w:t>Existen varios cambios tecnológicos que pueden implicar que una aplicación sea realmente escalable.</w:t>
      </w:r>
      <w:proofErr w:type="gramEnd"/>
      <w:r w:rsidRPr="0FE4D5DF">
        <w:rPr>
          <w:lang w:val="en-US"/>
        </w:rPr>
        <w:t xml:space="preserve"> </w:t>
      </w:r>
      <w:proofErr w:type="gramStart"/>
      <w:r w:rsidRPr="0FE4D5DF">
        <w:rPr>
          <w:lang w:val="en-US"/>
        </w:rPr>
        <w:t>En cada una de las migraciones que necesite alguno de estos sistemas, deberá tener su estrategia particular para lograr su cometido.</w:t>
      </w:r>
      <w:proofErr w:type="gramEnd"/>
      <w:r w:rsidRPr="0FE4D5DF">
        <w:rPr>
          <w:lang w:val="en-US"/>
        </w:rPr>
        <w:t xml:space="preserve"> Algunos de los cambios estructurales más comunes incluyen:</w:t>
      </w:r>
    </w:p>
    <w:p w14:paraId="6C40BBBE" w14:textId="77777777" w:rsidR="0035403C" w:rsidRDefault="00D02C31" w:rsidP="0FE4D5DF">
      <w:pPr>
        <w:numPr>
          <w:ilvl w:val="0"/>
          <w:numId w:val="9"/>
        </w:numPr>
        <w:jc w:val="both"/>
        <w:rPr>
          <w:color w:val="000000"/>
          <w:lang w:val="en-US"/>
        </w:rPr>
      </w:pPr>
      <w:r w:rsidRPr="0FE4D5DF">
        <w:rPr>
          <w:lang w:val="en-US"/>
        </w:rPr>
        <w:t>Uso de servicios en la nube</w:t>
      </w:r>
    </w:p>
    <w:p w14:paraId="1ABFDD7F" w14:textId="77777777" w:rsidR="0035403C" w:rsidRDefault="00D02C31" w:rsidP="0FE4D5DF">
      <w:pPr>
        <w:numPr>
          <w:ilvl w:val="0"/>
          <w:numId w:val="9"/>
        </w:numPr>
        <w:jc w:val="both"/>
        <w:rPr>
          <w:color w:val="000000"/>
          <w:lang w:val="en-US"/>
        </w:rPr>
      </w:pPr>
      <w:r w:rsidRPr="0FE4D5DF">
        <w:rPr>
          <w:lang w:val="en-US"/>
        </w:rPr>
        <w:t>Uso de arquitecturas de microservicios</w:t>
      </w:r>
    </w:p>
    <w:p w14:paraId="24E0430C" w14:textId="77777777" w:rsidR="0035403C" w:rsidRDefault="00D02C31" w:rsidP="0FE4D5DF">
      <w:pPr>
        <w:numPr>
          <w:ilvl w:val="0"/>
          <w:numId w:val="9"/>
        </w:numPr>
        <w:jc w:val="both"/>
        <w:rPr>
          <w:color w:val="000000"/>
          <w:lang w:val="en-US"/>
        </w:rPr>
      </w:pPr>
      <w:r w:rsidRPr="0FE4D5DF">
        <w:rPr>
          <w:lang w:val="en-US"/>
        </w:rPr>
        <w:t>Uso de contenedores</w:t>
      </w:r>
    </w:p>
    <w:p w14:paraId="6E164A94" w14:textId="77777777" w:rsidR="0035403C" w:rsidRDefault="00D02C31" w:rsidP="0FE4D5DF">
      <w:pPr>
        <w:numPr>
          <w:ilvl w:val="0"/>
          <w:numId w:val="9"/>
        </w:numPr>
        <w:jc w:val="both"/>
        <w:rPr>
          <w:color w:val="000000"/>
          <w:lang w:val="en-US"/>
        </w:rPr>
      </w:pPr>
      <w:r w:rsidRPr="0FE4D5DF">
        <w:rPr>
          <w:lang w:val="en-US"/>
        </w:rPr>
        <w:t>Uso de APIs y API Managers</w:t>
      </w:r>
    </w:p>
    <w:p w14:paraId="57FAB4C1" w14:textId="77777777" w:rsidR="0035403C" w:rsidRDefault="00D02C31" w:rsidP="0FE4D5DF">
      <w:pPr>
        <w:numPr>
          <w:ilvl w:val="0"/>
          <w:numId w:val="9"/>
        </w:numPr>
        <w:jc w:val="both"/>
        <w:rPr>
          <w:color w:val="000000"/>
          <w:lang w:val="en-US"/>
        </w:rPr>
      </w:pPr>
      <w:r w:rsidRPr="0FE4D5DF">
        <w:rPr>
          <w:lang w:val="en-US"/>
        </w:rPr>
        <w:t>Uso de bases de datos escalables</w:t>
      </w:r>
    </w:p>
    <w:p w14:paraId="38275520" w14:textId="77777777" w:rsidR="0035403C" w:rsidRDefault="00D02C31" w:rsidP="0FE4D5DF">
      <w:pPr>
        <w:numPr>
          <w:ilvl w:val="0"/>
          <w:numId w:val="9"/>
        </w:numPr>
        <w:jc w:val="both"/>
        <w:rPr>
          <w:color w:val="000000"/>
          <w:lang w:val="en-US"/>
        </w:rPr>
      </w:pPr>
      <w:r w:rsidRPr="0FE4D5DF">
        <w:rPr>
          <w:lang w:val="en-US"/>
        </w:rPr>
        <w:t>Uso de tecnologías de caching</w:t>
      </w:r>
    </w:p>
    <w:p w14:paraId="47C76744" w14:textId="77777777" w:rsidR="0035403C" w:rsidRDefault="00D02C31" w:rsidP="0FE4D5DF">
      <w:pPr>
        <w:numPr>
          <w:ilvl w:val="0"/>
          <w:numId w:val="9"/>
        </w:numPr>
        <w:jc w:val="both"/>
        <w:rPr>
          <w:color w:val="000000"/>
          <w:lang w:val="en-US"/>
        </w:rPr>
      </w:pPr>
      <w:r w:rsidRPr="0FE4D5DF">
        <w:rPr>
          <w:lang w:val="en-US"/>
        </w:rPr>
        <w:t>Uso de arquitecturas basadas en eventos</w:t>
      </w:r>
    </w:p>
    <w:p w14:paraId="3EF09A95" w14:textId="77777777" w:rsidR="0035403C" w:rsidRDefault="00D02C31" w:rsidP="0FE4D5DF">
      <w:pPr>
        <w:numPr>
          <w:ilvl w:val="0"/>
          <w:numId w:val="9"/>
        </w:numPr>
        <w:jc w:val="both"/>
        <w:rPr>
          <w:color w:val="000000"/>
          <w:lang w:val="en-US"/>
        </w:rPr>
      </w:pPr>
      <w:r w:rsidRPr="0FE4D5DF">
        <w:rPr>
          <w:lang w:val="en-US"/>
        </w:rPr>
        <w:t>Uso de cultura DevOps: control de código, integración y distribución (CI/CD)</w:t>
      </w:r>
    </w:p>
    <w:p w14:paraId="0CE38B23" w14:textId="77777777" w:rsidR="0035403C" w:rsidRDefault="00D02C31">
      <w:pPr>
        <w:pStyle w:val="Ttulo1"/>
        <w:jc w:val="both"/>
      </w:pPr>
      <w:bookmarkStart w:id="83" w:name="_heading=h.1baon6m" w:colFirst="0" w:colLast="0"/>
      <w:bookmarkEnd w:id="83"/>
      <w:r>
        <w:t>USO DE SERVICIOS EN LA NUBE</w:t>
      </w:r>
    </w:p>
    <w:p w14:paraId="4D0D2D4E" w14:textId="77777777" w:rsidR="0035403C" w:rsidRDefault="00D02C31">
      <w:pPr>
        <w:jc w:val="both"/>
      </w:pPr>
      <w:proofErr w:type="gramStart"/>
      <w:r w:rsidRPr="0FE4D5DF">
        <w:rPr>
          <w:lang w:val="en-US"/>
        </w:rPr>
        <w:t>Las plataformas en la nube proporcionan una infraestructura escalable y elástica que permite utilizar automáticamente los recursos de los servicios y aplicaciones según la demanda.</w:t>
      </w:r>
      <w:proofErr w:type="gramEnd"/>
      <w:r w:rsidRPr="0FE4D5DF">
        <w:rPr>
          <w:lang w:val="en-US"/>
        </w:rPr>
        <w:t xml:space="preserve"> </w:t>
      </w:r>
      <w:proofErr w:type="gramStart"/>
      <w:r w:rsidRPr="0FE4D5DF">
        <w:rPr>
          <w:lang w:val="en-US"/>
        </w:rPr>
        <w:t>Esto significa que se puede agregar o eliminar recursos según sea necesario para manejar la carga.</w:t>
      </w:r>
      <w:proofErr w:type="gramEnd"/>
      <w:r w:rsidRPr="0FE4D5DF">
        <w:rPr>
          <w:lang w:val="en-US"/>
        </w:rPr>
        <w:t xml:space="preserve"> Existen dos grandes características sobre los servicios en la nube:</w:t>
      </w:r>
    </w:p>
    <w:p w14:paraId="43F664C7" w14:textId="77777777" w:rsidR="0035403C" w:rsidRDefault="00D02C31" w:rsidP="0FE4D5DF">
      <w:pPr>
        <w:pStyle w:val="Ttulo2"/>
        <w:rPr>
          <w:lang w:val="en-US"/>
        </w:rPr>
      </w:pPr>
      <w:bookmarkStart w:id="84" w:name="_heading=h.3vac5uf"/>
      <w:bookmarkEnd w:id="84"/>
      <w:r w:rsidRPr="0FE4D5DF">
        <w:rPr>
          <w:lang w:val="en-US"/>
        </w:rPr>
        <w:t>Escalabilidad</w:t>
      </w:r>
    </w:p>
    <w:p w14:paraId="0D75EBBC" w14:textId="77777777" w:rsidR="0035403C" w:rsidRDefault="00D02C31">
      <w:pPr>
        <w:jc w:val="both"/>
      </w:pPr>
      <w:r w:rsidRPr="0FE4D5DF">
        <w:rPr>
          <w:lang w:val="en-US"/>
        </w:rPr>
        <w:t>Se refiere a la capacidad de aumentar o disminuir los recursos de cómputo, almacenamiento y redes de manera rápida y eficiente, en respuesta a cambios en la demanda.</w:t>
      </w:r>
    </w:p>
    <w:p w14:paraId="1D7B270A" w14:textId="77777777" w:rsidR="0035403C" w:rsidRDefault="00D02C31">
      <w:pPr>
        <w:keepNext/>
        <w:jc w:val="both"/>
      </w:pPr>
      <w:r>
        <w:rPr>
          <w:noProof/>
          <w:lang w:eastAsia="es-AR"/>
        </w:rPr>
        <w:lastRenderedPageBreak/>
        <w:drawing>
          <wp:inline distT="0" distB="0" distL="0" distR="0" wp14:anchorId="5132752F" wp14:editId="07777777">
            <wp:extent cx="5664200" cy="3185795"/>
            <wp:effectExtent l="0" t="0" r="0" b="0"/>
            <wp:docPr id="156" name="image22.png" descr="Escalabilidad en la nube"/>
            <wp:cNvGraphicFramePr/>
            <a:graphic xmlns:a="http://schemas.openxmlformats.org/drawingml/2006/main">
              <a:graphicData uri="http://schemas.openxmlformats.org/drawingml/2006/picture">
                <pic:pic xmlns:pic="http://schemas.openxmlformats.org/drawingml/2006/picture">
                  <pic:nvPicPr>
                    <pic:cNvPr id="0" name="image22.png" descr="Escalabilidad en la nube"/>
                    <pic:cNvPicPr preferRelativeResize="0"/>
                  </pic:nvPicPr>
                  <pic:blipFill>
                    <a:blip r:embed="rId36"/>
                    <a:srcRect/>
                    <a:stretch>
                      <a:fillRect/>
                    </a:stretch>
                  </pic:blipFill>
                  <pic:spPr>
                    <a:xfrm>
                      <a:off x="0" y="0"/>
                      <a:ext cx="5664200" cy="3185795"/>
                    </a:xfrm>
                    <a:prstGeom prst="rect">
                      <a:avLst/>
                    </a:prstGeom>
                    <a:ln/>
                  </pic:spPr>
                </pic:pic>
              </a:graphicData>
            </a:graphic>
          </wp:inline>
        </w:drawing>
      </w:r>
    </w:p>
    <w:p w14:paraId="323C6477" w14:textId="77777777" w:rsidR="0035403C" w:rsidRDefault="00D02C31" w:rsidP="0FE4D5DF">
      <w:pPr>
        <w:spacing w:after="200"/>
        <w:jc w:val="both"/>
        <w:rPr>
          <w:i/>
          <w:iCs/>
          <w:color w:val="1F497D" w:themeColor="text2"/>
          <w:sz w:val="18"/>
          <w:szCs w:val="18"/>
          <w:lang w:val="en-US"/>
        </w:rPr>
      </w:pPr>
      <w:r w:rsidRPr="0FE4D5DF">
        <w:rPr>
          <w:i/>
          <w:iCs/>
          <w:color w:val="1F497D" w:themeColor="text2"/>
          <w:sz w:val="18"/>
          <w:szCs w:val="18"/>
          <w:lang w:val="en-US"/>
        </w:rPr>
        <w:t>Ilustración 23 - Escalabilidad en la nube</w:t>
      </w:r>
    </w:p>
    <w:p w14:paraId="557E12CB" w14:textId="77777777" w:rsidR="0035403C" w:rsidRDefault="00D02C31">
      <w:pPr>
        <w:pStyle w:val="Ttulo2"/>
      </w:pPr>
      <w:bookmarkStart w:id="85" w:name="_heading=h.2afmg28"/>
      <w:bookmarkEnd w:id="85"/>
      <w:r w:rsidRPr="0FE4D5DF">
        <w:rPr>
          <w:lang w:val="en-US"/>
        </w:rPr>
        <w:t xml:space="preserve">Elasticidad </w:t>
      </w:r>
    </w:p>
    <w:p w14:paraId="7D6737D6" w14:textId="77777777" w:rsidR="0035403C" w:rsidRDefault="00D02C31">
      <w:pPr>
        <w:jc w:val="both"/>
      </w:pPr>
      <w:r w:rsidRPr="0FE4D5DF">
        <w:rPr>
          <w:lang w:val="en-US"/>
        </w:rPr>
        <w:t xml:space="preserve">Implica que los recursos pueden ajustarse automáticamente según los patrones de </w:t>
      </w:r>
      <w:proofErr w:type="gramStart"/>
      <w:r w:rsidRPr="0FE4D5DF">
        <w:rPr>
          <w:lang w:val="en-US"/>
        </w:rPr>
        <w:t>uso</w:t>
      </w:r>
      <w:proofErr w:type="gramEnd"/>
      <w:r w:rsidRPr="0FE4D5DF">
        <w:rPr>
          <w:lang w:val="en-US"/>
        </w:rPr>
        <w:t xml:space="preserve">, lo que permite una asignación eficiente de recursos en tiempo real. </w:t>
      </w:r>
      <w:proofErr w:type="gramStart"/>
      <w:r w:rsidRPr="0FE4D5DF">
        <w:rPr>
          <w:lang w:val="en-US"/>
        </w:rPr>
        <w:t>Esto garantiza que los recursos estén disponibles cuando sea necesario y se puedan liberar cuando ya no se requieran, optimizando así el rendimiento y los costos.</w:t>
      </w:r>
      <w:proofErr w:type="gramEnd"/>
    </w:p>
    <w:p w14:paraId="4F904CB7" w14:textId="77777777" w:rsidR="0035403C" w:rsidRDefault="00D02C31">
      <w:pPr>
        <w:keepNext/>
        <w:jc w:val="both"/>
      </w:pPr>
      <w:r>
        <w:rPr>
          <w:noProof/>
          <w:lang w:eastAsia="es-AR"/>
        </w:rPr>
        <w:drawing>
          <wp:inline distT="0" distB="0" distL="0" distR="0" wp14:anchorId="4E6FF87B" wp14:editId="07777777">
            <wp:extent cx="5664200" cy="3185795"/>
            <wp:effectExtent l="0" t="0" r="0" b="0"/>
            <wp:docPr id="157" name="image28.png" descr="A diagram of a clou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8.png" descr="A diagram of a cloud&#10;&#10;Description automatically generated"/>
                    <pic:cNvPicPr preferRelativeResize="0"/>
                  </pic:nvPicPr>
                  <pic:blipFill>
                    <a:blip r:embed="rId37"/>
                    <a:srcRect/>
                    <a:stretch>
                      <a:fillRect/>
                    </a:stretch>
                  </pic:blipFill>
                  <pic:spPr>
                    <a:xfrm>
                      <a:off x="0" y="0"/>
                      <a:ext cx="5664200" cy="3185795"/>
                    </a:xfrm>
                    <a:prstGeom prst="rect">
                      <a:avLst/>
                    </a:prstGeom>
                    <a:ln/>
                  </pic:spPr>
                </pic:pic>
              </a:graphicData>
            </a:graphic>
          </wp:inline>
        </w:drawing>
      </w:r>
    </w:p>
    <w:p w14:paraId="0F8D608B" w14:textId="77777777" w:rsidR="0035403C" w:rsidRDefault="00D02C31" w:rsidP="0FE4D5DF">
      <w:pPr>
        <w:spacing w:after="200"/>
        <w:jc w:val="both"/>
        <w:rPr>
          <w:i/>
          <w:iCs/>
          <w:color w:val="1F497D"/>
          <w:sz w:val="18"/>
          <w:szCs w:val="18"/>
          <w:lang w:val="en-US"/>
        </w:rPr>
      </w:pPr>
      <w:r w:rsidRPr="0FE4D5DF">
        <w:rPr>
          <w:i/>
          <w:iCs/>
          <w:color w:val="1F497D" w:themeColor="text2"/>
          <w:sz w:val="18"/>
          <w:szCs w:val="18"/>
          <w:lang w:val="en-US"/>
        </w:rPr>
        <w:t>Ilustración 24 - Elasticidad en la nube</w:t>
      </w:r>
    </w:p>
    <w:p w14:paraId="3414557E" w14:textId="77777777" w:rsidR="0035403C" w:rsidRDefault="00D02C31">
      <w:pPr>
        <w:jc w:val="both"/>
      </w:pPr>
      <w:proofErr w:type="gramStart"/>
      <w:r w:rsidRPr="0FE4D5DF">
        <w:rPr>
          <w:lang w:val="en-US"/>
        </w:rPr>
        <w:t>Los desarrollos en la nube permiten acelerar el diseño de aplicaciones nuevas, optimizarlas y conectarlas entre sí.</w:t>
      </w:r>
      <w:proofErr w:type="gramEnd"/>
      <w:r w:rsidRPr="0FE4D5DF">
        <w:rPr>
          <w:lang w:val="en-US"/>
        </w:rPr>
        <w:t xml:space="preserve"> Su objetivo principal es ofrecer aplicaciones e infraestructura listas para su </w:t>
      </w:r>
      <w:proofErr w:type="gramStart"/>
      <w:r w:rsidRPr="0FE4D5DF">
        <w:rPr>
          <w:lang w:val="en-US"/>
        </w:rPr>
        <w:lastRenderedPageBreak/>
        <w:t>uso</w:t>
      </w:r>
      <w:proofErr w:type="gramEnd"/>
      <w:r w:rsidRPr="0FE4D5DF">
        <w:rPr>
          <w:lang w:val="en-US"/>
        </w:rPr>
        <w:t xml:space="preserve">, al ritmo que lo necesita cualquier empresa. Las aplicaciones "nativas" están diseñadas específicamente para proporcionar </w:t>
      </w:r>
      <w:proofErr w:type="gramStart"/>
      <w:r w:rsidRPr="0FE4D5DF">
        <w:rPr>
          <w:lang w:val="en-US"/>
        </w:rPr>
        <w:t>un</w:t>
      </w:r>
      <w:proofErr w:type="gramEnd"/>
      <w:r w:rsidRPr="0FE4D5DF">
        <w:rPr>
          <w:lang w:val="en-US"/>
        </w:rPr>
        <w:t xml:space="preserve"> desarrollo consistente y una experiencia de gestión automatizada, centrándose en la modularidad de la arquitectura y la independencia de sus servicios. </w:t>
      </w:r>
      <w:proofErr w:type="gramStart"/>
      <w:r w:rsidRPr="0FE4D5DF">
        <w:rPr>
          <w:lang w:val="en-US"/>
        </w:rPr>
        <w:t>Cada microservicio implementa su propia lógica de negocios, que ejecuta en su propio proceso y se comunica mediante una capa abstracta entre los diferentes servicios.</w:t>
      </w:r>
      <w:proofErr w:type="gramEnd"/>
    </w:p>
    <w:p w14:paraId="11357E74" w14:textId="77777777" w:rsidR="0035403C" w:rsidRDefault="00D02C31">
      <w:pPr>
        <w:jc w:val="both"/>
      </w:pPr>
      <w:r w:rsidRPr="0FE4D5DF">
        <w:rPr>
          <w:lang w:val="en-US"/>
        </w:rPr>
        <w:t xml:space="preserve">Dentro de los servicios en la nube, una de las categorías más utilizadas en los últimos tiempos es la llamada “serverless”, las cuales son aplicaciones que se crean sin servidor. </w:t>
      </w:r>
      <w:proofErr w:type="gramStart"/>
      <w:r w:rsidRPr="0FE4D5DF">
        <w:rPr>
          <w:lang w:val="en-US"/>
        </w:rPr>
        <w:t>de</w:t>
      </w:r>
      <w:proofErr w:type="gramEnd"/>
      <w:r w:rsidRPr="0FE4D5DF">
        <w:rPr>
          <w:lang w:val="en-US"/>
        </w:rPr>
        <w:t xml:space="preserve"> este tipo servicios, aprovecha aún más la velocidad de integración, ya que el servicio no debe instalarse o configurarse, siendo una estrategia que prioriza su adopción, porque se aumenta la agilidad en todo el conjunto del desarrollo de sistemas. Los servicios más utilizados son:</w:t>
      </w:r>
    </w:p>
    <w:p w14:paraId="0D5A81AA" w14:textId="77777777" w:rsidR="0035403C" w:rsidRDefault="00D02C31" w:rsidP="0FE4D5DF">
      <w:pPr>
        <w:numPr>
          <w:ilvl w:val="0"/>
          <w:numId w:val="39"/>
        </w:numPr>
        <w:jc w:val="both"/>
        <w:rPr>
          <w:lang w:val="en-US"/>
        </w:rPr>
      </w:pPr>
      <w:r w:rsidRPr="0FE4D5DF">
        <w:rPr>
          <w:lang w:val="en-US"/>
        </w:rPr>
        <w:t>Servicio de funciones basadas en eventos</w:t>
      </w:r>
    </w:p>
    <w:p w14:paraId="5CE06C5D" w14:textId="77777777" w:rsidR="0035403C" w:rsidRDefault="00D02C31">
      <w:pPr>
        <w:numPr>
          <w:ilvl w:val="0"/>
          <w:numId w:val="39"/>
        </w:numPr>
        <w:jc w:val="both"/>
      </w:pPr>
      <w:r w:rsidRPr="0FE4D5DF">
        <w:rPr>
          <w:lang w:val="en-US"/>
        </w:rPr>
        <w:t xml:space="preserve">Servicios de contenedores </w:t>
      </w:r>
    </w:p>
    <w:p w14:paraId="71D879BB" w14:textId="77777777" w:rsidR="0035403C" w:rsidRDefault="00D02C31" w:rsidP="0FE4D5DF">
      <w:pPr>
        <w:numPr>
          <w:ilvl w:val="0"/>
          <w:numId w:val="39"/>
        </w:numPr>
        <w:jc w:val="both"/>
        <w:rPr>
          <w:lang w:val="en-US"/>
        </w:rPr>
      </w:pPr>
      <w:r w:rsidRPr="0FE4D5DF">
        <w:rPr>
          <w:lang w:val="en-US"/>
        </w:rPr>
        <w:t>Servicios de bus de eventos</w:t>
      </w:r>
    </w:p>
    <w:p w14:paraId="3D5FECAD" w14:textId="77777777" w:rsidR="0035403C" w:rsidRDefault="00D02C31" w:rsidP="0FE4D5DF">
      <w:pPr>
        <w:numPr>
          <w:ilvl w:val="0"/>
          <w:numId w:val="39"/>
        </w:numPr>
        <w:jc w:val="both"/>
        <w:rPr>
          <w:lang w:val="en-US"/>
        </w:rPr>
      </w:pPr>
      <w:r w:rsidRPr="0FE4D5DF">
        <w:rPr>
          <w:lang w:val="en-US"/>
        </w:rPr>
        <w:t>Servicios de flujos de trabajo</w:t>
      </w:r>
    </w:p>
    <w:p w14:paraId="2B849B65" w14:textId="77777777" w:rsidR="0035403C" w:rsidRDefault="00D02C31" w:rsidP="0FE4D5DF">
      <w:pPr>
        <w:numPr>
          <w:ilvl w:val="0"/>
          <w:numId w:val="39"/>
        </w:numPr>
        <w:jc w:val="both"/>
        <w:rPr>
          <w:lang w:val="en-US"/>
        </w:rPr>
      </w:pPr>
      <w:r w:rsidRPr="0FE4D5DF">
        <w:rPr>
          <w:lang w:val="en-US"/>
        </w:rPr>
        <w:t>Servicios de colas de mensajes</w:t>
      </w:r>
    </w:p>
    <w:p w14:paraId="0D0859DC" w14:textId="77777777" w:rsidR="0035403C" w:rsidRDefault="00D02C31">
      <w:pPr>
        <w:numPr>
          <w:ilvl w:val="0"/>
          <w:numId w:val="39"/>
        </w:numPr>
        <w:jc w:val="both"/>
      </w:pPr>
      <w:r w:rsidRPr="0FE4D5DF">
        <w:rPr>
          <w:lang w:val="en-US"/>
        </w:rPr>
        <w:t>Servicios de mensajerías simples</w:t>
      </w:r>
    </w:p>
    <w:p w14:paraId="5BF37CE2" w14:textId="77777777" w:rsidR="0035403C" w:rsidRDefault="00D02C31">
      <w:pPr>
        <w:jc w:val="both"/>
      </w:pPr>
      <w:r w:rsidRPr="0FE4D5DF">
        <w:rPr>
          <w:lang w:val="en-US"/>
        </w:rPr>
        <w:t xml:space="preserve">Lo que distingue al modelo serverless de los demás modelos de servicios en la nube, es que el proveedor se encarga de gestionar tanto la infraestructura </w:t>
      </w:r>
      <w:proofErr w:type="gramStart"/>
      <w:r w:rsidRPr="0FE4D5DF">
        <w:rPr>
          <w:lang w:val="en-US"/>
        </w:rPr>
        <w:t>como</w:t>
      </w:r>
      <w:proofErr w:type="gramEnd"/>
      <w:r w:rsidRPr="0FE4D5DF">
        <w:rPr>
          <w:lang w:val="en-US"/>
        </w:rPr>
        <w:t xml:space="preserve"> la expansión de las aplicaciones. </w:t>
      </w:r>
    </w:p>
    <w:p w14:paraId="24190970" w14:textId="77777777" w:rsidR="0035403C" w:rsidRDefault="00D02C31">
      <w:pPr>
        <w:pStyle w:val="Ttulo1"/>
      </w:pPr>
      <w:bookmarkStart w:id="86" w:name="_heading=h.pkwqa1" w:colFirst="0" w:colLast="0"/>
      <w:bookmarkEnd w:id="86"/>
      <w:r>
        <w:t>USO DE ARQUITECTURAS DE MICROSERVICIOS</w:t>
      </w:r>
    </w:p>
    <w:p w14:paraId="5EA3A5C3" w14:textId="77777777" w:rsidR="0035403C" w:rsidRDefault="00D02C31">
      <w:pPr>
        <w:jc w:val="both"/>
      </w:pPr>
      <w:r w:rsidRPr="0FE4D5DF">
        <w:rPr>
          <w:lang w:val="en-US"/>
        </w:rPr>
        <w:t xml:space="preserve">La idea de tener </w:t>
      </w:r>
      <w:proofErr w:type="gramStart"/>
      <w:r w:rsidRPr="0FE4D5DF">
        <w:rPr>
          <w:lang w:val="en-US"/>
        </w:rPr>
        <w:t>un</w:t>
      </w:r>
      <w:proofErr w:type="gramEnd"/>
      <w:r w:rsidRPr="0FE4D5DF">
        <w:rPr>
          <w:lang w:val="en-US"/>
        </w:rPr>
        <w:t xml:space="preserve"> microservicio es llevar a expresiones más pequeñas, es decir, tener programas lógicos más pequeños que funcionen con su propia base y su código separado, haciéndose desplegable y escalable de forma independiente. Cada uno de estos microservicios proporcionan </w:t>
      </w:r>
      <w:proofErr w:type="gramStart"/>
      <w:r w:rsidRPr="0FE4D5DF">
        <w:rPr>
          <w:lang w:val="en-US"/>
        </w:rPr>
        <w:t>un</w:t>
      </w:r>
      <w:proofErr w:type="gramEnd"/>
      <w:r w:rsidRPr="0FE4D5DF">
        <w:rPr>
          <w:lang w:val="en-US"/>
        </w:rPr>
        <w:t xml:space="preserve"> límite firme, permitiendo que diferentes servicios se escriban en diferentes lenguajes de programación. </w:t>
      </w:r>
      <w:proofErr w:type="gramStart"/>
      <w:r w:rsidRPr="0FE4D5DF">
        <w:rPr>
          <w:lang w:val="en-US"/>
        </w:rPr>
        <w:t>En esta arquitectura, la aplicación se divide en pequeñas piezas autónomas que pueden ser escaladas individualmente.</w:t>
      </w:r>
      <w:proofErr w:type="gramEnd"/>
      <w:r w:rsidRPr="0FE4D5DF">
        <w:rPr>
          <w:lang w:val="en-US"/>
        </w:rPr>
        <w:t xml:space="preserve"> Esto permite que la aplicación sea escalable horizontalmente, se pueden agregar más instancias de </w:t>
      </w:r>
      <w:proofErr w:type="gramStart"/>
      <w:r w:rsidRPr="0FE4D5DF">
        <w:rPr>
          <w:lang w:val="en-US"/>
        </w:rPr>
        <w:t>un</w:t>
      </w:r>
      <w:proofErr w:type="gramEnd"/>
      <w:r w:rsidRPr="0FE4D5DF">
        <w:rPr>
          <w:lang w:val="en-US"/>
        </w:rPr>
        <w:t xml:space="preserve"> servicio específico para poder manejar una carga más adecuada en el momento que se lo necesite. </w:t>
      </w:r>
      <w:proofErr w:type="gramStart"/>
      <w:r w:rsidRPr="0FE4D5DF">
        <w:rPr>
          <w:lang w:val="en-US"/>
        </w:rPr>
        <w:t>Cada uno de los módulos de servicios son los responsables de conservar sus propios datos o estado externo.</w:t>
      </w:r>
      <w:proofErr w:type="gramEnd"/>
      <w:r w:rsidRPr="0FE4D5DF">
        <w:rPr>
          <w:lang w:val="en-US"/>
        </w:rPr>
        <w:t xml:space="preserve"> Esto difiere </w:t>
      </w:r>
      <w:proofErr w:type="gramStart"/>
      <w:r w:rsidRPr="0FE4D5DF">
        <w:rPr>
          <w:lang w:val="en-US"/>
        </w:rPr>
        <w:t>del</w:t>
      </w:r>
      <w:proofErr w:type="gramEnd"/>
      <w:r w:rsidRPr="0FE4D5DF">
        <w:rPr>
          <w:lang w:val="en-US"/>
        </w:rPr>
        <w:t xml:space="preserve"> modelo tradicional, donde una capa de datos independiente controla la persistencia de los datos.</w:t>
      </w:r>
    </w:p>
    <w:p w14:paraId="06971CD3" w14:textId="77777777" w:rsidR="0035403C" w:rsidRDefault="0035403C">
      <w:pPr>
        <w:jc w:val="both"/>
      </w:pPr>
    </w:p>
    <w:p w14:paraId="2A1F701D" w14:textId="77777777" w:rsidR="0035403C" w:rsidRDefault="00D02C31">
      <w:pPr>
        <w:keepNext/>
        <w:jc w:val="both"/>
      </w:pPr>
      <w:r>
        <w:rPr>
          <w:noProof/>
          <w:lang w:eastAsia="es-AR"/>
        </w:rPr>
        <w:drawing>
          <wp:inline distT="0" distB="0" distL="0" distR="0" wp14:anchorId="49F574C3" wp14:editId="07777777">
            <wp:extent cx="5664200" cy="2291715"/>
            <wp:effectExtent l="0" t="0" r="0" b="0"/>
            <wp:docPr id="158" name="image26.png" descr="Diagrama lógico del estilo de arquitectura de microservicios."/>
            <wp:cNvGraphicFramePr/>
            <a:graphic xmlns:a="http://schemas.openxmlformats.org/drawingml/2006/main">
              <a:graphicData uri="http://schemas.openxmlformats.org/drawingml/2006/picture">
                <pic:pic xmlns:pic="http://schemas.openxmlformats.org/drawingml/2006/picture">
                  <pic:nvPicPr>
                    <pic:cNvPr id="0" name="image26.png" descr="Diagrama lógico del estilo de arquitectura de microservicios."/>
                    <pic:cNvPicPr preferRelativeResize="0"/>
                  </pic:nvPicPr>
                  <pic:blipFill>
                    <a:blip r:embed="rId38"/>
                    <a:srcRect/>
                    <a:stretch>
                      <a:fillRect/>
                    </a:stretch>
                  </pic:blipFill>
                  <pic:spPr>
                    <a:xfrm>
                      <a:off x="0" y="0"/>
                      <a:ext cx="5664200" cy="2291715"/>
                    </a:xfrm>
                    <a:prstGeom prst="rect">
                      <a:avLst/>
                    </a:prstGeom>
                    <a:ln/>
                  </pic:spPr>
                </pic:pic>
              </a:graphicData>
            </a:graphic>
          </wp:inline>
        </w:drawing>
      </w:r>
    </w:p>
    <w:p w14:paraId="25E32938" w14:textId="77777777" w:rsidR="0035403C" w:rsidRDefault="00D02C31" w:rsidP="17FBBB8B">
      <w:pPr>
        <w:pBdr>
          <w:top w:val="nil"/>
          <w:left w:val="nil"/>
          <w:bottom w:val="nil"/>
          <w:right w:val="nil"/>
          <w:between w:val="nil"/>
        </w:pBdr>
        <w:spacing w:after="200"/>
        <w:jc w:val="both"/>
        <w:rPr>
          <w:i/>
          <w:iCs/>
          <w:color w:val="1F497D"/>
          <w:sz w:val="18"/>
          <w:szCs w:val="18"/>
          <w:lang w:val="en-US"/>
        </w:rPr>
      </w:pPr>
      <w:bookmarkStart w:id="87" w:name="_heading=h.39kk8xu"/>
      <w:bookmarkEnd w:id="87"/>
      <w:r w:rsidRPr="17FBBB8B">
        <w:rPr>
          <w:i/>
          <w:iCs/>
          <w:color w:val="1F497D" w:themeColor="text2"/>
          <w:sz w:val="18"/>
          <w:szCs w:val="18"/>
          <w:lang w:val="en-US"/>
        </w:rPr>
        <w:t>Ilustración 25 - Arquitectura simple de microservicios</w:t>
      </w:r>
    </w:p>
    <w:p w14:paraId="62E08ACD" w14:textId="77777777" w:rsidR="0035403C" w:rsidRDefault="00D02C31">
      <w:pPr>
        <w:pStyle w:val="Ttulo1"/>
      </w:pPr>
      <w:bookmarkStart w:id="88" w:name="_heading=h.1opuj5n" w:colFirst="0" w:colLast="0"/>
      <w:bookmarkEnd w:id="88"/>
      <w:r>
        <w:lastRenderedPageBreak/>
        <w:t>USO DE CONTENEDORES</w:t>
      </w:r>
    </w:p>
    <w:p w14:paraId="5EB0D6F8" w14:textId="77777777" w:rsidR="0035403C" w:rsidRDefault="00D02C31">
      <w:pPr>
        <w:jc w:val="both"/>
      </w:pPr>
      <w:proofErr w:type="gramStart"/>
      <w:r w:rsidRPr="0FE4D5DF">
        <w:rPr>
          <w:lang w:val="en-US"/>
        </w:rPr>
        <w:t>Los contenedores son unidades estandarizadas que incluyen todo lo necesario para que el software se ejecute dentro, incluidas bibliotecas, código y herramientas de sistema.</w:t>
      </w:r>
      <w:proofErr w:type="gramEnd"/>
      <w:r w:rsidRPr="0FE4D5DF">
        <w:rPr>
          <w:lang w:val="en-US"/>
        </w:rPr>
        <w:t xml:space="preserve"> </w:t>
      </w:r>
      <w:proofErr w:type="gramStart"/>
      <w:r w:rsidRPr="0FE4D5DF">
        <w:rPr>
          <w:lang w:val="en-US"/>
        </w:rPr>
        <w:t>Permiten empaquetar a las aplicaciones y sus dependencias, que luego puede ser ejecutado de manera consistente en diferentes entornos.</w:t>
      </w:r>
      <w:proofErr w:type="gramEnd"/>
      <w:r w:rsidRPr="0FE4D5DF">
        <w:rPr>
          <w:lang w:val="en-US"/>
        </w:rPr>
        <w:t xml:space="preserve"> </w:t>
      </w:r>
      <w:proofErr w:type="gramStart"/>
      <w:r w:rsidRPr="0FE4D5DF">
        <w:rPr>
          <w:lang w:val="en-US"/>
        </w:rPr>
        <w:t>Esto permite una mayor portabilidad y escalabilidad, ya que se pueden clonar los contenedores de manera individual en diferentes servidores.</w:t>
      </w:r>
      <w:proofErr w:type="gramEnd"/>
      <w:r w:rsidRPr="0FE4D5DF">
        <w:rPr>
          <w:lang w:val="en-US"/>
        </w:rPr>
        <w:t xml:space="preserve"> De manera similar a cómo una máquina virtual, que virtualiza el hardware </w:t>
      </w:r>
      <w:proofErr w:type="gramStart"/>
      <w:r w:rsidRPr="0FE4D5DF">
        <w:rPr>
          <w:lang w:val="en-US"/>
        </w:rPr>
        <w:t>del</w:t>
      </w:r>
      <w:proofErr w:type="gramEnd"/>
      <w:r w:rsidRPr="0FE4D5DF">
        <w:rPr>
          <w:lang w:val="en-US"/>
        </w:rPr>
        <w:t xml:space="preserve"> servidor y elimina la necesidad de administrar directamente, los contenedores virtualizan el sistema operativo de un servidor con lo mínimo y necesario, ahorrando todo tipo de recursos. Existen diferentes plataformas de software que permiten crear, probar e implementar </w:t>
      </w:r>
      <w:proofErr w:type="gramStart"/>
      <w:r w:rsidRPr="0FE4D5DF">
        <w:rPr>
          <w:lang w:val="en-US"/>
        </w:rPr>
        <w:t>este</w:t>
      </w:r>
      <w:proofErr w:type="gramEnd"/>
      <w:r w:rsidRPr="0FE4D5DF">
        <w:rPr>
          <w:lang w:val="en-US"/>
        </w:rPr>
        <w:t xml:space="preserve"> tipo de aplicaciones rápidamente. </w:t>
      </w:r>
    </w:p>
    <w:p w14:paraId="03EFCA41" w14:textId="77777777" w:rsidR="0035403C" w:rsidRDefault="0035403C">
      <w:pPr>
        <w:jc w:val="both"/>
      </w:pPr>
    </w:p>
    <w:p w14:paraId="5F96A722" w14:textId="77777777" w:rsidR="0035403C" w:rsidRDefault="00D02C31">
      <w:pPr>
        <w:keepNext/>
        <w:jc w:val="both"/>
      </w:pPr>
      <w:r>
        <w:rPr>
          <w:noProof/>
          <w:lang w:eastAsia="es-AR"/>
        </w:rPr>
        <w:drawing>
          <wp:inline distT="0" distB="0" distL="0" distR="0" wp14:anchorId="16393F33" wp14:editId="07777777">
            <wp:extent cx="5664200" cy="2922270"/>
            <wp:effectExtent l="0" t="0" r="0" b="0"/>
            <wp:docPr id="159"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39"/>
                    <a:srcRect/>
                    <a:stretch>
                      <a:fillRect/>
                    </a:stretch>
                  </pic:blipFill>
                  <pic:spPr>
                    <a:xfrm>
                      <a:off x="0" y="0"/>
                      <a:ext cx="5664200" cy="2922270"/>
                    </a:xfrm>
                    <a:prstGeom prst="rect">
                      <a:avLst/>
                    </a:prstGeom>
                    <a:ln/>
                  </pic:spPr>
                </pic:pic>
              </a:graphicData>
            </a:graphic>
          </wp:inline>
        </w:drawing>
      </w:r>
    </w:p>
    <w:p w14:paraId="27008032" w14:textId="77777777" w:rsidR="0035403C" w:rsidRDefault="00D02C31" w:rsidP="0FE4D5DF">
      <w:pPr>
        <w:pBdr>
          <w:top w:val="nil"/>
          <w:left w:val="nil"/>
          <w:bottom w:val="nil"/>
          <w:right w:val="nil"/>
          <w:between w:val="nil"/>
        </w:pBdr>
        <w:spacing w:after="200"/>
        <w:jc w:val="both"/>
        <w:rPr>
          <w:i/>
          <w:iCs/>
          <w:color w:val="1F497D"/>
          <w:sz w:val="18"/>
          <w:szCs w:val="18"/>
          <w:lang w:val="en-US"/>
        </w:rPr>
      </w:pPr>
      <w:bookmarkStart w:id="89" w:name="_heading=h.48pi1tg"/>
      <w:bookmarkEnd w:id="89"/>
      <w:r w:rsidRPr="0FE4D5DF">
        <w:rPr>
          <w:i/>
          <w:iCs/>
          <w:color w:val="1F497D" w:themeColor="text2"/>
          <w:sz w:val="18"/>
          <w:szCs w:val="18"/>
          <w:lang w:val="en-US"/>
        </w:rPr>
        <w:t>Ilustración 26 - Diferencia entre contenedor y VM</w:t>
      </w:r>
    </w:p>
    <w:p w14:paraId="290DEB67" w14:textId="77777777" w:rsidR="0035403C" w:rsidRDefault="00D02C31">
      <w:pPr>
        <w:pStyle w:val="Ttulo1"/>
      </w:pPr>
      <w:bookmarkStart w:id="90" w:name="_heading=h.2nusc19" w:colFirst="0" w:colLast="0"/>
      <w:bookmarkEnd w:id="90"/>
      <w:r>
        <w:t>USO DE API’S</w:t>
      </w:r>
    </w:p>
    <w:p w14:paraId="0C5D13B4" w14:textId="77777777" w:rsidR="0035403C" w:rsidRDefault="00D02C31">
      <w:pPr>
        <w:jc w:val="both"/>
      </w:pPr>
      <w:r w:rsidRPr="0FE4D5DF">
        <w:rPr>
          <w:lang w:val="en-US"/>
        </w:rPr>
        <w:t xml:space="preserve">En el contexto de las APIs (interfaz de programación de aplicaciones), la palabra aplicación se refiere a cualquier software con una función distinta y la interfaz puede considerarse </w:t>
      </w:r>
      <w:proofErr w:type="gramStart"/>
      <w:r w:rsidRPr="0FE4D5DF">
        <w:rPr>
          <w:lang w:val="en-US"/>
        </w:rPr>
        <w:t>como</w:t>
      </w:r>
      <w:proofErr w:type="gramEnd"/>
      <w:r w:rsidRPr="0FE4D5DF">
        <w:rPr>
          <w:lang w:val="en-US"/>
        </w:rPr>
        <w:t xml:space="preserve"> un contrato de servicio entre dos módulos diferentes. </w:t>
      </w:r>
      <w:proofErr w:type="gramStart"/>
      <w:r w:rsidRPr="0FE4D5DF">
        <w:rPr>
          <w:lang w:val="en-US"/>
        </w:rPr>
        <w:t>Las APIs empresariales aparecen de muchas formas y maneras, desde herramientas creadas internamente que son transparentes para los usuarios finales hasta herramientas estratégicas utilizadas para impulsar las relaciones comerciales y las asociaciones.</w:t>
      </w:r>
      <w:proofErr w:type="gramEnd"/>
      <w:r w:rsidRPr="0FE4D5DF">
        <w:rPr>
          <w:lang w:val="en-US"/>
        </w:rPr>
        <w:t xml:space="preserve"> Lo que se busca principalmente es:</w:t>
      </w:r>
    </w:p>
    <w:p w14:paraId="2D5AEAB5" w14:textId="77777777" w:rsidR="0035403C" w:rsidRDefault="00D02C31" w:rsidP="0FE4D5DF">
      <w:pPr>
        <w:numPr>
          <w:ilvl w:val="0"/>
          <w:numId w:val="37"/>
        </w:numPr>
        <w:pBdr>
          <w:top w:val="nil"/>
          <w:left w:val="nil"/>
          <w:bottom w:val="nil"/>
          <w:right w:val="nil"/>
          <w:between w:val="nil"/>
        </w:pBdr>
        <w:rPr>
          <w:color w:val="000000" w:themeColor="text1"/>
          <w:lang w:val="en-US"/>
        </w:rPr>
      </w:pPr>
      <w:r w:rsidRPr="0FE4D5DF">
        <w:rPr>
          <w:color w:val="000000" w:themeColor="text1"/>
          <w:lang w:val="en-US"/>
        </w:rPr>
        <w:t>Prestar un servicio valioso</w:t>
      </w:r>
    </w:p>
    <w:p w14:paraId="48F70799" w14:textId="77777777" w:rsidR="0035403C" w:rsidRDefault="00D02C31" w:rsidP="0FE4D5DF">
      <w:pPr>
        <w:numPr>
          <w:ilvl w:val="0"/>
          <w:numId w:val="37"/>
        </w:numPr>
        <w:pBdr>
          <w:top w:val="nil"/>
          <w:left w:val="nil"/>
          <w:bottom w:val="nil"/>
          <w:right w:val="nil"/>
          <w:between w:val="nil"/>
        </w:pBdr>
        <w:rPr>
          <w:color w:val="000000" w:themeColor="text1"/>
          <w:lang w:val="en-US"/>
        </w:rPr>
      </w:pPr>
      <w:r w:rsidRPr="0FE4D5DF">
        <w:rPr>
          <w:color w:val="000000" w:themeColor="text1"/>
          <w:lang w:val="en-US"/>
        </w:rPr>
        <w:t>Tener un plan y un modelo comercial</w:t>
      </w:r>
    </w:p>
    <w:p w14:paraId="748A7664" w14:textId="77777777" w:rsidR="0035403C" w:rsidRDefault="00D02C31" w:rsidP="0FE4D5DF">
      <w:pPr>
        <w:numPr>
          <w:ilvl w:val="0"/>
          <w:numId w:val="37"/>
        </w:numPr>
        <w:pBdr>
          <w:top w:val="nil"/>
          <w:left w:val="nil"/>
          <w:bottom w:val="nil"/>
          <w:right w:val="nil"/>
          <w:between w:val="nil"/>
        </w:pBdr>
        <w:rPr>
          <w:color w:val="000000" w:themeColor="text1"/>
          <w:lang w:val="en-US"/>
        </w:rPr>
      </w:pPr>
      <w:r w:rsidRPr="0FE4D5DF">
        <w:rPr>
          <w:color w:val="000000" w:themeColor="text1"/>
          <w:lang w:val="en-US"/>
        </w:rPr>
        <w:t>Permitir que sea simple, flexible y fácil de adoptar</w:t>
      </w:r>
    </w:p>
    <w:p w14:paraId="5D07B8D1" w14:textId="77777777" w:rsidR="0035403C" w:rsidRDefault="00D02C31" w:rsidP="0FE4D5DF">
      <w:pPr>
        <w:numPr>
          <w:ilvl w:val="0"/>
          <w:numId w:val="37"/>
        </w:numPr>
        <w:pBdr>
          <w:top w:val="nil"/>
          <w:left w:val="nil"/>
          <w:bottom w:val="nil"/>
          <w:right w:val="nil"/>
          <w:between w:val="nil"/>
        </w:pBdr>
        <w:rPr>
          <w:color w:val="000000" w:themeColor="text1"/>
          <w:lang w:val="en-US"/>
        </w:rPr>
      </w:pPr>
      <w:r w:rsidRPr="0FE4D5DF">
        <w:rPr>
          <w:color w:val="000000" w:themeColor="text1"/>
          <w:lang w:val="en-US"/>
        </w:rPr>
        <w:t>Permitir su gestión y medición</w:t>
      </w:r>
    </w:p>
    <w:p w14:paraId="2A457EE3" w14:textId="77777777" w:rsidR="0035403C" w:rsidRDefault="00D02C31" w:rsidP="0FE4D5DF">
      <w:pPr>
        <w:numPr>
          <w:ilvl w:val="0"/>
          <w:numId w:val="37"/>
        </w:numPr>
        <w:pBdr>
          <w:top w:val="nil"/>
          <w:left w:val="nil"/>
          <w:bottom w:val="nil"/>
          <w:right w:val="nil"/>
          <w:between w:val="nil"/>
        </w:pBdr>
        <w:rPr>
          <w:color w:val="000000" w:themeColor="text1"/>
          <w:lang w:val="en-US"/>
        </w:rPr>
      </w:pPr>
      <w:r w:rsidRPr="0FE4D5DF">
        <w:rPr>
          <w:color w:val="000000" w:themeColor="text1"/>
          <w:lang w:val="en-US"/>
        </w:rPr>
        <w:t>Ofrecer asistencia sólida a los desarrolladores</w:t>
      </w:r>
    </w:p>
    <w:p w14:paraId="5B95CD12" w14:textId="77777777" w:rsidR="0035403C" w:rsidRDefault="0035403C">
      <w:pPr>
        <w:jc w:val="both"/>
      </w:pPr>
    </w:p>
    <w:p w14:paraId="19192416" w14:textId="77777777" w:rsidR="0035403C" w:rsidRDefault="00D02C31">
      <w:pPr>
        <w:jc w:val="both"/>
      </w:pPr>
      <w:r w:rsidRPr="0FE4D5DF">
        <w:rPr>
          <w:lang w:val="en-US"/>
        </w:rPr>
        <w:t xml:space="preserve">Las API pueden clasificarse en cuatro categorías principales: </w:t>
      </w:r>
    </w:p>
    <w:p w14:paraId="29D6B04F" w14:textId="77777777" w:rsidR="0035403C" w:rsidRDefault="00D02C31">
      <w:pPr>
        <w:keepNext/>
        <w:jc w:val="both"/>
      </w:pPr>
      <w:r>
        <w:rPr>
          <w:b/>
          <w:color w:val="1F497D"/>
        </w:rPr>
        <w:t xml:space="preserve"> </w:t>
      </w:r>
      <w:r>
        <w:rPr>
          <w:rFonts w:ascii="Cambria" w:eastAsia="Cambria" w:hAnsi="Cambria" w:cs="Cambria"/>
          <w:noProof/>
          <w:lang w:eastAsia="es-AR"/>
        </w:rPr>
        <w:drawing>
          <wp:inline distT="0" distB="0" distL="0" distR="0" wp14:anchorId="584F9BE4" wp14:editId="07777777">
            <wp:extent cx="5664200" cy="870585"/>
            <wp:effectExtent l="0" t="0" r="0" b="0"/>
            <wp:docPr id="160" name="image34.png" descr="A picture containing screenshot, font, logo, symbol&#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4.png" descr="A picture containing screenshot, font, logo, symbol&#10;&#10;Description automatically generated"/>
                    <pic:cNvPicPr preferRelativeResize="0"/>
                  </pic:nvPicPr>
                  <pic:blipFill>
                    <a:blip r:embed="rId40"/>
                    <a:srcRect/>
                    <a:stretch>
                      <a:fillRect/>
                    </a:stretch>
                  </pic:blipFill>
                  <pic:spPr>
                    <a:xfrm>
                      <a:off x="0" y="0"/>
                      <a:ext cx="5664200" cy="870585"/>
                    </a:xfrm>
                    <a:prstGeom prst="rect">
                      <a:avLst/>
                    </a:prstGeom>
                    <a:ln/>
                  </pic:spPr>
                </pic:pic>
              </a:graphicData>
            </a:graphic>
          </wp:inline>
        </w:drawing>
      </w:r>
    </w:p>
    <w:p w14:paraId="1CFC5310" w14:textId="77777777" w:rsidR="0035403C" w:rsidRDefault="00D02C31" w:rsidP="0FE4D5DF">
      <w:pPr>
        <w:pBdr>
          <w:top w:val="nil"/>
          <w:left w:val="nil"/>
          <w:bottom w:val="nil"/>
          <w:right w:val="nil"/>
          <w:between w:val="nil"/>
        </w:pBdr>
        <w:spacing w:after="200"/>
        <w:jc w:val="both"/>
        <w:rPr>
          <w:b/>
          <w:bCs/>
          <w:i/>
          <w:iCs/>
          <w:color w:val="1F497D"/>
          <w:sz w:val="18"/>
          <w:szCs w:val="18"/>
          <w:lang w:val="en-US"/>
        </w:rPr>
      </w:pPr>
      <w:bookmarkStart w:id="91" w:name="_heading=h.1302m92"/>
      <w:bookmarkEnd w:id="91"/>
      <w:r w:rsidRPr="0FE4D5DF">
        <w:rPr>
          <w:i/>
          <w:iCs/>
          <w:color w:val="1F497D" w:themeColor="text2"/>
          <w:sz w:val="18"/>
          <w:szCs w:val="18"/>
          <w:lang w:val="en-US"/>
        </w:rPr>
        <w:t>Ilustración 27- Clasificación de APIs</w:t>
      </w:r>
    </w:p>
    <w:p w14:paraId="6ACC5608" w14:textId="77777777" w:rsidR="0035403C" w:rsidRDefault="00D02C31">
      <w:pPr>
        <w:pStyle w:val="Ttulo2"/>
      </w:pPr>
      <w:bookmarkStart w:id="92" w:name="_heading=h.3mzq4wv" w:colFirst="0" w:colLast="0"/>
      <w:bookmarkEnd w:id="92"/>
      <w:r>
        <w:t>Private APIs</w:t>
      </w:r>
    </w:p>
    <w:p w14:paraId="7A34F4A8" w14:textId="77777777" w:rsidR="0035403C" w:rsidRDefault="00D02C31">
      <w:pPr>
        <w:jc w:val="both"/>
      </w:pPr>
      <w:r w:rsidRPr="0FE4D5DF">
        <w:rPr>
          <w:lang w:val="en-US"/>
        </w:rPr>
        <w:t>La mayoría de las empresas encuentran valor en consumir sus API internas, ya que no se exponen públicamente. Cada departamento o unidad de negocio dentro de la compañía desarrolla a medida y dependiendo de las necesidades sus propias API, aunque a menudo existen silos de datos, con el resultado final de no conseguir las mejores ventajas de productividad posible.</w:t>
      </w:r>
    </w:p>
    <w:p w14:paraId="27FEBDAD" w14:textId="77777777" w:rsidR="0035403C" w:rsidRDefault="00D02C31" w:rsidP="0FE4D5DF">
      <w:pPr>
        <w:numPr>
          <w:ilvl w:val="0"/>
          <w:numId w:val="29"/>
        </w:numPr>
        <w:pBdr>
          <w:top w:val="nil"/>
          <w:left w:val="nil"/>
          <w:bottom w:val="nil"/>
          <w:right w:val="nil"/>
          <w:between w:val="nil"/>
        </w:pBdr>
        <w:jc w:val="both"/>
        <w:rPr>
          <w:color w:val="000000"/>
          <w:lang w:val="en-US"/>
        </w:rPr>
      </w:pPr>
      <w:r w:rsidRPr="0FE4D5DF">
        <w:rPr>
          <w:color w:val="000000" w:themeColor="text1"/>
          <w:lang w:val="en-US"/>
        </w:rPr>
        <w:t xml:space="preserve">Servicios internos creados por el equipo de desarrollo </w:t>
      </w:r>
    </w:p>
    <w:p w14:paraId="3000CEE8" w14:textId="77777777" w:rsidR="0035403C" w:rsidRDefault="00D02C31" w:rsidP="0FE4D5DF">
      <w:pPr>
        <w:numPr>
          <w:ilvl w:val="0"/>
          <w:numId w:val="29"/>
        </w:numPr>
        <w:pBdr>
          <w:top w:val="nil"/>
          <w:left w:val="nil"/>
          <w:bottom w:val="nil"/>
          <w:right w:val="nil"/>
          <w:between w:val="nil"/>
        </w:pBdr>
        <w:jc w:val="both"/>
        <w:rPr>
          <w:color w:val="000000"/>
          <w:lang w:val="en-US"/>
        </w:rPr>
      </w:pPr>
      <w:r w:rsidRPr="0FE4D5DF">
        <w:rPr>
          <w:color w:val="000000" w:themeColor="text1"/>
          <w:lang w:val="en-US"/>
        </w:rPr>
        <w:t xml:space="preserve">Se utilizan para crear aplicaciones y servicios </w:t>
      </w:r>
    </w:p>
    <w:p w14:paraId="4A591112" w14:textId="77777777" w:rsidR="0035403C" w:rsidRDefault="00D02C31" w:rsidP="0FE4D5DF">
      <w:pPr>
        <w:numPr>
          <w:ilvl w:val="0"/>
          <w:numId w:val="29"/>
        </w:numPr>
        <w:pBdr>
          <w:top w:val="nil"/>
          <w:left w:val="nil"/>
          <w:bottom w:val="nil"/>
          <w:right w:val="nil"/>
          <w:between w:val="nil"/>
        </w:pBdr>
        <w:jc w:val="both"/>
        <w:rPr>
          <w:color w:val="000000"/>
          <w:lang w:val="en-US"/>
        </w:rPr>
      </w:pPr>
      <w:r w:rsidRPr="0FE4D5DF">
        <w:rPr>
          <w:color w:val="000000" w:themeColor="text1"/>
          <w:lang w:val="en-US"/>
        </w:rPr>
        <w:t xml:space="preserve">No expuestas externamente </w:t>
      </w:r>
    </w:p>
    <w:p w14:paraId="0D6E8370" w14:textId="77777777" w:rsidR="0035403C" w:rsidRDefault="00D02C31">
      <w:pPr>
        <w:pStyle w:val="Ttulo2"/>
      </w:pPr>
      <w:bookmarkStart w:id="93" w:name="_heading=h.2250f4o" w:colFirst="0" w:colLast="0"/>
      <w:bookmarkEnd w:id="93"/>
      <w:r>
        <w:t>Partner APIs</w:t>
      </w:r>
    </w:p>
    <w:p w14:paraId="1CCA9C29" w14:textId="77777777" w:rsidR="0035403C" w:rsidRDefault="00D02C31">
      <w:pPr>
        <w:jc w:val="both"/>
      </w:pPr>
      <w:r w:rsidRPr="0FE4D5DF">
        <w:rPr>
          <w:lang w:val="en-US"/>
        </w:rPr>
        <w:t xml:space="preserve">Las integraciones con los “partners” permiten a las empresas potenciarse abriendo APIs claves a canales, socios y clientes. Se puede colaborar con otras empresas para crear soluciones únicas determinando siempre con la cuota de seguridad para controlar quién tiene acceso </w:t>
      </w:r>
      <w:proofErr w:type="gramStart"/>
      <w:r w:rsidRPr="0FE4D5DF">
        <w:rPr>
          <w:lang w:val="en-US"/>
        </w:rPr>
        <w:t>a</w:t>
      </w:r>
      <w:proofErr w:type="gramEnd"/>
      <w:r w:rsidRPr="0FE4D5DF">
        <w:rPr>
          <w:lang w:val="en-US"/>
        </w:rPr>
        <w:t xml:space="preserve"> ellas. </w:t>
      </w:r>
      <w:proofErr w:type="gramStart"/>
      <w:r w:rsidRPr="0FE4D5DF">
        <w:rPr>
          <w:lang w:val="en-US"/>
        </w:rPr>
        <w:t>Esto permite a las empresas reducir los esfuerzos de desarrollo a la vez que crean adherencia a sus aplicaciones y servicios.</w:t>
      </w:r>
      <w:proofErr w:type="gramEnd"/>
      <w:r w:rsidRPr="0FE4D5DF">
        <w:rPr>
          <w:lang w:val="en-US"/>
        </w:rPr>
        <w:t xml:space="preserve"> </w:t>
      </w:r>
    </w:p>
    <w:p w14:paraId="5166A0C1" w14:textId="77777777" w:rsidR="0035403C" w:rsidRDefault="00D02C31" w:rsidP="0FE4D5DF">
      <w:pPr>
        <w:numPr>
          <w:ilvl w:val="0"/>
          <w:numId w:val="25"/>
        </w:numPr>
        <w:pBdr>
          <w:top w:val="nil"/>
          <w:left w:val="nil"/>
          <w:bottom w:val="nil"/>
          <w:right w:val="nil"/>
          <w:between w:val="nil"/>
        </w:pBdr>
        <w:jc w:val="both"/>
        <w:rPr>
          <w:color w:val="000000"/>
          <w:lang w:val="en-US"/>
        </w:rPr>
      </w:pPr>
      <w:r w:rsidRPr="0FE4D5DF">
        <w:rPr>
          <w:color w:val="000000" w:themeColor="text1"/>
          <w:lang w:val="en-US"/>
        </w:rPr>
        <w:t xml:space="preserve">Potencian las integraciones con determinados socios y clientes </w:t>
      </w:r>
    </w:p>
    <w:p w14:paraId="6C4B42A1" w14:textId="77777777" w:rsidR="0035403C" w:rsidRDefault="00D02C31" w:rsidP="0FE4D5DF">
      <w:pPr>
        <w:numPr>
          <w:ilvl w:val="0"/>
          <w:numId w:val="23"/>
        </w:numPr>
        <w:pBdr>
          <w:top w:val="nil"/>
          <w:left w:val="nil"/>
          <w:bottom w:val="nil"/>
          <w:right w:val="nil"/>
          <w:between w:val="nil"/>
        </w:pBdr>
        <w:jc w:val="both"/>
        <w:rPr>
          <w:color w:val="000000"/>
          <w:lang w:val="en-US"/>
        </w:rPr>
      </w:pPr>
      <w:r w:rsidRPr="0FE4D5DF">
        <w:rPr>
          <w:color w:val="000000" w:themeColor="text1"/>
          <w:lang w:val="en-US"/>
        </w:rPr>
        <w:t xml:space="preserve">Expuestas en función de las necesidades </w:t>
      </w:r>
    </w:p>
    <w:p w14:paraId="3F171387" w14:textId="77777777" w:rsidR="0035403C" w:rsidRDefault="00D02C31" w:rsidP="0FE4D5DF">
      <w:pPr>
        <w:numPr>
          <w:ilvl w:val="0"/>
          <w:numId w:val="23"/>
        </w:numPr>
        <w:pBdr>
          <w:top w:val="nil"/>
          <w:left w:val="nil"/>
          <w:bottom w:val="nil"/>
          <w:right w:val="nil"/>
          <w:between w:val="nil"/>
        </w:pBdr>
        <w:jc w:val="both"/>
        <w:rPr>
          <w:color w:val="000000"/>
          <w:lang w:val="en-US"/>
        </w:rPr>
      </w:pPr>
      <w:r w:rsidRPr="0FE4D5DF">
        <w:rPr>
          <w:color w:val="000000" w:themeColor="text1"/>
          <w:lang w:val="en-US"/>
        </w:rPr>
        <w:t xml:space="preserve">Requiere un acuerdo o relación comercial directa </w:t>
      </w:r>
    </w:p>
    <w:p w14:paraId="574C76F0" w14:textId="77777777" w:rsidR="0035403C" w:rsidRDefault="00D02C31">
      <w:pPr>
        <w:pStyle w:val="Ttulo2"/>
      </w:pPr>
      <w:bookmarkStart w:id="94" w:name="_heading=h.haapch" w:colFirst="0" w:colLast="0"/>
      <w:bookmarkEnd w:id="94"/>
      <w:r>
        <w:t>3rd Party APIs</w:t>
      </w:r>
    </w:p>
    <w:p w14:paraId="4C537FA2" w14:textId="77777777" w:rsidR="0035403C" w:rsidRDefault="00D02C31">
      <w:pPr>
        <w:jc w:val="both"/>
      </w:pPr>
      <w:proofErr w:type="gramStart"/>
      <w:r w:rsidRPr="0FE4D5DF">
        <w:rPr>
          <w:lang w:val="en-US"/>
        </w:rPr>
        <w:t>Las API de terceros permiten proporcionar a los desarrolladores accesos a sus servicios web y aprovecharlas para el desarrollo de nuevas funciones y otros nuevos servicios.</w:t>
      </w:r>
      <w:proofErr w:type="gramEnd"/>
      <w:r w:rsidRPr="0FE4D5DF">
        <w:rPr>
          <w:lang w:val="en-US"/>
        </w:rPr>
        <w:t xml:space="preserve"> </w:t>
      </w:r>
      <w:proofErr w:type="gramStart"/>
      <w:r w:rsidRPr="0FE4D5DF">
        <w:rPr>
          <w:lang w:val="en-US"/>
        </w:rPr>
        <w:t>En los últimos 15 años, esta tendencia ha ido en aumento.</w:t>
      </w:r>
      <w:proofErr w:type="gramEnd"/>
      <w:r w:rsidRPr="0FE4D5DF">
        <w:rPr>
          <w:lang w:val="en-US"/>
        </w:rPr>
        <w:t xml:space="preserve"> Gracias a ello, las empresas pueden crear </w:t>
      </w:r>
      <w:proofErr w:type="gramStart"/>
      <w:r w:rsidRPr="0FE4D5DF">
        <w:rPr>
          <w:lang w:val="en-US"/>
        </w:rPr>
        <w:t>un</w:t>
      </w:r>
      <w:proofErr w:type="gramEnd"/>
      <w:r w:rsidRPr="0FE4D5DF">
        <w:rPr>
          <w:lang w:val="en-US"/>
        </w:rPr>
        <w:t xml:space="preserve"> canal de monetización totalmente nuevo o simplemente crear fidelidad a su producto. La clave está en entender cómo los usuarios externos van a participar y conectarse, y qué disponibilidad deben tener para ser consumida.</w:t>
      </w:r>
    </w:p>
    <w:p w14:paraId="0429F897" w14:textId="77777777" w:rsidR="0035403C" w:rsidRDefault="00D02C31" w:rsidP="0FE4D5DF">
      <w:pPr>
        <w:numPr>
          <w:ilvl w:val="0"/>
          <w:numId w:val="36"/>
        </w:numPr>
        <w:pBdr>
          <w:top w:val="nil"/>
          <w:left w:val="nil"/>
          <w:bottom w:val="nil"/>
          <w:right w:val="nil"/>
          <w:between w:val="nil"/>
        </w:pBdr>
        <w:jc w:val="both"/>
        <w:rPr>
          <w:color w:val="000000"/>
          <w:lang w:val="en-US"/>
        </w:rPr>
      </w:pPr>
      <w:r w:rsidRPr="0FE4D5DF">
        <w:rPr>
          <w:color w:val="000000" w:themeColor="text1"/>
          <w:lang w:val="en-US"/>
        </w:rPr>
        <w:t xml:space="preserve">Aplicaciones e integraciones creadas por la comunidad </w:t>
      </w:r>
    </w:p>
    <w:p w14:paraId="45EEA938" w14:textId="77777777" w:rsidR="0035403C" w:rsidRDefault="00D02C31" w:rsidP="0FE4D5DF">
      <w:pPr>
        <w:numPr>
          <w:ilvl w:val="0"/>
          <w:numId w:val="36"/>
        </w:numPr>
        <w:pBdr>
          <w:top w:val="nil"/>
          <w:left w:val="nil"/>
          <w:bottom w:val="nil"/>
          <w:right w:val="nil"/>
          <w:between w:val="nil"/>
        </w:pBdr>
        <w:jc w:val="both"/>
        <w:rPr>
          <w:color w:val="000000"/>
          <w:lang w:val="en-US"/>
        </w:rPr>
      </w:pPr>
      <w:r w:rsidRPr="0FE4D5DF">
        <w:rPr>
          <w:color w:val="000000" w:themeColor="text1"/>
          <w:lang w:val="en-US"/>
        </w:rPr>
        <w:t xml:space="preserve">Expuestas ampliamente en régimen de autoservicio </w:t>
      </w:r>
    </w:p>
    <w:p w14:paraId="6FCD76BA" w14:textId="77777777" w:rsidR="0035403C" w:rsidRDefault="00D02C31" w:rsidP="0FE4D5DF">
      <w:pPr>
        <w:numPr>
          <w:ilvl w:val="0"/>
          <w:numId w:val="36"/>
        </w:numPr>
        <w:pBdr>
          <w:top w:val="nil"/>
          <w:left w:val="nil"/>
          <w:bottom w:val="nil"/>
          <w:right w:val="nil"/>
          <w:between w:val="nil"/>
        </w:pBdr>
        <w:jc w:val="both"/>
        <w:rPr>
          <w:color w:val="000000"/>
          <w:lang w:val="en-US"/>
        </w:rPr>
      </w:pPr>
      <w:r w:rsidRPr="0FE4D5DF">
        <w:rPr>
          <w:color w:val="000000" w:themeColor="text1"/>
          <w:lang w:val="en-US"/>
        </w:rPr>
        <w:t xml:space="preserve">Abre la innovación </w:t>
      </w:r>
    </w:p>
    <w:p w14:paraId="1BAE11D7" w14:textId="77777777" w:rsidR="0035403C" w:rsidRDefault="00D02C31">
      <w:pPr>
        <w:pStyle w:val="Ttulo2"/>
      </w:pPr>
      <w:bookmarkStart w:id="95" w:name="_heading=h.319y80a" w:colFirst="0" w:colLast="0"/>
      <w:bookmarkEnd w:id="95"/>
      <w:r>
        <w:t>Public APIs</w:t>
      </w:r>
    </w:p>
    <w:p w14:paraId="7F5603F1" w14:textId="77777777" w:rsidR="0035403C" w:rsidRDefault="00D02C31">
      <w:pPr>
        <w:jc w:val="both"/>
      </w:pPr>
      <w:r w:rsidRPr="0FE4D5DF">
        <w:rPr>
          <w:lang w:val="en-US"/>
        </w:rPr>
        <w:t xml:space="preserve">Se </w:t>
      </w:r>
      <w:proofErr w:type="gramStart"/>
      <w:r w:rsidRPr="0FE4D5DF">
        <w:rPr>
          <w:lang w:val="en-US"/>
        </w:rPr>
        <w:t>han</w:t>
      </w:r>
      <w:proofErr w:type="gramEnd"/>
      <w:r w:rsidRPr="0FE4D5DF">
        <w:rPr>
          <w:lang w:val="en-US"/>
        </w:rPr>
        <w:t xml:space="preserve"> desarrollado microservicios para diferentes funciones útiles para las empresas, como puede ser la facturación, el envío de correos electrónicos o el almacenamiento de archivos. </w:t>
      </w:r>
      <w:proofErr w:type="gramStart"/>
      <w:r w:rsidRPr="0FE4D5DF">
        <w:rPr>
          <w:lang w:val="en-US"/>
        </w:rPr>
        <w:t xml:space="preserve">Las empresas que se dedican a la generación de API públicas surgieron para proporcionar </w:t>
      </w:r>
      <w:r w:rsidRPr="0FE4D5DF">
        <w:rPr>
          <w:lang w:val="en-US"/>
        </w:rPr>
        <w:lastRenderedPageBreak/>
        <w:t>funcionalidades comunes que muchos necesitan.</w:t>
      </w:r>
      <w:proofErr w:type="gramEnd"/>
      <w:r w:rsidRPr="0FE4D5DF">
        <w:rPr>
          <w:lang w:val="en-US"/>
        </w:rPr>
        <w:t xml:space="preserve"> </w:t>
      </w:r>
      <w:proofErr w:type="gramStart"/>
      <w:r w:rsidRPr="0FE4D5DF">
        <w:rPr>
          <w:lang w:val="en-US"/>
        </w:rPr>
        <w:t>Este tipo de implementaciones aceleran el desarrollo y la innovación.</w:t>
      </w:r>
      <w:proofErr w:type="gramEnd"/>
    </w:p>
    <w:p w14:paraId="19368EDB" w14:textId="77777777" w:rsidR="0035403C" w:rsidRDefault="00D02C31" w:rsidP="0FE4D5DF">
      <w:pPr>
        <w:numPr>
          <w:ilvl w:val="0"/>
          <w:numId w:val="30"/>
        </w:numPr>
        <w:pBdr>
          <w:top w:val="nil"/>
          <w:left w:val="nil"/>
          <w:bottom w:val="nil"/>
          <w:right w:val="nil"/>
          <w:between w:val="nil"/>
        </w:pBdr>
        <w:jc w:val="both"/>
        <w:rPr>
          <w:color w:val="000000"/>
          <w:lang w:val="en-US"/>
        </w:rPr>
      </w:pPr>
      <w:r w:rsidRPr="0FE4D5DF">
        <w:rPr>
          <w:color w:val="000000" w:themeColor="text1"/>
          <w:lang w:val="en-US"/>
        </w:rPr>
        <w:t xml:space="preserve">Utilizadas por los desarrolladores para acelerar el desarrollo </w:t>
      </w:r>
    </w:p>
    <w:p w14:paraId="19435239" w14:textId="77777777" w:rsidR="0035403C" w:rsidRDefault="00D02C31" w:rsidP="0FE4D5DF">
      <w:pPr>
        <w:numPr>
          <w:ilvl w:val="0"/>
          <w:numId w:val="30"/>
        </w:numPr>
        <w:pBdr>
          <w:top w:val="nil"/>
          <w:left w:val="nil"/>
          <w:bottom w:val="nil"/>
          <w:right w:val="nil"/>
          <w:between w:val="nil"/>
        </w:pBdr>
        <w:jc w:val="both"/>
        <w:rPr>
          <w:color w:val="000000"/>
          <w:lang w:val="en-US"/>
        </w:rPr>
      </w:pPr>
      <w:r w:rsidRPr="0FE4D5DF">
        <w:rPr>
          <w:color w:val="000000" w:themeColor="text1"/>
          <w:lang w:val="en-US"/>
        </w:rPr>
        <w:t xml:space="preserve">Los desarrolladores pueden integrarlas ad hoc </w:t>
      </w:r>
    </w:p>
    <w:p w14:paraId="2D3764F4" w14:textId="77777777" w:rsidR="0035403C" w:rsidRDefault="00D02C31" w:rsidP="0FE4D5DF">
      <w:pPr>
        <w:numPr>
          <w:ilvl w:val="0"/>
          <w:numId w:val="30"/>
        </w:numPr>
        <w:pBdr>
          <w:top w:val="nil"/>
          <w:left w:val="nil"/>
          <w:bottom w:val="nil"/>
          <w:right w:val="nil"/>
          <w:between w:val="nil"/>
        </w:pBdr>
        <w:jc w:val="both"/>
        <w:rPr>
          <w:color w:val="000000"/>
          <w:lang w:val="en-US"/>
        </w:rPr>
      </w:pPr>
      <w:r w:rsidRPr="0FE4D5DF">
        <w:rPr>
          <w:color w:val="000000" w:themeColor="text1"/>
          <w:lang w:val="en-US"/>
        </w:rPr>
        <w:t>Se utilizan para infraestructuras y funcionalidades básicas</w:t>
      </w:r>
    </w:p>
    <w:p w14:paraId="2F1B478F" w14:textId="77777777" w:rsidR="0035403C" w:rsidRDefault="00D02C31">
      <w:pPr>
        <w:pStyle w:val="Ttulo1"/>
      </w:pPr>
      <w:bookmarkStart w:id="96" w:name="_heading=h.1gf8i83" w:colFirst="0" w:colLast="0"/>
      <w:bookmarkEnd w:id="96"/>
      <w:r>
        <w:t>USO DE API MANAGERS</w:t>
      </w:r>
    </w:p>
    <w:p w14:paraId="35834224" w14:textId="77777777" w:rsidR="0035403C" w:rsidRDefault="00D02C31">
      <w:pPr>
        <w:jc w:val="both"/>
      </w:pPr>
      <w:r w:rsidRPr="0FE4D5DF">
        <w:rPr>
          <w:lang w:val="en-US"/>
        </w:rPr>
        <w:t xml:space="preserve">Debido a la proliferación de las APIs y que se </w:t>
      </w:r>
      <w:proofErr w:type="gramStart"/>
      <w:r w:rsidRPr="0FE4D5DF">
        <w:rPr>
          <w:lang w:val="en-US"/>
        </w:rPr>
        <w:t>han</w:t>
      </w:r>
      <w:proofErr w:type="gramEnd"/>
      <w:r w:rsidRPr="0FE4D5DF">
        <w:rPr>
          <w:lang w:val="en-US"/>
        </w:rPr>
        <w:t xml:space="preserve"> convertido en un componente clave para la modernización de las empresas, donde debe existir la alta disponibilidad de recursos y nuevos canales para llegar a los clientes, es necesario que estas nuevas arquitecturas funcionen como tejido conectivo que vincula sistemas y datos. Cuando se analiza la base de la gestión, se refiere a que es necesario poseer los procesos de distribución, control y análisis de las </w:t>
      </w:r>
      <w:hyperlink r:id="rId41">
        <w:r w:rsidRPr="0FE4D5DF">
          <w:rPr>
            <w:lang w:val="en-US"/>
          </w:rPr>
          <w:t>API</w:t>
        </w:r>
      </w:hyperlink>
      <w:r w:rsidRPr="0FE4D5DF">
        <w:rPr>
          <w:lang w:val="en-US"/>
        </w:rPr>
        <w:t> que conectan las aplicaciones y los datos en toda la empresa y sus partners en las diferentes nubes. Debido a esto, existen plataformas dedicadas, cuyo objetivo principal es permitir que las empresas que generan o que utilizan APIs, supervisen la actividad y garanticen que se satisfagan su uso de conformidad con las políticas corporativas, y posibilita su control con los niveles de seguridad adecuados, ya que, en muchos casos, los servicios pueden requerir políticas de seguridad diferentes. Sus componentes principales son:</w:t>
      </w:r>
    </w:p>
    <w:p w14:paraId="5220BBB2" w14:textId="77777777" w:rsidR="0035403C" w:rsidRDefault="0035403C">
      <w:pPr>
        <w:jc w:val="both"/>
      </w:pPr>
    </w:p>
    <w:p w14:paraId="13CB595B" w14:textId="77777777" w:rsidR="0035403C" w:rsidRDefault="00D02C31">
      <w:pPr>
        <w:keepNext/>
        <w:jc w:val="both"/>
      </w:pPr>
      <w:r>
        <w:rPr>
          <w:noProof/>
          <w:lang w:eastAsia="es-AR"/>
        </w:rPr>
        <w:drawing>
          <wp:inline distT="0" distB="0" distL="0" distR="0" wp14:anchorId="73D84AB9" wp14:editId="07777777">
            <wp:extent cx="5664200" cy="4297045"/>
            <wp:effectExtent l="0" t="0" r="0" b="0"/>
            <wp:docPr id="140" name="image9.png" descr="API management Architecture"/>
            <wp:cNvGraphicFramePr/>
            <a:graphic xmlns:a="http://schemas.openxmlformats.org/drawingml/2006/main">
              <a:graphicData uri="http://schemas.openxmlformats.org/drawingml/2006/picture">
                <pic:pic xmlns:pic="http://schemas.openxmlformats.org/drawingml/2006/picture">
                  <pic:nvPicPr>
                    <pic:cNvPr id="0" name="image9.png" descr="API management Architecture"/>
                    <pic:cNvPicPr preferRelativeResize="0"/>
                  </pic:nvPicPr>
                  <pic:blipFill>
                    <a:blip r:embed="rId42"/>
                    <a:srcRect/>
                    <a:stretch>
                      <a:fillRect/>
                    </a:stretch>
                  </pic:blipFill>
                  <pic:spPr>
                    <a:xfrm>
                      <a:off x="0" y="0"/>
                      <a:ext cx="5664200" cy="4297045"/>
                    </a:xfrm>
                    <a:prstGeom prst="rect">
                      <a:avLst/>
                    </a:prstGeom>
                    <a:ln/>
                  </pic:spPr>
                </pic:pic>
              </a:graphicData>
            </a:graphic>
          </wp:inline>
        </w:drawing>
      </w:r>
    </w:p>
    <w:p w14:paraId="5E987AC4" w14:textId="77777777" w:rsidR="0035403C" w:rsidRDefault="00D02C31" w:rsidP="0FE4D5DF">
      <w:pPr>
        <w:pBdr>
          <w:top w:val="nil"/>
          <w:left w:val="nil"/>
          <w:bottom w:val="nil"/>
          <w:right w:val="nil"/>
          <w:between w:val="nil"/>
        </w:pBdr>
        <w:spacing w:after="200"/>
        <w:jc w:val="both"/>
        <w:rPr>
          <w:i/>
          <w:iCs/>
          <w:color w:val="000000"/>
          <w:sz w:val="18"/>
          <w:szCs w:val="18"/>
          <w:lang w:val="en-US"/>
        </w:rPr>
      </w:pPr>
      <w:bookmarkStart w:id="97" w:name="_heading=h.40ew0vw"/>
      <w:bookmarkEnd w:id="97"/>
      <w:r w:rsidRPr="0FE4D5DF">
        <w:rPr>
          <w:i/>
          <w:iCs/>
          <w:color w:val="1F497D" w:themeColor="text2"/>
          <w:sz w:val="18"/>
          <w:szCs w:val="18"/>
          <w:lang w:val="en-US"/>
        </w:rPr>
        <w:t>Ilustración 28 - Arquitectura de APIs Managers</w:t>
      </w:r>
    </w:p>
    <w:p w14:paraId="18224B4A" w14:textId="77777777" w:rsidR="0035403C" w:rsidRDefault="00D02C31">
      <w:pPr>
        <w:pStyle w:val="Ttulo2"/>
        <w:rPr>
          <w:rFonts w:ascii="Arial" w:eastAsia="Arial" w:hAnsi="Arial" w:cs="Arial"/>
          <w:color w:val="4D5156"/>
          <w:highlight w:val="white"/>
        </w:rPr>
      </w:pPr>
      <w:r>
        <w:lastRenderedPageBreak/>
        <w:t>API Portal</w:t>
      </w:r>
    </w:p>
    <w:p w14:paraId="4F0D5418" w14:textId="77777777" w:rsidR="0035403C" w:rsidRDefault="00D02C31">
      <w:pPr>
        <w:jc w:val="both"/>
      </w:pPr>
      <w:proofErr w:type="gramStart"/>
      <w:r w:rsidRPr="0FE4D5DF">
        <w:rPr>
          <w:lang w:val="en-US"/>
        </w:rPr>
        <w:t>Se trata únicamente de una interfaz entre el usuario y la aplicación, para que pueda ser configurada de manera fácil y accesible a través de cualquier browser.</w:t>
      </w:r>
      <w:proofErr w:type="gramEnd"/>
      <w:r w:rsidRPr="0FE4D5DF">
        <w:rPr>
          <w:lang w:val="en-US"/>
        </w:rPr>
        <w:t xml:space="preserve"> </w:t>
      </w:r>
      <w:proofErr w:type="gramStart"/>
      <w:r w:rsidRPr="0FE4D5DF">
        <w:rPr>
          <w:lang w:val="en-US"/>
        </w:rPr>
        <w:t>En algunos casos brinda el proceso para el diseño, publicación, documentación y análisis de APIs.</w:t>
      </w:r>
      <w:proofErr w:type="gramEnd"/>
      <w:r w:rsidRPr="0FE4D5DF">
        <w:rPr>
          <w:lang w:val="en-US"/>
        </w:rPr>
        <w:t xml:space="preserve">  Puede garantizar que tanto APIs públicas </w:t>
      </w:r>
      <w:proofErr w:type="gramStart"/>
      <w:r w:rsidRPr="0FE4D5DF">
        <w:rPr>
          <w:lang w:val="en-US"/>
        </w:rPr>
        <w:t>como</w:t>
      </w:r>
      <w:proofErr w:type="gramEnd"/>
      <w:r w:rsidRPr="0FE4D5DF">
        <w:rPr>
          <w:lang w:val="en-US"/>
        </w:rPr>
        <w:t xml:space="preserve"> internas funcionen correctamente y sean seguras controlando el acceso, nutriendo a la comunidad de suscriptores las actualizaciones y cambios, recopilar y analizar estadísticas de uso e informar sobre el rendimiento. Algunas de las competencias son:</w:t>
      </w:r>
    </w:p>
    <w:p w14:paraId="5223BABF" w14:textId="77777777" w:rsidR="0035403C" w:rsidRDefault="00D02C31" w:rsidP="0FE4D5DF">
      <w:pPr>
        <w:numPr>
          <w:ilvl w:val="0"/>
          <w:numId w:val="40"/>
        </w:numPr>
        <w:pBdr>
          <w:top w:val="nil"/>
          <w:left w:val="nil"/>
          <w:bottom w:val="nil"/>
          <w:right w:val="nil"/>
          <w:between w:val="nil"/>
        </w:pBdr>
        <w:rPr>
          <w:color w:val="000000"/>
          <w:lang w:val="en-US"/>
        </w:rPr>
      </w:pPr>
      <w:r w:rsidRPr="0FE4D5DF">
        <w:rPr>
          <w:color w:val="000000" w:themeColor="text1"/>
          <w:lang w:val="en-US"/>
        </w:rPr>
        <w:t>Diseño de APIs</w:t>
      </w:r>
    </w:p>
    <w:p w14:paraId="0E9D5665" w14:textId="77777777" w:rsidR="0035403C" w:rsidRDefault="00D02C31" w:rsidP="0FE4D5DF">
      <w:pPr>
        <w:numPr>
          <w:ilvl w:val="0"/>
          <w:numId w:val="40"/>
        </w:numPr>
        <w:pBdr>
          <w:top w:val="nil"/>
          <w:left w:val="nil"/>
          <w:bottom w:val="nil"/>
          <w:right w:val="nil"/>
          <w:between w:val="nil"/>
        </w:pBdr>
        <w:rPr>
          <w:color w:val="000000"/>
          <w:lang w:val="en-US"/>
        </w:rPr>
      </w:pPr>
      <w:r w:rsidRPr="0FE4D5DF">
        <w:rPr>
          <w:color w:val="000000" w:themeColor="text1"/>
          <w:lang w:val="en-US"/>
        </w:rPr>
        <w:t>Analítica</w:t>
      </w:r>
    </w:p>
    <w:p w14:paraId="63F978FA" w14:textId="77777777" w:rsidR="0035403C" w:rsidRDefault="00D02C31" w:rsidP="0FE4D5DF">
      <w:pPr>
        <w:numPr>
          <w:ilvl w:val="0"/>
          <w:numId w:val="40"/>
        </w:numPr>
        <w:pBdr>
          <w:top w:val="nil"/>
          <w:left w:val="nil"/>
          <w:bottom w:val="nil"/>
          <w:right w:val="nil"/>
          <w:between w:val="nil"/>
        </w:pBdr>
        <w:rPr>
          <w:color w:val="000000"/>
          <w:lang w:val="en-US"/>
        </w:rPr>
      </w:pPr>
      <w:r w:rsidRPr="0FE4D5DF">
        <w:rPr>
          <w:color w:val="000000" w:themeColor="text1"/>
          <w:lang w:val="en-US"/>
        </w:rPr>
        <w:t>Monetización</w:t>
      </w:r>
    </w:p>
    <w:p w14:paraId="3702F9EC" w14:textId="77777777" w:rsidR="0035403C" w:rsidRDefault="00D02C31" w:rsidP="0FE4D5DF">
      <w:pPr>
        <w:numPr>
          <w:ilvl w:val="0"/>
          <w:numId w:val="40"/>
        </w:numPr>
        <w:pBdr>
          <w:top w:val="nil"/>
          <w:left w:val="nil"/>
          <w:bottom w:val="nil"/>
          <w:right w:val="nil"/>
          <w:between w:val="nil"/>
        </w:pBdr>
        <w:rPr>
          <w:color w:val="000000"/>
          <w:lang w:val="en-US"/>
        </w:rPr>
      </w:pPr>
      <w:r w:rsidRPr="0FE4D5DF">
        <w:rPr>
          <w:color w:val="000000" w:themeColor="text1"/>
          <w:lang w:val="en-US"/>
        </w:rPr>
        <w:t>Gestiona Tráfico.</w:t>
      </w:r>
    </w:p>
    <w:p w14:paraId="4EFDE195" w14:textId="77777777" w:rsidR="0035403C" w:rsidRDefault="00D02C31" w:rsidP="0FE4D5DF">
      <w:pPr>
        <w:numPr>
          <w:ilvl w:val="0"/>
          <w:numId w:val="40"/>
        </w:numPr>
        <w:pBdr>
          <w:top w:val="nil"/>
          <w:left w:val="nil"/>
          <w:bottom w:val="nil"/>
          <w:right w:val="nil"/>
          <w:between w:val="nil"/>
        </w:pBdr>
        <w:rPr>
          <w:color w:val="000000"/>
          <w:lang w:val="en-US"/>
        </w:rPr>
      </w:pPr>
      <w:r w:rsidRPr="0FE4D5DF">
        <w:rPr>
          <w:color w:val="000000" w:themeColor="text1"/>
          <w:lang w:val="en-US"/>
        </w:rPr>
        <w:t>Interfases SSL.</w:t>
      </w:r>
    </w:p>
    <w:p w14:paraId="3CA25274" w14:textId="77777777" w:rsidR="0035403C" w:rsidRDefault="00D02C31" w:rsidP="0FE4D5DF">
      <w:pPr>
        <w:numPr>
          <w:ilvl w:val="0"/>
          <w:numId w:val="40"/>
        </w:numPr>
        <w:pBdr>
          <w:top w:val="nil"/>
          <w:left w:val="nil"/>
          <w:bottom w:val="nil"/>
          <w:right w:val="nil"/>
          <w:between w:val="nil"/>
        </w:pBdr>
        <w:rPr>
          <w:color w:val="000000"/>
          <w:lang w:val="en-US"/>
        </w:rPr>
      </w:pPr>
      <w:r w:rsidRPr="0FE4D5DF">
        <w:rPr>
          <w:color w:val="000000" w:themeColor="text1"/>
          <w:lang w:val="en-US"/>
        </w:rPr>
        <w:t>Redireccionamiento de peticiones.</w:t>
      </w:r>
    </w:p>
    <w:p w14:paraId="1700CEBB" w14:textId="77777777" w:rsidR="0035403C" w:rsidRDefault="00D02C31" w:rsidP="0FE4D5DF">
      <w:pPr>
        <w:numPr>
          <w:ilvl w:val="0"/>
          <w:numId w:val="40"/>
        </w:numPr>
        <w:pBdr>
          <w:top w:val="nil"/>
          <w:left w:val="nil"/>
          <w:bottom w:val="nil"/>
          <w:right w:val="nil"/>
          <w:between w:val="nil"/>
        </w:pBdr>
        <w:rPr>
          <w:color w:val="000000"/>
          <w:lang w:val="en-US"/>
        </w:rPr>
      </w:pPr>
      <w:r w:rsidRPr="0FE4D5DF">
        <w:rPr>
          <w:color w:val="000000" w:themeColor="text1"/>
          <w:lang w:val="en-US"/>
        </w:rPr>
        <w:t>Afinidad de sesión.</w:t>
      </w:r>
    </w:p>
    <w:p w14:paraId="282FE59B" w14:textId="77777777" w:rsidR="0035403C" w:rsidRDefault="00D02C31" w:rsidP="0FE4D5DF">
      <w:pPr>
        <w:numPr>
          <w:ilvl w:val="0"/>
          <w:numId w:val="40"/>
        </w:numPr>
        <w:pBdr>
          <w:top w:val="nil"/>
          <w:left w:val="nil"/>
          <w:bottom w:val="nil"/>
          <w:right w:val="nil"/>
          <w:between w:val="nil"/>
        </w:pBdr>
        <w:rPr>
          <w:color w:val="000000"/>
          <w:lang w:val="en-US"/>
        </w:rPr>
      </w:pPr>
      <w:r w:rsidRPr="0FE4D5DF">
        <w:rPr>
          <w:color w:val="000000" w:themeColor="text1"/>
          <w:lang w:val="en-US"/>
        </w:rPr>
        <w:t>Compatibilidad de protocolos (HTTP2 y WebSocket).</w:t>
      </w:r>
    </w:p>
    <w:p w14:paraId="3ADF778B" w14:textId="77777777" w:rsidR="0035403C" w:rsidRDefault="00D02C31">
      <w:pPr>
        <w:pStyle w:val="Ttulo2"/>
        <w:rPr>
          <w:rFonts w:ascii="Arial" w:eastAsia="Arial" w:hAnsi="Arial" w:cs="Arial"/>
          <w:color w:val="444444"/>
          <w:sz w:val="23"/>
          <w:szCs w:val="23"/>
          <w:highlight w:val="white"/>
        </w:rPr>
      </w:pPr>
      <w:bookmarkStart w:id="98" w:name="_heading=h.2fk6b3p" w:colFirst="0" w:colLast="0"/>
      <w:bookmarkEnd w:id="98"/>
      <w:r>
        <w:t>API GATEWAY</w:t>
      </w:r>
    </w:p>
    <w:p w14:paraId="7E715613" w14:textId="77777777" w:rsidR="0035403C" w:rsidRDefault="00D02C31">
      <w:pPr>
        <w:jc w:val="both"/>
      </w:pPr>
      <w:r w:rsidRPr="0FE4D5DF">
        <w:rPr>
          <w:lang w:val="en-US"/>
        </w:rPr>
        <w:t>Gestiona todas las tareas relacionadas con la aceptación y el procesamiento de las llamadas simultáneas a la API y el entorno al cual está expuesto. Algunas de las responsabilidades:</w:t>
      </w:r>
    </w:p>
    <w:p w14:paraId="3AF50B2D" w14:textId="77777777" w:rsidR="0035403C" w:rsidRDefault="00D02C31" w:rsidP="0FE4D5DF">
      <w:pPr>
        <w:numPr>
          <w:ilvl w:val="0"/>
          <w:numId w:val="45"/>
        </w:numPr>
        <w:pBdr>
          <w:top w:val="nil"/>
          <w:left w:val="nil"/>
          <w:bottom w:val="nil"/>
          <w:right w:val="nil"/>
          <w:between w:val="nil"/>
        </w:pBdr>
        <w:jc w:val="both"/>
        <w:rPr>
          <w:color w:val="000000"/>
          <w:lang w:val="en-US"/>
        </w:rPr>
      </w:pPr>
      <w:r w:rsidRPr="0FE4D5DF">
        <w:rPr>
          <w:color w:val="000000" w:themeColor="text1"/>
          <w:lang w:val="en-US"/>
        </w:rPr>
        <w:t>Balanceo de carga de la capa de comunicación</w:t>
      </w:r>
    </w:p>
    <w:p w14:paraId="415B3DDC" w14:textId="77777777" w:rsidR="0035403C" w:rsidRDefault="00D02C31" w:rsidP="0FE4D5DF">
      <w:pPr>
        <w:numPr>
          <w:ilvl w:val="0"/>
          <w:numId w:val="45"/>
        </w:numPr>
        <w:pBdr>
          <w:top w:val="nil"/>
          <w:left w:val="nil"/>
          <w:bottom w:val="nil"/>
          <w:right w:val="nil"/>
          <w:between w:val="nil"/>
        </w:pBdr>
        <w:jc w:val="both"/>
        <w:rPr>
          <w:color w:val="000000"/>
          <w:lang w:val="en-US"/>
        </w:rPr>
      </w:pPr>
      <w:r w:rsidRPr="0FE4D5DF">
        <w:rPr>
          <w:color w:val="000000" w:themeColor="text1"/>
          <w:lang w:val="en-US"/>
        </w:rPr>
        <w:t>Firewall de aplicación (WAF)</w:t>
      </w:r>
    </w:p>
    <w:p w14:paraId="3DEE50A2" w14:textId="77777777" w:rsidR="0035403C" w:rsidRDefault="00D02C31" w:rsidP="0FE4D5DF">
      <w:pPr>
        <w:numPr>
          <w:ilvl w:val="0"/>
          <w:numId w:val="45"/>
        </w:numPr>
        <w:pBdr>
          <w:top w:val="nil"/>
          <w:left w:val="nil"/>
          <w:bottom w:val="nil"/>
          <w:right w:val="nil"/>
          <w:between w:val="nil"/>
        </w:pBdr>
        <w:jc w:val="both"/>
        <w:rPr>
          <w:color w:val="000000"/>
          <w:lang w:val="en-US"/>
        </w:rPr>
      </w:pPr>
      <w:r w:rsidRPr="0FE4D5DF">
        <w:rPr>
          <w:color w:val="000000" w:themeColor="text1"/>
          <w:lang w:val="en-US"/>
        </w:rPr>
        <w:t>Monitoreo y la administración de versiones de la API</w:t>
      </w:r>
    </w:p>
    <w:p w14:paraId="1B79FB6A" w14:textId="77777777" w:rsidR="0035403C" w:rsidRDefault="00D02C31" w:rsidP="0FE4D5DF">
      <w:pPr>
        <w:numPr>
          <w:ilvl w:val="0"/>
          <w:numId w:val="45"/>
        </w:numPr>
        <w:pBdr>
          <w:top w:val="nil"/>
          <w:left w:val="nil"/>
          <w:bottom w:val="nil"/>
          <w:right w:val="nil"/>
          <w:between w:val="nil"/>
        </w:pBdr>
        <w:jc w:val="both"/>
        <w:rPr>
          <w:color w:val="000000"/>
          <w:lang w:val="en-US"/>
        </w:rPr>
      </w:pPr>
      <w:r w:rsidRPr="0FE4D5DF">
        <w:rPr>
          <w:color w:val="000000" w:themeColor="text1"/>
          <w:lang w:val="en-US"/>
        </w:rPr>
        <w:t>Control de la autorización y el acceso</w:t>
      </w:r>
    </w:p>
    <w:p w14:paraId="6D9C8D39" w14:textId="77777777" w:rsidR="0035403C" w:rsidRDefault="0035403C">
      <w:pPr>
        <w:jc w:val="both"/>
      </w:pPr>
    </w:p>
    <w:p w14:paraId="675E05EE" w14:textId="77777777" w:rsidR="0035403C" w:rsidRDefault="00D02C31">
      <w:pPr>
        <w:keepNext/>
        <w:jc w:val="both"/>
      </w:pPr>
      <w:r>
        <w:rPr>
          <w:noProof/>
          <w:lang w:eastAsia="es-AR"/>
        </w:rPr>
        <w:drawing>
          <wp:inline distT="0" distB="0" distL="0" distR="0" wp14:anchorId="5ED7F614" wp14:editId="07777777">
            <wp:extent cx="5664200" cy="2032000"/>
            <wp:effectExtent l="0" t="0" r="0" b="0"/>
            <wp:docPr id="141" name="image14.png" descr="A logo with arrows pointing to a shield and gea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4.png" descr="A logo with arrows pointing to a shield and gear&#10;&#10;Description automatically generated"/>
                    <pic:cNvPicPr preferRelativeResize="0"/>
                  </pic:nvPicPr>
                  <pic:blipFill>
                    <a:blip r:embed="rId43"/>
                    <a:srcRect/>
                    <a:stretch>
                      <a:fillRect/>
                    </a:stretch>
                  </pic:blipFill>
                  <pic:spPr>
                    <a:xfrm>
                      <a:off x="0" y="0"/>
                      <a:ext cx="5664200" cy="2032000"/>
                    </a:xfrm>
                    <a:prstGeom prst="rect">
                      <a:avLst/>
                    </a:prstGeom>
                    <a:ln/>
                  </pic:spPr>
                </pic:pic>
              </a:graphicData>
            </a:graphic>
          </wp:inline>
        </w:drawing>
      </w:r>
    </w:p>
    <w:p w14:paraId="0DC3E826" w14:textId="77777777" w:rsidR="0035403C" w:rsidRDefault="00D02C31" w:rsidP="0FE4D5DF">
      <w:pPr>
        <w:pBdr>
          <w:top w:val="nil"/>
          <w:left w:val="nil"/>
          <w:bottom w:val="nil"/>
          <w:right w:val="nil"/>
          <w:between w:val="nil"/>
        </w:pBdr>
        <w:spacing w:after="200"/>
        <w:jc w:val="both"/>
        <w:rPr>
          <w:i/>
          <w:iCs/>
          <w:color w:val="1F497D"/>
          <w:sz w:val="18"/>
          <w:szCs w:val="18"/>
          <w:lang w:val="en-US"/>
        </w:rPr>
      </w:pPr>
      <w:bookmarkStart w:id="99" w:name="_heading=h.upglbi"/>
      <w:bookmarkEnd w:id="99"/>
      <w:r w:rsidRPr="0FE4D5DF">
        <w:rPr>
          <w:i/>
          <w:iCs/>
          <w:color w:val="1F497D" w:themeColor="text2"/>
          <w:sz w:val="18"/>
          <w:szCs w:val="18"/>
          <w:lang w:val="en-US"/>
        </w:rPr>
        <w:t xml:space="preserve">Ilustración 29 - Funcionamiento de </w:t>
      </w:r>
      <w:proofErr w:type="gramStart"/>
      <w:r w:rsidRPr="0FE4D5DF">
        <w:rPr>
          <w:i/>
          <w:iCs/>
          <w:color w:val="1F497D" w:themeColor="text2"/>
          <w:sz w:val="18"/>
          <w:szCs w:val="18"/>
          <w:lang w:val="en-US"/>
        </w:rPr>
        <w:t>un</w:t>
      </w:r>
      <w:proofErr w:type="gramEnd"/>
      <w:r w:rsidRPr="0FE4D5DF">
        <w:rPr>
          <w:i/>
          <w:iCs/>
          <w:color w:val="1F497D" w:themeColor="text2"/>
          <w:sz w:val="18"/>
          <w:szCs w:val="18"/>
          <w:lang w:val="en-US"/>
        </w:rPr>
        <w:t xml:space="preserve"> API Gateway</w:t>
      </w:r>
    </w:p>
    <w:p w14:paraId="0A5E140B" w14:textId="77777777" w:rsidR="0035403C" w:rsidRDefault="00D02C31">
      <w:pPr>
        <w:pStyle w:val="Ttulo1"/>
        <w:jc w:val="both"/>
      </w:pPr>
      <w:bookmarkStart w:id="100" w:name="_heading=h.3ep43zb" w:colFirst="0" w:colLast="0"/>
      <w:bookmarkEnd w:id="100"/>
      <w:r>
        <w:lastRenderedPageBreak/>
        <w:t>USO DE BASES DE DATOS NOSQL</w:t>
      </w:r>
    </w:p>
    <w:p w14:paraId="7EDECA15" w14:textId="77777777" w:rsidR="0035403C" w:rsidRDefault="00D02C31">
      <w:pPr>
        <w:jc w:val="both"/>
      </w:pPr>
      <w:r w:rsidRPr="0FE4D5DF">
        <w:rPr>
          <w:lang w:val="en-US"/>
        </w:rPr>
        <w:t xml:space="preserve">Las bases de datos escalables, </w:t>
      </w:r>
      <w:proofErr w:type="gramStart"/>
      <w:r w:rsidRPr="0FE4D5DF">
        <w:rPr>
          <w:lang w:val="en-US"/>
        </w:rPr>
        <w:t>como</w:t>
      </w:r>
      <w:proofErr w:type="gramEnd"/>
      <w:r w:rsidRPr="0FE4D5DF">
        <w:rPr>
          <w:lang w:val="en-US"/>
        </w:rPr>
        <w:t xml:space="preserve"> las bases de datos NoSQL, permiten almacenar grandes cantidades de datos y escalar horizontalmente agregando más nodos a la base de datos. Esto permite que la aplicación pueda manejar </w:t>
      </w:r>
      <w:proofErr w:type="gramStart"/>
      <w:r w:rsidRPr="0FE4D5DF">
        <w:rPr>
          <w:lang w:val="en-US"/>
        </w:rPr>
        <w:t>un</w:t>
      </w:r>
      <w:proofErr w:type="gramEnd"/>
      <w:r w:rsidRPr="0FE4D5DF">
        <w:rPr>
          <w:lang w:val="en-US"/>
        </w:rPr>
        <w:t xml:space="preserve"> mayor volumen de datos y tráfico, y aumente el rendimiento al extender las operaciones de la base de datos a nodos adicionales. Para escalar operaciones de lectura, puede escalar mediante réplicas de lectura asíncrona desde la base de datos principal.</w:t>
      </w:r>
    </w:p>
    <w:p w14:paraId="2FC17F8B" w14:textId="77777777" w:rsidR="0035403C" w:rsidRDefault="00D02C31">
      <w:pPr>
        <w:keepNext/>
        <w:jc w:val="both"/>
      </w:pPr>
      <w:r>
        <w:rPr>
          <w:noProof/>
          <w:lang w:eastAsia="es-AR"/>
        </w:rPr>
        <w:drawing>
          <wp:inline distT="0" distB="0" distL="0" distR="0" wp14:anchorId="0F9ED0DA" wp14:editId="07777777">
            <wp:extent cx="5664200" cy="3517265"/>
            <wp:effectExtent l="0" t="0" r="0" b="0"/>
            <wp:docPr id="142" name="image4.png" descr="A diagram of a software flow&#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png" descr="A diagram of a software flow&#10;&#10;Description automatically generated"/>
                    <pic:cNvPicPr preferRelativeResize="0"/>
                  </pic:nvPicPr>
                  <pic:blipFill>
                    <a:blip r:embed="rId44"/>
                    <a:srcRect/>
                    <a:stretch>
                      <a:fillRect/>
                    </a:stretch>
                  </pic:blipFill>
                  <pic:spPr>
                    <a:xfrm>
                      <a:off x="0" y="0"/>
                      <a:ext cx="5664200" cy="3517265"/>
                    </a:xfrm>
                    <a:prstGeom prst="rect">
                      <a:avLst/>
                    </a:prstGeom>
                    <a:ln/>
                  </pic:spPr>
                </pic:pic>
              </a:graphicData>
            </a:graphic>
          </wp:inline>
        </w:drawing>
      </w:r>
    </w:p>
    <w:p w14:paraId="4F4368EE" w14:textId="77777777" w:rsidR="0035403C" w:rsidRDefault="00D02C31" w:rsidP="0FE4D5DF">
      <w:pPr>
        <w:pBdr>
          <w:top w:val="nil"/>
          <w:left w:val="nil"/>
          <w:bottom w:val="nil"/>
          <w:right w:val="nil"/>
          <w:between w:val="nil"/>
        </w:pBdr>
        <w:spacing w:after="200"/>
        <w:jc w:val="both"/>
        <w:rPr>
          <w:i/>
          <w:iCs/>
          <w:color w:val="1F497D"/>
          <w:sz w:val="18"/>
          <w:szCs w:val="18"/>
          <w:lang w:val="en-US"/>
        </w:rPr>
      </w:pPr>
      <w:r w:rsidRPr="0FE4D5DF">
        <w:rPr>
          <w:i/>
          <w:iCs/>
          <w:color w:val="1F497D" w:themeColor="text2"/>
          <w:sz w:val="18"/>
          <w:szCs w:val="18"/>
          <w:lang w:val="en-US"/>
        </w:rPr>
        <w:t>Ilustración 30 - Arquitectura de bases de datos escalables</w:t>
      </w:r>
    </w:p>
    <w:p w14:paraId="752F3099" w14:textId="77777777" w:rsidR="0035403C" w:rsidRDefault="00D02C31">
      <w:pPr>
        <w:pStyle w:val="Ttulo1"/>
        <w:jc w:val="both"/>
      </w:pPr>
      <w:bookmarkStart w:id="101" w:name="_heading=h.1tuee74" w:colFirst="0" w:colLast="0"/>
      <w:bookmarkEnd w:id="101"/>
      <w:r>
        <w:t>USO DE TECNOLOGÍAS DE CACHING</w:t>
      </w:r>
    </w:p>
    <w:p w14:paraId="71087EE3" w14:textId="77777777" w:rsidR="0035403C" w:rsidRDefault="00D02C31">
      <w:pPr>
        <w:jc w:val="both"/>
      </w:pPr>
      <w:r w:rsidRPr="0FE4D5DF">
        <w:rPr>
          <w:lang w:val="en-US"/>
        </w:rPr>
        <w:t xml:space="preserve">Las tecnologías de caching o bases de datos “cache” permiten almacenar en caché los resultados de operaciones costosas en memoria. </w:t>
      </w:r>
      <w:proofErr w:type="gramStart"/>
      <w:r w:rsidRPr="0FE4D5DF">
        <w:rPr>
          <w:lang w:val="en-US"/>
        </w:rPr>
        <w:t>Esto puede mejorar significativamente el rendimiento de la aplicación y reducir la carga en los recursos de la aplicación.</w:t>
      </w:r>
      <w:proofErr w:type="gramEnd"/>
    </w:p>
    <w:p w14:paraId="7DEDCE00" w14:textId="77777777" w:rsidR="0035403C" w:rsidRDefault="00D02C31">
      <w:pPr>
        <w:jc w:val="both"/>
      </w:pPr>
      <w:proofErr w:type="gramStart"/>
      <w:r w:rsidRPr="0FE4D5DF">
        <w:rPr>
          <w:lang w:val="en-US"/>
        </w:rPr>
        <w:t>Para que una aplicación sea escalable, estas tecnologías permiten escalar de manera horizontal y vertical.</w:t>
      </w:r>
      <w:proofErr w:type="gramEnd"/>
    </w:p>
    <w:p w14:paraId="0A4F7224" w14:textId="77777777" w:rsidR="0035403C" w:rsidRDefault="0035403C">
      <w:pPr>
        <w:jc w:val="both"/>
      </w:pPr>
    </w:p>
    <w:p w14:paraId="5AE48A43" w14:textId="77777777" w:rsidR="0035403C" w:rsidRDefault="00D02C31">
      <w:pPr>
        <w:keepNext/>
        <w:jc w:val="both"/>
      </w:pPr>
      <w:r>
        <w:rPr>
          <w:noProof/>
          <w:lang w:eastAsia="es-AR"/>
        </w:rPr>
        <w:lastRenderedPageBreak/>
        <w:drawing>
          <wp:inline distT="0" distB="0" distL="0" distR="0" wp14:anchorId="6E8E1472" wp14:editId="07777777">
            <wp:extent cx="5664200" cy="3663950"/>
            <wp:effectExtent l="0" t="0" r="0" b="0"/>
            <wp:docPr id="143" name="image1.jpg" descr="A diagram of data processing&#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jpg" descr="A diagram of data processing&#10;&#10;Description automatically generated"/>
                    <pic:cNvPicPr preferRelativeResize="0"/>
                  </pic:nvPicPr>
                  <pic:blipFill>
                    <a:blip r:embed="rId45"/>
                    <a:srcRect/>
                    <a:stretch>
                      <a:fillRect/>
                    </a:stretch>
                  </pic:blipFill>
                  <pic:spPr>
                    <a:xfrm>
                      <a:off x="0" y="0"/>
                      <a:ext cx="5664200" cy="3663950"/>
                    </a:xfrm>
                    <a:prstGeom prst="rect">
                      <a:avLst/>
                    </a:prstGeom>
                    <a:ln/>
                  </pic:spPr>
                </pic:pic>
              </a:graphicData>
            </a:graphic>
          </wp:inline>
        </w:drawing>
      </w:r>
    </w:p>
    <w:p w14:paraId="1F644085" w14:textId="77777777" w:rsidR="0035403C" w:rsidRDefault="00D02C31" w:rsidP="0FE4D5DF">
      <w:pPr>
        <w:pBdr>
          <w:top w:val="nil"/>
          <w:left w:val="nil"/>
          <w:bottom w:val="nil"/>
          <w:right w:val="nil"/>
          <w:between w:val="nil"/>
        </w:pBdr>
        <w:spacing w:after="200"/>
        <w:jc w:val="both"/>
        <w:rPr>
          <w:i/>
          <w:iCs/>
          <w:color w:val="1F497D"/>
          <w:sz w:val="18"/>
          <w:szCs w:val="18"/>
          <w:lang w:val="en-US"/>
        </w:rPr>
      </w:pPr>
      <w:r w:rsidRPr="0FE4D5DF">
        <w:rPr>
          <w:i/>
          <w:iCs/>
          <w:color w:val="1F497D" w:themeColor="text2"/>
          <w:sz w:val="18"/>
          <w:szCs w:val="18"/>
          <w:lang w:val="en-US"/>
        </w:rPr>
        <w:t>Ilustración 31 - Estrategia de escritura en bases de datos caché</w:t>
      </w:r>
    </w:p>
    <w:p w14:paraId="54A3E701" w14:textId="77777777" w:rsidR="0035403C" w:rsidRDefault="00D02C31">
      <w:pPr>
        <w:pStyle w:val="Ttulo1"/>
      </w:pPr>
      <w:bookmarkStart w:id="102" w:name="_heading=h.4du1wux" w:colFirst="0" w:colLast="0"/>
      <w:bookmarkEnd w:id="102"/>
      <w:r>
        <w:t>USO DE ARQUITECTURAS BASADAS EN EVENTOS</w:t>
      </w:r>
    </w:p>
    <w:p w14:paraId="554ABA61" w14:textId="77777777" w:rsidR="0035403C" w:rsidRDefault="00D02C31">
      <w:pPr>
        <w:jc w:val="both"/>
      </w:pPr>
      <w:r w:rsidRPr="0FE4D5DF">
        <w:rPr>
          <w:lang w:val="en-US"/>
        </w:rPr>
        <w:t xml:space="preserve">Esta arquitectura utiliza eventos para activar y comunicarse entre servicios desacoplados y aplicaciones construidas con microservicios. </w:t>
      </w:r>
      <w:proofErr w:type="gramStart"/>
      <w:r w:rsidRPr="0FE4D5DF">
        <w:rPr>
          <w:lang w:val="en-US"/>
        </w:rPr>
        <w:t>Un</w:t>
      </w:r>
      <w:proofErr w:type="gramEnd"/>
      <w:r w:rsidRPr="0FE4D5DF">
        <w:rPr>
          <w:lang w:val="en-US"/>
        </w:rPr>
        <w:t xml:space="preserve"> evento es un cambio de estado, o una actualización de alguno de los componentes. </w:t>
      </w:r>
    </w:p>
    <w:p w14:paraId="1F189BB9" w14:textId="77777777" w:rsidR="0035403C" w:rsidRDefault="00D02C31">
      <w:pPr>
        <w:jc w:val="both"/>
      </w:pPr>
      <w:r w:rsidRPr="0FE4D5DF">
        <w:rPr>
          <w:lang w:val="en-US"/>
        </w:rPr>
        <w:t xml:space="preserve">Tienen tres componentes clave: </w:t>
      </w:r>
    </w:p>
    <w:p w14:paraId="25FD7863" w14:textId="77777777" w:rsidR="0035403C" w:rsidRDefault="00D02C31" w:rsidP="0FE4D5DF">
      <w:pPr>
        <w:numPr>
          <w:ilvl w:val="0"/>
          <w:numId w:val="48"/>
        </w:numPr>
        <w:pBdr>
          <w:top w:val="nil"/>
          <w:left w:val="nil"/>
          <w:bottom w:val="nil"/>
          <w:right w:val="nil"/>
          <w:between w:val="nil"/>
        </w:pBdr>
        <w:jc w:val="both"/>
        <w:rPr>
          <w:color w:val="000000"/>
          <w:lang w:val="en-US"/>
        </w:rPr>
      </w:pPr>
      <w:r w:rsidRPr="0FE4D5DF">
        <w:rPr>
          <w:color w:val="000000" w:themeColor="text1"/>
          <w:lang w:val="en-US"/>
        </w:rPr>
        <w:t xml:space="preserve">Los productores de eventos publican </w:t>
      </w:r>
      <w:proofErr w:type="gramStart"/>
      <w:r w:rsidRPr="0FE4D5DF">
        <w:rPr>
          <w:color w:val="000000" w:themeColor="text1"/>
          <w:lang w:val="en-US"/>
        </w:rPr>
        <w:t>un</w:t>
      </w:r>
      <w:proofErr w:type="gramEnd"/>
      <w:r w:rsidRPr="0FE4D5DF">
        <w:rPr>
          <w:color w:val="000000" w:themeColor="text1"/>
          <w:lang w:val="en-US"/>
        </w:rPr>
        <w:t xml:space="preserve"> evento en el enrutador.</w:t>
      </w:r>
    </w:p>
    <w:p w14:paraId="5992B2DF" w14:textId="77777777" w:rsidR="0035403C" w:rsidRDefault="00D02C31" w:rsidP="0FE4D5DF">
      <w:pPr>
        <w:numPr>
          <w:ilvl w:val="0"/>
          <w:numId w:val="48"/>
        </w:numPr>
        <w:pBdr>
          <w:top w:val="nil"/>
          <w:left w:val="nil"/>
          <w:bottom w:val="nil"/>
          <w:right w:val="nil"/>
          <w:between w:val="nil"/>
        </w:pBdr>
        <w:jc w:val="both"/>
        <w:rPr>
          <w:color w:val="000000"/>
          <w:lang w:val="en-US"/>
        </w:rPr>
      </w:pPr>
      <w:r w:rsidRPr="0FE4D5DF">
        <w:rPr>
          <w:color w:val="000000" w:themeColor="text1"/>
          <w:lang w:val="en-US"/>
        </w:rPr>
        <w:t xml:space="preserve">El enrutador de eventos filtra y envía los eventos a los consumidores. </w:t>
      </w:r>
    </w:p>
    <w:p w14:paraId="3D9D98BC" w14:textId="77777777" w:rsidR="0035403C" w:rsidRDefault="00D02C31" w:rsidP="0FE4D5DF">
      <w:pPr>
        <w:numPr>
          <w:ilvl w:val="0"/>
          <w:numId w:val="48"/>
        </w:numPr>
        <w:pBdr>
          <w:top w:val="nil"/>
          <w:left w:val="nil"/>
          <w:bottom w:val="nil"/>
          <w:right w:val="nil"/>
          <w:between w:val="nil"/>
        </w:pBdr>
        <w:jc w:val="both"/>
        <w:rPr>
          <w:color w:val="000000"/>
          <w:lang w:val="en-US"/>
        </w:rPr>
      </w:pPr>
      <w:r w:rsidRPr="0FE4D5DF">
        <w:rPr>
          <w:color w:val="000000" w:themeColor="text1"/>
          <w:lang w:val="en-US"/>
        </w:rPr>
        <w:t xml:space="preserve">Los consumidores de eventos, </w:t>
      </w:r>
      <w:r w:rsidRPr="0FE4D5DF">
        <w:rPr>
          <w:lang w:val="en-US"/>
        </w:rPr>
        <w:t>utilizan</w:t>
      </w:r>
      <w:r w:rsidRPr="0FE4D5DF">
        <w:rPr>
          <w:color w:val="000000" w:themeColor="text1"/>
          <w:lang w:val="en-US"/>
        </w:rPr>
        <w:t xml:space="preserve"> las novedades para su próximo procesamiento.</w:t>
      </w:r>
    </w:p>
    <w:p w14:paraId="50F40DEB" w14:textId="77777777" w:rsidR="0035403C" w:rsidRDefault="0035403C">
      <w:pPr>
        <w:jc w:val="both"/>
      </w:pPr>
    </w:p>
    <w:p w14:paraId="5BBA1B82" w14:textId="77777777" w:rsidR="0035403C" w:rsidRDefault="00D02C31" w:rsidP="0FE4D5DF">
      <w:pPr>
        <w:jc w:val="both"/>
        <w:rPr>
          <w:lang w:val="en-US"/>
        </w:rPr>
      </w:pPr>
      <w:r w:rsidRPr="0FE4D5DF">
        <w:rPr>
          <w:lang w:val="en-US"/>
        </w:rPr>
        <w:t>Las principales características que poseen esta arquitectura</w:t>
      </w:r>
    </w:p>
    <w:p w14:paraId="29FA3F09" w14:textId="77777777" w:rsidR="0035403C" w:rsidRDefault="00D02C31" w:rsidP="0FE4D5DF">
      <w:pPr>
        <w:numPr>
          <w:ilvl w:val="0"/>
          <w:numId w:val="7"/>
        </w:numPr>
        <w:pBdr>
          <w:top w:val="nil"/>
          <w:left w:val="nil"/>
          <w:bottom w:val="nil"/>
          <w:right w:val="nil"/>
          <w:between w:val="nil"/>
        </w:pBdr>
        <w:jc w:val="both"/>
        <w:rPr>
          <w:color w:val="000000"/>
          <w:lang w:val="en-US"/>
        </w:rPr>
      </w:pPr>
      <w:r w:rsidRPr="0FE4D5DF">
        <w:rPr>
          <w:color w:val="000000" w:themeColor="text1"/>
          <w:lang w:val="en-US"/>
        </w:rPr>
        <w:t>Comunicación de servicio a servicio: uno o varios servicios o sistemas que necesitan comunicarse entre sí, no importando el momento o el orden de llegada.</w:t>
      </w:r>
    </w:p>
    <w:p w14:paraId="03F119F1" w14:textId="77777777" w:rsidR="0035403C" w:rsidRDefault="00D02C31" w:rsidP="17FBBB8B">
      <w:pPr>
        <w:numPr>
          <w:ilvl w:val="0"/>
          <w:numId w:val="32"/>
        </w:numPr>
        <w:pBdr>
          <w:top w:val="nil"/>
          <w:left w:val="nil"/>
          <w:bottom w:val="nil"/>
          <w:right w:val="nil"/>
          <w:between w:val="nil"/>
        </w:pBdr>
        <w:jc w:val="both"/>
        <w:rPr>
          <w:color w:val="000000"/>
          <w:lang w:val="en-US"/>
        </w:rPr>
      </w:pPr>
      <w:r w:rsidRPr="17FBBB8B">
        <w:rPr>
          <w:color w:val="000000" w:themeColor="text1"/>
          <w:lang w:val="en-US"/>
        </w:rPr>
        <w:t xml:space="preserve">Backlogs de elementos de trabajo asíncronos: es </w:t>
      </w:r>
      <w:proofErr w:type="gramStart"/>
      <w:r w:rsidRPr="17FBBB8B">
        <w:rPr>
          <w:color w:val="000000" w:themeColor="text1"/>
          <w:lang w:val="en-US"/>
        </w:rPr>
        <w:t>un</w:t>
      </w:r>
      <w:proofErr w:type="gramEnd"/>
      <w:r w:rsidRPr="17FBBB8B">
        <w:rPr>
          <w:color w:val="000000" w:themeColor="text1"/>
          <w:lang w:val="en-US"/>
        </w:rPr>
        <w:t xml:space="preserve"> servicio que debe realizar un seguimiento de las acciones pendientes de ejecución. </w:t>
      </w:r>
    </w:p>
    <w:p w14:paraId="613EEA3E" w14:textId="77777777" w:rsidR="0035403C" w:rsidRDefault="00D02C31" w:rsidP="0FE4D5DF">
      <w:pPr>
        <w:numPr>
          <w:ilvl w:val="0"/>
          <w:numId w:val="32"/>
        </w:numPr>
        <w:pBdr>
          <w:top w:val="nil"/>
          <w:left w:val="nil"/>
          <w:bottom w:val="nil"/>
          <w:right w:val="nil"/>
          <w:between w:val="nil"/>
        </w:pBdr>
        <w:jc w:val="both"/>
        <w:rPr>
          <w:color w:val="000000"/>
          <w:lang w:val="en-US"/>
        </w:rPr>
      </w:pPr>
      <w:r w:rsidRPr="0FE4D5DF">
        <w:rPr>
          <w:color w:val="000000" w:themeColor="text1"/>
          <w:lang w:val="en-US"/>
        </w:rPr>
        <w:t xml:space="preserve">Notificaciones de cambio de estado: es </w:t>
      </w:r>
      <w:proofErr w:type="gramStart"/>
      <w:r w:rsidRPr="0FE4D5DF">
        <w:rPr>
          <w:color w:val="000000" w:themeColor="text1"/>
          <w:lang w:val="en-US"/>
        </w:rPr>
        <w:t>un</w:t>
      </w:r>
      <w:proofErr w:type="gramEnd"/>
      <w:r w:rsidRPr="0FE4D5DF">
        <w:rPr>
          <w:color w:val="000000" w:themeColor="text1"/>
          <w:lang w:val="en-US"/>
        </w:rPr>
        <w:t xml:space="preserve"> servicio que gestiona algún recurso y otros servicios que reciben actualizaciones sobre cambios en esos recursos. </w:t>
      </w:r>
    </w:p>
    <w:p w14:paraId="30A47274" w14:textId="77777777" w:rsidR="0035403C" w:rsidRDefault="00D02C31" w:rsidP="0FE4D5DF">
      <w:pPr>
        <w:pStyle w:val="Ttulo2"/>
        <w:rPr>
          <w:lang w:val="en-US"/>
        </w:rPr>
      </w:pPr>
      <w:bookmarkStart w:id="103" w:name="_heading=h.2szc72q"/>
      <w:bookmarkEnd w:id="103"/>
      <w:r w:rsidRPr="0FE4D5DF">
        <w:rPr>
          <w:lang w:val="en-US"/>
        </w:rPr>
        <w:t>Una cola o búfer</w:t>
      </w:r>
    </w:p>
    <w:p w14:paraId="6372B123" w14:textId="77777777" w:rsidR="0035403C" w:rsidRDefault="00D02C31">
      <w:pPr>
        <w:jc w:val="both"/>
      </w:pPr>
      <w:proofErr w:type="gramStart"/>
      <w:r w:rsidRPr="17FBBB8B">
        <w:rPr>
          <w:lang w:val="en-US"/>
        </w:rPr>
        <w:t>Se pueden poner mensajes en una cola y se pueden recuperar mensajes de una cola.</w:t>
      </w:r>
      <w:proofErr w:type="gramEnd"/>
    </w:p>
    <w:p w14:paraId="77A52294" w14:textId="77777777" w:rsidR="0035403C" w:rsidRDefault="00D02C31">
      <w:pPr>
        <w:keepNext/>
      </w:pPr>
      <w:r>
        <w:rPr>
          <w:noProof/>
          <w:lang w:eastAsia="es-AR"/>
        </w:rPr>
        <w:lastRenderedPageBreak/>
        <w:drawing>
          <wp:inline distT="0" distB="0" distL="0" distR="0" wp14:anchorId="25E22581" wp14:editId="07777777">
            <wp:extent cx="5664200" cy="2359660"/>
            <wp:effectExtent l="0" t="0" r="0" b="0"/>
            <wp:docPr id="14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6"/>
                    <a:srcRect/>
                    <a:stretch>
                      <a:fillRect/>
                    </a:stretch>
                  </pic:blipFill>
                  <pic:spPr>
                    <a:xfrm>
                      <a:off x="0" y="0"/>
                      <a:ext cx="5664200" cy="2359660"/>
                    </a:xfrm>
                    <a:prstGeom prst="rect">
                      <a:avLst/>
                    </a:prstGeom>
                    <a:ln/>
                  </pic:spPr>
                </pic:pic>
              </a:graphicData>
            </a:graphic>
          </wp:inline>
        </w:drawing>
      </w:r>
    </w:p>
    <w:p w14:paraId="1ED85D50" w14:textId="77777777" w:rsidR="0035403C" w:rsidRDefault="00D02C31" w:rsidP="0FE4D5DF">
      <w:pPr>
        <w:pBdr>
          <w:top w:val="nil"/>
          <w:left w:val="nil"/>
          <w:bottom w:val="nil"/>
          <w:right w:val="nil"/>
          <w:between w:val="nil"/>
        </w:pBdr>
        <w:spacing w:after="200"/>
        <w:rPr>
          <w:rFonts w:ascii="Calibri" w:eastAsia="Calibri" w:hAnsi="Calibri" w:cs="Calibri"/>
          <w:i/>
          <w:iCs/>
          <w:color w:val="4F81BD"/>
          <w:lang w:val="en-US"/>
        </w:rPr>
      </w:pPr>
      <w:bookmarkStart w:id="104" w:name="_heading=h.184mhaj"/>
      <w:bookmarkEnd w:id="104"/>
      <w:r w:rsidRPr="0FE4D5DF">
        <w:rPr>
          <w:i/>
          <w:iCs/>
          <w:color w:val="1F497D" w:themeColor="text2"/>
          <w:sz w:val="18"/>
          <w:szCs w:val="18"/>
          <w:lang w:val="en-US"/>
        </w:rPr>
        <w:t>Ilustración 32 - Funcionamiento de una cola o búfer</w:t>
      </w:r>
    </w:p>
    <w:p w14:paraId="4880E539" w14:textId="77777777" w:rsidR="0035403C" w:rsidRDefault="00D02C31" w:rsidP="0FE4D5DF">
      <w:pPr>
        <w:pStyle w:val="Ttulo2"/>
        <w:rPr>
          <w:lang w:val="en-US"/>
        </w:rPr>
      </w:pPr>
      <w:bookmarkStart w:id="105" w:name="_heading=h.3s49zyc"/>
      <w:bookmarkEnd w:id="105"/>
      <w:proofErr w:type="gramStart"/>
      <w:r w:rsidRPr="0FE4D5DF">
        <w:rPr>
          <w:lang w:val="en-US"/>
        </w:rPr>
        <w:t>Un</w:t>
      </w:r>
      <w:proofErr w:type="gramEnd"/>
      <w:r w:rsidRPr="0FE4D5DF">
        <w:rPr>
          <w:lang w:val="en-US"/>
        </w:rPr>
        <w:t xml:space="preserve"> tópico</w:t>
      </w:r>
    </w:p>
    <w:p w14:paraId="0A7FEFA2" w14:textId="77777777" w:rsidR="0035403C" w:rsidRDefault="00D02C31" w:rsidP="0FE4D5DF">
      <w:pPr>
        <w:keepNext/>
        <w:jc w:val="both"/>
        <w:rPr>
          <w:lang w:val="en-US"/>
        </w:rPr>
      </w:pPr>
      <w:proofErr w:type="gramStart"/>
      <w:r w:rsidRPr="0FE4D5DF">
        <w:rPr>
          <w:lang w:val="en-US"/>
        </w:rPr>
        <w:t>Funcionamiento parecido al de una emisora de radio.</w:t>
      </w:r>
      <w:proofErr w:type="gramEnd"/>
      <w:r w:rsidRPr="0FE4D5DF">
        <w:rPr>
          <w:lang w:val="en-US"/>
        </w:rPr>
        <w:t xml:space="preserve"> Se publican mensajes en </w:t>
      </w:r>
      <w:proofErr w:type="gramStart"/>
      <w:r w:rsidRPr="0FE4D5DF">
        <w:rPr>
          <w:lang w:val="en-US"/>
        </w:rPr>
        <w:t>un</w:t>
      </w:r>
      <w:proofErr w:type="gramEnd"/>
      <w:r w:rsidRPr="0FE4D5DF">
        <w:rPr>
          <w:lang w:val="en-US"/>
        </w:rPr>
        <w:t xml:space="preserve"> tema, y cualquier interesado o consumidor de estos mensajes puede suscribirse para recibir la novedad.</w:t>
      </w:r>
      <w:r>
        <w:rPr>
          <w:noProof/>
          <w:lang w:eastAsia="es-AR"/>
        </w:rPr>
        <w:drawing>
          <wp:inline distT="0" distB="0" distL="0" distR="0" wp14:anchorId="0311BF0A" wp14:editId="26838845">
            <wp:extent cx="5664200" cy="3182620"/>
            <wp:effectExtent l="0" t="0" r="0" b="0"/>
            <wp:docPr id="145"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47"/>
                    <a:srcRect/>
                    <a:stretch>
                      <a:fillRect/>
                    </a:stretch>
                  </pic:blipFill>
                  <pic:spPr>
                    <a:xfrm>
                      <a:off x="0" y="0"/>
                      <a:ext cx="5664200" cy="3182620"/>
                    </a:xfrm>
                    <a:prstGeom prst="rect">
                      <a:avLst/>
                    </a:prstGeom>
                    <a:ln/>
                  </pic:spPr>
                </pic:pic>
              </a:graphicData>
            </a:graphic>
          </wp:inline>
        </w:drawing>
      </w:r>
    </w:p>
    <w:p w14:paraId="3E35F810" w14:textId="77777777" w:rsidR="0035403C" w:rsidRDefault="00D02C31" w:rsidP="0FE4D5DF">
      <w:pPr>
        <w:pBdr>
          <w:top w:val="nil"/>
          <w:left w:val="nil"/>
          <w:bottom w:val="nil"/>
          <w:right w:val="nil"/>
          <w:between w:val="nil"/>
        </w:pBdr>
        <w:spacing w:after="200"/>
        <w:jc w:val="both"/>
        <w:rPr>
          <w:i/>
          <w:iCs/>
          <w:color w:val="1F497D" w:themeColor="text2"/>
          <w:sz w:val="18"/>
          <w:szCs w:val="18"/>
          <w:lang w:val="en-US"/>
        </w:rPr>
      </w:pPr>
      <w:bookmarkStart w:id="106" w:name="_heading=h.279ka65"/>
      <w:bookmarkEnd w:id="106"/>
      <w:r w:rsidRPr="0FE4D5DF">
        <w:rPr>
          <w:i/>
          <w:iCs/>
          <w:color w:val="1F497D" w:themeColor="text2"/>
          <w:sz w:val="18"/>
          <w:szCs w:val="18"/>
          <w:lang w:val="en-US"/>
        </w:rPr>
        <w:t xml:space="preserve">Ilustración 33 - Funcionamiento de </w:t>
      </w:r>
      <w:proofErr w:type="gramStart"/>
      <w:r w:rsidRPr="0FE4D5DF">
        <w:rPr>
          <w:i/>
          <w:iCs/>
          <w:color w:val="1F497D" w:themeColor="text2"/>
          <w:sz w:val="18"/>
          <w:szCs w:val="18"/>
          <w:lang w:val="en-US"/>
        </w:rPr>
        <w:t>un</w:t>
      </w:r>
      <w:proofErr w:type="gramEnd"/>
      <w:r w:rsidRPr="0FE4D5DF">
        <w:rPr>
          <w:i/>
          <w:iCs/>
          <w:color w:val="1F497D" w:themeColor="text2"/>
          <w:sz w:val="18"/>
          <w:szCs w:val="18"/>
          <w:lang w:val="en-US"/>
        </w:rPr>
        <w:t xml:space="preserve"> tópico</w:t>
      </w:r>
    </w:p>
    <w:p w14:paraId="2DB8BE25" w14:textId="77777777" w:rsidR="0035403C" w:rsidRDefault="00D02C31">
      <w:pPr>
        <w:pStyle w:val="Ttulo1"/>
        <w:jc w:val="both"/>
      </w:pPr>
      <w:bookmarkStart w:id="107" w:name="_heading=h.meukdy" w:colFirst="0" w:colLast="0"/>
      <w:bookmarkEnd w:id="107"/>
      <w:r>
        <w:t>USO DE CULTURA DEVOPS: CONTROL DE CÓDIGO, INTEGRACIÓN Y DISTRIBUCIÓN (CI/CD)</w:t>
      </w:r>
    </w:p>
    <w:p w14:paraId="60224D99" w14:textId="77777777" w:rsidR="0035403C" w:rsidRDefault="00D02C31">
      <w:pPr>
        <w:jc w:val="both"/>
      </w:pPr>
      <w:r w:rsidRPr="0FE4D5DF">
        <w:rPr>
          <w:lang w:val="en-US"/>
        </w:rPr>
        <w:t xml:space="preserve">DevOps proviene de la abreviatura de desarrollo y operaciones, y dentro </w:t>
      </w:r>
      <w:proofErr w:type="gramStart"/>
      <w:r w:rsidRPr="0FE4D5DF">
        <w:rPr>
          <w:lang w:val="en-US"/>
        </w:rPr>
        <w:t>del</w:t>
      </w:r>
      <w:proofErr w:type="gramEnd"/>
      <w:r w:rsidRPr="0FE4D5DF">
        <w:rPr>
          <w:lang w:val="en-US"/>
        </w:rPr>
        <w:t xml:space="preserve"> mundo de la tecnología es un conjunto de prácticas y filosofías culturales de la empresa. Tienen </w:t>
      </w:r>
      <w:proofErr w:type="gramStart"/>
      <w:r w:rsidRPr="0FE4D5DF">
        <w:rPr>
          <w:lang w:val="en-US"/>
        </w:rPr>
        <w:t>como</w:t>
      </w:r>
      <w:proofErr w:type="gramEnd"/>
      <w:r w:rsidRPr="0FE4D5DF">
        <w:rPr>
          <w:lang w:val="en-US"/>
        </w:rPr>
        <w:t xml:space="preserve"> principal objetivo el de mejorar la colaboración y una comunicación efectiva entre los equipos de desarrollo de software y operaciones. Este objetivo lleva a la agilización </w:t>
      </w:r>
      <w:proofErr w:type="gramStart"/>
      <w:r w:rsidRPr="0FE4D5DF">
        <w:rPr>
          <w:lang w:val="en-US"/>
        </w:rPr>
        <w:t>del</w:t>
      </w:r>
      <w:proofErr w:type="gramEnd"/>
      <w:r w:rsidRPr="0FE4D5DF">
        <w:rPr>
          <w:lang w:val="en-US"/>
        </w:rPr>
        <w:t xml:space="preserve"> proceso de entrega </w:t>
      </w:r>
      <w:r w:rsidRPr="0FE4D5DF">
        <w:rPr>
          <w:lang w:val="en-US"/>
        </w:rPr>
        <w:lastRenderedPageBreak/>
        <w:t xml:space="preserve">de software, lo que permite acelerar los procesos, manteniendo la calidad de manera rápida y eficiente. </w:t>
      </w:r>
    </w:p>
    <w:p w14:paraId="520E5856" w14:textId="77777777" w:rsidR="0035403C" w:rsidRDefault="00D02C31">
      <w:pPr>
        <w:jc w:val="both"/>
      </w:pPr>
      <w:r w:rsidRPr="0FE4D5DF">
        <w:rPr>
          <w:lang w:val="en-US"/>
        </w:rPr>
        <w:t>Se abordan puntos de</w:t>
      </w:r>
    </w:p>
    <w:p w14:paraId="2AE8A228" w14:textId="77777777" w:rsidR="0035403C" w:rsidRDefault="00D02C31">
      <w:pPr>
        <w:numPr>
          <w:ilvl w:val="0"/>
          <w:numId w:val="20"/>
        </w:numPr>
        <w:jc w:val="both"/>
      </w:pPr>
      <w:r>
        <w:t>Cultura</w:t>
      </w:r>
    </w:p>
    <w:p w14:paraId="392C5337" w14:textId="77777777" w:rsidR="0035403C" w:rsidRDefault="00D02C31">
      <w:pPr>
        <w:numPr>
          <w:ilvl w:val="0"/>
          <w:numId w:val="20"/>
        </w:numPr>
        <w:jc w:val="both"/>
      </w:pPr>
      <w:r w:rsidRPr="0FE4D5DF">
        <w:rPr>
          <w:lang w:val="en-US"/>
        </w:rPr>
        <w:t xml:space="preserve">Automatización </w:t>
      </w:r>
    </w:p>
    <w:p w14:paraId="3551368B" w14:textId="77777777" w:rsidR="0035403C" w:rsidRDefault="00D02C31" w:rsidP="0FE4D5DF">
      <w:pPr>
        <w:numPr>
          <w:ilvl w:val="0"/>
          <w:numId w:val="20"/>
        </w:numPr>
        <w:jc w:val="both"/>
        <w:rPr>
          <w:lang w:val="en-US"/>
        </w:rPr>
      </w:pPr>
      <w:r w:rsidRPr="0FE4D5DF">
        <w:rPr>
          <w:lang w:val="en-US"/>
        </w:rPr>
        <w:t>Diseño de las plataformas</w:t>
      </w:r>
    </w:p>
    <w:p w14:paraId="1062DD9C" w14:textId="77777777" w:rsidR="0035403C" w:rsidRDefault="00D02C31">
      <w:pPr>
        <w:numPr>
          <w:ilvl w:val="0"/>
          <w:numId w:val="20"/>
        </w:numPr>
        <w:jc w:val="both"/>
      </w:pPr>
      <w:r w:rsidRPr="0FE4D5DF">
        <w:rPr>
          <w:lang w:val="en-US"/>
        </w:rPr>
        <w:t>Integración continua</w:t>
      </w:r>
    </w:p>
    <w:p w14:paraId="7B56F416" w14:textId="77777777" w:rsidR="0035403C" w:rsidRDefault="00D02C31">
      <w:pPr>
        <w:numPr>
          <w:ilvl w:val="0"/>
          <w:numId w:val="20"/>
        </w:numPr>
        <w:jc w:val="both"/>
      </w:pPr>
      <w:r>
        <w:t>Entrega continua</w:t>
      </w:r>
    </w:p>
    <w:p w14:paraId="394E32C5" w14:textId="77777777" w:rsidR="0035403C" w:rsidRDefault="00D02C31" w:rsidP="0FE4D5DF">
      <w:pPr>
        <w:numPr>
          <w:ilvl w:val="0"/>
          <w:numId w:val="20"/>
        </w:numPr>
        <w:jc w:val="both"/>
        <w:rPr>
          <w:lang w:val="en-US"/>
        </w:rPr>
      </w:pPr>
      <w:r w:rsidRPr="0FE4D5DF">
        <w:rPr>
          <w:lang w:val="en-US"/>
        </w:rPr>
        <w:t>Retroalimentación</w:t>
      </w:r>
    </w:p>
    <w:p w14:paraId="007DCDA8" w14:textId="77777777" w:rsidR="0035403C" w:rsidRDefault="0035403C">
      <w:pPr>
        <w:ind w:left="1440"/>
      </w:pPr>
    </w:p>
    <w:p w14:paraId="450EA2D7" w14:textId="77777777" w:rsidR="0035403C" w:rsidRDefault="00D02C31">
      <w:r>
        <w:rPr>
          <w:noProof/>
          <w:lang w:eastAsia="es-AR"/>
        </w:rPr>
        <w:drawing>
          <wp:inline distT="114300" distB="114300" distL="114300" distR="114300" wp14:anchorId="6B997536" wp14:editId="07777777">
            <wp:extent cx="5664200" cy="3429000"/>
            <wp:effectExtent l="0" t="0" r="0" b="0"/>
            <wp:docPr id="14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8"/>
                    <a:srcRect/>
                    <a:stretch>
                      <a:fillRect/>
                    </a:stretch>
                  </pic:blipFill>
                  <pic:spPr>
                    <a:xfrm>
                      <a:off x="0" y="0"/>
                      <a:ext cx="5664200" cy="3429000"/>
                    </a:xfrm>
                    <a:prstGeom prst="rect">
                      <a:avLst/>
                    </a:prstGeom>
                    <a:ln/>
                  </pic:spPr>
                </pic:pic>
              </a:graphicData>
            </a:graphic>
          </wp:inline>
        </w:drawing>
      </w:r>
    </w:p>
    <w:p w14:paraId="2FC0E2D6" w14:textId="77777777" w:rsidR="0035403C" w:rsidRDefault="00D02C31" w:rsidP="0FE4D5DF">
      <w:pPr>
        <w:jc w:val="both"/>
        <w:rPr>
          <w:i/>
          <w:iCs/>
          <w:color w:val="1F497D"/>
          <w:sz w:val="18"/>
          <w:szCs w:val="18"/>
          <w:lang w:val="en-US"/>
        </w:rPr>
      </w:pPr>
      <w:r w:rsidRPr="0FE4D5DF">
        <w:rPr>
          <w:i/>
          <w:iCs/>
          <w:color w:val="1F497D" w:themeColor="text2"/>
          <w:sz w:val="18"/>
          <w:szCs w:val="18"/>
          <w:lang w:val="en-US"/>
        </w:rPr>
        <w:t>Ilustración 34 - Ciclo DevOps</w:t>
      </w:r>
    </w:p>
    <w:p w14:paraId="5532CCD2" w14:textId="77777777" w:rsidR="0035403C" w:rsidRDefault="00D02C31">
      <w:pPr>
        <w:jc w:val="both"/>
      </w:pPr>
      <w:r w:rsidRPr="0FE4D5DF">
        <w:rPr>
          <w:lang w:val="en-US"/>
        </w:rPr>
        <w:t xml:space="preserve">Con </w:t>
      </w:r>
      <w:proofErr w:type="gramStart"/>
      <w:r w:rsidRPr="0FE4D5DF">
        <w:rPr>
          <w:lang w:val="en-US"/>
        </w:rPr>
        <w:t>este</w:t>
      </w:r>
      <w:proofErr w:type="gramEnd"/>
      <w:r w:rsidRPr="0FE4D5DF">
        <w:rPr>
          <w:lang w:val="en-US"/>
        </w:rPr>
        <w:t xml:space="preserve"> framework, se hace posible la integración y la implementación continuas (CI/CD) gracias a sus flujos de trabajo, lo que significa que las operaciones de implementación están totalmente automatizadas y los entornos de desarrollo estandarizados.</w:t>
      </w:r>
    </w:p>
    <w:p w14:paraId="2AF64056" w14:textId="77777777" w:rsidR="0035403C" w:rsidRDefault="00D02C31" w:rsidP="0FE4D5DF">
      <w:pPr>
        <w:jc w:val="both"/>
        <w:rPr>
          <w:b/>
          <w:bCs/>
          <w:lang w:val="en-US"/>
        </w:rPr>
      </w:pPr>
      <w:r w:rsidRPr="0FE4D5DF">
        <w:rPr>
          <w:lang w:val="en-US"/>
        </w:rPr>
        <w:t xml:space="preserve">En concreto, dentro </w:t>
      </w:r>
      <w:proofErr w:type="gramStart"/>
      <w:r w:rsidRPr="0FE4D5DF">
        <w:rPr>
          <w:lang w:val="en-US"/>
        </w:rPr>
        <w:t>del</w:t>
      </w:r>
      <w:proofErr w:type="gramEnd"/>
      <w:r w:rsidRPr="0FE4D5DF">
        <w:rPr>
          <w:lang w:val="en-US"/>
        </w:rPr>
        <w:t xml:space="preserve"> ciclo de vida del proceso la supervisión es permanente, desde las de escritura del código fuente, las etapas de integración y prueba, hasta las de distribución e implementación. </w:t>
      </w:r>
    </w:p>
    <w:p w14:paraId="00B2C422" w14:textId="77777777" w:rsidR="0035403C" w:rsidRDefault="00D02C31">
      <w:pPr>
        <w:pStyle w:val="Ttulo1"/>
        <w:jc w:val="both"/>
      </w:pPr>
      <w:bookmarkStart w:id="108" w:name="_heading=h.36ei31r" w:colFirst="0" w:colLast="0"/>
      <w:bookmarkEnd w:id="108"/>
      <w:r>
        <w:t>BENEFICIOS ECONÓMICO</w:t>
      </w:r>
    </w:p>
    <w:p w14:paraId="11F938DF" w14:textId="77777777" w:rsidR="0035403C" w:rsidRDefault="00D02C31">
      <w:pPr>
        <w:jc w:val="both"/>
      </w:pPr>
      <w:r w:rsidRPr="0FE4D5DF">
        <w:rPr>
          <w:lang w:val="en-US"/>
        </w:rPr>
        <w:t xml:space="preserve">Algunas de las razones principales por las que las organizaciones hacen la transición de sistemas locales </w:t>
      </w:r>
      <w:proofErr w:type="gramStart"/>
      <w:r w:rsidRPr="0FE4D5DF">
        <w:rPr>
          <w:lang w:val="en-US"/>
        </w:rPr>
        <w:t>a</w:t>
      </w:r>
      <w:proofErr w:type="gramEnd"/>
      <w:r w:rsidRPr="0FE4D5DF">
        <w:rPr>
          <w:lang w:val="en-US"/>
        </w:rPr>
        <w:t xml:space="preserve"> entornos basados ​​en la nube se debe al ahorro de los costos. Sin embargo es esencial comprender y ponderar todas las implicaciones </w:t>
      </w:r>
      <w:proofErr w:type="gramStart"/>
      <w:r w:rsidRPr="0FE4D5DF">
        <w:rPr>
          <w:lang w:val="en-US"/>
        </w:rPr>
        <w:t>como</w:t>
      </w:r>
      <w:proofErr w:type="gramEnd"/>
      <w:r w:rsidRPr="0FE4D5DF">
        <w:rPr>
          <w:lang w:val="en-US"/>
        </w:rPr>
        <w:t xml:space="preserve"> las prestaciones ambas infraestructuras, los recursos necesarios para que estas funcionen y, profundizando en los factores que los diferencian y cómo afectan las cargas de trabajo.</w:t>
      </w:r>
    </w:p>
    <w:p w14:paraId="2952196C" w14:textId="77777777" w:rsidR="0035403C" w:rsidRDefault="00D02C31">
      <w:pPr>
        <w:pStyle w:val="Ttulo2"/>
        <w:jc w:val="both"/>
      </w:pPr>
      <w:bookmarkStart w:id="109" w:name="_heading=h.1ljsd9k"/>
      <w:bookmarkEnd w:id="109"/>
      <w:r w:rsidRPr="0FE4D5DF">
        <w:rPr>
          <w:lang w:val="en-US"/>
        </w:rPr>
        <w:lastRenderedPageBreak/>
        <w:t>Infraestructura “on-premise”</w:t>
      </w:r>
    </w:p>
    <w:p w14:paraId="19EB9471" w14:textId="77777777" w:rsidR="0035403C" w:rsidRDefault="00D02C31">
      <w:pPr>
        <w:tabs>
          <w:tab w:val="left" w:pos="600"/>
        </w:tabs>
        <w:jc w:val="both"/>
      </w:pPr>
      <w:r w:rsidRPr="0FE4D5DF">
        <w:rPr>
          <w:lang w:val="en-US"/>
        </w:rPr>
        <w:t xml:space="preserve">Se puede reconocer que existen costos </w:t>
      </w:r>
      <w:proofErr w:type="gramStart"/>
      <w:r w:rsidRPr="0FE4D5DF">
        <w:rPr>
          <w:lang w:val="en-US"/>
        </w:rPr>
        <w:t>directos(</w:t>
      </w:r>
      <w:proofErr w:type="gramEnd"/>
      <w:r w:rsidRPr="0FE4D5DF">
        <w:rPr>
          <w:lang w:val="en-US"/>
        </w:rPr>
        <w:t xml:space="preserve">más fáciles de reconocer) e indirectos asociados (gastos asociados con un entorno local que a menudo pasan por alto en lugar de estar “ocultos”). Para el inicio </w:t>
      </w:r>
      <w:proofErr w:type="gramStart"/>
      <w:r w:rsidRPr="0FE4D5DF">
        <w:rPr>
          <w:lang w:val="en-US"/>
        </w:rPr>
        <w:t>del</w:t>
      </w:r>
      <w:proofErr w:type="gramEnd"/>
      <w:r w:rsidRPr="0FE4D5DF">
        <w:rPr>
          <w:lang w:val="en-US"/>
        </w:rPr>
        <w:t xml:space="preserve"> proyecto, es necesario contar con la inversión de toda la infraestructura.</w:t>
      </w:r>
    </w:p>
    <w:p w14:paraId="17FD5A91" w14:textId="77777777" w:rsidR="0035403C" w:rsidRDefault="00D02C31" w:rsidP="0FE4D5DF">
      <w:pPr>
        <w:pStyle w:val="Ttulo3"/>
        <w:tabs>
          <w:tab w:val="left" w:pos="600"/>
        </w:tabs>
        <w:jc w:val="both"/>
        <w:rPr>
          <w:lang w:val="en-US"/>
        </w:rPr>
      </w:pPr>
      <w:bookmarkStart w:id="110" w:name="_heading=h.45jfvxd"/>
      <w:bookmarkEnd w:id="110"/>
      <w:r w:rsidRPr="0FE4D5DF">
        <w:rPr>
          <w:lang w:val="en-US"/>
        </w:rPr>
        <w:t>Costos directos</w:t>
      </w:r>
    </w:p>
    <w:p w14:paraId="297B8034" w14:textId="77777777" w:rsidR="0035403C" w:rsidRDefault="00D02C31">
      <w:pPr>
        <w:numPr>
          <w:ilvl w:val="0"/>
          <w:numId w:val="8"/>
        </w:numPr>
        <w:tabs>
          <w:tab w:val="left" w:pos="600"/>
        </w:tabs>
      </w:pPr>
      <w:r w:rsidRPr="0FE4D5DF">
        <w:rPr>
          <w:lang w:val="en-US"/>
        </w:rPr>
        <w:t>Hardware. Esto incluye el costo de servidores físicos, repuestos y materiales físicos.</w:t>
      </w:r>
    </w:p>
    <w:p w14:paraId="20CF0F95" w14:textId="77777777" w:rsidR="0035403C" w:rsidRDefault="00D02C31" w:rsidP="0FE4D5DF">
      <w:pPr>
        <w:numPr>
          <w:ilvl w:val="0"/>
          <w:numId w:val="8"/>
        </w:numPr>
        <w:tabs>
          <w:tab w:val="left" w:pos="600"/>
        </w:tabs>
        <w:rPr>
          <w:lang w:val="en-US"/>
        </w:rPr>
      </w:pPr>
      <w:r w:rsidRPr="0FE4D5DF">
        <w:rPr>
          <w:lang w:val="en-US"/>
        </w:rPr>
        <w:t>Electricidad y respaldo energético</w:t>
      </w:r>
    </w:p>
    <w:p w14:paraId="4C899762" w14:textId="77777777" w:rsidR="0035403C" w:rsidRDefault="00D02C31">
      <w:pPr>
        <w:numPr>
          <w:ilvl w:val="0"/>
          <w:numId w:val="8"/>
        </w:numPr>
        <w:tabs>
          <w:tab w:val="left" w:pos="600"/>
        </w:tabs>
      </w:pPr>
      <w:r>
        <w:t>Software</w:t>
      </w:r>
    </w:p>
    <w:p w14:paraId="7E327859" w14:textId="77777777" w:rsidR="0035403C" w:rsidRDefault="00D02C31" w:rsidP="0FE4D5DF">
      <w:pPr>
        <w:numPr>
          <w:ilvl w:val="0"/>
          <w:numId w:val="8"/>
        </w:numPr>
        <w:tabs>
          <w:tab w:val="left" w:pos="600"/>
        </w:tabs>
        <w:rPr>
          <w:lang w:val="en-US"/>
        </w:rPr>
      </w:pPr>
      <w:r w:rsidRPr="0FE4D5DF">
        <w:rPr>
          <w:lang w:val="en-US"/>
        </w:rPr>
        <w:t>Almacenamiento</w:t>
      </w:r>
    </w:p>
    <w:p w14:paraId="2332B377" w14:textId="77777777" w:rsidR="0035403C" w:rsidRDefault="00D02C31" w:rsidP="0FE4D5DF">
      <w:pPr>
        <w:numPr>
          <w:ilvl w:val="0"/>
          <w:numId w:val="8"/>
        </w:numPr>
        <w:tabs>
          <w:tab w:val="left" w:pos="600"/>
        </w:tabs>
        <w:rPr>
          <w:lang w:val="en-US"/>
        </w:rPr>
      </w:pPr>
      <w:r w:rsidRPr="0FE4D5DF">
        <w:rPr>
          <w:lang w:val="en-US"/>
        </w:rPr>
        <w:t>Varias licencias</w:t>
      </w:r>
    </w:p>
    <w:p w14:paraId="085201AC" w14:textId="77777777" w:rsidR="0035403C" w:rsidRDefault="00D02C31">
      <w:pPr>
        <w:numPr>
          <w:ilvl w:val="0"/>
          <w:numId w:val="8"/>
        </w:numPr>
        <w:tabs>
          <w:tab w:val="left" w:pos="600"/>
        </w:tabs>
      </w:pPr>
      <w:r w:rsidRPr="0FE4D5DF">
        <w:rPr>
          <w:lang w:val="en-US"/>
        </w:rPr>
        <w:t xml:space="preserve">Herramientas de seguridad </w:t>
      </w:r>
      <w:proofErr w:type="gramStart"/>
      <w:r w:rsidRPr="0FE4D5DF">
        <w:rPr>
          <w:lang w:val="en-US"/>
        </w:rPr>
        <w:t>como</w:t>
      </w:r>
      <w:proofErr w:type="gramEnd"/>
      <w:r w:rsidRPr="0FE4D5DF">
        <w:rPr>
          <w:lang w:val="en-US"/>
        </w:rPr>
        <w:t xml:space="preserve"> antivirus.</w:t>
      </w:r>
    </w:p>
    <w:p w14:paraId="10874016" w14:textId="77777777" w:rsidR="0035403C" w:rsidRDefault="00D02C31" w:rsidP="0FE4D5DF">
      <w:pPr>
        <w:numPr>
          <w:ilvl w:val="0"/>
          <w:numId w:val="8"/>
        </w:numPr>
        <w:tabs>
          <w:tab w:val="left" w:pos="600"/>
        </w:tabs>
        <w:rPr>
          <w:lang w:val="en-US"/>
        </w:rPr>
      </w:pPr>
      <w:r w:rsidRPr="0FE4D5DF">
        <w:rPr>
          <w:lang w:val="en-US"/>
        </w:rPr>
        <w:t>Soporte al usuario</w:t>
      </w:r>
    </w:p>
    <w:p w14:paraId="6BE7D2E4" w14:textId="77777777" w:rsidR="0035403C" w:rsidRDefault="00D02C31" w:rsidP="0FE4D5DF">
      <w:pPr>
        <w:numPr>
          <w:ilvl w:val="0"/>
          <w:numId w:val="8"/>
        </w:numPr>
        <w:tabs>
          <w:tab w:val="left" w:pos="600"/>
        </w:tabs>
        <w:rPr>
          <w:lang w:val="en-US"/>
        </w:rPr>
      </w:pPr>
      <w:r w:rsidRPr="0FE4D5DF">
        <w:rPr>
          <w:lang w:val="en-US"/>
        </w:rPr>
        <w:t>Garantías o seguros</w:t>
      </w:r>
    </w:p>
    <w:p w14:paraId="5401E858" w14:textId="77777777" w:rsidR="0035403C" w:rsidRDefault="00D02C31">
      <w:pPr>
        <w:numPr>
          <w:ilvl w:val="0"/>
          <w:numId w:val="8"/>
        </w:numPr>
        <w:tabs>
          <w:tab w:val="left" w:pos="600"/>
        </w:tabs>
      </w:pPr>
      <w:r w:rsidRPr="0FE4D5DF">
        <w:rPr>
          <w:lang w:val="en-US"/>
        </w:rPr>
        <w:t xml:space="preserve">Copias de seguridad fuera </w:t>
      </w:r>
      <w:proofErr w:type="gramStart"/>
      <w:r w:rsidRPr="0FE4D5DF">
        <w:rPr>
          <w:lang w:val="en-US"/>
        </w:rPr>
        <w:t>del</w:t>
      </w:r>
      <w:proofErr w:type="gramEnd"/>
      <w:r w:rsidRPr="0FE4D5DF">
        <w:rPr>
          <w:lang w:val="en-US"/>
        </w:rPr>
        <w:t xml:space="preserve"> sitio.</w:t>
      </w:r>
    </w:p>
    <w:p w14:paraId="063C7F74" w14:textId="77777777" w:rsidR="0035403C" w:rsidRDefault="00D02C31" w:rsidP="0FE4D5DF">
      <w:pPr>
        <w:pStyle w:val="Ttulo3"/>
        <w:tabs>
          <w:tab w:val="left" w:pos="600"/>
        </w:tabs>
        <w:rPr>
          <w:lang w:val="en-US"/>
        </w:rPr>
      </w:pPr>
      <w:bookmarkStart w:id="111" w:name="_heading=h.2koq656"/>
      <w:bookmarkEnd w:id="111"/>
      <w:r w:rsidRPr="0FE4D5DF">
        <w:rPr>
          <w:lang w:val="en-US"/>
        </w:rPr>
        <w:t>Costos indirectos</w:t>
      </w:r>
    </w:p>
    <w:p w14:paraId="3A13E63E" w14:textId="77777777" w:rsidR="0035403C" w:rsidRDefault="00D02C31">
      <w:pPr>
        <w:numPr>
          <w:ilvl w:val="0"/>
          <w:numId w:val="16"/>
        </w:numPr>
        <w:tabs>
          <w:tab w:val="left" w:pos="600"/>
        </w:tabs>
      </w:pPr>
      <w:r w:rsidRPr="0FE4D5DF">
        <w:rPr>
          <w:lang w:val="en-US"/>
        </w:rPr>
        <w:t xml:space="preserve">La propiedad inmobiliaria </w:t>
      </w:r>
      <w:proofErr w:type="gramStart"/>
      <w:r w:rsidRPr="0FE4D5DF">
        <w:rPr>
          <w:lang w:val="en-US"/>
        </w:rPr>
        <w:t>del</w:t>
      </w:r>
      <w:proofErr w:type="gramEnd"/>
      <w:r w:rsidRPr="0FE4D5DF">
        <w:rPr>
          <w:lang w:val="en-US"/>
        </w:rPr>
        <w:t xml:space="preserve"> espacio de almacenamiento utilizado para los servidores.</w:t>
      </w:r>
    </w:p>
    <w:p w14:paraId="49FF8C36" w14:textId="77777777" w:rsidR="0035403C" w:rsidRDefault="00D02C31">
      <w:pPr>
        <w:numPr>
          <w:ilvl w:val="0"/>
          <w:numId w:val="16"/>
        </w:numPr>
        <w:tabs>
          <w:tab w:val="left" w:pos="600"/>
        </w:tabs>
      </w:pPr>
      <w:r w:rsidRPr="0FE4D5DF">
        <w:rPr>
          <w:lang w:val="en-US"/>
        </w:rPr>
        <w:t xml:space="preserve">Herramientas utilizadas para el control de temperatura en </w:t>
      </w:r>
      <w:proofErr w:type="gramStart"/>
      <w:r w:rsidRPr="0FE4D5DF">
        <w:rPr>
          <w:lang w:val="en-US"/>
        </w:rPr>
        <w:t>el centro</w:t>
      </w:r>
      <w:proofErr w:type="gramEnd"/>
      <w:r w:rsidRPr="0FE4D5DF">
        <w:rPr>
          <w:lang w:val="en-US"/>
        </w:rPr>
        <w:t xml:space="preserve"> de datos.</w:t>
      </w:r>
    </w:p>
    <w:p w14:paraId="0BB09EFF" w14:textId="77777777" w:rsidR="0035403C" w:rsidRDefault="00D02C31">
      <w:pPr>
        <w:numPr>
          <w:ilvl w:val="0"/>
          <w:numId w:val="16"/>
        </w:numPr>
        <w:tabs>
          <w:tab w:val="left" w:pos="600"/>
        </w:tabs>
      </w:pPr>
      <w:r w:rsidRPr="0FE4D5DF">
        <w:rPr>
          <w:lang w:val="en-US"/>
        </w:rPr>
        <w:t>El costo de instalación, configuración y actualizaciones continuas.</w:t>
      </w:r>
    </w:p>
    <w:p w14:paraId="18BD0E04" w14:textId="77777777" w:rsidR="0035403C" w:rsidRDefault="00D02C31">
      <w:pPr>
        <w:numPr>
          <w:ilvl w:val="0"/>
          <w:numId w:val="16"/>
        </w:numPr>
        <w:tabs>
          <w:tab w:val="left" w:pos="600"/>
        </w:tabs>
      </w:pPr>
      <w:r w:rsidRPr="0FE4D5DF">
        <w:rPr>
          <w:lang w:val="en-US"/>
        </w:rPr>
        <w:t>Salarios del personal para administradores que mantienen un centro de datos local</w:t>
      </w:r>
    </w:p>
    <w:p w14:paraId="5A99B701" w14:textId="77777777" w:rsidR="0035403C" w:rsidRDefault="00D02C31">
      <w:pPr>
        <w:numPr>
          <w:ilvl w:val="0"/>
          <w:numId w:val="16"/>
        </w:numPr>
        <w:tabs>
          <w:tab w:val="left" w:pos="600"/>
        </w:tabs>
      </w:pPr>
      <w:r w:rsidRPr="0FE4D5DF">
        <w:rPr>
          <w:lang w:val="en-US"/>
        </w:rPr>
        <w:t>Configuración de infraestructura de red y mantenimiento continuo.</w:t>
      </w:r>
    </w:p>
    <w:p w14:paraId="5A1B4653" w14:textId="77777777" w:rsidR="0035403C" w:rsidRDefault="00D02C31">
      <w:pPr>
        <w:numPr>
          <w:ilvl w:val="0"/>
          <w:numId w:val="16"/>
        </w:numPr>
        <w:tabs>
          <w:tab w:val="left" w:pos="600"/>
        </w:tabs>
      </w:pPr>
      <w:r w:rsidRPr="0FE4D5DF">
        <w:rPr>
          <w:lang w:val="en-US"/>
        </w:rPr>
        <w:t xml:space="preserve">El costo </w:t>
      </w:r>
      <w:proofErr w:type="gramStart"/>
      <w:r w:rsidRPr="0FE4D5DF">
        <w:rPr>
          <w:lang w:val="en-US"/>
        </w:rPr>
        <w:t>del</w:t>
      </w:r>
      <w:proofErr w:type="gramEnd"/>
      <w:r w:rsidRPr="0FE4D5DF">
        <w:rPr>
          <w:lang w:val="en-US"/>
        </w:rPr>
        <w:t xml:space="preserve"> tiempo de inactividad mientras el equipo soluciona el problema.</w:t>
      </w:r>
    </w:p>
    <w:p w14:paraId="29FEE421" w14:textId="77777777" w:rsidR="0035403C" w:rsidRDefault="00D02C31" w:rsidP="0FE4D5DF">
      <w:pPr>
        <w:numPr>
          <w:ilvl w:val="0"/>
          <w:numId w:val="16"/>
        </w:numPr>
        <w:tabs>
          <w:tab w:val="left" w:pos="600"/>
        </w:tabs>
        <w:rPr>
          <w:lang w:val="en-US"/>
        </w:rPr>
      </w:pPr>
      <w:r w:rsidRPr="0FE4D5DF">
        <w:rPr>
          <w:lang w:val="en-US"/>
        </w:rPr>
        <w:t>Productividad perdida cuando el sistema experimenta un tiempo de inactividad</w:t>
      </w:r>
    </w:p>
    <w:p w14:paraId="42B707DC" w14:textId="77777777" w:rsidR="0035403C" w:rsidRDefault="00D02C31" w:rsidP="17FBBB8B">
      <w:pPr>
        <w:numPr>
          <w:ilvl w:val="0"/>
          <w:numId w:val="16"/>
        </w:numPr>
        <w:tabs>
          <w:tab w:val="left" w:pos="600"/>
        </w:tabs>
        <w:rPr>
          <w:lang w:val="en-US"/>
        </w:rPr>
      </w:pPr>
      <w:r w:rsidRPr="17FBBB8B">
        <w:rPr>
          <w:lang w:val="en-US"/>
        </w:rPr>
        <w:t>El costo de mantener los servidores encendidos 24 horas al día, 7 días a la semana</w:t>
      </w:r>
    </w:p>
    <w:p w14:paraId="5C9603E2" w14:textId="77777777" w:rsidR="0035403C" w:rsidRDefault="00D02C31">
      <w:pPr>
        <w:numPr>
          <w:ilvl w:val="0"/>
          <w:numId w:val="16"/>
        </w:numPr>
        <w:tabs>
          <w:tab w:val="left" w:pos="600"/>
        </w:tabs>
      </w:pPr>
      <w:r w:rsidRPr="0FE4D5DF">
        <w:rPr>
          <w:lang w:val="en-US"/>
        </w:rPr>
        <w:t>Depreciación del hardware y software.</w:t>
      </w:r>
    </w:p>
    <w:p w14:paraId="56491E87" w14:textId="77777777" w:rsidR="0035403C" w:rsidRDefault="00D02C31">
      <w:pPr>
        <w:numPr>
          <w:ilvl w:val="0"/>
          <w:numId w:val="16"/>
        </w:numPr>
        <w:tabs>
          <w:tab w:val="left" w:pos="600"/>
        </w:tabs>
      </w:pPr>
      <w:r w:rsidRPr="0FE4D5DF">
        <w:rPr>
          <w:lang w:val="en-US"/>
        </w:rPr>
        <w:t>Tiempo dedicado a la recuperación ante desastres.</w:t>
      </w:r>
    </w:p>
    <w:p w14:paraId="405637E8" w14:textId="77777777" w:rsidR="0035403C" w:rsidRDefault="00D02C31">
      <w:pPr>
        <w:numPr>
          <w:ilvl w:val="0"/>
          <w:numId w:val="16"/>
        </w:numPr>
        <w:tabs>
          <w:tab w:val="left" w:pos="600"/>
        </w:tabs>
      </w:pPr>
      <w:r w:rsidRPr="0FE4D5DF">
        <w:rPr>
          <w:lang w:val="en-US"/>
        </w:rPr>
        <w:t xml:space="preserve">Costos administrativos asociados más allá </w:t>
      </w:r>
      <w:proofErr w:type="gramStart"/>
      <w:r w:rsidRPr="0FE4D5DF">
        <w:rPr>
          <w:lang w:val="en-US"/>
        </w:rPr>
        <w:t>del</w:t>
      </w:r>
      <w:proofErr w:type="gramEnd"/>
      <w:r w:rsidRPr="0FE4D5DF">
        <w:rPr>
          <w:lang w:val="en-US"/>
        </w:rPr>
        <w:t xml:space="preserve"> personal de TI, como recursos humanos, compras, finanzas y otros departamentos.</w:t>
      </w:r>
    </w:p>
    <w:p w14:paraId="3DD355C9" w14:textId="77777777" w:rsidR="0035403C" w:rsidRDefault="0035403C">
      <w:pPr>
        <w:tabs>
          <w:tab w:val="left" w:pos="600"/>
        </w:tabs>
      </w:pPr>
    </w:p>
    <w:p w14:paraId="1A81F0B1" w14:textId="77777777" w:rsidR="0035403C" w:rsidRDefault="00D02C31">
      <w:pPr>
        <w:tabs>
          <w:tab w:val="left" w:pos="600"/>
        </w:tabs>
        <w:jc w:val="center"/>
      </w:pPr>
      <w:r>
        <w:rPr>
          <w:noProof/>
          <w:lang w:eastAsia="es-AR"/>
        </w:rPr>
        <w:drawing>
          <wp:inline distT="114300" distB="114300" distL="114300" distR="114300" wp14:anchorId="50AA6FE1" wp14:editId="07777777">
            <wp:extent cx="5664200" cy="2832100"/>
            <wp:effectExtent l="0" t="0" r="0" b="0"/>
            <wp:docPr id="147"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49"/>
                    <a:srcRect/>
                    <a:stretch>
                      <a:fillRect/>
                    </a:stretch>
                  </pic:blipFill>
                  <pic:spPr>
                    <a:xfrm>
                      <a:off x="0" y="0"/>
                      <a:ext cx="5664200" cy="2832100"/>
                    </a:xfrm>
                    <a:prstGeom prst="rect">
                      <a:avLst/>
                    </a:prstGeom>
                    <a:ln/>
                  </pic:spPr>
                </pic:pic>
              </a:graphicData>
            </a:graphic>
          </wp:inline>
        </w:drawing>
      </w:r>
    </w:p>
    <w:p w14:paraId="408B0D34" w14:textId="77777777" w:rsidR="0035403C" w:rsidRDefault="00D02C31">
      <w:pPr>
        <w:jc w:val="both"/>
      </w:pPr>
      <w:r w:rsidRPr="0FE4D5DF">
        <w:rPr>
          <w:i/>
          <w:iCs/>
          <w:color w:val="1F497D" w:themeColor="text2"/>
          <w:sz w:val="18"/>
          <w:szCs w:val="18"/>
          <w:lang w:val="en-US"/>
        </w:rPr>
        <w:t>Ilustración 35 - Costos on-premises</w:t>
      </w:r>
    </w:p>
    <w:p w14:paraId="14227820" w14:textId="77777777" w:rsidR="0035403C" w:rsidRDefault="00D02C31">
      <w:pPr>
        <w:pStyle w:val="Ttulo2"/>
        <w:jc w:val="both"/>
      </w:pPr>
      <w:bookmarkStart w:id="112" w:name="_heading=h.zu0gcz"/>
      <w:bookmarkEnd w:id="112"/>
      <w:r w:rsidRPr="0FE4D5DF">
        <w:rPr>
          <w:lang w:val="en-US"/>
        </w:rPr>
        <w:lastRenderedPageBreak/>
        <w:t>Infraestructura “cloud”</w:t>
      </w:r>
    </w:p>
    <w:p w14:paraId="4070C38B" w14:textId="77777777" w:rsidR="0035403C" w:rsidRDefault="00D02C31">
      <w:pPr>
        <w:tabs>
          <w:tab w:val="left" w:pos="600"/>
        </w:tabs>
        <w:jc w:val="both"/>
      </w:pPr>
      <w:r w:rsidRPr="0FE4D5DF">
        <w:rPr>
          <w:lang w:val="en-US"/>
        </w:rPr>
        <w:t xml:space="preserve">Existe </w:t>
      </w:r>
      <w:proofErr w:type="gramStart"/>
      <w:r w:rsidRPr="0FE4D5DF">
        <w:rPr>
          <w:lang w:val="en-US"/>
        </w:rPr>
        <w:t>un</w:t>
      </w:r>
      <w:proofErr w:type="gramEnd"/>
      <w:r w:rsidRPr="0FE4D5DF">
        <w:rPr>
          <w:lang w:val="en-US"/>
        </w:rPr>
        <w:t xml:space="preserve"> punto clave en la comparación de costos de la infraestructura local versus el costo involucrado en la nube, que se reduce drásticamente. El gasto de capital (CAPEX) es prácticamente inexistente, ya que no se necesita hardware </w:t>
      </w:r>
      <w:proofErr w:type="gramStart"/>
      <w:r w:rsidRPr="0FE4D5DF">
        <w:rPr>
          <w:lang w:val="en-US"/>
        </w:rPr>
        <w:t>ni</w:t>
      </w:r>
      <w:proofErr w:type="gramEnd"/>
      <w:r w:rsidRPr="0FE4D5DF">
        <w:rPr>
          <w:lang w:val="en-US"/>
        </w:rPr>
        <w:t xml:space="preserve"> infraestructura física para albergar servidores. La conectividad entre los equipos tampoco es </w:t>
      </w:r>
      <w:proofErr w:type="gramStart"/>
      <w:r w:rsidRPr="0FE4D5DF">
        <w:rPr>
          <w:lang w:val="en-US"/>
        </w:rPr>
        <w:t>un</w:t>
      </w:r>
      <w:proofErr w:type="gramEnd"/>
      <w:r w:rsidRPr="0FE4D5DF">
        <w:rPr>
          <w:lang w:val="en-US"/>
        </w:rPr>
        <w:t xml:space="preserve"> problema, ya que está incluida en muchos planes, agrupado en solo un gasto mensual. </w:t>
      </w:r>
      <w:proofErr w:type="gramStart"/>
      <w:r w:rsidRPr="0FE4D5DF">
        <w:rPr>
          <w:lang w:val="en-US"/>
        </w:rPr>
        <w:t>Tampoco existe la necesidad de contratar personal de TI para mantener todos estos puntos, haciendo que los gastos se puedan reasignar para desarrollar sistemas y mantener bajos los costos salariales.</w:t>
      </w:r>
      <w:proofErr w:type="gramEnd"/>
      <w:r w:rsidRPr="0FE4D5DF">
        <w:rPr>
          <w:lang w:val="en-US"/>
        </w:rPr>
        <w:t xml:space="preserve"> Por último, los costos de mantenimiento o conservación se mantienen al mínimo ya que no hay hardware físico </w:t>
      </w:r>
      <w:proofErr w:type="gramStart"/>
      <w:r w:rsidRPr="0FE4D5DF">
        <w:rPr>
          <w:lang w:val="en-US"/>
        </w:rPr>
        <w:t>ni</w:t>
      </w:r>
      <w:proofErr w:type="gramEnd"/>
      <w:r w:rsidRPr="0FE4D5DF">
        <w:rPr>
          <w:lang w:val="en-US"/>
        </w:rPr>
        <w:t xml:space="preserve"> infraestructura que mantener.</w:t>
      </w:r>
    </w:p>
    <w:p w14:paraId="717AAFBA" w14:textId="77777777" w:rsidR="0035403C" w:rsidRDefault="00D02C31">
      <w:pPr>
        <w:tabs>
          <w:tab w:val="left" w:pos="600"/>
        </w:tabs>
      </w:pPr>
      <w:r>
        <w:rPr>
          <w:noProof/>
          <w:lang w:eastAsia="es-AR"/>
        </w:rPr>
        <w:drawing>
          <wp:inline distT="114300" distB="114300" distL="114300" distR="114300" wp14:anchorId="3603122A" wp14:editId="07777777">
            <wp:extent cx="5664200" cy="2997200"/>
            <wp:effectExtent l="0" t="0" r="0" b="0"/>
            <wp:docPr id="148"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50"/>
                    <a:srcRect/>
                    <a:stretch>
                      <a:fillRect/>
                    </a:stretch>
                  </pic:blipFill>
                  <pic:spPr>
                    <a:xfrm>
                      <a:off x="0" y="0"/>
                      <a:ext cx="5664200" cy="2997200"/>
                    </a:xfrm>
                    <a:prstGeom prst="rect">
                      <a:avLst/>
                    </a:prstGeom>
                    <a:ln/>
                  </pic:spPr>
                </pic:pic>
              </a:graphicData>
            </a:graphic>
          </wp:inline>
        </w:drawing>
      </w:r>
    </w:p>
    <w:p w14:paraId="7A3B893A" w14:textId="77777777" w:rsidR="0035403C" w:rsidRDefault="00D02C31">
      <w:pPr>
        <w:tabs>
          <w:tab w:val="left" w:pos="600"/>
        </w:tabs>
        <w:jc w:val="both"/>
      </w:pPr>
      <w:r w:rsidRPr="0FE4D5DF">
        <w:rPr>
          <w:i/>
          <w:iCs/>
          <w:color w:val="1F497D" w:themeColor="text2"/>
          <w:sz w:val="18"/>
          <w:szCs w:val="18"/>
          <w:lang w:val="en-US"/>
        </w:rPr>
        <w:t>Ilustración 36 - Costos cloud</w:t>
      </w:r>
    </w:p>
    <w:p w14:paraId="2266E7EF" w14:textId="77777777" w:rsidR="0035403C" w:rsidRDefault="00D02C31" w:rsidP="0FE4D5DF">
      <w:pPr>
        <w:pStyle w:val="Ttulo2"/>
        <w:tabs>
          <w:tab w:val="left" w:pos="600"/>
        </w:tabs>
        <w:jc w:val="both"/>
        <w:rPr>
          <w:lang w:val="en-US"/>
        </w:rPr>
      </w:pPr>
      <w:bookmarkStart w:id="113" w:name="_heading=h.3jtnz0s"/>
      <w:bookmarkEnd w:id="113"/>
      <w:r w:rsidRPr="0FE4D5DF">
        <w:rPr>
          <w:lang w:val="en-US"/>
        </w:rPr>
        <w:t>Comparación</w:t>
      </w:r>
    </w:p>
    <w:p w14:paraId="5046BF17" w14:textId="77777777" w:rsidR="0035403C" w:rsidRDefault="00D02C31">
      <w:pPr>
        <w:tabs>
          <w:tab w:val="left" w:pos="600"/>
        </w:tabs>
        <w:jc w:val="both"/>
      </w:pPr>
      <w:r w:rsidRPr="0FE4D5DF">
        <w:rPr>
          <w:lang w:val="en-US"/>
        </w:rPr>
        <w:t xml:space="preserve">Según el artículo “A New Framework of Software Testing Using Cloud Computing for Banking Applications”, donde se presenta </w:t>
      </w:r>
      <w:proofErr w:type="gramStart"/>
      <w:r w:rsidRPr="0FE4D5DF">
        <w:rPr>
          <w:lang w:val="en-US"/>
        </w:rPr>
        <w:t>un</w:t>
      </w:r>
      <w:proofErr w:type="gramEnd"/>
      <w:r w:rsidRPr="0FE4D5DF">
        <w:rPr>
          <w:lang w:val="en-US"/>
        </w:rPr>
        <w:t xml:space="preserve"> nuevo enfoque para utilizar la metodología de DevOps, se realizaron diferentes pruebas para mejorar el proceso del ciclo de software en la industria bancaria. El documento demuestra que el método de computación en la nube ahorra costos operativos y laborales entre un 40% y un 60% y reduce el tiempo requerido en un 30%. </w:t>
      </w:r>
      <w:proofErr w:type="gramStart"/>
      <w:r w:rsidRPr="0FE4D5DF">
        <w:rPr>
          <w:lang w:val="en-US"/>
        </w:rPr>
        <w:t>Ahorrar tiempo minimizará el esfuerzo necesario para implementar luego el entorno de pruebas y productivo.</w:t>
      </w:r>
      <w:proofErr w:type="gramEnd"/>
    </w:p>
    <w:p w14:paraId="56EE48EE" w14:textId="77777777" w:rsidR="0035403C" w:rsidRDefault="0035403C">
      <w:pPr>
        <w:tabs>
          <w:tab w:val="left" w:pos="600"/>
        </w:tabs>
      </w:pPr>
    </w:p>
    <w:p w14:paraId="64700921" w14:textId="77777777" w:rsidR="0035403C" w:rsidRDefault="00C20BE8">
      <w:pPr>
        <w:tabs>
          <w:tab w:val="left" w:pos="600"/>
        </w:tabs>
      </w:pPr>
      <w:hyperlink r:id="rId51">
        <w:r w:rsidR="00D02C31">
          <w:rPr>
            <w:color w:val="1155CC"/>
            <w:u w:val="single"/>
          </w:rPr>
          <w:t>https://www.researchgate.net/publication/319604195_A_New_Framework_of_Software_Testing_Using_Cloud_Computing_for_Banking_Applications</w:t>
        </w:r>
      </w:hyperlink>
    </w:p>
    <w:p w14:paraId="2908EB2C" w14:textId="77777777" w:rsidR="0035403C" w:rsidRDefault="0035403C">
      <w:pPr>
        <w:tabs>
          <w:tab w:val="left" w:pos="600"/>
        </w:tabs>
        <w:jc w:val="both"/>
      </w:pPr>
    </w:p>
    <w:p w14:paraId="60357A88" w14:textId="77777777" w:rsidR="0035403C" w:rsidRDefault="00D02C31" w:rsidP="0FE4D5DF">
      <w:pPr>
        <w:tabs>
          <w:tab w:val="left" w:pos="600"/>
        </w:tabs>
        <w:jc w:val="both"/>
        <w:rPr>
          <w:b/>
          <w:bCs/>
          <w:i/>
          <w:iCs/>
          <w:lang w:val="en-US"/>
        </w:rPr>
      </w:pPr>
      <w:r w:rsidRPr="0FE4D5DF">
        <w:rPr>
          <w:b/>
          <w:bCs/>
          <w:i/>
          <w:iCs/>
          <w:lang w:val="en-US"/>
        </w:rPr>
        <w:t xml:space="preserve">Nuestro entorno de prueba se construyó totalmente en una máquina virtual </w:t>
      </w:r>
      <w:proofErr w:type="gramStart"/>
      <w:r w:rsidRPr="0FE4D5DF">
        <w:rPr>
          <w:b/>
          <w:bCs/>
          <w:i/>
          <w:iCs/>
          <w:lang w:val="en-US"/>
        </w:rPr>
        <w:t>como</w:t>
      </w:r>
      <w:proofErr w:type="gramEnd"/>
      <w:r w:rsidRPr="0FE4D5DF">
        <w:rPr>
          <w:b/>
          <w:bCs/>
          <w:i/>
          <w:iCs/>
          <w:lang w:val="en-US"/>
        </w:rPr>
        <w:t xml:space="preserve"> estudio de comparación con la plataforma informática construida en la nube. </w:t>
      </w:r>
      <w:proofErr w:type="gramStart"/>
      <w:r w:rsidRPr="0FE4D5DF">
        <w:rPr>
          <w:b/>
          <w:bCs/>
          <w:i/>
          <w:iCs/>
          <w:lang w:val="en-US"/>
        </w:rPr>
        <w:t>Como se muestra en la Tabla, que incluye todos los pasos necesarios para construir nuestro entorno de prueba para el sistema bancario en máquinas virtuales.</w:t>
      </w:r>
      <w:proofErr w:type="gramEnd"/>
      <w:r w:rsidRPr="0FE4D5DF">
        <w:rPr>
          <w:b/>
          <w:bCs/>
          <w:i/>
          <w:iCs/>
          <w:lang w:val="en-US"/>
        </w:rPr>
        <w:t xml:space="preserve"> </w:t>
      </w:r>
      <w:proofErr w:type="gramStart"/>
      <w:r w:rsidRPr="0FE4D5DF">
        <w:rPr>
          <w:b/>
          <w:bCs/>
          <w:i/>
          <w:iCs/>
          <w:lang w:val="en-US"/>
        </w:rPr>
        <w:t>Incluye el costo y el tiempo de cada tarea.</w:t>
      </w:r>
      <w:proofErr w:type="gramEnd"/>
      <w:r w:rsidRPr="0FE4D5DF">
        <w:rPr>
          <w:b/>
          <w:bCs/>
          <w:i/>
          <w:iCs/>
          <w:lang w:val="en-US"/>
        </w:rPr>
        <w:t xml:space="preserve"> El coste de compra de herramientas racionales de IBM no se suma </w:t>
      </w:r>
      <w:proofErr w:type="gramStart"/>
      <w:r w:rsidRPr="0FE4D5DF">
        <w:rPr>
          <w:b/>
          <w:bCs/>
          <w:i/>
          <w:iCs/>
          <w:lang w:val="en-US"/>
        </w:rPr>
        <w:t>a</w:t>
      </w:r>
      <w:proofErr w:type="gramEnd"/>
      <w:r w:rsidRPr="0FE4D5DF">
        <w:rPr>
          <w:b/>
          <w:bCs/>
          <w:i/>
          <w:iCs/>
          <w:lang w:val="en-US"/>
        </w:rPr>
        <w:t xml:space="preserve"> esta compresión porque será el </w:t>
      </w:r>
      <w:r w:rsidRPr="0FE4D5DF">
        <w:rPr>
          <w:b/>
          <w:bCs/>
          <w:i/>
          <w:iCs/>
          <w:lang w:val="en-US"/>
        </w:rPr>
        <w:lastRenderedPageBreak/>
        <w:t xml:space="preserve">mismo en ambos entornos. La configuración de la máquina virtual se divide en tres fases principales: </w:t>
      </w:r>
    </w:p>
    <w:p w14:paraId="250CC9E8" w14:textId="77777777" w:rsidR="0035403C" w:rsidRDefault="00D02C31" w:rsidP="0FE4D5DF">
      <w:pPr>
        <w:numPr>
          <w:ilvl w:val="0"/>
          <w:numId w:val="10"/>
        </w:numPr>
        <w:tabs>
          <w:tab w:val="left" w:pos="600"/>
        </w:tabs>
        <w:jc w:val="both"/>
        <w:rPr>
          <w:b/>
          <w:bCs/>
          <w:i/>
          <w:iCs/>
          <w:lang w:val="en-US"/>
        </w:rPr>
      </w:pPr>
      <w:r w:rsidRPr="0FE4D5DF">
        <w:rPr>
          <w:b/>
          <w:bCs/>
          <w:i/>
          <w:iCs/>
          <w:lang w:val="en-US"/>
        </w:rPr>
        <w:t xml:space="preserve">Instalar y configurar las licencias </w:t>
      </w:r>
      <w:proofErr w:type="gramStart"/>
      <w:r w:rsidRPr="0FE4D5DF">
        <w:rPr>
          <w:b/>
          <w:bCs/>
          <w:i/>
          <w:iCs/>
          <w:lang w:val="en-US"/>
        </w:rPr>
        <w:t>del</w:t>
      </w:r>
      <w:proofErr w:type="gramEnd"/>
      <w:r w:rsidRPr="0FE4D5DF">
        <w:rPr>
          <w:b/>
          <w:bCs/>
          <w:i/>
          <w:iCs/>
          <w:lang w:val="en-US"/>
        </w:rPr>
        <w:t xml:space="preserve"> sistema operativo, luego configurar la conexión de red e instalar el navegador Firefox con fines de prueba. </w:t>
      </w:r>
    </w:p>
    <w:p w14:paraId="4D5A7BBD" w14:textId="77777777" w:rsidR="0035403C" w:rsidRDefault="00D02C31" w:rsidP="0FE4D5DF">
      <w:pPr>
        <w:numPr>
          <w:ilvl w:val="0"/>
          <w:numId w:val="10"/>
        </w:numPr>
        <w:tabs>
          <w:tab w:val="left" w:pos="600"/>
        </w:tabs>
        <w:jc w:val="both"/>
        <w:rPr>
          <w:b/>
          <w:bCs/>
          <w:i/>
          <w:iCs/>
          <w:lang w:val="en-US"/>
        </w:rPr>
      </w:pPr>
      <w:r w:rsidRPr="0FE4D5DF">
        <w:rPr>
          <w:b/>
          <w:bCs/>
          <w:i/>
          <w:iCs/>
          <w:lang w:val="en-US"/>
        </w:rPr>
        <w:t xml:space="preserve">Comience cargando las herramientas de IBM en las máquinas virtuales y luego comience </w:t>
      </w:r>
      <w:proofErr w:type="gramStart"/>
      <w:r w:rsidRPr="0FE4D5DF">
        <w:rPr>
          <w:b/>
          <w:bCs/>
          <w:i/>
          <w:iCs/>
          <w:lang w:val="en-US"/>
        </w:rPr>
        <w:t>a</w:t>
      </w:r>
      <w:proofErr w:type="gramEnd"/>
      <w:r w:rsidRPr="0FE4D5DF">
        <w:rPr>
          <w:b/>
          <w:bCs/>
          <w:i/>
          <w:iCs/>
          <w:lang w:val="en-US"/>
        </w:rPr>
        <w:t xml:space="preserve"> instalar el equipo racional. </w:t>
      </w:r>
      <w:proofErr w:type="gramStart"/>
      <w:r w:rsidRPr="0FE4D5DF">
        <w:rPr>
          <w:b/>
          <w:bCs/>
          <w:i/>
          <w:iCs/>
          <w:lang w:val="en-US"/>
        </w:rPr>
        <w:t>concierto</w:t>
      </w:r>
      <w:proofErr w:type="gramEnd"/>
      <w:r w:rsidRPr="0FE4D5DF">
        <w:rPr>
          <w:b/>
          <w:bCs/>
          <w:i/>
          <w:iCs/>
          <w:lang w:val="en-US"/>
        </w:rPr>
        <w:t xml:space="preserve"> y aplicaciones de prueba de rendimiento racional, luego los pasos de configuración que incluyen configurar licencias, servidor de claves de licencias racionales para herramientas racionales y crear una base de datos y un servidor de aplicaciones. Finalmente, </w:t>
      </w:r>
      <w:proofErr w:type="gramStart"/>
      <w:r w:rsidRPr="0FE4D5DF">
        <w:rPr>
          <w:b/>
          <w:bCs/>
          <w:i/>
          <w:iCs/>
          <w:lang w:val="en-US"/>
        </w:rPr>
        <w:t>cree</w:t>
      </w:r>
      <w:proofErr w:type="gramEnd"/>
      <w:r w:rsidRPr="0FE4D5DF">
        <w:rPr>
          <w:b/>
          <w:bCs/>
          <w:i/>
          <w:iCs/>
          <w:lang w:val="en-US"/>
        </w:rPr>
        <w:t xml:space="preserve"> 40 usuarios con diferentes roles en RTC y cree un proyecto con espacio de trabajo en RPT.</w:t>
      </w:r>
    </w:p>
    <w:p w14:paraId="2A8A4BB5" w14:textId="77777777" w:rsidR="0035403C" w:rsidRDefault="00D02C31" w:rsidP="0FE4D5DF">
      <w:pPr>
        <w:numPr>
          <w:ilvl w:val="0"/>
          <w:numId w:val="10"/>
        </w:numPr>
        <w:tabs>
          <w:tab w:val="left" w:pos="600"/>
        </w:tabs>
        <w:jc w:val="both"/>
        <w:rPr>
          <w:b/>
          <w:bCs/>
          <w:i/>
          <w:iCs/>
          <w:lang w:val="en-US"/>
        </w:rPr>
      </w:pPr>
      <w:r w:rsidRPr="0FE4D5DF">
        <w:rPr>
          <w:b/>
          <w:bCs/>
          <w:i/>
          <w:iCs/>
          <w:lang w:val="en-US"/>
        </w:rPr>
        <w:t xml:space="preserve">Registro del rendimiento cargue el caso de prueba para la aplicación RTC usando RPT, luego ejecute </w:t>
      </w:r>
      <w:proofErr w:type="gramStart"/>
      <w:r w:rsidRPr="0FE4D5DF">
        <w:rPr>
          <w:b/>
          <w:bCs/>
          <w:i/>
          <w:iCs/>
          <w:lang w:val="en-US"/>
        </w:rPr>
        <w:t>este</w:t>
      </w:r>
      <w:proofErr w:type="gramEnd"/>
      <w:r w:rsidRPr="0FE4D5DF">
        <w:rPr>
          <w:b/>
          <w:bCs/>
          <w:i/>
          <w:iCs/>
          <w:lang w:val="en-US"/>
        </w:rPr>
        <w:t xml:space="preserve"> script de prueba y guarde los resultados.</w:t>
      </w:r>
    </w:p>
    <w:p w14:paraId="121FD38A" w14:textId="77777777" w:rsidR="0035403C" w:rsidRDefault="0035403C">
      <w:pPr>
        <w:tabs>
          <w:tab w:val="left" w:pos="600"/>
        </w:tabs>
        <w:jc w:val="both"/>
      </w:pPr>
    </w:p>
    <w:p w14:paraId="1FE2DD96" w14:textId="77777777" w:rsidR="0035403C" w:rsidRDefault="0035403C">
      <w:pPr>
        <w:tabs>
          <w:tab w:val="left" w:pos="600"/>
        </w:tabs>
        <w:jc w:val="both"/>
      </w:pPr>
    </w:p>
    <w:p w14:paraId="27357532" w14:textId="77777777" w:rsidR="0035403C" w:rsidRDefault="00D02C31">
      <w:pPr>
        <w:tabs>
          <w:tab w:val="left" w:pos="600"/>
        </w:tabs>
        <w:jc w:val="center"/>
      </w:pPr>
      <w:r>
        <w:rPr>
          <w:noProof/>
          <w:lang w:eastAsia="es-AR"/>
        </w:rPr>
        <w:drawing>
          <wp:inline distT="114300" distB="114300" distL="114300" distR="114300" wp14:anchorId="0DE62C7E" wp14:editId="07777777">
            <wp:extent cx="5664200" cy="4686300"/>
            <wp:effectExtent l="0" t="0" r="0" b="0"/>
            <wp:docPr id="149"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52"/>
                    <a:srcRect/>
                    <a:stretch>
                      <a:fillRect/>
                    </a:stretch>
                  </pic:blipFill>
                  <pic:spPr>
                    <a:xfrm>
                      <a:off x="0" y="0"/>
                      <a:ext cx="5664200" cy="4686300"/>
                    </a:xfrm>
                    <a:prstGeom prst="rect">
                      <a:avLst/>
                    </a:prstGeom>
                    <a:ln/>
                  </pic:spPr>
                </pic:pic>
              </a:graphicData>
            </a:graphic>
          </wp:inline>
        </w:drawing>
      </w:r>
    </w:p>
    <w:p w14:paraId="1896439D" w14:textId="77777777" w:rsidR="0035403C" w:rsidRDefault="00D02C31">
      <w:pPr>
        <w:tabs>
          <w:tab w:val="left" w:pos="600"/>
        </w:tabs>
        <w:jc w:val="both"/>
      </w:pPr>
      <w:r w:rsidRPr="0FE4D5DF">
        <w:rPr>
          <w:i/>
          <w:iCs/>
          <w:color w:val="1F497D" w:themeColor="text2"/>
          <w:sz w:val="18"/>
          <w:szCs w:val="18"/>
          <w:lang w:val="en-US"/>
        </w:rPr>
        <w:t>Tabla 7 - Costos cloud vs on-premises</w:t>
      </w:r>
    </w:p>
    <w:p w14:paraId="139AA0EB" w14:textId="77777777" w:rsidR="0035403C" w:rsidRDefault="00D02C31">
      <w:pPr>
        <w:tabs>
          <w:tab w:val="left" w:pos="600"/>
        </w:tabs>
        <w:jc w:val="both"/>
      </w:pPr>
      <w:r w:rsidRPr="0FE4D5DF">
        <w:rPr>
          <w:b/>
          <w:bCs/>
          <w:i/>
          <w:iCs/>
          <w:lang w:val="en-US"/>
        </w:rPr>
        <w:t xml:space="preserve">Como muestra la Tabla 1, existe una gran diferencia en el tiempo total y el costo necesarios para crear </w:t>
      </w:r>
      <w:proofErr w:type="gramStart"/>
      <w:r w:rsidRPr="0FE4D5DF">
        <w:rPr>
          <w:b/>
          <w:bCs/>
          <w:i/>
          <w:iCs/>
          <w:lang w:val="en-US"/>
        </w:rPr>
        <w:t>un</w:t>
      </w:r>
      <w:proofErr w:type="gramEnd"/>
      <w:r w:rsidRPr="0FE4D5DF">
        <w:rPr>
          <w:b/>
          <w:bCs/>
          <w:i/>
          <w:iCs/>
          <w:lang w:val="en-US"/>
        </w:rPr>
        <w:t xml:space="preserve"> entorno de pruebas para la industria bancaria tanto en computación en la nube como en métodos de infraestructura local. La creación de un entorno de pruebas en la infraestructura de la nube requiere 102 horas y 250 dólares, pero para la infraestructura local requiere 102 horas y 250 dólares. </w:t>
      </w:r>
      <w:proofErr w:type="gramStart"/>
      <w:r w:rsidRPr="0FE4D5DF">
        <w:rPr>
          <w:b/>
          <w:bCs/>
          <w:i/>
          <w:iCs/>
          <w:lang w:val="en-US"/>
        </w:rPr>
        <w:t>117 horas y 810$.</w:t>
      </w:r>
      <w:proofErr w:type="gramEnd"/>
      <w:r w:rsidRPr="0FE4D5DF">
        <w:rPr>
          <w:b/>
          <w:bCs/>
          <w:i/>
          <w:iCs/>
          <w:lang w:val="en-US"/>
        </w:rPr>
        <w:t xml:space="preserve"> Esto representa una reducción de costos </w:t>
      </w:r>
      <w:r w:rsidRPr="0FE4D5DF">
        <w:rPr>
          <w:b/>
          <w:bCs/>
          <w:i/>
          <w:iCs/>
          <w:lang w:val="en-US"/>
        </w:rPr>
        <w:lastRenderedPageBreak/>
        <w:t xml:space="preserve">de entre </w:t>
      </w:r>
      <w:proofErr w:type="gramStart"/>
      <w:r w:rsidRPr="0FE4D5DF">
        <w:rPr>
          <w:b/>
          <w:bCs/>
          <w:i/>
          <w:iCs/>
          <w:lang w:val="en-US"/>
        </w:rPr>
        <w:t>un</w:t>
      </w:r>
      <w:proofErr w:type="gramEnd"/>
      <w:r w:rsidRPr="0FE4D5DF">
        <w:rPr>
          <w:b/>
          <w:bCs/>
          <w:i/>
          <w:iCs/>
          <w:lang w:val="en-US"/>
        </w:rPr>
        <w:t xml:space="preserve"> 40% y un 60% y una reducción de tiempo de casi un 30%. Esto es una prueba de que nuestro objetivo con respecto a la computación en la nube es la mejor opción para crear </w:t>
      </w:r>
      <w:proofErr w:type="gramStart"/>
      <w:r w:rsidRPr="0FE4D5DF">
        <w:rPr>
          <w:b/>
          <w:bCs/>
          <w:i/>
          <w:iCs/>
          <w:lang w:val="en-US"/>
        </w:rPr>
        <w:t>un</w:t>
      </w:r>
      <w:proofErr w:type="gramEnd"/>
      <w:r w:rsidRPr="0FE4D5DF">
        <w:rPr>
          <w:b/>
          <w:bCs/>
          <w:i/>
          <w:iCs/>
          <w:lang w:val="en-US"/>
        </w:rPr>
        <w:t xml:space="preserve"> entorno de pruebas. El </w:t>
      </w:r>
      <w:proofErr w:type="gramStart"/>
      <w:r w:rsidRPr="0FE4D5DF">
        <w:rPr>
          <w:b/>
          <w:bCs/>
          <w:i/>
          <w:iCs/>
          <w:lang w:val="en-US"/>
        </w:rPr>
        <w:t>uso</w:t>
      </w:r>
      <w:proofErr w:type="gramEnd"/>
      <w:r w:rsidRPr="0FE4D5DF">
        <w:rPr>
          <w:b/>
          <w:bCs/>
          <w:i/>
          <w:iCs/>
          <w:lang w:val="en-US"/>
        </w:rPr>
        <w:t xml:space="preserve"> de la computación en la nube reduce el tiempo y el costo invertido en la creación de un entorno de pruebas. La figura 2 muestra el costo total de utilizar la infraestructura local y el entorno de computación en la nube </w:t>
      </w:r>
      <w:proofErr w:type="gramStart"/>
      <w:r w:rsidRPr="0FE4D5DF">
        <w:rPr>
          <w:b/>
          <w:bCs/>
          <w:i/>
          <w:iCs/>
          <w:lang w:val="en-US"/>
        </w:rPr>
        <w:t>durante</w:t>
      </w:r>
      <w:proofErr w:type="gramEnd"/>
      <w:r w:rsidRPr="0FE4D5DF">
        <w:rPr>
          <w:b/>
          <w:bCs/>
          <w:i/>
          <w:iCs/>
          <w:lang w:val="en-US"/>
        </w:rPr>
        <w:t xml:space="preserve"> 5 años. </w:t>
      </w:r>
      <w:proofErr w:type="gramStart"/>
      <w:r w:rsidRPr="0FE4D5DF">
        <w:rPr>
          <w:b/>
          <w:bCs/>
          <w:i/>
          <w:iCs/>
          <w:lang w:val="en-US"/>
        </w:rPr>
        <w:t>Esto explica la gran diferencia creciente de costes entre los dos tipos de infraestructura.</w:t>
      </w:r>
      <w:proofErr w:type="gramEnd"/>
    </w:p>
    <w:p w14:paraId="07F023C8" w14:textId="77777777" w:rsidR="0035403C" w:rsidRDefault="0035403C">
      <w:pPr>
        <w:tabs>
          <w:tab w:val="left" w:pos="600"/>
        </w:tabs>
        <w:jc w:val="center"/>
      </w:pPr>
    </w:p>
    <w:p w14:paraId="4BDB5498" w14:textId="77777777" w:rsidR="0035403C" w:rsidRDefault="00D02C31">
      <w:pPr>
        <w:tabs>
          <w:tab w:val="left" w:pos="600"/>
        </w:tabs>
        <w:jc w:val="center"/>
      </w:pPr>
      <w:r>
        <w:rPr>
          <w:noProof/>
          <w:lang w:eastAsia="es-AR"/>
        </w:rPr>
        <w:drawing>
          <wp:inline distT="114300" distB="114300" distL="114300" distR="114300" wp14:anchorId="43C2733B" wp14:editId="07777777">
            <wp:extent cx="5664200" cy="3213100"/>
            <wp:effectExtent l="0" t="0" r="0" b="0"/>
            <wp:docPr id="136"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53"/>
                    <a:srcRect/>
                    <a:stretch>
                      <a:fillRect/>
                    </a:stretch>
                  </pic:blipFill>
                  <pic:spPr>
                    <a:xfrm>
                      <a:off x="0" y="0"/>
                      <a:ext cx="5664200" cy="3213100"/>
                    </a:xfrm>
                    <a:prstGeom prst="rect">
                      <a:avLst/>
                    </a:prstGeom>
                    <a:ln/>
                  </pic:spPr>
                </pic:pic>
              </a:graphicData>
            </a:graphic>
          </wp:inline>
        </w:drawing>
      </w:r>
    </w:p>
    <w:p w14:paraId="694B655F" w14:textId="77777777" w:rsidR="0035403C" w:rsidRDefault="00D02C31" w:rsidP="0FE4D5DF">
      <w:pPr>
        <w:tabs>
          <w:tab w:val="left" w:pos="600"/>
        </w:tabs>
        <w:jc w:val="both"/>
        <w:rPr>
          <w:i/>
          <w:iCs/>
          <w:color w:val="1F497D" w:themeColor="text2"/>
          <w:sz w:val="18"/>
          <w:szCs w:val="18"/>
          <w:lang w:val="en-US"/>
        </w:rPr>
      </w:pPr>
      <w:r w:rsidRPr="0FE4D5DF">
        <w:rPr>
          <w:i/>
          <w:iCs/>
          <w:color w:val="1F497D" w:themeColor="text2"/>
          <w:sz w:val="18"/>
          <w:szCs w:val="18"/>
          <w:lang w:val="en-US"/>
        </w:rPr>
        <w:t xml:space="preserve">Ilustración 37 - Costos cloud vs on-premises a través </w:t>
      </w:r>
      <w:proofErr w:type="gramStart"/>
      <w:r w:rsidRPr="0FE4D5DF">
        <w:rPr>
          <w:i/>
          <w:iCs/>
          <w:color w:val="1F497D" w:themeColor="text2"/>
          <w:sz w:val="18"/>
          <w:szCs w:val="18"/>
          <w:lang w:val="en-US"/>
        </w:rPr>
        <w:t>del</w:t>
      </w:r>
      <w:proofErr w:type="gramEnd"/>
      <w:r w:rsidRPr="0FE4D5DF">
        <w:rPr>
          <w:i/>
          <w:iCs/>
          <w:color w:val="1F497D" w:themeColor="text2"/>
          <w:sz w:val="18"/>
          <w:szCs w:val="18"/>
          <w:lang w:val="en-US"/>
        </w:rPr>
        <w:t xml:space="preserve"> tiempo</w:t>
      </w:r>
    </w:p>
    <w:p w14:paraId="2916C19D" w14:textId="77777777" w:rsidR="0035403C" w:rsidRDefault="00D02C31">
      <w:pPr>
        <w:pStyle w:val="Ttulo"/>
      </w:pPr>
      <w:bookmarkStart w:id="114" w:name="_heading=h.1yyy98l" w:colFirst="0" w:colLast="0"/>
      <w:bookmarkEnd w:id="114"/>
      <w:r>
        <w:br w:type="page"/>
      </w:r>
    </w:p>
    <w:p w14:paraId="160FE830" w14:textId="77777777" w:rsidR="0035403C" w:rsidRDefault="00D02C31">
      <w:pPr>
        <w:pStyle w:val="Ttulo"/>
      </w:pPr>
      <w:bookmarkStart w:id="115" w:name="_heading=h.4iylrwe" w:colFirst="0" w:colLast="0"/>
      <w:bookmarkEnd w:id="115"/>
      <w:r>
        <w:lastRenderedPageBreak/>
        <w:t>CAPÍTULO 5: CASO DE ÉXITO</w:t>
      </w:r>
    </w:p>
    <w:p w14:paraId="0E6EC0B5" w14:textId="77777777" w:rsidR="0035403C" w:rsidRDefault="00D02C31">
      <w:pPr>
        <w:pStyle w:val="Ttulo1"/>
      </w:pPr>
      <w:bookmarkStart w:id="116" w:name="_heading=h.2y3w247" w:colFirst="0" w:colLast="0"/>
      <w:bookmarkEnd w:id="116"/>
      <w:r>
        <w:t>DE MONOLÍTICO A MICROSERVICIOS: UNA EXPERIENCIA REAL EN LA TRANSFORMACIÓN DIGITAL DE SERVICIOS FINANCIEROS</w:t>
      </w:r>
    </w:p>
    <w:p w14:paraId="0E648378" w14:textId="77777777" w:rsidR="0035403C" w:rsidRDefault="00D02C31" w:rsidP="0FE4D5DF">
      <w:pPr>
        <w:jc w:val="both"/>
        <w:rPr>
          <w:i/>
          <w:iCs/>
          <w:lang w:val="en-US"/>
        </w:rPr>
      </w:pPr>
      <w:r w:rsidRPr="0FE4D5DF">
        <w:rPr>
          <w:i/>
          <w:iCs/>
          <w:lang w:val="en-US"/>
        </w:rPr>
        <w:t xml:space="preserve">La migración de </w:t>
      </w:r>
      <w:proofErr w:type="gramStart"/>
      <w:r w:rsidRPr="0FE4D5DF">
        <w:rPr>
          <w:i/>
          <w:iCs/>
          <w:lang w:val="en-US"/>
        </w:rPr>
        <w:t>un</w:t>
      </w:r>
      <w:proofErr w:type="gramEnd"/>
      <w:r w:rsidRPr="0FE4D5DF">
        <w:rPr>
          <w:i/>
          <w:iCs/>
          <w:lang w:val="en-US"/>
        </w:rPr>
        <w:t xml:space="preserve"> middleware monolítico a uno nuevo basado en microservicios es un desafío complejo. El principal obstáculo en </w:t>
      </w:r>
      <w:proofErr w:type="gramStart"/>
      <w:r w:rsidRPr="0FE4D5DF">
        <w:rPr>
          <w:i/>
          <w:iCs/>
          <w:lang w:val="en-US"/>
        </w:rPr>
        <w:t>este</w:t>
      </w:r>
      <w:proofErr w:type="gramEnd"/>
      <w:r w:rsidRPr="0FE4D5DF">
        <w:rPr>
          <w:i/>
          <w:iCs/>
          <w:lang w:val="en-US"/>
        </w:rPr>
        <w:t xml:space="preserve"> proceso es comprender el acoplamiento que tiene el sistema actual y analizar cómo puede desacoplarse manteniendo el mismo comportamiento. Para lograr esto, es esencial contar con </w:t>
      </w:r>
      <w:proofErr w:type="gramStart"/>
      <w:r w:rsidRPr="0FE4D5DF">
        <w:rPr>
          <w:i/>
          <w:iCs/>
          <w:lang w:val="en-US"/>
        </w:rPr>
        <w:t>un</w:t>
      </w:r>
      <w:proofErr w:type="gramEnd"/>
      <w:r w:rsidRPr="0FE4D5DF">
        <w:rPr>
          <w:i/>
          <w:iCs/>
          <w:lang w:val="en-US"/>
        </w:rPr>
        <w:t xml:space="preserve"> equipo técnico y arquitectos altamente capacitados que puedan llevar a cabo el análisis y la migración de manera efectiva.</w:t>
      </w:r>
    </w:p>
    <w:p w14:paraId="3BCF619F" w14:textId="77777777" w:rsidR="0035403C" w:rsidRDefault="00D02C31" w:rsidP="0FE4D5DF">
      <w:pPr>
        <w:jc w:val="both"/>
        <w:rPr>
          <w:i/>
          <w:iCs/>
          <w:lang w:val="en-US"/>
        </w:rPr>
      </w:pPr>
      <w:r w:rsidRPr="0FE4D5DF">
        <w:rPr>
          <w:i/>
          <w:iCs/>
          <w:lang w:val="en-US"/>
        </w:rPr>
        <w:t xml:space="preserve">En un esfuerzo por mejorar la eficiencia y escalabilidad de sus servicios, Banco Ganadero, uno de nuestros clientes en Bolivia, decidió migrar su middleware monolítico a nuestro producto basado en microservicios llamado flexibility plug. </w:t>
      </w:r>
      <w:proofErr w:type="gramStart"/>
      <w:r w:rsidRPr="0FE4D5DF">
        <w:rPr>
          <w:i/>
          <w:iCs/>
          <w:lang w:val="en-US"/>
        </w:rPr>
        <w:t>El objetivo era desacoplar el sistema existente y crear microservicios autónomos y escalables que pudieran evolucionar de manera independiente.</w:t>
      </w:r>
      <w:proofErr w:type="gramEnd"/>
    </w:p>
    <w:p w14:paraId="0557E526" w14:textId="77777777" w:rsidR="0035403C" w:rsidRDefault="00D02C31" w:rsidP="0FE4D5DF">
      <w:pPr>
        <w:jc w:val="both"/>
        <w:rPr>
          <w:i/>
          <w:iCs/>
          <w:lang w:val="en-US"/>
        </w:rPr>
      </w:pPr>
      <w:r w:rsidRPr="0FE4D5DF">
        <w:rPr>
          <w:i/>
          <w:iCs/>
          <w:lang w:val="en-US"/>
        </w:rPr>
        <w:t xml:space="preserve">El proceso de migración presentó varios desafíos para el equipo técnico conformado por nuestro cliente y nuestro equipo de expertos, especialmente en lo que respecta al acoplamiento </w:t>
      </w:r>
      <w:proofErr w:type="gramStart"/>
      <w:r w:rsidRPr="0FE4D5DF">
        <w:rPr>
          <w:i/>
          <w:iCs/>
          <w:lang w:val="en-US"/>
        </w:rPr>
        <w:t>del</w:t>
      </w:r>
      <w:proofErr w:type="gramEnd"/>
      <w:r w:rsidRPr="0FE4D5DF">
        <w:rPr>
          <w:i/>
          <w:iCs/>
          <w:lang w:val="en-US"/>
        </w:rPr>
        <w:t xml:space="preserve"> sistema existente. El entendimiento profundo de cómo estaban acoplados los diferentes componentes </w:t>
      </w:r>
      <w:proofErr w:type="gramStart"/>
      <w:r w:rsidRPr="0FE4D5DF">
        <w:rPr>
          <w:i/>
          <w:iCs/>
          <w:lang w:val="en-US"/>
        </w:rPr>
        <w:t>del</w:t>
      </w:r>
      <w:proofErr w:type="gramEnd"/>
      <w:r w:rsidRPr="0FE4D5DF">
        <w:rPr>
          <w:i/>
          <w:iCs/>
          <w:lang w:val="en-US"/>
        </w:rPr>
        <w:t xml:space="preserve"> middleware monolítico y cómo podían desacoplarse sin comprometer el comportamiento del sistema fue un desafío importante a superar.</w:t>
      </w:r>
    </w:p>
    <w:p w14:paraId="2328A321" w14:textId="77777777" w:rsidR="0035403C" w:rsidRDefault="00D02C31" w:rsidP="0FE4D5DF">
      <w:pPr>
        <w:jc w:val="both"/>
        <w:rPr>
          <w:i/>
          <w:iCs/>
          <w:lang w:val="en-US"/>
        </w:rPr>
      </w:pPr>
      <w:r w:rsidRPr="0FE4D5DF">
        <w:rPr>
          <w:i/>
          <w:iCs/>
          <w:lang w:val="en-US"/>
        </w:rPr>
        <w:t xml:space="preserve">Una de las primeras acciones fue analizar los servicios core </w:t>
      </w:r>
      <w:proofErr w:type="gramStart"/>
      <w:r w:rsidRPr="0FE4D5DF">
        <w:rPr>
          <w:i/>
          <w:iCs/>
          <w:lang w:val="en-US"/>
        </w:rPr>
        <w:t>del</w:t>
      </w:r>
      <w:proofErr w:type="gramEnd"/>
      <w:r w:rsidRPr="0FE4D5DF">
        <w:rPr>
          <w:i/>
          <w:iCs/>
          <w:lang w:val="en-US"/>
        </w:rPr>
        <w:t xml:space="preserve"> sistema existente y documentar sus reglas de negocio junto a los criterios de aceptación para poder revalidar el comportamiento con los nuevos servicios. También se trabajó en el diseño de los</w:t>
      </w:r>
      <w:proofErr w:type="gramStart"/>
      <w:r w:rsidRPr="0FE4D5DF">
        <w:rPr>
          <w:i/>
          <w:iCs/>
          <w:lang w:val="en-US"/>
        </w:rPr>
        <w:t>  microservicios</w:t>
      </w:r>
      <w:proofErr w:type="gramEnd"/>
      <w:r w:rsidRPr="0FE4D5DF">
        <w:rPr>
          <w:i/>
          <w:iCs/>
          <w:lang w:val="en-US"/>
        </w:rPr>
        <w:t xml:space="preserve"> definiendo responsabilidades claras, utilizando los principios de diseño de microservicios, como la alta cohesión y el bajo acoplamiento.</w:t>
      </w:r>
    </w:p>
    <w:p w14:paraId="21F9D46E" w14:textId="77777777" w:rsidR="0035403C" w:rsidRDefault="00D02C31" w:rsidP="0FE4D5DF">
      <w:pPr>
        <w:jc w:val="both"/>
        <w:rPr>
          <w:i/>
          <w:iCs/>
          <w:lang w:val="en-US"/>
        </w:rPr>
      </w:pPr>
      <w:proofErr w:type="gramStart"/>
      <w:r w:rsidRPr="0FE4D5DF">
        <w:rPr>
          <w:i/>
          <w:iCs/>
          <w:lang w:val="en-US"/>
        </w:rPr>
        <w:t>Una vez construidos los microservicios, se implementaron pruebas automatizadas para cada uno, incluyendo pruebas unitarias, de integración y de regresión.</w:t>
      </w:r>
      <w:proofErr w:type="gramEnd"/>
      <w:r w:rsidRPr="0FE4D5DF">
        <w:rPr>
          <w:i/>
          <w:iCs/>
          <w:lang w:val="en-US"/>
        </w:rPr>
        <w:t xml:space="preserve"> </w:t>
      </w:r>
      <w:proofErr w:type="gramStart"/>
      <w:r w:rsidRPr="0FE4D5DF">
        <w:rPr>
          <w:i/>
          <w:iCs/>
          <w:lang w:val="en-US"/>
        </w:rPr>
        <w:t>Además, se estableció una metodología de gestión de cambios efectiva para coordinar las actualizaciones y despliegues de los microservicios.</w:t>
      </w:r>
      <w:proofErr w:type="gramEnd"/>
    </w:p>
    <w:p w14:paraId="74869460" w14:textId="77777777" w:rsidR="0035403C" w:rsidRDefault="0035403C">
      <w:pPr>
        <w:jc w:val="both"/>
      </w:pPr>
    </w:p>
    <w:p w14:paraId="6E082559" w14:textId="77777777" w:rsidR="0035403C" w:rsidRDefault="00D02C31" w:rsidP="0FE4D5DF">
      <w:pPr>
        <w:jc w:val="both"/>
        <w:rPr>
          <w:i/>
          <w:iCs/>
          <w:u w:val="single"/>
          <w:lang w:val="en-US"/>
        </w:rPr>
      </w:pPr>
      <w:r w:rsidRPr="0FE4D5DF">
        <w:rPr>
          <w:i/>
          <w:iCs/>
          <w:u w:val="single"/>
          <w:lang w:val="en-US"/>
        </w:rPr>
        <w:t xml:space="preserve">La clave </w:t>
      </w:r>
      <w:proofErr w:type="gramStart"/>
      <w:r w:rsidRPr="0FE4D5DF">
        <w:rPr>
          <w:i/>
          <w:iCs/>
          <w:u w:val="single"/>
          <w:lang w:val="en-US"/>
        </w:rPr>
        <w:t>del</w:t>
      </w:r>
      <w:proofErr w:type="gramEnd"/>
      <w:r w:rsidRPr="0FE4D5DF">
        <w:rPr>
          <w:i/>
          <w:iCs/>
          <w:u w:val="single"/>
          <w:lang w:val="en-US"/>
        </w:rPr>
        <w:t xml:space="preserve"> éxito se resume en los siguientes puntos:</w:t>
      </w:r>
    </w:p>
    <w:p w14:paraId="4F4FCB36" w14:textId="77777777" w:rsidR="0035403C" w:rsidRDefault="00D02C31" w:rsidP="0FE4D5DF">
      <w:pPr>
        <w:numPr>
          <w:ilvl w:val="0"/>
          <w:numId w:val="43"/>
        </w:numPr>
        <w:jc w:val="both"/>
        <w:rPr>
          <w:i/>
          <w:iCs/>
          <w:lang w:val="en-US"/>
        </w:rPr>
      </w:pPr>
      <w:r w:rsidRPr="0FE4D5DF">
        <w:rPr>
          <w:i/>
          <w:iCs/>
          <w:lang w:val="en-US"/>
        </w:rPr>
        <w:t xml:space="preserve">Los microservicios necesarios para reemplazar el middleware monolítico fueron identificados y seleccionados en </w:t>
      </w:r>
      <w:proofErr w:type="gramStart"/>
      <w:r w:rsidRPr="0FE4D5DF">
        <w:rPr>
          <w:i/>
          <w:iCs/>
          <w:lang w:val="en-US"/>
        </w:rPr>
        <w:t>base</w:t>
      </w:r>
      <w:proofErr w:type="gramEnd"/>
      <w:r w:rsidRPr="0FE4D5DF">
        <w:rPr>
          <w:i/>
          <w:iCs/>
          <w:lang w:val="en-US"/>
        </w:rPr>
        <w:t xml:space="preserve"> a un análisis exhaustivo de los diferentes productos y servicios que se prestaban a través del middleware. Se realizaron evaluaciones de los componentes y funcionalidades </w:t>
      </w:r>
      <w:proofErr w:type="gramStart"/>
      <w:r w:rsidRPr="0FE4D5DF">
        <w:rPr>
          <w:i/>
          <w:iCs/>
          <w:lang w:val="en-US"/>
        </w:rPr>
        <w:t>del</w:t>
      </w:r>
      <w:proofErr w:type="gramEnd"/>
      <w:r w:rsidRPr="0FE4D5DF">
        <w:rPr>
          <w:i/>
          <w:iCs/>
          <w:lang w:val="en-US"/>
        </w:rPr>
        <w:t xml:space="preserve"> sistema existente para determinar qué partes podrían separarse en microservicios independientes y reutilizables. También se tuvieron en cuenta factores </w:t>
      </w:r>
      <w:proofErr w:type="gramStart"/>
      <w:r w:rsidRPr="0FE4D5DF">
        <w:rPr>
          <w:i/>
          <w:iCs/>
          <w:lang w:val="en-US"/>
        </w:rPr>
        <w:t>como</w:t>
      </w:r>
      <w:proofErr w:type="gramEnd"/>
      <w:r w:rsidRPr="0FE4D5DF">
        <w:rPr>
          <w:i/>
          <w:iCs/>
          <w:lang w:val="en-US"/>
        </w:rPr>
        <w:t xml:space="preserve"> la capacidad de escalabilidad y mantenibilidad de los microservicios.</w:t>
      </w:r>
    </w:p>
    <w:p w14:paraId="14E10D7C" w14:textId="77777777" w:rsidR="0035403C" w:rsidRDefault="00D02C31" w:rsidP="0FE4D5DF">
      <w:pPr>
        <w:numPr>
          <w:ilvl w:val="0"/>
          <w:numId w:val="43"/>
        </w:numPr>
        <w:jc w:val="both"/>
        <w:rPr>
          <w:i/>
          <w:iCs/>
          <w:lang w:val="en-US"/>
        </w:rPr>
      </w:pPr>
      <w:r w:rsidRPr="0FE4D5DF">
        <w:rPr>
          <w:i/>
          <w:iCs/>
          <w:lang w:val="en-US"/>
        </w:rPr>
        <w:t xml:space="preserve">La planificación y realización de pruebas exhaustivas para validar y asegurar la interoperabilidad entre los nuevos microservicios y los sistemas existentes. Se implementaron mecanismos de comunicación estándar, </w:t>
      </w:r>
      <w:proofErr w:type="gramStart"/>
      <w:r w:rsidRPr="0FE4D5DF">
        <w:rPr>
          <w:i/>
          <w:iCs/>
          <w:lang w:val="en-US"/>
        </w:rPr>
        <w:t>como</w:t>
      </w:r>
      <w:proofErr w:type="gramEnd"/>
      <w:r w:rsidRPr="0FE4D5DF">
        <w:rPr>
          <w:i/>
          <w:iCs/>
          <w:lang w:val="en-US"/>
        </w:rPr>
        <w:t xml:space="preserve"> APIs bien definidas y contratos de interfaz claros, para asegurar que los microservicios pudieran comunicarse de manera efectiva con otros sistemas y componentes.</w:t>
      </w:r>
    </w:p>
    <w:p w14:paraId="49E8B224" w14:textId="77777777" w:rsidR="0035403C" w:rsidRDefault="00D02C31" w:rsidP="0FE4D5DF">
      <w:pPr>
        <w:numPr>
          <w:ilvl w:val="0"/>
          <w:numId w:val="43"/>
        </w:numPr>
        <w:jc w:val="both"/>
        <w:rPr>
          <w:i/>
          <w:iCs/>
          <w:lang w:val="en-US"/>
        </w:rPr>
      </w:pPr>
      <w:r w:rsidRPr="0FE4D5DF">
        <w:rPr>
          <w:i/>
          <w:iCs/>
          <w:lang w:val="en-US"/>
        </w:rPr>
        <w:lastRenderedPageBreak/>
        <w:t>Durante la migración, se enfrentaron desafíos en términos de escalabilidad y disponibilidad. Se implementaron estrategias de escalabilidad horizontal para los microservicios, lo que permitió manejar la carga creciente de los servicios de transferencias internas, interbancarias y pagos de servicios. Además, se establecieron mecanismos de monitoreo y alerta para identificar y abordar rápidamente posibles problemas de disponibilidad.</w:t>
      </w:r>
    </w:p>
    <w:p w14:paraId="2B9E5737" w14:textId="77777777" w:rsidR="0035403C" w:rsidRDefault="00D02C31" w:rsidP="0FE4D5DF">
      <w:pPr>
        <w:numPr>
          <w:ilvl w:val="0"/>
          <w:numId w:val="43"/>
        </w:numPr>
        <w:jc w:val="both"/>
        <w:rPr>
          <w:i/>
          <w:iCs/>
          <w:lang w:val="en-US"/>
        </w:rPr>
      </w:pPr>
      <w:r w:rsidRPr="0FE4D5DF">
        <w:rPr>
          <w:i/>
          <w:iCs/>
          <w:lang w:val="en-US"/>
        </w:rPr>
        <w:t>La migración a plug, proporcionó varias ventajas para el cliente en la industria bancaria:</w:t>
      </w:r>
    </w:p>
    <w:p w14:paraId="001763E9" w14:textId="77777777" w:rsidR="0035403C" w:rsidRDefault="00D02C31" w:rsidP="0FE4D5DF">
      <w:pPr>
        <w:numPr>
          <w:ilvl w:val="1"/>
          <w:numId w:val="43"/>
        </w:numPr>
        <w:jc w:val="both"/>
        <w:rPr>
          <w:i/>
          <w:iCs/>
          <w:lang w:val="en-US"/>
        </w:rPr>
      </w:pPr>
      <w:r w:rsidRPr="0FE4D5DF">
        <w:rPr>
          <w:i/>
          <w:iCs/>
          <w:lang w:val="en-US"/>
        </w:rPr>
        <w:t xml:space="preserve">Mayor flexibilidad y agilidad: Los microservicios permitieron una mayor flexibilidad y agilidad en el desarrollo y despliegue de nuevos productos y servicios, ya que cada microservicio podía ser desarrollado, probado y desplegado de forma independiente sin afectar a otros componentes </w:t>
      </w:r>
      <w:proofErr w:type="gramStart"/>
      <w:r w:rsidRPr="0FE4D5DF">
        <w:rPr>
          <w:i/>
          <w:iCs/>
          <w:lang w:val="en-US"/>
        </w:rPr>
        <w:t>del</w:t>
      </w:r>
      <w:proofErr w:type="gramEnd"/>
      <w:r w:rsidRPr="0FE4D5DF">
        <w:rPr>
          <w:i/>
          <w:iCs/>
          <w:lang w:val="en-US"/>
        </w:rPr>
        <w:t xml:space="preserve"> sistema.</w:t>
      </w:r>
    </w:p>
    <w:p w14:paraId="055B6148" w14:textId="77777777" w:rsidR="0035403C" w:rsidRDefault="00D02C31" w:rsidP="0FE4D5DF">
      <w:pPr>
        <w:numPr>
          <w:ilvl w:val="1"/>
          <w:numId w:val="43"/>
        </w:numPr>
        <w:jc w:val="both"/>
        <w:rPr>
          <w:i/>
          <w:iCs/>
          <w:lang w:val="en-US"/>
        </w:rPr>
      </w:pPr>
      <w:r w:rsidRPr="0FE4D5DF">
        <w:rPr>
          <w:i/>
          <w:iCs/>
          <w:lang w:val="en-US"/>
        </w:rPr>
        <w:t xml:space="preserve">Mayor </w:t>
      </w:r>
      <w:proofErr w:type="gramStart"/>
      <w:r w:rsidRPr="0FE4D5DF">
        <w:rPr>
          <w:i/>
          <w:iCs/>
          <w:lang w:val="en-US"/>
        </w:rPr>
        <w:t>escalabilidad</w:t>
      </w:r>
      <w:proofErr w:type="gramEnd"/>
      <w:r w:rsidRPr="0FE4D5DF">
        <w:rPr>
          <w:i/>
          <w:iCs/>
          <w:lang w:val="en-US"/>
        </w:rPr>
        <w:t>: El enfoque de microservicios permitió una mayor escalabilidad horizontal, lo que permitió manejar de manera eficiente la carga creciente de los servicios de transferencias internas, interbancarias y pagos de servicios.</w:t>
      </w:r>
    </w:p>
    <w:p w14:paraId="5B62969A" w14:textId="77777777" w:rsidR="0035403C" w:rsidRDefault="00D02C31" w:rsidP="0FE4D5DF">
      <w:pPr>
        <w:numPr>
          <w:ilvl w:val="1"/>
          <w:numId w:val="43"/>
        </w:numPr>
        <w:jc w:val="both"/>
        <w:rPr>
          <w:i/>
          <w:iCs/>
          <w:lang w:val="en-US"/>
        </w:rPr>
      </w:pPr>
      <w:r w:rsidRPr="0FE4D5DF">
        <w:rPr>
          <w:i/>
          <w:iCs/>
          <w:lang w:val="en-US"/>
        </w:rPr>
        <w:t xml:space="preserve">Mayor </w:t>
      </w:r>
      <w:proofErr w:type="gramStart"/>
      <w:r w:rsidRPr="0FE4D5DF">
        <w:rPr>
          <w:i/>
          <w:iCs/>
          <w:lang w:val="en-US"/>
        </w:rPr>
        <w:t>mantenibilidad</w:t>
      </w:r>
      <w:proofErr w:type="gramEnd"/>
      <w:r w:rsidRPr="0FE4D5DF">
        <w:rPr>
          <w:i/>
          <w:iCs/>
          <w:lang w:val="en-US"/>
        </w:rPr>
        <w:t>: Los microservicios, al ser unidades de software independientes y reutilizables, facilitaron la mantenibilidad del sistema en comparación con el middleware monolítico, ya que los cambios y actualizaciones podían realizarse de forma aislada en cada microservicio sin afectar a todo el sistema.</w:t>
      </w:r>
    </w:p>
    <w:p w14:paraId="61E622D8" w14:textId="77777777" w:rsidR="0035403C" w:rsidRDefault="00D02C31">
      <w:pPr>
        <w:numPr>
          <w:ilvl w:val="1"/>
          <w:numId w:val="43"/>
        </w:numPr>
        <w:jc w:val="both"/>
      </w:pPr>
      <w:r w:rsidRPr="0FE4D5DF">
        <w:rPr>
          <w:i/>
          <w:iCs/>
          <w:lang w:val="en-US"/>
        </w:rPr>
        <w:t xml:space="preserve">El resultado de la migración fue una mejora significativa en la eficiencia y escalabilidad de los servicios </w:t>
      </w:r>
      <w:proofErr w:type="gramStart"/>
      <w:r w:rsidRPr="0FE4D5DF">
        <w:rPr>
          <w:i/>
          <w:iCs/>
          <w:lang w:val="en-US"/>
        </w:rPr>
        <w:t>del</w:t>
      </w:r>
      <w:proofErr w:type="gramEnd"/>
      <w:r w:rsidRPr="0FE4D5DF">
        <w:rPr>
          <w:i/>
          <w:iCs/>
          <w:lang w:val="en-US"/>
        </w:rPr>
        <w:t xml:space="preserve"> banco, lo que permitió a la compañía brindar un mejor servicio a sus clientes y mantener su posición como uno de los principales bancos del país.</w:t>
      </w:r>
    </w:p>
    <w:p w14:paraId="187F57B8" w14:textId="77777777" w:rsidR="0035403C" w:rsidRDefault="0035403C">
      <w:pPr>
        <w:jc w:val="both"/>
      </w:pPr>
    </w:p>
    <w:p w14:paraId="2306ED6F" w14:textId="77777777" w:rsidR="0035403C" w:rsidRDefault="00D02C31" w:rsidP="0FE4D5DF">
      <w:pPr>
        <w:jc w:val="both"/>
        <w:rPr>
          <w:i/>
          <w:iCs/>
          <w:u w:val="single"/>
          <w:lang w:val="en-US"/>
        </w:rPr>
      </w:pPr>
      <w:r w:rsidRPr="0FE4D5DF">
        <w:rPr>
          <w:i/>
          <w:iCs/>
          <w:u w:val="single"/>
          <w:lang w:val="en-US"/>
        </w:rPr>
        <w:t>Algunos datos y conclusiones:</w:t>
      </w:r>
    </w:p>
    <w:p w14:paraId="786BDEFD" w14:textId="77777777" w:rsidR="0035403C" w:rsidRDefault="00D02C31" w:rsidP="0FE4D5DF">
      <w:pPr>
        <w:numPr>
          <w:ilvl w:val="0"/>
          <w:numId w:val="41"/>
        </w:numPr>
        <w:jc w:val="both"/>
        <w:rPr>
          <w:i/>
          <w:iCs/>
          <w:lang w:val="en-US"/>
        </w:rPr>
      </w:pPr>
      <w:r w:rsidRPr="0FE4D5DF">
        <w:rPr>
          <w:i/>
          <w:iCs/>
          <w:lang w:val="en-US"/>
        </w:rPr>
        <w:t xml:space="preserve">El proyecto de migración duró 100 días hábiles, iniciando con </w:t>
      </w:r>
      <w:proofErr w:type="gramStart"/>
      <w:r w:rsidRPr="0FE4D5DF">
        <w:rPr>
          <w:i/>
          <w:iCs/>
          <w:lang w:val="en-US"/>
        </w:rPr>
        <w:t>un</w:t>
      </w:r>
      <w:proofErr w:type="gramEnd"/>
      <w:r w:rsidRPr="0FE4D5DF">
        <w:rPr>
          <w:i/>
          <w:iCs/>
          <w:lang w:val="en-US"/>
        </w:rPr>
        <w:t xml:space="preserve"> setup de los ambientes de desarrollo con el equipo del cliente (10 días), pasando por el desarrollo, pruebas y posterior validación del equipo de ciberseguridad del banco (90 días). El despliegue en producción se hizo en forma gradual, migrando carteras de clientes de diferentes sucursales.</w:t>
      </w:r>
    </w:p>
    <w:p w14:paraId="07D23C0F" w14:textId="77777777" w:rsidR="0035403C" w:rsidRDefault="00D02C31" w:rsidP="0FE4D5DF">
      <w:pPr>
        <w:numPr>
          <w:ilvl w:val="0"/>
          <w:numId w:val="41"/>
        </w:numPr>
        <w:jc w:val="both"/>
        <w:rPr>
          <w:i/>
          <w:iCs/>
          <w:lang w:val="en-US"/>
        </w:rPr>
      </w:pPr>
      <w:r w:rsidRPr="0FE4D5DF">
        <w:rPr>
          <w:i/>
          <w:iCs/>
          <w:lang w:val="en-US"/>
        </w:rPr>
        <w:t xml:space="preserve">En resumen, la migración </w:t>
      </w:r>
      <w:proofErr w:type="gramStart"/>
      <w:r w:rsidRPr="0FE4D5DF">
        <w:rPr>
          <w:i/>
          <w:iCs/>
          <w:lang w:val="en-US"/>
        </w:rPr>
        <w:t>del</w:t>
      </w:r>
      <w:proofErr w:type="gramEnd"/>
      <w:r w:rsidRPr="0FE4D5DF">
        <w:rPr>
          <w:i/>
          <w:iCs/>
          <w:lang w:val="en-US"/>
        </w:rPr>
        <w:t xml:space="preserve"> middleware monolítico a microservicios fue un éxito para el banco. El equipo de migración trabajó en estrecha colaboración con el banco para comprender las necesidades específicas </w:t>
      </w:r>
      <w:proofErr w:type="gramStart"/>
      <w:r w:rsidRPr="0FE4D5DF">
        <w:rPr>
          <w:i/>
          <w:iCs/>
          <w:lang w:val="en-US"/>
        </w:rPr>
        <w:t>del</w:t>
      </w:r>
      <w:proofErr w:type="gramEnd"/>
      <w:r w:rsidRPr="0FE4D5DF">
        <w:rPr>
          <w:i/>
          <w:iCs/>
          <w:lang w:val="en-US"/>
        </w:rPr>
        <w:t xml:space="preserve"> sistema existente y crear una solución personalizada que mejorará la eficiencia y escalabilidad de sus servicios.</w:t>
      </w:r>
    </w:p>
    <w:p w14:paraId="6A6B36D9" w14:textId="77777777" w:rsidR="0035403C" w:rsidRDefault="00D02C31" w:rsidP="0FE4D5DF">
      <w:pPr>
        <w:numPr>
          <w:ilvl w:val="0"/>
          <w:numId w:val="41"/>
        </w:numPr>
        <w:jc w:val="both"/>
        <w:rPr>
          <w:i/>
          <w:iCs/>
          <w:lang w:val="en-US"/>
        </w:rPr>
      </w:pPr>
      <w:r w:rsidRPr="0FE4D5DF">
        <w:rPr>
          <w:i/>
          <w:iCs/>
          <w:lang w:val="en-US"/>
        </w:rPr>
        <w:t>Al seguir las mejores prácticas de diseño de microservicios, pruebas automatizadas, gestión de cambios efectiva, monitorización y observabilidad, y fomentando una cultura DevOps, el equipo de migración pudo asegurar una transición fluida y exitosa hacia un enfoque basado en microservicios.</w:t>
      </w:r>
    </w:p>
    <w:p w14:paraId="54738AF4" w14:textId="77777777" w:rsidR="0035403C" w:rsidRDefault="0035403C"/>
    <w:p w14:paraId="5B0134E5" w14:textId="77777777" w:rsidR="0035403C" w:rsidRDefault="00D02C31" w:rsidP="0FE4D5DF">
      <w:pPr>
        <w:rPr>
          <w:b/>
          <w:bCs/>
          <w:lang w:val="en-US"/>
        </w:rPr>
      </w:pPr>
      <w:r w:rsidRPr="0FE4D5DF">
        <w:rPr>
          <w:b/>
          <w:bCs/>
          <w:lang w:val="en-US"/>
        </w:rPr>
        <w:t xml:space="preserve">Aldo Santaromita Villa - Flexibility (Mayo 2023) </w:t>
      </w:r>
      <w:r w:rsidRPr="0FE4D5DF">
        <w:rPr>
          <w:lang w:val="en-US"/>
        </w:rPr>
        <w:t>https://www.flexibility.com.ar/de-monolitico-a-microservicios-una-experiencia-real-en-la-transformacion-digital-de-servicios-financieros/</w:t>
      </w:r>
    </w:p>
    <w:p w14:paraId="46ABBD8F" w14:textId="77777777" w:rsidR="0035403C" w:rsidRDefault="0035403C">
      <w:pPr>
        <w:widowControl w:val="0"/>
        <w:tabs>
          <w:tab w:val="left" w:pos="600"/>
        </w:tabs>
        <w:spacing w:line="276" w:lineRule="auto"/>
        <w:ind w:right="112"/>
        <w:jc w:val="both"/>
        <w:rPr>
          <w:b/>
        </w:rPr>
      </w:pPr>
    </w:p>
    <w:p w14:paraId="06BBA33E" w14:textId="77777777" w:rsidR="0035403C" w:rsidRDefault="00D02C31">
      <w:pPr>
        <w:pStyle w:val="Ttulo"/>
        <w:widowControl w:val="0"/>
        <w:tabs>
          <w:tab w:val="left" w:pos="600"/>
        </w:tabs>
        <w:spacing w:line="276" w:lineRule="auto"/>
        <w:ind w:right="112"/>
        <w:jc w:val="both"/>
      </w:pPr>
      <w:bookmarkStart w:id="117" w:name="_heading=h.1d96cc0" w:colFirst="0" w:colLast="0"/>
      <w:bookmarkEnd w:id="117"/>
      <w:r>
        <w:lastRenderedPageBreak/>
        <w:br w:type="page"/>
      </w:r>
    </w:p>
    <w:p w14:paraId="4D8B78E8" w14:textId="77777777" w:rsidR="0035403C" w:rsidRDefault="00D02C31">
      <w:pPr>
        <w:pStyle w:val="Ttulo"/>
        <w:widowControl w:val="0"/>
        <w:tabs>
          <w:tab w:val="left" w:pos="600"/>
        </w:tabs>
        <w:spacing w:line="276" w:lineRule="auto"/>
        <w:ind w:right="112"/>
        <w:jc w:val="both"/>
      </w:pPr>
      <w:bookmarkStart w:id="118" w:name="_heading=h.3x8tuzt" w:colFirst="0" w:colLast="0"/>
      <w:bookmarkEnd w:id="118"/>
      <w:r>
        <w:lastRenderedPageBreak/>
        <w:t>CAPÍTULO 6: CONCLUSIONES Y RECOMENDACIONES</w:t>
      </w:r>
    </w:p>
    <w:p w14:paraId="6C92BDEB" w14:textId="77777777" w:rsidR="0035403C" w:rsidRDefault="00D02C31">
      <w:pPr>
        <w:pStyle w:val="Ttulo1"/>
        <w:tabs>
          <w:tab w:val="left" w:pos="380"/>
        </w:tabs>
        <w:jc w:val="both"/>
      </w:pPr>
      <w:bookmarkStart w:id="119" w:name="_heading=h.2ce457m" w:colFirst="0" w:colLast="0"/>
      <w:bookmarkEnd w:id="119"/>
      <w:r>
        <w:t>ANÁLISIS DE USO DE MICROSERVICIOS:</w:t>
      </w:r>
    </w:p>
    <w:p w14:paraId="6BC8100E" w14:textId="77777777" w:rsidR="0035403C" w:rsidRDefault="00D02C31">
      <w:pPr>
        <w:tabs>
          <w:tab w:val="left" w:pos="380"/>
        </w:tabs>
        <w:jc w:val="both"/>
      </w:pPr>
      <w:r w:rsidRPr="0FE4D5DF">
        <w:rPr>
          <w:lang w:val="en-US"/>
        </w:rPr>
        <w:t xml:space="preserve">Dentro de los microservicios, los componentes de los diferentes sistemas y de las aplicaciones más simples, se estructuran </w:t>
      </w:r>
      <w:proofErr w:type="gramStart"/>
      <w:r w:rsidRPr="0FE4D5DF">
        <w:rPr>
          <w:lang w:val="en-US"/>
        </w:rPr>
        <w:t>como</w:t>
      </w:r>
      <w:proofErr w:type="gramEnd"/>
      <w:r w:rsidRPr="0FE4D5DF">
        <w:rPr>
          <w:lang w:val="en-US"/>
        </w:rPr>
        <w:t xml:space="preserve"> una colección con acoplamiento flexible, dónde se pueden implementar de forma independiente. </w:t>
      </w:r>
      <w:proofErr w:type="gramStart"/>
      <w:r w:rsidRPr="0FE4D5DF">
        <w:rPr>
          <w:lang w:val="en-US"/>
        </w:rPr>
        <w:t>Como cada servicio corresponde a una funcionalidad específica, esta arquitectura, necesita ser acompañada por las plataformas que permiten el gobierno de cada una de las funcionalidades.</w:t>
      </w:r>
      <w:proofErr w:type="gramEnd"/>
    </w:p>
    <w:p w14:paraId="50DABAEB" w14:textId="77777777" w:rsidR="0035403C" w:rsidRDefault="00D02C31">
      <w:pPr>
        <w:pStyle w:val="Ttulo2"/>
        <w:tabs>
          <w:tab w:val="left" w:pos="380"/>
        </w:tabs>
        <w:jc w:val="both"/>
      </w:pPr>
      <w:bookmarkStart w:id="120" w:name="_heading=h.rjefff"/>
      <w:bookmarkEnd w:id="120"/>
      <w:r w:rsidRPr="0FE4D5DF">
        <w:rPr>
          <w:lang w:val="en-US"/>
        </w:rPr>
        <w:t>Ventajas de los microservicios:</w:t>
      </w:r>
    </w:p>
    <w:p w14:paraId="69CC180F" w14:textId="77777777" w:rsidR="0035403C" w:rsidRDefault="00D02C31">
      <w:pPr>
        <w:numPr>
          <w:ilvl w:val="0"/>
          <w:numId w:val="46"/>
        </w:numPr>
        <w:tabs>
          <w:tab w:val="left" w:pos="380"/>
        </w:tabs>
        <w:jc w:val="both"/>
      </w:pPr>
      <w:r w:rsidRPr="17FBBB8B">
        <w:rPr>
          <w:lang w:val="en-US"/>
        </w:rPr>
        <w:t xml:space="preserve">Escalabilidad: Flexibilidad máxima, siempre que </w:t>
      </w:r>
      <w:proofErr w:type="gramStart"/>
      <w:r w:rsidRPr="17FBBB8B">
        <w:rPr>
          <w:lang w:val="en-US"/>
        </w:rPr>
        <w:t>un</w:t>
      </w:r>
      <w:proofErr w:type="gramEnd"/>
      <w:r w:rsidRPr="17FBBB8B">
        <w:rPr>
          <w:lang w:val="en-US"/>
        </w:rPr>
        <w:t xml:space="preserve"> componente lo necesite.</w:t>
      </w:r>
    </w:p>
    <w:p w14:paraId="47750BBF" w14:textId="77777777" w:rsidR="0035403C" w:rsidRDefault="00D02C31">
      <w:pPr>
        <w:numPr>
          <w:ilvl w:val="0"/>
          <w:numId w:val="46"/>
        </w:numPr>
        <w:tabs>
          <w:tab w:val="left" w:pos="380"/>
        </w:tabs>
        <w:jc w:val="both"/>
      </w:pPr>
      <w:r w:rsidRPr="0FE4D5DF">
        <w:rPr>
          <w:lang w:val="en-US"/>
        </w:rPr>
        <w:t>Avances en la tecnología: la aplicación acompaña a los avances de las plataformas.</w:t>
      </w:r>
    </w:p>
    <w:p w14:paraId="1ECDE95F" w14:textId="77777777" w:rsidR="0035403C" w:rsidRDefault="00D02C31">
      <w:pPr>
        <w:numPr>
          <w:ilvl w:val="0"/>
          <w:numId w:val="46"/>
        </w:numPr>
        <w:tabs>
          <w:tab w:val="left" w:pos="380"/>
        </w:tabs>
        <w:jc w:val="both"/>
      </w:pPr>
      <w:r w:rsidRPr="0FE4D5DF">
        <w:rPr>
          <w:lang w:val="en-US"/>
        </w:rPr>
        <w:t>Implementación independiente: Cada servicio se puede implementar, escalar, actualizar y reiniciar de forma independiente.</w:t>
      </w:r>
    </w:p>
    <w:p w14:paraId="3EB0BB31" w14:textId="77777777" w:rsidR="0035403C" w:rsidRDefault="00D02C31" w:rsidP="0FE4D5DF">
      <w:pPr>
        <w:numPr>
          <w:ilvl w:val="0"/>
          <w:numId w:val="46"/>
        </w:numPr>
        <w:tabs>
          <w:tab w:val="left" w:pos="380"/>
        </w:tabs>
        <w:jc w:val="both"/>
        <w:rPr>
          <w:lang w:val="en-US"/>
        </w:rPr>
      </w:pPr>
      <w:r w:rsidRPr="0FE4D5DF">
        <w:rPr>
          <w:lang w:val="en-US"/>
        </w:rPr>
        <w:t>Resiliencia: Si un servicio falla, su impacto se limita a ese servicio y a sus consumidores</w:t>
      </w:r>
    </w:p>
    <w:p w14:paraId="052BEBDD" w14:textId="77777777" w:rsidR="0035403C" w:rsidRDefault="00D02C31">
      <w:pPr>
        <w:numPr>
          <w:ilvl w:val="0"/>
          <w:numId w:val="46"/>
        </w:numPr>
        <w:tabs>
          <w:tab w:val="left" w:pos="380"/>
        </w:tabs>
        <w:jc w:val="both"/>
      </w:pPr>
      <w:r w:rsidRPr="0FE4D5DF">
        <w:rPr>
          <w:lang w:val="en-US"/>
        </w:rPr>
        <w:t>Flexibilidad: Elección de la pila tecnológica óptima para cada servicio.</w:t>
      </w:r>
    </w:p>
    <w:p w14:paraId="608AB291" w14:textId="77777777" w:rsidR="0035403C" w:rsidRDefault="00D02C31">
      <w:pPr>
        <w:pStyle w:val="Ttulo2"/>
        <w:tabs>
          <w:tab w:val="left" w:pos="380"/>
        </w:tabs>
        <w:jc w:val="both"/>
      </w:pPr>
      <w:bookmarkStart w:id="121" w:name="_heading=h.3bj1y38"/>
      <w:bookmarkEnd w:id="121"/>
      <w:r w:rsidRPr="0FE4D5DF">
        <w:rPr>
          <w:lang w:val="en-US"/>
        </w:rPr>
        <w:t xml:space="preserve">Contras </w:t>
      </w:r>
      <w:proofErr w:type="gramStart"/>
      <w:r w:rsidRPr="0FE4D5DF">
        <w:rPr>
          <w:lang w:val="en-US"/>
        </w:rPr>
        <w:t>del</w:t>
      </w:r>
      <w:proofErr w:type="gramEnd"/>
      <w:r w:rsidRPr="0FE4D5DF">
        <w:rPr>
          <w:lang w:val="en-US"/>
        </w:rPr>
        <w:t xml:space="preserve"> microservicio:</w:t>
      </w:r>
    </w:p>
    <w:p w14:paraId="54B15498" w14:textId="77777777" w:rsidR="0035403C" w:rsidRDefault="00D02C31">
      <w:pPr>
        <w:numPr>
          <w:ilvl w:val="0"/>
          <w:numId w:val="44"/>
        </w:numPr>
        <w:tabs>
          <w:tab w:val="left" w:pos="380"/>
        </w:tabs>
        <w:jc w:val="both"/>
      </w:pPr>
      <w:r w:rsidRPr="0FE4D5DF">
        <w:rPr>
          <w:lang w:val="en-US"/>
        </w:rPr>
        <w:t xml:space="preserve">Complejidad: complejidades </w:t>
      </w:r>
      <w:proofErr w:type="gramStart"/>
      <w:r w:rsidRPr="0FE4D5DF">
        <w:rPr>
          <w:lang w:val="en-US"/>
        </w:rPr>
        <w:t>como</w:t>
      </w:r>
      <w:proofErr w:type="gramEnd"/>
      <w:r w:rsidRPr="0FE4D5DF">
        <w:rPr>
          <w:lang w:val="en-US"/>
        </w:rPr>
        <w:t xml:space="preserve"> la comunicación entre servicios.</w:t>
      </w:r>
    </w:p>
    <w:p w14:paraId="4BAC0FF7" w14:textId="77777777" w:rsidR="0035403C" w:rsidRDefault="00D02C31">
      <w:pPr>
        <w:numPr>
          <w:ilvl w:val="0"/>
          <w:numId w:val="44"/>
        </w:numPr>
        <w:tabs>
          <w:tab w:val="left" w:pos="380"/>
        </w:tabs>
        <w:jc w:val="both"/>
      </w:pPr>
      <w:r w:rsidRPr="0FE4D5DF">
        <w:rPr>
          <w:lang w:val="en-US"/>
        </w:rPr>
        <w:t>Gestión de datos: mantener la coherencia de los datos en todos los servicios.</w:t>
      </w:r>
    </w:p>
    <w:p w14:paraId="10AD3FA9" w14:textId="77777777" w:rsidR="0035403C" w:rsidRDefault="00D02C31">
      <w:pPr>
        <w:numPr>
          <w:ilvl w:val="0"/>
          <w:numId w:val="44"/>
        </w:numPr>
        <w:tabs>
          <w:tab w:val="left" w:pos="380"/>
        </w:tabs>
        <w:jc w:val="both"/>
      </w:pPr>
      <w:r w:rsidRPr="0FE4D5DF">
        <w:rPr>
          <w:lang w:val="en-US"/>
        </w:rPr>
        <w:t>Sobrecarga operativa: mayor complejidad de la supervisión y en la implementación.</w:t>
      </w:r>
    </w:p>
    <w:p w14:paraId="2D907FB7" w14:textId="77777777" w:rsidR="0035403C" w:rsidRDefault="00D02C31">
      <w:pPr>
        <w:pStyle w:val="Ttulo2"/>
        <w:tabs>
          <w:tab w:val="left" w:pos="380"/>
        </w:tabs>
        <w:jc w:val="both"/>
      </w:pPr>
      <w:bookmarkStart w:id="122" w:name="_heading=h.1qoc8b1"/>
      <w:bookmarkEnd w:id="122"/>
      <w:r w:rsidRPr="0FE4D5DF">
        <w:rPr>
          <w:lang w:val="en-US"/>
        </w:rPr>
        <w:t>La adopción de los microservicios generalmente se adopta cuando:</w:t>
      </w:r>
    </w:p>
    <w:p w14:paraId="4D9DDD6C" w14:textId="77777777" w:rsidR="0035403C" w:rsidRDefault="00D02C31" w:rsidP="0FE4D5DF">
      <w:pPr>
        <w:numPr>
          <w:ilvl w:val="0"/>
          <w:numId w:val="26"/>
        </w:numPr>
        <w:tabs>
          <w:tab w:val="left" w:pos="380"/>
        </w:tabs>
        <w:rPr>
          <w:lang w:val="en-US"/>
        </w:rPr>
      </w:pPr>
      <w:r w:rsidRPr="0FE4D5DF">
        <w:rPr>
          <w:lang w:val="en-US"/>
        </w:rPr>
        <w:t>Sistemas de mayor escala</w:t>
      </w:r>
    </w:p>
    <w:p w14:paraId="1594D611" w14:textId="77777777" w:rsidR="0035403C" w:rsidRDefault="00D02C31" w:rsidP="17FBBB8B">
      <w:pPr>
        <w:numPr>
          <w:ilvl w:val="0"/>
          <w:numId w:val="26"/>
        </w:numPr>
        <w:tabs>
          <w:tab w:val="left" w:pos="380"/>
        </w:tabs>
        <w:rPr>
          <w:lang w:val="en-US"/>
        </w:rPr>
      </w:pPr>
      <w:r w:rsidRPr="17FBBB8B">
        <w:rPr>
          <w:lang w:val="en-US"/>
        </w:rPr>
        <w:t>Gestión más sencilla del desarrollo y la implementación entre equipos</w:t>
      </w:r>
    </w:p>
    <w:p w14:paraId="31751133" w14:textId="77777777" w:rsidR="0035403C" w:rsidRDefault="00D02C31" w:rsidP="0FE4D5DF">
      <w:pPr>
        <w:numPr>
          <w:ilvl w:val="0"/>
          <w:numId w:val="26"/>
        </w:numPr>
        <w:tabs>
          <w:tab w:val="left" w:pos="380"/>
        </w:tabs>
        <w:rPr>
          <w:lang w:val="en-US"/>
        </w:rPr>
      </w:pPr>
      <w:r w:rsidRPr="0FE4D5DF">
        <w:rPr>
          <w:lang w:val="en-US"/>
        </w:rPr>
        <w:t>Se requiere escalabilidad futura</w:t>
      </w:r>
    </w:p>
    <w:p w14:paraId="1292DBD6" w14:textId="77777777" w:rsidR="0035403C" w:rsidRDefault="00D02C31" w:rsidP="0FE4D5DF">
      <w:pPr>
        <w:numPr>
          <w:ilvl w:val="0"/>
          <w:numId w:val="26"/>
        </w:numPr>
        <w:tabs>
          <w:tab w:val="left" w:pos="380"/>
        </w:tabs>
        <w:rPr>
          <w:lang w:val="en-US"/>
        </w:rPr>
      </w:pPr>
      <w:r w:rsidRPr="0FE4D5DF">
        <w:rPr>
          <w:lang w:val="en-US"/>
        </w:rPr>
        <w:t>Aplicaciones que necesitan aislamiento de errores</w:t>
      </w:r>
    </w:p>
    <w:p w14:paraId="0CC264E0" w14:textId="77777777" w:rsidR="0035403C" w:rsidRDefault="00D02C31">
      <w:pPr>
        <w:pStyle w:val="Ttulo1"/>
      </w:pPr>
      <w:bookmarkStart w:id="123" w:name="_heading=h.4anzqyu" w:colFirst="0" w:colLast="0"/>
      <w:bookmarkEnd w:id="123"/>
      <w:r>
        <w:t>ANÁLISIS DE LA FACTIBILIDAD DE UN API MANAGER</w:t>
      </w:r>
    </w:p>
    <w:p w14:paraId="4464650D" w14:textId="77777777" w:rsidR="0035403C" w:rsidRDefault="00D02C31">
      <w:pPr>
        <w:jc w:val="both"/>
      </w:pPr>
      <w:r w:rsidRPr="0FE4D5DF">
        <w:rPr>
          <w:lang w:val="en-US"/>
        </w:rPr>
        <w:t xml:space="preserve">Tanto los microservicios </w:t>
      </w:r>
      <w:proofErr w:type="gramStart"/>
      <w:r w:rsidRPr="0FE4D5DF">
        <w:rPr>
          <w:lang w:val="en-US"/>
        </w:rPr>
        <w:t>como</w:t>
      </w:r>
      <w:proofErr w:type="gramEnd"/>
      <w:r w:rsidRPr="0FE4D5DF">
        <w:rPr>
          <w:lang w:val="en-US"/>
        </w:rPr>
        <w:t xml:space="preserve"> los contenedores pueden utilizar APIs para comunicarse entre sí y formar un sistema maestro. Cuando una compañía adopta estas arquitecturas como parte de su estrategia digital, ya sea para modernizarse con una mirada interna, o hacia el exterior, el desenlace principal es desarrollar un ecosistema que sirva para establecer una estrategia comercial empresarial. Este tipo de programas de actividades busca alinear </w:t>
      </w:r>
      <w:proofErr w:type="gramStart"/>
      <w:r w:rsidRPr="0FE4D5DF">
        <w:rPr>
          <w:lang w:val="en-US"/>
        </w:rPr>
        <w:t>un</w:t>
      </w:r>
      <w:proofErr w:type="gramEnd"/>
      <w:r w:rsidRPr="0FE4D5DF">
        <w:rPr>
          <w:lang w:val="en-US"/>
        </w:rPr>
        <w:t xml:space="preserve"> objetivo de negocio concreto y medible. Al optar el desacoplar </w:t>
      </w:r>
      <w:proofErr w:type="gramStart"/>
      <w:r w:rsidRPr="0FE4D5DF">
        <w:rPr>
          <w:lang w:val="en-US"/>
        </w:rPr>
        <w:t>un</w:t>
      </w:r>
      <w:proofErr w:type="gramEnd"/>
      <w:r w:rsidRPr="0FE4D5DF">
        <w:rPr>
          <w:lang w:val="en-US"/>
        </w:rPr>
        <w:t xml:space="preserve"> sistema, en pedazos de software más pequeños, trae consigo una gran dificultad al momento de la administración de dichos componentes. Para comunicar cada uno de ellos, entrelazarlos y poder darles una exposición externa, necesariamente se deben contar con herramientas que ayuden la organización.</w:t>
      </w:r>
    </w:p>
    <w:p w14:paraId="464FCBC1" w14:textId="77777777" w:rsidR="0035403C" w:rsidRDefault="0035403C">
      <w:pPr>
        <w:jc w:val="both"/>
      </w:pPr>
    </w:p>
    <w:p w14:paraId="04EFD62A" w14:textId="77777777" w:rsidR="0035403C" w:rsidRDefault="00D02C31">
      <w:pPr>
        <w:pStyle w:val="Ttulo1"/>
      </w:pPr>
      <w:bookmarkStart w:id="124" w:name="_heading=h.2pta16n" w:colFirst="0" w:colLast="0"/>
      <w:bookmarkEnd w:id="124"/>
      <w:r>
        <w:lastRenderedPageBreak/>
        <w:t>ADOPCIÓN DE LA CULTURA DEVOPS</w:t>
      </w:r>
    </w:p>
    <w:p w14:paraId="57AE2107" w14:textId="77777777" w:rsidR="0035403C" w:rsidRDefault="00D02C31">
      <w:pPr>
        <w:jc w:val="both"/>
      </w:pPr>
      <w:r w:rsidRPr="0FE4D5DF">
        <w:rPr>
          <w:lang w:val="en-US"/>
        </w:rPr>
        <w:t xml:space="preserve">La importancia de adoptar una cultura DevOps dentro de la empresa hace que la colaboración sea central, abarcando la agilidad y la efectiva resolución de problemas. Fomenta una comunicación más amplia y rompe los silos que suelen generarse entre las áreas, ya que es necesario que participen en conjunto los sectores de operaciones y de desarrollo desde el inicio de una nueva iniciativa, hasta el </w:t>
      </w:r>
      <w:proofErr w:type="gramStart"/>
      <w:r w:rsidRPr="0FE4D5DF">
        <w:rPr>
          <w:lang w:val="en-US"/>
        </w:rPr>
        <w:t>uso</w:t>
      </w:r>
      <w:proofErr w:type="gramEnd"/>
      <w:r w:rsidRPr="0FE4D5DF">
        <w:rPr>
          <w:lang w:val="en-US"/>
        </w:rPr>
        <w:t xml:space="preserve"> del desarrollo tecnológico. Como consecuencia, el equipo debe deshacerse de la culpa por cualquier fracaso y centrarse en evitar los problemas en </w:t>
      </w:r>
      <w:proofErr w:type="gramStart"/>
      <w:r w:rsidRPr="0FE4D5DF">
        <w:rPr>
          <w:lang w:val="en-US"/>
        </w:rPr>
        <w:t>un</w:t>
      </w:r>
      <w:proofErr w:type="gramEnd"/>
      <w:r w:rsidRPr="0FE4D5DF">
        <w:rPr>
          <w:lang w:val="en-US"/>
        </w:rPr>
        <w:t xml:space="preserve"> futuro. </w:t>
      </w:r>
    </w:p>
    <w:p w14:paraId="5E91A590" w14:textId="77777777" w:rsidR="0035403C" w:rsidRDefault="00D02C31" w:rsidP="0FE4D5DF">
      <w:pPr>
        <w:jc w:val="both"/>
        <w:rPr>
          <w:highlight w:val="red"/>
          <w:lang w:val="en-US"/>
        </w:rPr>
      </w:pPr>
      <w:r w:rsidRPr="0FE4D5DF">
        <w:rPr>
          <w:lang w:val="en-US"/>
        </w:rPr>
        <w:t xml:space="preserve">Si bien mejorar los flujos de trabajo es clave para construir procesos de desarrollo más sólidos, también hay que asegurarse de tener la información adecuada en toda la infraestructura, con </w:t>
      </w:r>
      <w:proofErr w:type="gramStart"/>
      <w:r w:rsidRPr="0FE4D5DF">
        <w:rPr>
          <w:lang w:val="en-US"/>
        </w:rPr>
        <w:t>un</w:t>
      </w:r>
      <w:proofErr w:type="gramEnd"/>
      <w:r w:rsidRPr="0FE4D5DF">
        <w:rPr>
          <w:lang w:val="en-US"/>
        </w:rPr>
        <w:t xml:space="preserve"> diseño que permita proporcionar información y datos de monitoreo del rendimiento integral.</w:t>
      </w:r>
    </w:p>
    <w:p w14:paraId="3BA2040F" w14:textId="77777777" w:rsidR="0035403C" w:rsidRDefault="00D02C31">
      <w:pPr>
        <w:numPr>
          <w:ilvl w:val="0"/>
          <w:numId w:val="47"/>
        </w:numPr>
        <w:jc w:val="both"/>
      </w:pPr>
      <w:r w:rsidRPr="0FE4D5DF">
        <w:rPr>
          <w:lang w:val="en-US"/>
        </w:rPr>
        <w:t>Entrega más rápida: La automatización de los procesos de desarrollo, pruebas y despliegue de software permite acelerar la entrega de aplicaciones, reduciendo el tiempo de lanzamiento al mercado. </w:t>
      </w:r>
    </w:p>
    <w:p w14:paraId="51EAB57E" w14:textId="77777777" w:rsidR="0035403C" w:rsidRDefault="00D02C31">
      <w:pPr>
        <w:numPr>
          <w:ilvl w:val="0"/>
          <w:numId w:val="47"/>
        </w:numPr>
        <w:jc w:val="both"/>
      </w:pPr>
      <w:r w:rsidRPr="0FE4D5DF">
        <w:rPr>
          <w:lang w:val="en-US"/>
        </w:rPr>
        <w:t xml:space="preserve">Delivery continuo: permite la detección temprana de problemas y una resolución más rápida. Se garantiza una mayor calidad </w:t>
      </w:r>
      <w:proofErr w:type="gramStart"/>
      <w:r w:rsidRPr="0FE4D5DF">
        <w:rPr>
          <w:lang w:val="en-US"/>
        </w:rPr>
        <w:t>del</w:t>
      </w:r>
      <w:proofErr w:type="gramEnd"/>
      <w:r w:rsidRPr="0FE4D5DF">
        <w:rPr>
          <w:lang w:val="en-US"/>
        </w:rPr>
        <w:t xml:space="preserve"> software, ya que los errores se identifican y corrigen rápidamente. </w:t>
      </w:r>
    </w:p>
    <w:p w14:paraId="08183872" w14:textId="77777777" w:rsidR="0035403C" w:rsidRDefault="00D02C31">
      <w:pPr>
        <w:numPr>
          <w:ilvl w:val="0"/>
          <w:numId w:val="47"/>
        </w:numPr>
        <w:jc w:val="both"/>
      </w:pPr>
      <w:r w:rsidRPr="0FE4D5DF">
        <w:rPr>
          <w:lang w:val="en-US"/>
        </w:rPr>
        <w:t xml:space="preserve">Mejor experiencia </w:t>
      </w:r>
      <w:proofErr w:type="gramStart"/>
      <w:r w:rsidRPr="0FE4D5DF">
        <w:rPr>
          <w:lang w:val="en-US"/>
        </w:rPr>
        <w:t>del</w:t>
      </w:r>
      <w:proofErr w:type="gramEnd"/>
      <w:r w:rsidRPr="0FE4D5DF">
        <w:rPr>
          <w:lang w:val="en-US"/>
        </w:rPr>
        <w:t xml:space="preserve"> cliente: Los usuarios finales se benefician al recibir actualizaciones y mejoras más rápidas, y les permite utilizar nuevas funcionalidades.</w:t>
      </w:r>
    </w:p>
    <w:p w14:paraId="33A5F31F" w14:textId="77777777" w:rsidR="0035403C" w:rsidRDefault="00D02C31">
      <w:pPr>
        <w:numPr>
          <w:ilvl w:val="0"/>
          <w:numId w:val="47"/>
        </w:numPr>
        <w:jc w:val="both"/>
      </w:pPr>
      <w:r w:rsidRPr="0FE4D5DF">
        <w:rPr>
          <w:lang w:val="en-US"/>
        </w:rPr>
        <w:t xml:space="preserve">Armar </w:t>
      </w:r>
      <w:proofErr w:type="gramStart"/>
      <w:r w:rsidRPr="0FE4D5DF">
        <w:rPr>
          <w:lang w:val="en-US"/>
        </w:rPr>
        <w:t>un</w:t>
      </w:r>
      <w:proofErr w:type="gramEnd"/>
      <w:r w:rsidRPr="0FE4D5DF">
        <w:rPr>
          <w:lang w:val="en-US"/>
        </w:rPr>
        <w:t xml:space="preserve"> equipo multidisciplinario: Es indispensable crear un equipo multidisciplinario responsable de diseñar, implementar y mantener los sistemas.</w:t>
      </w:r>
    </w:p>
    <w:p w14:paraId="0CD4CB9C" w14:textId="77777777" w:rsidR="0035403C" w:rsidRDefault="00D02C31">
      <w:pPr>
        <w:numPr>
          <w:ilvl w:val="0"/>
          <w:numId w:val="47"/>
        </w:numPr>
        <w:jc w:val="both"/>
      </w:pPr>
      <w:r w:rsidRPr="0FE4D5DF">
        <w:rPr>
          <w:lang w:val="en-US"/>
        </w:rPr>
        <w:t xml:space="preserve">Impulsar una cultura de aprendizaje y experimentación: Tener constante evolución, a través de aprender nuevas tecnologías y prácticas, y </w:t>
      </w:r>
      <w:proofErr w:type="gramStart"/>
      <w:r w:rsidRPr="0FE4D5DF">
        <w:rPr>
          <w:lang w:val="en-US"/>
        </w:rPr>
        <w:t>a</w:t>
      </w:r>
      <w:proofErr w:type="gramEnd"/>
      <w:r w:rsidRPr="0FE4D5DF">
        <w:rPr>
          <w:lang w:val="en-US"/>
        </w:rPr>
        <w:t xml:space="preserve"> experimentar con nuevas ideas.</w:t>
      </w:r>
    </w:p>
    <w:p w14:paraId="02C3C106" w14:textId="77777777" w:rsidR="0035403C" w:rsidRDefault="00D02C31">
      <w:pPr>
        <w:numPr>
          <w:ilvl w:val="0"/>
          <w:numId w:val="47"/>
        </w:numPr>
        <w:jc w:val="both"/>
      </w:pPr>
      <w:r w:rsidRPr="0FE4D5DF">
        <w:rPr>
          <w:lang w:val="en-US"/>
        </w:rPr>
        <w:t>Automatizar todo lo posible: Automatizar la mayor parte de los procesos de desarrollo y operaciones, ayuda a liberar al equipo para que se concentre en tareas más estratégicas.</w:t>
      </w:r>
    </w:p>
    <w:p w14:paraId="2FC1869D" w14:textId="77777777" w:rsidR="0035403C" w:rsidRDefault="00D02C31">
      <w:pPr>
        <w:numPr>
          <w:ilvl w:val="0"/>
          <w:numId w:val="47"/>
        </w:numPr>
      </w:pPr>
      <w:r w:rsidRPr="0FE4D5DF">
        <w:rPr>
          <w:lang w:val="en-US"/>
        </w:rPr>
        <w:t xml:space="preserve">Medir todo: Es importante medir los resultados de los esfuerzos de los equipos para poder realizar </w:t>
      </w:r>
      <w:proofErr w:type="gramStart"/>
      <w:r w:rsidRPr="0FE4D5DF">
        <w:rPr>
          <w:lang w:val="en-US"/>
        </w:rPr>
        <w:t>un</w:t>
      </w:r>
      <w:proofErr w:type="gramEnd"/>
      <w:r w:rsidRPr="0FE4D5DF">
        <w:rPr>
          <w:lang w:val="en-US"/>
        </w:rPr>
        <w:t xml:space="preserve"> seguimiento del progreso y realizar mejoras. </w:t>
      </w:r>
    </w:p>
    <w:p w14:paraId="2DCED386" w14:textId="77777777" w:rsidR="0035403C" w:rsidRDefault="00D02C31">
      <w:pPr>
        <w:numPr>
          <w:ilvl w:val="0"/>
          <w:numId w:val="47"/>
        </w:numPr>
      </w:pPr>
      <w:r w:rsidRPr="0FE4D5DF">
        <w:rPr>
          <w:lang w:val="en-US"/>
        </w:rPr>
        <w:t>Buscar la mejora continua: A través de los datos obtenidos en las mediciones.</w:t>
      </w:r>
    </w:p>
    <w:p w14:paraId="38BFDBFB" w14:textId="77777777" w:rsidR="0035403C" w:rsidRDefault="00D02C31">
      <w:pPr>
        <w:pStyle w:val="Ttulo1"/>
        <w:jc w:val="both"/>
      </w:pPr>
      <w:bookmarkStart w:id="125" w:name="_heading=h.14ykbeg" w:colFirst="0" w:colLast="0"/>
      <w:bookmarkEnd w:id="125"/>
      <w:r>
        <w:t>DIFERENTES ENFOQUE DE LA MIGRACIÓN</w:t>
      </w:r>
    </w:p>
    <w:p w14:paraId="0DEFAC0D" w14:textId="77777777" w:rsidR="0035403C" w:rsidRDefault="00D02C31">
      <w:pPr>
        <w:numPr>
          <w:ilvl w:val="0"/>
          <w:numId w:val="4"/>
        </w:numPr>
        <w:jc w:val="both"/>
      </w:pPr>
      <w:r w:rsidRPr="0FE4D5DF">
        <w:rPr>
          <w:lang w:val="en-US"/>
        </w:rPr>
        <w:t xml:space="preserve">Rehospedar aplicaciones y bases de datos: Esta estrategia, supone migrar los servidores físicos y las VM </w:t>
      </w:r>
      <w:proofErr w:type="gramStart"/>
      <w:r w:rsidRPr="0FE4D5DF">
        <w:rPr>
          <w:lang w:val="en-US"/>
        </w:rPr>
        <w:t>tal</w:t>
      </w:r>
      <w:proofErr w:type="gramEnd"/>
      <w:r w:rsidRPr="0FE4D5DF">
        <w:rPr>
          <w:lang w:val="en-US"/>
        </w:rPr>
        <w:t xml:space="preserve"> como están a la nube, sin cambios en el código. </w:t>
      </w:r>
    </w:p>
    <w:p w14:paraId="36FA5E95" w14:textId="77777777" w:rsidR="0035403C" w:rsidRDefault="00D02C31">
      <w:pPr>
        <w:numPr>
          <w:ilvl w:val="0"/>
          <w:numId w:val="4"/>
        </w:numPr>
        <w:jc w:val="both"/>
      </w:pPr>
      <w:r w:rsidRPr="0FE4D5DF">
        <w:rPr>
          <w:lang w:val="en-US"/>
        </w:rPr>
        <w:t>Refactorizar aplicaciones y bases de datos: Esta etapa</w:t>
      </w:r>
      <w:proofErr w:type="gramStart"/>
      <w:r w:rsidRPr="0FE4D5DF">
        <w:rPr>
          <w:lang w:val="en-US"/>
        </w:rPr>
        <w:t>,  intenta</w:t>
      </w:r>
      <w:proofErr w:type="gramEnd"/>
      <w:r w:rsidRPr="0FE4D5DF">
        <w:rPr>
          <w:lang w:val="en-US"/>
        </w:rPr>
        <w:t xml:space="preserve"> utilizar más servicios de proveedores de nube para optimizar el costo, la confiabilidad y el rendimiento al refactorizar las aplicaciones. </w:t>
      </w:r>
    </w:p>
    <w:p w14:paraId="193650B3" w14:textId="77777777" w:rsidR="0035403C" w:rsidRDefault="00D02C31">
      <w:pPr>
        <w:numPr>
          <w:ilvl w:val="0"/>
          <w:numId w:val="4"/>
        </w:numPr>
        <w:jc w:val="both"/>
      </w:pPr>
      <w:r w:rsidRPr="0FE4D5DF">
        <w:rPr>
          <w:lang w:val="en-US"/>
        </w:rPr>
        <w:t>Rediseñar aplicaciones: La estrategia de rediseño para modernizar, es decir, transformarla con una arquitectura modular de microservicios. Genera grandes cambios en el código existente de la aplicación, y es optimizada para la plataforma de nube y lograr una mejor escalabilidad.</w:t>
      </w:r>
    </w:p>
    <w:p w14:paraId="059FF123" w14:textId="77777777" w:rsidR="0035403C" w:rsidRDefault="00D02C31">
      <w:pPr>
        <w:numPr>
          <w:ilvl w:val="0"/>
          <w:numId w:val="4"/>
        </w:numPr>
        <w:jc w:val="both"/>
      </w:pPr>
      <w:r w:rsidRPr="0FE4D5DF">
        <w:rPr>
          <w:lang w:val="en-US"/>
        </w:rPr>
        <w:t xml:space="preserve">Recompilar aplicaciones: En esta estrategia, se revisa la aplicación existente adoptando arquitecturas de plataforma </w:t>
      </w:r>
      <w:proofErr w:type="gramStart"/>
      <w:r w:rsidRPr="0FE4D5DF">
        <w:rPr>
          <w:lang w:val="en-US"/>
        </w:rPr>
        <w:t>como</w:t>
      </w:r>
      <w:proofErr w:type="gramEnd"/>
      <w:r w:rsidRPr="0FE4D5DF">
        <w:rPr>
          <w:lang w:val="en-US"/>
        </w:rPr>
        <w:t xml:space="preserve"> servicios o software como servicio. </w:t>
      </w:r>
    </w:p>
    <w:p w14:paraId="5C8C6B09" w14:textId="77777777" w:rsidR="0035403C" w:rsidRDefault="0035403C">
      <w:pPr>
        <w:spacing w:line="276" w:lineRule="auto"/>
        <w:rPr>
          <w:rFonts w:ascii="Helvetica Neue" w:eastAsia="Helvetica Neue" w:hAnsi="Helvetica Neue" w:cs="Helvetica Neue"/>
          <w:sz w:val="20"/>
          <w:szCs w:val="20"/>
        </w:rPr>
      </w:pPr>
    </w:p>
    <w:p w14:paraId="3382A365" w14:textId="77777777" w:rsidR="0035403C" w:rsidRDefault="0035403C">
      <w:pPr>
        <w:spacing w:line="276" w:lineRule="auto"/>
        <w:rPr>
          <w:rFonts w:ascii="Helvetica Neue" w:eastAsia="Helvetica Neue" w:hAnsi="Helvetica Neue" w:cs="Helvetica Neue"/>
          <w:sz w:val="20"/>
          <w:szCs w:val="20"/>
        </w:rPr>
      </w:pPr>
    </w:p>
    <w:p w14:paraId="5C71F136" w14:textId="77777777" w:rsidR="0035403C" w:rsidRDefault="00D02C31">
      <w:pPr>
        <w:spacing w:line="276" w:lineRule="auto"/>
        <w:rPr>
          <w:rFonts w:ascii="Helvetica Neue" w:eastAsia="Helvetica Neue" w:hAnsi="Helvetica Neue" w:cs="Helvetica Neue"/>
          <w:sz w:val="20"/>
          <w:szCs w:val="20"/>
        </w:rPr>
      </w:pPr>
      <w:r>
        <w:rPr>
          <w:rFonts w:ascii="Helvetica Neue" w:eastAsia="Helvetica Neue" w:hAnsi="Helvetica Neue" w:cs="Helvetica Neue"/>
          <w:noProof/>
          <w:sz w:val="20"/>
          <w:szCs w:val="20"/>
          <w:lang w:eastAsia="es-AR"/>
        </w:rPr>
        <w:lastRenderedPageBreak/>
        <w:drawing>
          <wp:inline distT="114300" distB="114300" distL="114300" distR="114300" wp14:anchorId="43AE2F59" wp14:editId="07777777">
            <wp:extent cx="5664200" cy="3098800"/>
            <wp:effectExtent l="0" t="0" r="0" b="0"/>
            <wp:docPr id="13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54"/>
                    <a:srcRect/>
                    <a:stretch>
                      <a:fillRect/>
                    </a:stretch>
                  </pic:blipFill>
                  <pic:spPr>
                    <a:xfrm>
                      <a:off x="0" y="0"/>
                      <a:ext cx="5664200" cy="3098800"/>
                    </a:xfrm>
                    <a:prstGeom prst="rect">
                      <a:avLst/>
                    </a:prstGeom>
                    <a:ln/>
                  </pic:spPr>
                </pic:pic>
              </a:graphicData>
            </a:graphic>
          </wp:inline>
        </w:drawing>
      </w:r>
    </w:p>
    <w:p w14:paraId="64455F6E" w14:textId="77777777" w:rsidR="0035403C" w:rsidRDefault="00D02C31" w:rsidP="0FE4D5DF">
      <w:pPr>
        <w:tabs>
          <w:tab w:val="left" w:pos="600"/>
        </w:tabs>
        <w:jc w:val="both"/>
        <w:rPr>
          <w:i/>
          <w:iCs/>
          <w:color w:val="1F497D" w:themeColor="text2"/>
          <w:sz w:val="18"/>
          <w:szCs w:val="18"/>
          <w:lang w:val="en-US"/>
        </w:rPr>
      </w:pPr>
      <w:r w:rsidRPr="0FE4D5DF">
        <w:rPr>
          <w:i/>
          <w:iCs/>
          <w:color w:val="1F497D" w:themeColor="text2"/>
          <w:sz w:val="18"/>
          <w:szCs w:val="18"/>
          <w:lang w:val="en-US"/>
        </w:rPr>
        <w:t>Ilustración 38 - Enfoques de migración</w:t>
      </w:r>
    </w:p>
    <w:p w14:paraId="69FA2EFB" w14:textId="77777777" w:rsidR="0035403C" w:rsidRDefault="00D02C31" w:rsidP="0FE4D5DF">
      <w:pPr>
        <w:jc w:val="both"/>
        <w:rPr>
          <w:rFonts w:ascii="Helvetica Neue" w:eastAsia="Helvetica Neue" w:hAnsi="Helvetica Neue" w:cs="Helvetica Neue"/>
          <w:sz w:val="20"/>
          <w:szCs w:val="20"/>
          <w:lang w:val="en-US"/>
        </w:rPr>
      </w:pPr>
      <w:r w:rsidRPr="0FE4D5DF">
        <w:rPr>
          <w:lang w:val="en-US"/>
        </w:rPr>
        <w:t xml:space="preserve">Con </w:t>
      </w:r>
      <w:proofErr w:type="gramStart"/>
      <w:r w:rsidRPr="0FE4D5DF">
        <w:rPr>
          <w:lang w:val="en-US"/>
        </w:rPr>
        <w:t>un</w:t>
      </w:r>
      <w:proofErr w:type="gramEnd"/>
      <w:r w:rsidRPr="0FE4D5DF">
        <w:rPr>
          <w:lang w:val="en-US"/>
        </w:rPr>
        <w:t xml:space="preserve"> árbol de decisión de migración, se puede observar de manera simple cuales son los sistemas candidatos para impulsar su tipo de migración, además, se puede agregar las prioridades y los requisitos de la empresa. </w:t>
      </w:r>
    </w:p>
    <w:p w14:paraId="62199465" w14:textId="77777777" w:rsidR="0035403C" w:rsidRDefault="00D02C31">
      <w:pPr>
        <w:spacing w:line="276" w:lineRule="auto"/>
      </w:pPr>
      <w:r>
        <w:rPr>
          <w:rFonts w:ascii="Helvetica Neue" w:eastAsia="Helvetica Neue" w:hAnsi="Helvetica Neue" w:cs="Helvetica Neue"/>
          <w:b/>
          <w:noProof/>
          <w:sz w:val="20"/>
          <w:szCs w:val="20"/>
          <w:lang w:eastAsia="es-AR"/>
        </w:rPr>
        <w:drawing>
          <wp:inline distT="114300" distB="114300" distL="114300" distR="114300" wp14:anchorId="58E41917" wp14:editId="07777777">
            <wp:extent cx="5664200" cy="2946400"/>
            <wp:effectExtent l="0" t="0" r="0" b="0"/>
            <wp:docPr id="138"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55"/>
                    <a:srcRect/>
                    <a:stretch>
                      <a:fillRect/>
                    </a:stretch>
                  </pic:blipFill>
                  <pic:spPr>
                    <a:xfrm>
                      <a:off x="0" y="0"/>
                      <a:ext cx="5664200" cy="2946400"/>
                    </a:xfrm>
                    <a:prstGeom prst="rect">
                      <a:avLst/>
                    </a:prstGeom>
                    <a:ln/>
                  </pic:spPr>
                </pic:pic>
              </a:graphicData>
            </a:graphic>
          </wp:inline>
        </w:drawing>
      </w:r>
    </w:p>
    <w:p w14:paraId="445300F6" w14:textId="77777777" w:rsidR="0035403C" w:rsidRDefault="00D02C31" w:rsidP="0FE4D5DF">
      <w:pPr>
        <w:tabs>
          <w:tab w:val="left" w:pos="600"/>
        </w:tabs>
        <w:jc w:val="both"/>
        <w:rPr>
          <w:i/>
          <w:iCs/>
          <w:color w:val="1F497D"/>
          <w:sz w:val="18"/>
          <w:szCs w:val="18"/>
          <w:lang w:val="en-US"/>
        </w:rPr>
      </w:pPr>
      <w:r w:rsidRPr="0FE4D5DF">
        <w:rPr>
          <w:i/>
          <w:iCs/>
          <w:color w:val="1F497D" w:themeColor="text2"/>
          <w:sz w:val="18"/>
          <w:szCs w:val="18"/>
          <w:lang w:val="en-US"/>
        </w:rPr>
        <w:t>Ilustración 39 - Decisión de migración</w:t>
      </w:r>
    </w:p>
    <w:p w14:paraId="78837BB2" w14:textId="77777777" w:rsidR="0035403C" w:rsidRDefault="00D02C31">
      <w:pPr>
        <w:pStyle w:val="Ttulo1"/>
      </w:pPr>
      <w:bookmarkStart w:id="126" w:name="_heading=h.3oy7u29" w:colFirst="0" w:colLast="0"/>
      <w:bookmarkEnd w:id="126"/>
      <w:r>
        <w:t xml:space="preserve">REPLICAR CARGAS DE TRABAJO </w:t>
      </w:r>
    </w:p>
    <w:p w14:paraId="5B65902E" w14:textId="77777777" w:rsidR="0035403C" w:rsidRDefault="00D02C31">
      <w:pPr>
        <w:jc w:val="both"/>
      </w:pPr>
      <w:r w:rsidRPr="0FE4D5DF">
        <w:rPr>
          <w:lang w:val="en-US"/>
        </w:rPr>
        <w:t xml:space="preserve">La replicación es el primer paso de la fase de migración, donde se migran las distintas infraestructuras locales, a la nube elegida para la migración. El segundo paso de esta fase es la elección de </w:t>
      </w:r>
      <w:proofErr w:type="gramStart"/>
      <w:r w:rsidRPr="0FE4D5DF">
        <w:rPr>
          <w:lang w:val="en-US"/>
        </w:rPr>
        <w:t>un</w:t>
      </w:r>
      <w:proofErr w:type="gramEnd"/>
      <w:r w:rsidRPr="0FE4D5DF">
        <w:rPr>
          <w:lang w:val="en-US"/>
        </w:rPr>
        <w:t xml:space="preserve"> sistema testigo y la prueba, que garantiza el estado del sistema como lo era antes. </w:t>
      </w:r>
      <w:r w:rsidRPr="0FE4D5DF">
        <w:rPr>
          <w:lang w:val="en-US"/>
        </w:rPr>
        <w:lastRenderedPageBreak/>
        <w:t>Por último, se continúa con cada uno de los sistemas a migrar hasta llegar a la transición final, el “apagado” del sistema actual, donde se asegure que la migración funciona según lo esperado.</w:t>
      </w:r>
    </w:p>
    <w:p w14:paraId="40D5A5A7" w14:textId="77777777" w:rsidR="0035403C" w:rsidRDefault="00D02C31">
      <w:pPr>
        <w:numPr>
          <w:ilvl w:val="0"/>
          <w:numId w:val="5"/>
        </w:numPr>
        <w:jc w:val="both"/>
      </w:pPr>
      <w:r w:rsidRPr="0FE4D5DF">
        <w:rPr>
          <w:lang w:val="en-US"/>
        </w:rPr>
        <w:t xml:space="preserve">Planificar: se deben tener en cuenta los servidores, las VMs y las cargas de trabajo que desea migrar, y todo aquello necesario para que funcionen en la nube. Con esta evaluación, se </w:t>
      </w:r>
      <w:proofErr w:type="gramStart"/>
      <w:r w:rsidRPr="0FE4D5DF">
        <w:rPr>
          <w:lang w:val="en-US"/>
        </w:rPr>
        <w:t>va</w:t>
      </w:r>
      <w:proofErr w:type="gramEnd"/>
      <w:r w:rsidRPr="0FE4D5DF">
        <w:rPr>
          <w:lang w:val="en-US"/>
        </w:rPr>
        <w:t xml:space="preserve"> a determinar el verdadero uso de los recursos. </w:t>
      </w:r>
    </w:p>
    <w:p w14:paraId="3569FC5D" w14:textId="77777777" w:rsidR="0035403C" w:rsidRDefault="00D02C31">
      <w:pPr>
        <w:numPr>
          <w:ilvl w:val="0"/>
          <w:numId w:val="5"/>
        </w:numPr>
        <w:jc w:val="both"/>
      </w:pPr>
      <w:r w:rsidRPr="0FE4D5DF">
        <w:rPr>
          <w:lang w:val="en-US"/>
        </w:rPr>
        <w:t xml:space="preserve">Preparar: es necesario preparar el entorno local y la plataforma de la nube. </w:t>
      </w:r>
    </w:p>
    <w:p w14:paraId="694089A6" w14:textId="77777777" w:rsidR="0035403C" w:rsidRDefault="00D02C31">
      <w:pPr>
        <w:numPr>
          <w:ilvl w:val="0"/>
          <w:numId w:val="5"/>
        </w:numPr>
        <w:jc w:val="both"/>
      </w:pPr>
      <w:r w:rsidRPr="0FE4D5DF">
        <w:rPr>
          <w:lang w:val="en-US"/>
        </w:rPr>
        <w:t xml:space="preserve">Migrar: es necesario asegurarse de que las cargas de trabajo en la nube estén sincronizadas con el sistema local en tiempo real. Además, se recomienda </w:t>
      </w:r>
    </w:p>
    <w:p w14:paraId="4E20BDA0" w14:textId="77777777" w:rsidR="0035403C" w:rsidRDefault="00D02C31">
      <w:pPr>
        <w:numPr>
          <w:ilvl w:val="0"/>
          <w:numId w:val="5"/>
        </w:numPr>
        <w:jc w:val="both"/>
      </w:pPr>
      <w:r w:rsidRPr="0FE4D5DF">
        <w:rPr>
          <w:lang w:val="en-US"/>
        </w:rPr>
        <w:t>Conclusiones de la migración: es necesario probar el sistema de forma integral, para proseguir con el resto o calibrar nuevamente.</w:t>
      </w:r>
    </w:p>
    <w:p w14:paraId="0DA123B1" w14:textId="77777777" w:rsidR="0035403C" w:rsidRDefault="0035403C">
      <w:pPr>
        <w:spacing w:line="276" w:lineRule="auto"/>
        <w:rPr>
          <w:rFonts w:ascii="Helvetica Neue" w:eastAsia="Helvetica Neue" w:hAnsi="Helvetica Neue" w:cs="Helvetica Neue"/>
          <w:sz w:val="20"/>
          <w:szCs w:val="20"/>
        </w:rPr>
      </w:pPr>
    </w:p>
    <w:p w14:paraId="4C4CEA3D" w14:textId="77777777" w:rsidR="0035403C" w:rsidRDefault="00D02C31">
      <w:r>
        <w:rPr>
          <w:noProof/>
          <w:lang w:eastAsia="es-AR"/>
        </w:rPr>
        <w:drawing>
          <wp:inline distT="114300" distB="114300" distL="114300" distR="114300" wp14:anchorId="42BFB0C9" wp14:editId="07777777">
            <wp:extent cx="5874230" cy="2122621"/>
            <wp:effectExtent l="0" t="0" r="0" b="0"/>
            <wp:docPr id="13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56"/>
                    <a:srcRect/>
                    <a:stretch>
                      <a:fillRect/>
                    </a:stretch>
                  </pic:blipFill>
                  <pic:spPr>
                    <a:xfrm>
                      <a:off x="0" y="0"/>
                      <a:ext cx="5874230" cy="2122621"/>
                    </a:xfrm>
                    <a:prstGeom prst="rect">
                      <a:avLst/>
                    </a:prstGeom>
                    <a:ln/>
                  </pic:spPr>
                </pic:pic>
              </a:graphicData>
            </a:graphic>
          </wp:inline>
        </w:drawing>
      </w:r>
    </w:p>
    <w:p w14:paraId="5F1F47E2" w14:textId="77777777" w:rsidR="0035403C" w:rsidRDefault="00D02C31" w:rsidP="0FE4D5DF">
      <w:pPr>
        <w:pBdr>
          <w:top w:val="nil"/>
          <w:left w:val="nil"/>
          <w:bottom w:val="nil"/>
          <w:right w:val="nil"/>
          <w:between w:val="nil"/>
        </w:pBdr>
        <w:tabs>
          <w:tab w:val="left" w:pos="600"/>
        </w:tabs>
        <w:jc w:val="both"/>
        <w:rPr>
          <w:i/>
          <w:iCs/>
          <w:color w:val="1F497D"/>
          <w:sz w:val="18"/>
          <w:szCs w:val="18"/>
          <w:lang w:val="en-US"/>
        </w:rPr>
      </w:pPr>
      <w:r w:rsidRPr="0FE4D5DF">
        <w:rPr>
          <w:i/>
          <w:iCs/>
          <w:color w:val="1F497D" w:themeColor="text2"/>
          <w:sz w:val="18"/>
          <w:szCs w:val="18"/>
          <w:lang w:val="en-US"/>
        </w:rPr>
        <w:t>Ilustración 40 - Replicación de migración</w:t>
      </w:r>
    </w:p>
    <w:p w14:paraId="08BAFC63" w14:textId="77777777" w:rsidR="0035403C" w:rsidRDefault="00D02C31">
      <w:pPr>
        <w:pStyle w:val="Ttulo1"/>
        <w:widowControl w:val="0"/>
        <w:tabs>
          <w:tab w:val="left" w:pos="380"/>
        </w:tabs>
        <w:jc w:val="both"/>
      </w:pPr>
      <w:bookmarkStart w:id="127" w:name="_heading=h.243i4a2" w:colFirst="0" w:colLast="0"/>
      <w:bookmarkEnd w:id="127"/>
      <w:r>
        <w:t>CONCLUSIONES</w:t>
      </w:r>
    </w:p>
    <w:p w14:paraId="24A3FDE5" w14:textId="77777777" w:rsidR="0035403C" w:rsidRDefault="00D02C31">
      <w:pPr>
        <w:tabs>
          <w:tab w:val="left" w:pos="380"/>
        </w:tabs>
        <w:jc w:val="both"/>
      </w:pPr>
      <w:r w:rsidRPr="0FE4D5DF">
        <w:rPr>
          <w:lang w:val="en-US"/>
        </w:rPr>
        <w:t xml:space="preserve">El recorrido estudiado hacia una migración, conlleva consigo </w:t>
      </w:r>
      <w:proofErr w:type="gramStart"/>
      <w:r w:rsidRPr="0FE4D5DF">
        <w:rPr>
          <w:lang w:val="en-US"/>
        </w:rPr>
        <w:t>un</w:t>
      </w:r>
      <w:proofErr w:type="gramEnd"/>
      <w:r w:rsidRPr="0FE4D5DF">
        <w:rPr>
          <w:lang w:val="en-US"/>
        </w:rPr>
        <w:t xml:space="preserve"> trabajo complejo donde se debe invertir tiempo y dinero, pero se observa que la migración a la nube puede proporcionar eficiencias operativas y de costos a largo plazo. La adopción de las diferentes plataformas tecnológicas facilita una mayor flexibilidad y escalabilidad, y el acompañamiento de una cultura </w:t>
      </w:r>
      <w:proofErr w:type="gramStart"/>
      <w:r w:rsidRPr="0FE4D5DF">
        <w:rPr>
          <w:lang w:val="en-US"/>
        </w:rPr>
        <w:t>como</w:t>
      </w:r>
      <w:proofErr w:type="gramEnd"/>
      <w:r w:rsidRPr="0FE4D5DF">
        <w:rPr>
          <w:lang w:val="en-US"/>
        </w:rPr>
        <w:t xml:space="preserve"> la de DevOps, prepara la entrega de software de manera más rápida, confiable y segura.  Además, </w:t>
      </w:r>
      <w:proofErr w:type="gramStart"/>
      <w:r w:rsidRPr="0FE4D5DF">
        <w:rPr>
          <w:lang w:val="en-US"/>
        </w:rPr>
        <w:t>una  capacidad</w:t>
      </w:r>
      <w:proofErr w:type="gramEnd"/>
      <w:r w:rsidRPr="0FE4D5DF">
        <w:rPr>
          <w:lang w:val="en-US"/>
        </w:rPr>
        <w:t xml:space="preserve"> diferencial para acompañar el crecimiento o la disminución de recursos de manera equitativa en los momentos que existen demandas y que deben ser satisfechos, sin tener recursos asignados para la administración de esta infraestructura. </w:t>
      </w:r>
    </w:p>
    <w:p w14:paraId="701D5B23" w14:textId="77777777" w:rsidR="0035403C" w:rsidRDefault="00D02C31">
      <w:pPr>
        <w:tabs>
          <w:tab w:val="left" w:pos="380"/>
        </w:tabs>
        <w:jc w:val="both"/>
      </w:pPr>
      <w:r w:rsidRPr="17FBBB8B">
        <w:rPr>
          <w:lang w:val="en-US"/>
        </w:rPr>
        <w:t>Consigo, la nube nos presenta las siguientes ventajas:</w:t>
      </w:r>
    </w:p>
    <w:p w14:paraId="655B632F" w14:textId="77777777" w:rsidR="0035403C" w:rsidRDefault="00D02C31">
      <w:pPr>
        <w:numPr>
          <w:ilvl w:val="0"/>
          <w:numId w:val="12"/>
        </w:numPr>
        <w:jc w:val="both"/>
      </w:pPr>
      <w:r w:rsidRPr="17FBBB8B">
        <w:rPr>
          <w:lang w:val="en-US"/>
        </w:rPr>
        <w:t xml:space="preserve">No son necesarios los alquileres de centros de datos o actualizaciones de hardware. </w:t>
      </w:r>
    </w:p>
    <w:p w14:paraId="751E3B2C" w14:textId="77777777" w:rsidR="0035403C" w:rsidRDefault="00D02C31">
      <w:pPr>
        <w:numPr>
          <w:ilvl w:val="0"/>
          <w:numId w:val="12"/>
        </w:numPr>
        <w:jc w:val="both"/>
      </w:pPr>
      <w:r w:rsidRPr="17FBBB8B">
        <w:rPr>
          <w:lang w:val="en-US"/>
        </w:rPr>
        <w:t xml:space="preserve">No son necesarias las renovaciones de licencias. </w:t>
      </w:r>
    </w:p>
    <w:p w14:paraId="7DB2799F" w14:textId="77777777" w:rsidR="0035403C" w:rsidRDefault="00D02C31">
      <w:pPr>
        <w:numPr>
          <w:ilvl w:val="0"/>
          <w:numId w:val="12"/>
        </w:numPr>
        <w:jc w:val="both"/>
      </w:pPr>
      <w:r w:rsidRPr="17FBBB8B">
        <w:rPr>
          <w:lang w:val="en-US"/>
        </w:rPr>
        <w:t xml:space="preserve">No es necesario el soporte </w:t>
      </w:r>
      <w:proofErr w:type="gramStart"/>
      <w:r w:rsidRPr="17FBBB8B">
        <w:rPr>
          <w:lang w:val="en-US"/>
        </w:rPr>
        <w:t>del</w:t>
      </w:r>
      <w:proofErr w:type="gramEnd"/>
      <w:r w:rsidRPr="17FBBB8B">
        <w:rPr>
          <w:lang w:val="en-US"/>
        </w:rPr>
        <w:t xml:space="preserve"> software.</w:t>
      </w:r>
    </w:p>
    <w:p w14:paraId="76C8FE6D" w14:textId="77777777" w:rsidR="0035403C" w:rsidRDefault="00D02C31">
      <w:pPr>
        <w:numPr>
          <w:ilvl w:val="0"/>
          <w:numId w:val="12"/>
        </w:numPr>
        <w:jc w:val="both"/>
      </w:pPr>
      <w:r w:rsidRPr="17FBBB8B">
        <w:rPr>
          <w:lang w:val="en-US"/>
        </w:rPr>
        <w:t xml:space="preserve">Mayor </w:t>
      </w:r>
      <w:proofErr w:type="gramStart"/>
      <w:r w:rsidRPr="17FBBB8B">
        <w:rPr>
          <w:lang w:val="en-US"/>
        </w:rPr>
        <w:t>eficiencia</w:t>
      </w:r>
      <w:proofErr w:type="gramEnd"/>
      <w:r w:rsidRPr="17FBBB8B">
        <w:rPr>
          <w:lang w:val="en-US"/>
        </w:rPr>
        <w:t xml:space="preserve"> operativa y reducción de los gastos operativos.</w:t>
      </w:r>
    </w:p>
    <w:p w14:paraId="706FD7E8" w14:textId="77777777" w:rsidR="0035403C" w:rsidRDefault="00D02C31">
      <w:pPr>
        <w:numPr>
          <w:ilvl w:val="0"/>
          <w:numId w:val="12"/>
        </w:numPr>
        <w:jc w:val="both"/>
      </w:pPr>
      <w:r w:rsidRPr="17FBBB8B">
        <w:rPr>
          <w:lang w:val="en-US"/>
        </w:rPr>
        <w:t xml:space="preserve">Comercialización más rápida. </w:t>
      </w:r>
    </w:p>
    <w:p w14:paraId="46684D74" w14:textId="77777777" w:rsidR="0035403C" w:rsidRDefault="00D02C31">
      <w:pPr>
        <w:numPr>
          <w:ilvl w:val="0"/>
          <w:numId w:val="12"/>
        </w:numPr>
        <w:jc w:val="both"/>
      </w:pPr>
      <w:r w:rsidRPr="17FBBB8B">
        <w:rPr>
          <w:lang w:val="en-US"/>
        </w:rPr>
        <w:t>Automatización para las necesidades urgentes de capacidad.</w:t>
      </w:r>
    </w:p>
    <w:p w14:paraId="21237B97" w14:textId="77777777" w:rsidR="0035403C" w:rsidRDefault="00D02C31">
      <w:pPr>
        <w:numPr>
          <w:ilvl w:val="0"/>
          <w:numId w:val="12"/>
        </w:numPr>
        <w:jc w:val="both"/>
      </w:pPr>
      <w:r w:rsidRPr="17FBBB8B">
        <w:rPr>
          <w:lang w:val="en-US"/>
        </w:rPr>
        <w:t xml:space="preserve">Próxima a la innovación en las aplicaciones. </w:t>
      </w:r>
    </w:p>
    <w:p w14:paraId="2F3E00BE" w14:textId="77777777" w:rsidR="0035403C" w:rsidRDefault="00D02C31">
      <w:pPr>
        <w:numPr>
          <w:ilvl w:val="0"/>
          <w:numId w:val="12"/>
        </w:numPr>
        <w:tabs>
          <w:tab w:val="left" w:pos="380"/>
        </w:tabs>
        <w:jc w:val="both"/>
      </w:pPr>
      <w:r w:rsidRPr="17FBBB8B">
        <w:rPr>
          <w:lang w:val="en-US"/>
        </w:rPr>
        <w:t xml:space="preserve">Capacidad de modernizarse más rápidamente y con mayor seguridad. </w:t>
      </w:r>
    </w:p>
    <w:p w14:paraId="50895670" w14:textId="77777777" w:rsidR="0035403C" w:rsidRDefault="0035403C">
      <w:pPr>
        <w:widowControl w:val="0"/>
        <w:tabs>
          <w:tab w:val="left" w:pos="380"/>
        </w:tabs>
        <w:spacing w:line="276" w:lineRule="auto"/>
        <w:ind w:right="127"/>
        <w:jc w:val="both"/>
        <w:rPr>
          <w:rFonts w:ascii="Roboto" w:eastAsia="Roboto" w:hAnsi="Roboto" w:cs="Roboto"/>
          <w:b/>
          <w:sz w:val="21"/>
          <w:szCs w:val="21"/>
          <w:highlight w:val="white"/>
        </w:rPr>
      </w:pPr>
    </w:p>
    <w:p w14:paraId="38C1F859" w14:textId="77777777" w:rsidR="0035403C" w:rsidRDefault="00D02C31">
      <w:pPr>
        <w:pStyle w:val="Ttulo"/>
      </w:pPr>
      <w:r>
        <w:lastRenderedPageBreak/>
        <w:br w:type="page"/>
      </w:r>
    </w:p>
    <w:p w14:paraId="3CA1F52B" w14:textId="77777777" w:rsidR="0035403C" w:rsidRDefault="00D02C31">
      <w:pPr>
        <w:pStyle w:val="Ttulo"/>
      </w:pPr>
      <w:r>
        <w:lastRenderedPageBreak/>
        <w:t>APÉNDICES</w:t>
      </w:r>
    </w:p>
    <w:p w14:paraId="6F6D27E5" w14:textId="77777777" w:rsidR="0035403C" w:rsidRDefault="00D02C31">
      <w:pPr>
        <w:pStyle w:val="Ttulo1"/>
      </w:pPr>
      <w:bookmarkStart w:id="128" w:name="_heading=h.351ck2jb0wa2" w:colFirst="0" w:colLast="0"/>
      <w:bookmarkEnd w:id="128"/>
      <w:r>
        <w:t>BIBLIOGRAFÍA</w:t>
      </w:r>
    </w:p>
    <w:p w14:paraId="758C291B" w14:textId="77777777" w:rsidR="0035403C" w:rsidRDefault="00D02C31">
      <w:pPr>
        <w:jc w:val="both"/>
      </w:pPr>
      <w:proofErr w:type="gramStart"/>
      <w:r w:rsidRPr="17FBBB8B">
        <w:rPr>
          <w:lang w:val="en-US"/>
        </w:rPr>
        <w:t>Sampieri.</w:t>
      </w:r>
      <w:proofErr w:type="gramEnd"/>
      <w:r w:rsidRPr="17FBBB8B">
        <w:rPr>
          <w:lang w:val="en-US"/>
        </w:rPr>
        <w:t xml:space="preserve"> </w:t>
      </w:r>
      <w:proofErr w:type="gramStart"/>
      <w:r w:rsidRPr="17FBBB8B">
        <w:rPr>
          <w:lang w:val="en-US"/>
        </w:rPr>
        <w:t>(2006). Metodología de la investigación.</w:t>
      </w:r>
      <w:proofErr w:type="gramEnd"/>
    </w:p>
    <w:p w14:paraId="2EC8FF1D" w14:textId="77777777" w:rsidR="0035403C" w:rsidRDefault="00D02C31">
      <w:pPr>
        <w:jc w:val="both"/>
      </w:pPr>
      <w:r w:rsidRPr="17FBBB8B">
        <w:rPr>
          <w:lang w:val="en-US"/>
        </w:rPr>
        <w:t xml:space="preserve">Zapata, Oscar A. (2005). ¿Cómo encontrar </w:t>
      </w:r>
      <w:proofErr w:type="gramStart"/>
      <w:r w:rsidRPr="17FBBB8B">
        <w:rPr>
          <w:lang w:val="en-US"/>
        </w:rPr>
        <w:t>un</w:t>
      </w:r>
      <w:proofErr w:type="gramEnd"/>
      <w:r w:rsidRPr="17FBBB8B">
        <w:rPr>
          <w:lang w:val="en-US"/>
        </w:rPr>
        <w:t xml:space="preserve"> tema y construir un tema de investigación? </w:t>
      </w:r>
    </w:p>
    <w:p w14:paraId="3B946507" w14:textId="77777777" w:rsidR="0035403C" w:rsidRDefault="00D02C31">
      <w:pPr>
        <w:jc w:val="both"/>
      </w:pPr>
      <w:r w:rsidRPr="17FBBB8B">
        <w:rPr>
          <w:lang w:val="en-US"/>
        </w:rPr>
        <w:t>Araneda Alfero, Luis D. (2001). Diseño de una tesis universitaria: su importancia y elaboración.</w:t>
      </w:r>
    </w:p>
    <w:p w14:paraId="36C4A06F" w14:textId="77777777" w:rsidR="0035403C" w:rsidRDefault="00D02C31">
      <w:pPr>
        <w:jc w:val="both"/>
      </w:pPr>
      <w:r w:rsidRPr="17FBBB8B">
        <w:rPr>
          <w:lang w:val="en-US"/>
        </w:rPr>
        <w:t xml:space="preserve">Christensen, Clayton. (2001). El dilema </w:t>
      </w:r>
      <w:proofErr w:type="gramStart"/>
      <w:r w:rsidRPr="17FBBB8B">
        <w:rPr>
          <w:lang w:val="en-US"/>
        </w:rPr>
        <w:t>del</w:t>
      </w:r>
      <w:proofErr w:type="gramEnd"/>
      <w:r w:rsidRPr="17FBBB8B">
        <w:rPr>
          <w:lang w:val="en-US"/>
        </w:rPr>
        <w:t xml:space="preserve"> Innovador.</w:t>
      </w:r>
    </w:p>
    <w:p w14:paraId="48BE43E7" w14:textId="77777777" w:rsidR="0035403C" w:rsidRDefault="00D02C31">
      <w:pPr>
        <w:jc w:val="both"/>
      </w:pPr>
      <w:r w:rsidRPr="17FBBB8B">
        <w:rPr>
          <w:lang w:val="en-US"/>
        </w:rPr>
        <w:t xml:space="preserve">Kotler, P. (2010). </w:t>
      </w:r>
      <w:proofErr w:type="gramStart"/>
      <w:r w:rsidRPr="17FBBB8B">
        <w:rPr>
          <w:lang w:val="en-US"/>
        </w:rPr>
        <w:t>Marketing 3.0.: Del producto a los clientes y de estos al espíritu humano.</w:t>
      </w:r>
      <w:proofErr w:type="gramEnd"/>
      <w:r w:rsidRPr="17FBBB8B">
        <w:rPr>
          <w:lang w:val="en-US"/>
        </w:rPr>
        <w:t xml:space="preserve"> </w:t>
      </w:r>
    </w:p>
    <w:p w14:paraId="64E0C30E" w14:textId="77777777" w:rsidR="0035403C" w:rsidRDefault="00D02C31">
      <w:pPr>
        <w:jc w:val="both"/>
      </w:pPr>
      <w:r w:rsidRPr="17FBBB8B">
        <w:rPr>
          <w:lang w:val="en-US"/>
        </w:rPr>
        <w:t>Pankaj Ghemawat, Jan W. Rivkin. (2014). Strategy reading: Competitive advantage.</w:t>
      </w:r>
    </w:p>
    <w:p w14:paraId="5311FC50" w14:textId="77777777" w:rsidR="0035403C" w:rsidRDefault="00D02C31">
      <w:pPr>
        <w:jc w:val="both"/>
      </w:pPr>
      <w:r w:rsidRPr="17FBBB8B">
        <w:rPr>
          <w:lang w:val="en-US"/>
        </w:rPr>
        <w:t xml:space="preserve">María Emilia Correa, (2019). Sistema B y las empresas B en América Latina: </w:t>
      </w:r>
      <w:proofErr w:type="gramStart"/>
      <w:r w:rsidRPr="17FBBB8B">
        <w:rPr>
          <w:lang w:val="en-US"/>
        </w:rPr>
        <w:t>Un</w:t>
      </w:r>
      <w:proofErr w:type="gramEnd"/>
      <w:r w:rsidRPr="17FBBB8B">
        <w:rPr>
          <w:lang w:val="en-US"/>
        </w:rPr>
        <w:t xml:space="preserve"> movimiento social que cambia el sentido del éxito empresarial.</w:t>
      </w:r>
    </w:p>
    <w:p w14:paraId="26A19A1E" w14:textId="77777777" w:rsidR="0035403C" w:rsidRDefault="00D02C31">
      <w:pPr>
        <w:jc w:val="both"/>
      </w:pPr>
      <w:r w:rsidRPr="0FE4D5DF">
        <w:rPr>
          <w:lang w:val="en-US"/>
        </w:rPr>
        <w:t xml:space="preserve">Acosta Padilla, Terán Herrera. </w:t>
      </w:r>
      <w:proofErr w:type="gramStart"/>
      <w:r w:rsidRPr="0FE4D5DF">
        <w:rPr>
          <w:lang w:val="en-US"/>
        </w:rPr>
        <w:t>(2017). Administración estratégica.</w:t>
      </w:r>
      <w:proofErr w:type="gramEnd"/>
    </w:p>
    <w:p w14:paraId="15029C96" w14:textId="77777777" w:rsidR="0035403C" w:rsidRDefault="00D02C31">
      <w:pPr>
        <w:jc w:val="both"/>
      </w:pPr>
      <w:r w:rsidRPr="0FE4D5DF">
        <w:rPr>
          <w:lang w:val="en-US"/>
        </w:rPr>
        <w:t>Echeverría, R. (2013). La empresa emergente, la confianza y los desafíos de la transformación.</w:t>
      </w:r>
    </w:p>
    <w:p w14:paraId="4E95C2A0" w14:textId="77777777" w:rsidR="0035403C" w:rsidRDefault="00D02C31">
      <w:pPr>
        <w:jc w:val="both"/>
      </w:pPr>
      <w:r w:rsidRPr="0FE4D5DF">
        <w:rPr>
          <w:lang w:val="en-US"/>
        </w:rPr>
        <w:t>Brendan Burns. (2018). Designing distributed systems.</w:t>
      </w:r>
    </w:p>
    <w:p w14:paraId="3BEE4AB9" w14:textId="77777777" w:rsidR="0035403C" w:rsidRDefault="00D02C31">
      <w:pPr>
        <w:jc w:val="both"/>
      </w:pPr>
      <w:r w:rsidRPr="0FE4D5DF">
        <w:rPr>
          <w:lang w:val="en-US"/>
        </w:rPr>
        <w:t xml:space="preserve">Hatum, Andrés. (2011). El futuro </w:t>
      </w:r>
      <w:proofErr w:type="gramStart"/>
      <w:r w:rsidRPr="0FE4D5DF">
        <w:rPr>
          <w:lang w:val="en-US"/>
        </w:rPr>
        <w:t>del</w:t>
      </w:r>
      <w:proofErr w:type="gramEnd"/>
      <w:r w:rsidRPr="0FE4D5DF">
        <w:rPr>
          <w:lang w:val="en-US"/>
        </w:rPr>
        <w:t xml:space="preserve"> talento. </w:t>
      </w:r>
    </w:p>
    <w:p w14:paraId="070E6ADE" w14:textId="77777777" w:rsidR="0035403C" w:rsidRDefault="00D02C31">
      <w:pPr>
        <w:jc w:val="both"/>
      </w:pPr>
      <w:r w:rsidRPr="0FE4D5DF">
        <w:rPr>
          <w:lang w:val="en-US"/>
        </w:rPr>
        <w:t xml:space="preserve">Osterwalder, Alex. </w:t>
      </w:r>
      <w:proofErr w:type="gramStart"/>
      <w:r w:rsidRPr="0FE4D5DF">
        <w:rPr>
          <w:lang w:val="en-US"/>
        </w:rPr>
        <w:t>(2010). Business model generation.</w:t>
      </w:r>
      <w:proofErr w:type="gramEnd"/>
    </w:p>
    <w:p w14:paraId="7EEDBDFC" w14:textId="77777777" w:rsidR="0035403C" w:rsidRDefault="00D02C31">
      <w:pPr>
        <w:jc w:val="both"/>
      </w:pPr>
      <w:r w:rsidRPr="17FBBB8B">
        <w:rPr>
          <w:lang w:val="en-US"/>
        </w:rPr>
        <w:t xml:space="preserve">Jon Lin, Gary Aitkenhead. </w:t>
      </w:r>
      <w:proofErr w:type="gramStart"/>
      <w:r w:rsidRPr="17FBBB8B">
        <w:rPr>
          <w:lang w:val="en-US"/>
        </w:rPr>
        <w:t>(2023). Data centers of the future.</w:t>
      </w:r>
      <w:proofErr w:type="gramEnd"/>
    </w:p>
    <w:p w14:paraId="6E576B98" w14:textId="77777777" w:rsidR="0035403C" w:rsidRDefault="00D02C31">
      <w:pPr>
        <w:jc w:val="both"/>
      </w:pPr>
      <w:r w:rsidRPr="0FE4D5DF">
        <w:rPr>
          <w:lang w:val="en-US"/>
        </w:rPr>
        <w:t xml:space="preserve">Len Bass, Paul Clements, Rick Kazman. </w:t>
      </w:r>
      <w:proofErr w:type="gramStart"/>
      <w:r w:rsidRPr="0FE4D5DF">
        <w:rPr>
          <w:lang w:val="en-US"/>
        </w:rPr>
        <w:t>(2021). Software architecture in practice.</w:t>
      </w:r>
      <w:proofErr w:type="gramEnd"/>
    </w:p>
    <w:p w14:paraId="03D55D4F" w14:textId="77777777" w:rsidR="0035403C" w:rsidRDefault="00D02C31">
      <w:pPr>
        <w:jc w:val="both"/>
      </w:pPr>
      <w:r>
        <w:t>Tanya Reilly. (2022). The staff engineer's path.</w:t>
      </w:r>
    </w:p>
    <w:p w14:paraId="5D77C93B" w14:textId="77777777" w:rsidR="0035403C" w:rsidRDefault="00D02C31">
      <w:pPr>
        <w:jc w:val="both"/>
      </w:pPr>
      <w:r w:rsidRPr="0FE4D5DF">
        <w:rPr>
          <w:lang w:val="en-US"/>
        </w:rPr>
        <w:t>Zhiyong tan</w:t>
      </w:r>
      <w:proofErr w:type="gramStart"/>
      <w:r w:rsidRPr="0FE4D5DF">
        <w:rPr>
          <w:lang w:val="en-US"/>
        </w:rPr>
        <w:t>.(</w:t>
      </w:r>
      <w:proofErr w:type="gramEnd"/>
      <w:r w:rsidRPr="0FE4D5DF">
        <w:rPr>
          <w:lang w:val="en-US"/>
        </w:rPr>
        <w:t xml:space="preserve">2024). </w:t>
      </w:r>
      <w:proofErr w:type="gramStart"/>
      <w:r w:rsidRPr="0FE4D5DF">
        <w:rPr>
          <w:lang w:val="en-US"/>
        </w:rPr>
        <w:t>Acing the system design interview.</w:t>
      </w:r>
      <w:proofErr w:type="gramEnd"/>
    </w:p>
    <w:p w14:paraId="2F7A245D" w14:textId="77777777" w:rsidR="0035403C" w:rsidRDefault="00D02C31">
      <w:pPr>
        <w:jc w:val="both"/>
      </w:pPr>
      <w:proofErr w:type="gramStart"/>
      <w:r w:rsidRPr="0FE4D5DF">
        <w:rPr>
          <w:lang w:val="en-US"/>
        </w:rPr>
        <w:t>Chris Gane y Trish Sarson.</w:t>
      </w:r>
      <w:proofErr w:type="gramEnd"/>
      <w:r w:rsidRPr="0FE4D5DF">
        <w:rPr>
          <w:lang w:val="en-US"/>
        </w:rPr>
        <w:t xml:space="preserve"> </w:t>
      </w:r>
      <w:proofErr w:type="gramStart"/>
      <w:r w:rsidRPr="0FE4D5DF">
        <w:rPr>
          <w:lang w:val="en-US"/>
        </w:rPr>
        <w:t>(1993). Análisis estructurado de sistemas.</w:t>
      </w:r>
      <w:proofErr w:type="gramEnd"/>
    </w:p>
    <w:p w14:paraId="0A0FD765" w14:textId="77777777" w:rsidR="0035403C" w:rsidRDefault="00D02C31">
      <w:pPr>
        <w:jc w:val="both"/>
      </w:pPr>
      <w:r w:rsidRPr="0FE4D5DF">
        <w:rPr>
          <w:lang w:val="en-US"/>
        </w:rPr>
        <w:t xml:space="preserve">Michael Hammer, James Champy. </w:t>
      </w:r>
      <w:proofErr w:type="gramStart"/>
      <w:r w:rsidRPr="0FE4D5DF">
        <w:rPr>
          <w:lang w:val="en-US"/>
        </w:rPr>
        <w:t>(1994). Reingeniería.</w:t>
      </w:r>
      <w:proofErr w:type="gramEnd"/>
    </w:p>
    <w:p w14:paraId="06AF9E1D" w14:textId="77777777" w:rsidR="0035403C" w:rsidRDefault="00D02C31">
      <w:pPr>
        <w:pStyle w:val="Ttulo1"/>
      </w:pPr>
      <w:r>
        <w:t>ARTÍCULOS</w:t>
      </w:r>
    </w:p>
    <w:p w14:paraId="385223AA" w14:textId="77777777" w:rsidR="0035403C" w:rsidRDefault="00D02C31">
      <w:pPr>
        <w:jc w:val="both"/>
      </w:pPr>
      <w:r w:rsidRPr="0FE4D5DF">
        <w:rPr>
          <w:lang w:val="en-US"/>
        </w:rPr>
        <w:t xml:space="preserve">Thomas H. Davenport. (1992). Process innovation: Reengineering work through information Technology, Harvard Business School Press, Estados Unidos, </w:t>
      </w:r>
      <w:proofErr w:type="gramStart"/>
      <w:r w:rsidRPr="0FE4D5DF">
        <w:rPr>
          <w:lang w:val="en-US"/>
        </w:rPr>
        <w:t>ISBN</w:t>
      </w:r>
      <w:proofErr w:type="gramEnd"/>
      <w:r w:rsidRPr="0FE4D5DF">
        <w:rPr>
          <w:lang w:val="en-US"/>
        </w:rPr>
        <w:t xml:space="preserve"> 9780875843667.</w:t>
      </w:r>
    </w:p>
    <w:p w14:paraId="10C4CDDE" w14:textId="77777777" w:rsidR="0035403C" w:rsidRDefault="00D02C31">
      <w:pPr>
        <w:jc w:val="both"/>
      </w:pPr>
      <w:r w:rsidRPr="0FE4D5DF">
        <w:rPr>
          <w:lang w:val="en-US"/>
        </w:rPr>
        <w:t xml:space="preserve">Oracle </w:t>
      </w:r>
      <w:proofErr w:type="gramStart"/>
      <w:r w:rsidRPr="0FE4D5DF">
        <w:rPr>
          <w:lang w:val="en-US"/>
        </w:rPr>
        <w:t>corporation</w:t>
      </w:r>
      <w:proofErr w:type="gramEnd"/>
      <w:r w:rsidRPr="0FE4D5DF">
        <w:rPr>
          <w:lang w:val="en-US"/>
        </w:rPr>
        <w:t xml:space="preserve">. </w:t>
      </w:r>
      <w:proofErr w:type="gramStart"/>
      <w:r w:rsidRPr="0FE4D5DF">
        <w:rPr>
          <w:lang w:val="en-US"/>
        </w:rPr>
        <w:t>(2020). Lifecycle of machine learning models.</w:t>
      </w:r>
      <w:proofErr w:type="gramEnd"/>
    </w:p>
    <w:p w14:paraId="2598FCEB" w14:textId="77777777" w:rsidR="0035403C" w:rsidRDefault="00D02C31">
      <w:pPr>
        <w:jc w:val="both"/>
      </w:pPr>
      <w:r>
        <w:t>Project Management Institute. (2021). A Guide to the Project Management Body of Knowledge (PMBOK® Guide).</w:t>
      </w:r>
    </w:p>
    <w:p w14:paraId="3129E31D" w14:textId="77777777" w:rsidR="0035403C" w:rsidRDefault="00D02C31">
      <w:pPr>
        <w:jc w:val="both"/>
      </w:pPr>
      <w:r w:rsidRPr="0FE4D5DF">
        <w:rPr>
          <w:lang w:val="en-US"/>
        </w:rPr>
        <w:t xml:space="preserve">Saurabh Shrivastava, Neelanjali Srivastav, Alberto Artasanchez (2023). </w:t>
      </w:r>
      <w:proofErr w:type="gramStart"/>
      <w:r w:rsidRPr="0FE4D5DF">
        <w:rPr>
          <w:lang w:val="en-US"/>
        </w:rPr>
        <w:t>AWS for Solutions Architects.</w:t>
      </w:r>
      <w:proofErr w:type="gramEnd"/>
    </w:p>
    <w:p w14:paraId="4C5695F5" w14:textId="77777777" w:rsidR="0035403C" w:rsidRDefault="00D02C31">
      <w:pPr>
        <w:jc w:val="both"/>
      </w:pPr>
      <w:proofErr w:type="gramStart"/>
      <w:r w:rsidRPr="0FE4D5DF">
        <w:rPr>
          <w:lang w:val="en-US"/>
        </w:rPr>
        <w:t>Jonah Carrio Andersson.</w:t>
      </w:r>
      <w:proofErr w:type="gramEnd"/>
      <w:r w:rsidRPr="0FE4D5DF">
        <w:rPr>
          <w:lang w:val="en-US"/>
        </w:rPr>
        <w:t xml:space="preserve"> </w:t>
      </w:r>
      <w:proofErr w:type="gramStart"/>
      <w:r w:rsidRPr="0FE4D5DF">
        <w:rPr>
          <w:lang w:val="en-US"/>
        </w:rPr>
        <w:t>(2023). Learning Microsoft Azure.</w:t>
      </w:r>
      <w:proofErr w:type="gramEnd"/>
      <w:r w:rsidRPr="0FE4D5DF">
        <w:rPr>
          <w:lang w:val="en-US"/>
        </w:rPr>
        <w:t xml:space="preserve"> </w:t>
      </w:r>
    </w:p>
    <w:p w14:paraId="2B27DABA" w14:textId="77777777" w:rsidR="0035403C" w:rsidRDefault="00D02C31">
      <w:pPr>
        <w:jc w:val="both"/>
      </w:pPr>
      <w:r>
        <w:t>Jayanth Kumar, Mandeep Singh. (2024). System Design on AWS.</w:t>
      </w:r>
    </w:p>
    <w:p w14:paraId="509E7E37" w14:textId="77777777" w:rsidR="0035403C" w:rsidRDefault="00D02C31">
      <w:pPr>
        <w:jc w:val="both"/>
      </w:pPr>
      <w:r w:rsidRPr="0FE4D5DF">
        <w:rPr>
          <w:lang w:val="en-US"/>
        </w:rPr>
        <w:t xml:space="preserve">Nills Franssens, Shivakumar Gopalakrishnan, </w:t>
      </w:r>
      <w:proofErr w:type="gramStart"/>
      <w:r w:rsidRPr="0FE4D5DF">
        <w:rPr>
          <w:lang w:val="en-US"/>
        </w:rPr>
        <w:t>Gunther</w:t>
      </w:r>
      <w:proofErr w:type="gramEnd"/>
      <w:r w:rsidRPr="0FE4D5DF">
        <w:rPr>
          <w:lang w:val="en-US"/>
        </w:rPr>
        <w:t xml:space="preserve"> Lenz. </w:t>
      </w:r>
      <w:proofErr w:type="gramStart"/>
      <w:r w:rsidRPr="0FE4D5DF">
        <w:rPr>
          <w:lang w:val="en-US"/>
        </w:rPr>
        <w:t>(2020). Kubernetes on Azure.</w:t>
      </w:r>
      <w:proofErr w:type="gramEnd"/>
    </w:p>
    <w:p w14:paraId="6C5617F0" w14:textId="77777777" w:rsidR="0035403C" w:rsidRDefault="00D02C31">
      <w:pPr>
        <w:jc w:val="both"/>
      </w:pPr>
      <w:r w:rsidRPr="0FE4D5DF">
        <w:rPr>
          <w:lang w:val="en-US"/>
        </w:rPr>
        <w:t>Stábile, Luis. (2020). Innovación de modelo de negocio: Centralidad en el cliente y agilidad”. Palermo Business Review #21 ISSN 0328 5715</w:t>
      </w:r>
    </w:p>
    <w:p w14:paraId="61C0ED5E" w14:textId="77777777" w:rsidR="0035403C" w:rsidRDefault="00D02C31">
      <w:pPr>
        <w:jc w:val="both"/>
      </w:pPr>
      <w:r w:rsidRPr="0FE4D5DF">
        <w:rPr>
          <w:lang w:val="en-US"/>
        </w:rPr>
        <w:t xml:space="preserve">Eisenmann, Ries, Dillard. (2011). Hypothesis-Driven entrepreneurship: The lean startup. </w:t>
      </w:r>
      <w:proofErr w:type="gramStart"/>
      <w:r w:rsidRPr="0FE4D5DF">
        <w:rPr>
          <w:lang w:val="en-US"/>
        </w:rPr>
        <w:t>812095-PDF-ENG. Harvard Business School.</w:t>
      </w:r>
      <w:proofErr w:type="gramEnd"/>
    </w:p>
    <w:p w14:paraId="60492491" w14:textId="77777777" w:rsidR="0035403C" w:rsidRDefault="00D02C31">
      <w:pPr>
        <w:pStyle w:val="Ttulo1"/>
      </w:pPr>
      <w:r>
        <w:t>WEBGRAFÍA</w:t>
      </w:r>
    </w:p>
    <w:p w14:paraId="0105725D" w14:textId="77777777" w:rsidR="0035403C" w:rsidRDefault="00C20BE8">
      <w:pPr>
        <w:widowControl w:val="0"/>
        <w:tabs>
          <w:tab w:val="left" w:pos="1740"/>
        </w:tabs>
        <w:spacing w:line="276" w:lineRule="auto"/>
        <w:jc w:val="both"/>
      </w:pPr>
      <w:hyperlink r:id="rId57">
        <w:r w:rsidR="00D02C31">
          <w:rPr>
            <w:color w:val="0000FF"/>
            <w:u w:val="single"/>
          </w:rPr>
          <w:t>https://coelsa.com.ar</w:t>
        </w:r>
      </w:hyperlink>
    </w:p>
    <w:p w14:paraId="7E21F17A" w14:textId="77777777" w:rsidR="0035403C" w:rsidRDefault="00C20BE8">
      <w:pPr>
        <w:widowControl w:val="0"/>
        <w:tabs>
          <w:tab w:val="left" w:pos="1740"/>
        </w:tabs>
        <w:spacing w:line="276" w:lineRule="auto"/>
        <w:jc w:val="both"/>
      </w:pPr>
      <w:hyperlink r:id="rId58">
        <w:r w:rsidR="00D02C31">
          <w:rPr>
            <w:color w:val="0000FF"/>
            <w:u w:val="single"/>
          </w:rPr>
          <w:t>https://www.bcra.gob.ar/mediospago/politica_pagos.asp</w:t>
        </w:r>
      </w:hyperlink>
    </w:p>
    <w:p w14:paraId="5FA6A811" w14:textId="77777777" w:rsidR="0035403C" w:rsidRDefault="00C20BE8">
      <w:pPr>
        <w:widowControl w:val="0"/>
        <w:tabs>
          <w:tab w:val="left" w:pos="1740"/>
        </w:tabs>
        <w:spacing w:line="276" w:lineRule="auto"/>
        <w:jc w:val="both"/>
      </w:pPr>
      <w:hyperlink r:id="rId59">
        <w:r w:rsidR="00D02C31">
          <w:rPr>
            <w:color w:val="0000FF"/>
            <w:u w:val="single"/>
          </w:rPr>
          <w:t>https://www.bcra.gob.ar/MediosPago/Sistemas_de_Pago1.asp</w:t>
        </w:r>
      </w:hyperlink>
      <w:r w:rsidR="00D02C31">
        <w:t xml:space="preserve"> </w:t>
      </w:r>
    </w:p>
    <w:p w14:paraId="1FEEC649" w14:textId="77777777" w:rsidR="0035403C" w:rsidRDefault="00C20BE8">
      <w:pPr>
        <w:widowControl w:val="0"/>
        <w:tabs>
          <w:tab w:val="left" w:pos="1740"/>
        </w:tabs>
        <w:spacing w:line="276" w:lineRule="auto"/>
        <w:jc w:val="both"/>
      </w:pPr>
      <w:hyperlink r:id="rId60">
        <w:r w:rsidR="00D02C31">
          <w:rPr>
            <w:color w:val="0000FF"/>
            <w:u w:val="single"/>
          </w:rPr>
          <w:t>https://www.bcra.gob.ar/Institucional/Medidas_adoptadas.asp</w:t>
        </w:r>
      </w:hyperlink>
      <w:r w:rsidR="00D02C31">
        <w:t xml:space="preserve"> </w:t>
      </w:r>
    </w:p>
    <w:p w14:paraId="13967355" w14:textId="77777777" w:rsidR="0035403C" w:rsidRDefault="00C20BE8">
      <w:pPr>
        <w:widowControl w:val="0"/>
        <w:tabs>
          <w:tab w:val="left" w:pos="1740"/>
        </w:tabs>
        <w:spacing w:line="276" w:lineRule="auto"/>
        <w:jc w:val="both"/>
      </w:pPr>
      <w:hyperlink r:id="rId61">
        <w:r w:rsidR="00D02C31">
          <w:rPr>
            <w:color w:val="0000FF"/>
            <w:u w:val="single"/>
          </w:rPr>
          <w:t>https://www.bcra.gob.ar/Pdfs/comytexord/A6099.pdf</w:t>
        </w:r>
      </w:hyperlink>
    </w:p>
    <w:p w14:paraId="742ACA08" w14:textId="77777777" w:rsidR="0035403C" w:rsidRDefault="00C20BE8">
      <w:pPr>
        <w:widowControl w:val="0"/>
        <w:tabs>
          <w:tab w:val="left" w:pos="1740"/>
        </w:tabs>
        <w:spacing w:line="276" w:lineRule="auto"/>
        <w:jc w:val="both"/>
      </w:pPr>
      <w:hyperlink r:id="rId62">
        <w:r w:rsidR="00D02C31">
          <w:rPr>
            <w:color w:val="0000FF"/>
            <w:u w:val="single"/>
          </w:rPr>
          <w:t>https://www.bcra.gob.ar/Pdfs/comytexord/A7533.pdf</w:t>
        </w:r>
      </w:hyperlink>
      <w:r w:rsidR="00D02C31">
        <w:t xml:space="preserve"> </w:t>
      </w:r>
    </w:p>
    <w:p w14:paraId="5F7BC240" w14:textId="77777777" w:rsidR="0035403C" w:rsidRDefault="00C20BE8">
      <w:pPr>
        <w:widowControl w:val="0"/>
        <w:tabs>
          <w:tab w:val="left" w:pos="1740"/>
        </w:tabs>
        <w:spacing w:line="276" w:lineRule="auto"/>
        <w:jc w:val="both"/>
      </w:pPr>
      <w:hyperlink r:id="rId63">
        <w:r w:rsidR="00D02C31">
          <w:rPr>
            <w:color w:val="0000FF"/>
            <w:u w:val="single"/>
          </w:rPr>
          <w:t>https://www.bcra.gob.ar/Micrositios/Micrositio_debin.asp</w:t>
        </w:r>
      </w:hyperlink>
    </w:p>
    <w:p w14:paraId="5B52B14E" w14:textId="77777777" w:rsidR="0035403C" w:rsidRDefault="00C20BE8">
      <w:pPr>
        <w:widowControl w:val="0"/>
        <w:tabs>
          <w:tab w:val="left" w:pos="1740"/>
        </w:tabs>
        <w:spacing w:line="276" w:lineRule="auto"/>
        <w:jc w:val="both"/>
      </w:pPr>
      <w:hyperlink r:id="rId64">
        <w:r w:rsidR="00D02C31">
          <w:rPr>
            <w:color w:val="0000FF"/>
            <w:u w:val="single"/>
          </w:rPr>
          <w:t>https://www.bcra.gob.ar/Pdfs/Texord/t-snp-debin.pdf</w:t>
        </w:r>
      </w:hyperlink>
    </w:p>
    <w:p w14:paraId="2C1068A0" w14:textId="77777777" w:rsidR="0035403C" w:rsidRDefault="00C20BE8">
      <w:pPr>
        <w:widowControl w:val="0"/>
        <w:tabs>
          <w:tab w:val="left" w:pos="1740"/>
        </w:tabs>
        <w:spacing w:line="276" w:lineRule="auto"/>
        <w:jc w:val="both"/>
      </w:pPr>
      <w:hyperlink r:id="rId65">
        <w:r w:rsidR="00D02C31">
          <w:rPr>
            <w:color w:val="0000FF"/>
            <w:u w:val="single"/>
          </w:rPr>
          <w:t>https://www.bcra.gob.ar/MediosPago/Debitos_directos.asp</w:t>
        </w:r>
      </w:hyperlink>
      <w:r w:rsidR="00D02C31">
        <w:t xml:space="preserve"> </w:t>
      </w:r>
    </w:p>
    <w:p w14:paraId="05712040" w14:textId="77777777" w:rsidR="0035403C" w:rsidRDefault="00C20BE8">
      <w:pPr>
        <w:widowControl w:val="0"/>
        <w:tabs>
          <w:tab w:val="left" w:pos="1740"/>
        </w:tabs>
        <w:spacing w:line="276" w:lineRule="auto"/>
        <w:jc w:val="both"/>
      </w:pPr>
      <w:hyperlink r:id="rId66">
        <w:r w:rsidR="00D02C31">
          <w:rPr>
            <w:color w:val="0000FF"/>
            <w:u w:val="single"/>
          </w:rPr>
          <w:t>https://www.bcra.gob.ar/Noticias/Relanzamiento-Cuenta-Gratuita-Universal.asp</w:t>
        </w:r>
      </w:hyperlink>
    </w:p>
    <w:p w14:paraId="64550E5B" w14:textId="77777777" w:rsidR="0035403C" w:rsidRDefault="00C20BE8">
      <w:pPr>
        <w:widowControl w:val="0"/>
        <w:tabs>
          <w:tab w:val="left" w:pos="1740"/>
        </w:tabs>
        <w:spacing w:line="276" w:lineRule="auto"/>
        <w:jc w:val="both"/>
      </w:pPr>
      <w:hyperlink r:id="rId67">
        <w:r w:rsidR="00D02C31">
          <w:rPr>
            <w:color w:val="0000FF"/>
            <w:u w:val="single"/>
          </w:rPr>
          <w:t>https://www.bcra.gob.ar/Saber_es_central/transferencias-bancarias-inmediatas-y-gratuitas.html</w:t>
        </w:r>
      </w:hyperlink>
    </w:p>
    <w:p w14:paraId="454FEB4A" w14:textId="77777777" w:rsidR="0035403C" w:rsidRDefault="00C20BE8">
      <w:pPr>
        <w:widowControl w:val="0"/>
        <w:tabs>
          <w:tab w:val="left" w:pos="1740"/>
        </w:tabs>
        <w:spacing w:line="276" w:lineRule="auto"/>
        <w:jc w:val="both"/>
      </w:pPr>
      <w:hyperlink r:id="rId68">
        <w:r w:rsidR="00D02C31">
          <w:rPr>
            <w:color w:val="0000FF"/>
            <w:u w:val="single"/>
          </w:rPr>
          <w:t>https://www.instagram.com/p/CnW77LKKxFU/</w:t>
        </w:r>
      </w:hyperlink>
      <w:r w:rsidR="00D02C31">
        <w:t xml:space="preserve"> </w:t>
      </w:r>
    </w:p>
    <w:p w14:paraId="435B5D07" w14:textId="77777777" w:rsidR="0035403C" w:rsidRDefault="00C20BE8">
      <w:pPr>
        <w:widowControl w:val="0"/>
        <w:tabs>
          <w:tab w:val="left" w:pos="1740"/>
        </w:tabs>
        <w:spacing w:line="276" w:lineRule="auto"/>
        <w:jc w:val="both"/>
      </w:pPr>
      <w:hyperlink r:id="rId69">
        <w:r w:rsidR="00D02C31">
          <w:rPr>
            <w:color w:val="0000FF"/>
            <w:u w:val="single"/>
          </w:rPr>
          <w:t>https://www.instagram.com/p/CnjsdWFIPnN/</w:t>
        </w:r>
      </w:hyperlink>
    </w:p>
    <w:p w14:paraId="469BB89D" w14:textId="77777777" w:rsidR="0035403C" w:rsidRDefault="00C20BE8">
      <w:pPr>
        <w:widowControl w:val="0"/>
        <w:tabs>
          <w:tab w:val="left" w:pos="1740"/>
        </w:tabs>
        <w:spacing w:line="276" w:lineRule="auto"/>
        <w:jc w:val="both"/>
      </w:pPr>
      <w:hyperlink r:id="rId70">
        <w:r w:rsidR="00D02C31">
          <w:rPr>
            <w:color w:val="0000FF"/>
            <w:u w:val="single"/>
          </w:rPr>
          <w:t>https://www.instagram.com/p/Cnwn_jRIFrt/</w:t>
        </w:r>
      </w:hyperlink>
    </w:p>
    <w:p w14:paraId="5EC68DFF" w14:textId="77777777" w:rsidR="0035403C" w:rsidRDefault="00C20BE8">
      <w:pPr>
        <w:widowControl w:val="0"/>
        <w:tabs>
          <w:tab w:val="left" w:pos="1740"/>
        </w:tabs>
        <w:spacing w:line="276" w:lineRule="auto"/>
        <w:jc w:val="both"/>
      </w:pPr>
      <w:hyperlink r:id="rId71">
        <w:r w:rsidR="00D02C31">
          <w:rPr>
            <w:color w:val="0000FF"/>
            <w:u w:val="single"/>
          </w:rPr>
          <w:t>https://www.instagram.com/p/ClE0KV2PHZx/</w:t>
        </w:r>
      </w:hyperlink>
    </w:p>
    <w:p w14:paraId="7145A9FD" w14:textId="77777777" w:rsidR="0035403C" w:rsidRDefault="00C20BE8">
      <w:pPr>
        <w:widowControl w:val="0"/>
        <w:tabs>
          <w:tab w:val="left" w:pos="1740"/>
        </w:tabs>
        <w:spacing w:line="276" w:lineRule="auto"/>
        <w:jc w:val="both"/>
      </w:pPr>
      <w:hyperlink r:id="rId72">
        <w:r w:rsidR="00D02C31">
          <w:rPr>
            <w:color w:val="0000FF"/>
            <w:u w:val="single"/>
          </w:rPr>
          <w:t>https://www.instagram.com/p/CjGx32pp2nB/</w:t>
        </w:r>
      </w:hyperlink>
    </w:p>
    <w:p w14:paraId="1FB3AA3E" w14:textId="77777777" w:rsidR="0035403C" w:rsidRDefault="00C20BE8">
      <w:pPr>
        <w:widowControl w:val="0"/>
        <w:tabs>
          <w:tab w:val="left" w:pos="1740"/>
        </w:tabs>
        <w:spacing w:line="276" w:lineRule="auto"/>
        <w:jc w:val="both"/>
      </w:pPr>
      <w:hyperlink r:id="rId73">
        <w:r w:rsidR="00D02C31">
          <w:rPr>
            <w:color w:val="0000FF"/>
            <w:u w:val="single"/>
          </w:rPr>
          <w:t>https://www.linkedin.com/company/coelsa/about/</w:t>
        </w:r>
      </w:hyperlink>
    </w:p>
    <w:p w14:paraId="3D5C4B7A" w14:textId="77777777" w:rsidR="0035403C" w:rsidRDefault="00C20BE8">
      <w:pPr>
        <w:widowControl w:val="0"/>
        <w:tabs>
          <w:tab w:val="left" w:pos="1740"/>
        </w:tabs>
        <w:spacing w:line="276" w:lineRule="auto"/>
        <w:jc w:val="both"/>
      </w:pPr>
      <w:hyperlink r:id="rId74">
        <w:r w:rsidR="00D02C31">
          <w:rPr>
            <w:color w:val="0000FF"/>
            <w:u w:val="single"/>
          </w:rPr>
          <w:t>https://www.linkedin.com/posts/coelsa_indicador-coelsa-activity-7046864355463684096-NWYi?utm_source=share&amp;utm_medium=member_desktop</w:t>
        </w:r>
      </w:hyperlink>
      <w:r w:rsidR="00D02C31">
        <w:t xml:space="preserve"> </w:t>
      </w:r>
      <w:r w:rsidR="00D02C31">
        <w:br/>
      </w:r>
      <w:hyperlink r:id="rId75">
        <w:r w:rsidR="00D02C31">
          <w:rPr>
            <w:color w:val="0000FF"/>
            <w:u w:val="single"/>
          </w:rPr>
          <w:t>https://www.bcra.gob.ar/Pdfs/PublicacionesEstadisticas/Informe-Mensual-de-Pagos-Minoristas-abril-2023.pdf</w:t>
        </w:r>
      </w:hyperlink>
    </w:p>
    <w:p w14:paraId="722AA55F" w14:textId="77777777" w:rsidR="0035403C" w:rsidRDefault="00C20BE8">
      <w:pPr>
        <w:widowControl w:val="0"/>
        <w:tabs>
          <w:tab w:val="left" w:pos="1740"/>
        </w:tabs>
        <w:spacing w:line="276" w:lineRule="auto"/>
        <w:jc w:val="both"/>
      </w:pPr>
      <w:hyperlink r:id="rId76" w:anchor=":~:text=Ya%20en%20el%20Neol%C3%ADtico%20apareci%C3%B3,que%20se%20conoc%C3%ADa%20como%20trueque">
        <w:r w:rsidR="00D02C31">
          <w:rPr>
            <w:color w:val="0000FF"/>
            <w:u w:val="single"/>
          </w:rPr>
          <w:t>https://blogreds.es/medios-pago/la-historia-de-los-medios-de-pago-hasta-nuestro-siglo#:~:text=Ya%20en%20el%20Neol%C3%ADtico%20apareció,que%20se%20conoc%C3%ADa%20como%20trueque</w:t>
        </w:r>
      </w:hyperlink>
      <w:r w:rsidR="00D02C31">
        <w:t>.</w:t>
      </w:r>
    </w:p>
    <w:p w14:paraId="700E1124" w14:textId="77777777" w:rsidR="0035403C" w:rsidRDefault="00C20BE8">
      <w:pPr>
        <w:widowControl w:val="0"/>
        <w:tabs>
          <w:tab w:val="left" w:pos="1740"/>
        </w:tabs>
        <w:spacing w:line="276" w:lineRule="auto"/>
        <w:jc w:val="both"/>
      </w:pPr>
      <w:hyperlink r:id="rId77">
        <w:r w:rsidR="00D02C31">
          <w:rPr>
            <w:color w:val="0000FF"/>
            <w:u w:val="single"/>
          </w:rPr>
          <w:t>https://hipertextual.com/2017/02/historia-de-los-medios-de-pago#</w:t>
        </w:r>
      </w:hyperlink>
    </w:p>
    <w:p w14:paraId="316D7650" w14:textId="77777777" w:rsidR="0035403C" w:rsidRDefault="00C20BE8">
      <w:pPr>
        <w:widowControl w:val="0"/>
        <w:tabs>
          <w:tab w:val="left" w:pos="1740"/>
        </w:tabs>
        <w:spacing w:line="276" w:lineRule="auto"/>
        <w:jc w:val="both"/>
      </w:pPr>
      <w:hyperlink r:id="rId78">
        <w:r w:rsidR="00D02C31">
          <w:rPr>
            <w:color w:val="0000FF"/>
            <w:u w:val="single"/>
          </w:rPr>
          <w:t>https://www.bbva.com/es/que-es-el-dinero/</w:t>
        </w:r>
      </w:hyperlink>
    </w:p>
    <w:p w14:paraId="188037E4" w14:textId="77777777" w:rsidR="0035403C" w:rsidRDefault="00C20BE8">
      <w:pPr>
        <w:widowControl w:val="0"/>
        <w:tabs>
          <w:tab w:val="left" w:pos="1740"/>
        </w:tabs>
        <w:spacing w:line="276" w:lineRule="auto"/>
        <w:jc w:val="both"/>
      </w:pPr>
      <w:hyperlink r:id="rId79">
        <w:r w:rsidR="00D02C31">
          <w:rPr>
            <w:color w:val="0000FF"/>
            <w:u w:val="single"/>
          </w:rPr>
          <w:t>https://www.perfil.com/noticias/economia/evolucion-metodos-pago-historia.phtml</w:t>
        </w:r>
      </w:hyperlink>
    </w:p>
    <w:p w14:paraId="65398449" w14:textId="77777777" w:rsidR="0035403C" w:rsidRDefault="00C20BE8">
      <w:pPr>
        <w:widowControl w:val="0"/>
        <w:tabs>
          <w:tab w:val="left" w:pos="1740"/>
        </w:tabs>
        <w:spacing w:line="276" w:lineRule="auto"/>
        <w:jc w:val="both"/>
      </w:pPr>
      <w:hyperlink r:id="rId80">
        <w:r w:rsidR="00D02C31">
          <w:rPr>
            <w:color w:val="0000FF"/>
            <w:u w:val="single"/>
          </w:rPr>
          <w:t>https://www.a24.com/crypto/que-son-las-cbdc-las-monedas-digitales-que-analiza-implementar-el-gobierno-n1014911#</w:t>
        </w:r>
      </w:hyperlink>
    </w:p>
    <w:p w14:paraId="3D4B2277" w14:textId="77777777" w:rsidR="0035403C" w:rsidRDefault="00C20BE8">
      <w:pPr>
        <w:widowControl w:val="0"/>
        <w:tabs>
          <w:tab w:val="left" w:pos="1740"/>
        </w:tabs>
        <w:spacing w:line="276" w:lineRule="auto"/>
        <w:jc w:val="both"/>
      </w:pPr>
      <w:hyperlink r:id="rId81">
        <w:r w:rsidR="00D02C31">
          <w:rPr>
            <w:color w:val="0000FF"/>
            <w:u w:val="single"/>
          </w:rPr>
          <w:t>https://www.enriquedans.com/2023/05/la-interesante-evolucion-de-los-pagos-digitales-en-el-mundo.html</w:t>
        </w:r>
      </w:hyperlink>
    </w:p>
    <w:p w14:paraId="41BB428D" w14:textId="77777777" w:rsidR="0035403C" w:rsidRDefault="00C20BE8">
      <w:pPr>
        <w:widowControl w:val="0"/>
        <w:tabs>
          <w:tab w:val="left" w:pos="1740"/>
        </w:tabs>
        <w:spacing w:line="276" w:lineRule="auto"/>
        <w:jc w:val="both"/>
      </w:pPr>
      <w:hyperlink r:id="rId82">
        <w:r w:rsidR="00D02C31">
          <w:rPr>
            <w:color w:val="0000FF"/>
            <w:u w:val="single"/>
          </w:rPr>
          <w:t>https://santanderpost.com.ar/articulo/por-las-nubes-las-razones-de-la-evolucion-de-las-tecnologias-cloud/</w:t>
        </w:r>
      </w:hyperlink>
    </w:p>
    <w:p w14:paraId="68F2FBF3" w14:textId="77777777" w:rsidR="0035403C" w:rsidRDefault="00C20BE8">
      <w:pPr>
        <w:widowControl w:val="0"/>
        <w:tabs>
          <w:tab w:val="left" w:pos="1740"/>
        </w:tabs>
        <w:spacing w:line="276" w:lineRule="auto"/>
        <w:jc w:val="both"/>
      </w:pPr>
      <w:hyperlink r:id="rId83" w:anchor=":~:text=El%20origen%20del%20Cloud%20Computing,-El%20origen%20del&amp;text=Algunos%20expertos%20indican%20que%20fue,el%20concepto%20de%20inteligencia%20artificial">
        <w:r w:rsidR="00D02C31">
          <w:rPr>
            <w:color w:val="0000FF"/>
            <w:u w:val="single"/>
          </w:rPr>
          <w:t>https://www.cisga.es/conoces-origen-del-cloud-computing-nube-informatica/#:~:text=El%20origen%20del%20Cloud%20Computing,-El%20origen%20del&amp;text=Algunos%20expertos%20indican%20que%20fue,el%20concepto%20de%20inteligencia%20artificial</w:t>
        </w:r>
      </w:hyperlink>
      <w:r w:rsidR="00D02C31">
        <w:t>.</w:t>
      </w:r>
    </w:p>
    <w:p w14:paraId="03D06F98" w14:textId="77777777" w:rsidR="0035403C" w:rsidRDefault="00C20BE8">
      <w:pPr>
        <w:widowControl w:val="0"/>
        <w:tabs>
          <w:tab w:val="left" w:pos="1740"/>
        </w:tabs>
        <w:spacing w:line="276" w:lineRule="auto"/>
        <w:jc w:val="both"/>
      </w:pPr>
      <w:hyperlink r:id="rId84" w:anchor=":~:text=La%20evoluci%C3%B3n%20de%20la%20nube%20es%20un%20enfoque%20estrat%C3%A9gico%20de,aportar%20observabilidad%20desde%20cualquier%20parte">
        <w:r w:rsidR="00D02C31">
          <w:rPr>
            <w:color w:val="0000FF"/>
            <w:u w:val="single"/>
          </w:rPr>
          <w:t>https://www.netapp.com/es/evolved-cloud/what-is-evolved-cloud/#:~:text=La%20evolución%20de%20la%20nube%20es%20un%20enfoque%20estratégico%20de,aportar%20observabilidad%20desde%20cualquier%20parte</w:t>
        </w:r>
      </w:hyperlink>
      <w:r w:rsidR="00D02C31">
        <w:t>.</w:t>
      </w:r>
    </w:p>
    <w:p w14:paraId="7448E719" w14:textId="77777777" w:rsidR="0035403C" w:rsidRDefault="00C20BE8">
      <w:pPr>
        <w:widowControl w:val="0"/>
        <w:tabs>
          <w:tab w:val="left" w:pos="1740"/>
        </w:tabs>
        <w:spacing w:line="276" w:lineRule="auto"/>
        <w:jc w:val="both"/>
      </w:pPr>
      <w:hyperlink r:id="rId85" w:anchor=":~:text=Big%20data%20refers%20to%20data,around%20for%20a%20long%20time">
        <w:r w:rsidR="00D02C31">
          <w:rPr>
            <w:color w:val="0000FF"/>
            <w:u w:val="single"/>
          </w:rPr>
          <w:t>https://www.sas.com/en_us/insights/big-data/what-is-big-</w:t>
        </w:r>
        <w:r w:rsidR="00D02C31">
          <w:rPr>
            <w:color w:val="0000FF"/>
            <w:u w:val="single"/>
          </w:rPr>
          <w:lastRenderedPageBreak/>
          <w:t>data.html#:~:text=Big%20data%20refers%20to%20data,around%20for%20a%20long%20time</w:t>
        </w:r>
      </w:hyperlink>
      <w:r w:rsidR="00D02C31">
        <w:t>.</w:t>
      </w:r>
    </w:p>
    <w:p w14:paraId="61F1841A" w14:textId="77777777" w:rsidR="0035403C" w:rsidRDefault="00C20BE8">
      <w:pPr>
        <w:widowControl w:val="0"/>
        <w:tabs>
          <w:tab w:val="left" w:pos="1740"/>
        </w:tabs>
        <w:spacing w:line="276" w:lineRule="auto"/>
        <w:jc w:val="both"/>
      </w:pPr>
      <w:hyperlink r:id="rId86">
        <w:r w:rsidR="00D02C31">
          <w:rPr>
            <w:color w:val="0000FF"/>
            <w:u w:val="single"/>
          </w:rPr>
          <w:t>https://www.oracle.com/internet-of-things/what-is-iot/</w:t>
        </w:r>
      </w:hyperlink>
    </w:p>
    <w:p w14:paraId="0AA72988" w14:textId="77777777" w:rsidR="0035403C" w:rsidRDefault="00C20BE8">
      <w:pPr>
        <w:widowControl w:val="0"/>
        <w:tabs>
          <w:tab w:val="left" w:pos="1740"/>
        </w:tabs>
        <w:spacing w:line="276" w:lineRule="auto"/>
        <w:jc w:val="both"/>
      </w:pPr>
      <w:hyperlink r:id="rId87">
        <w:r w:rsidR="00D02C31">
          <w:rPr>
            <w:color w:val="0000FF"/>
            <w:u w:val="single"/>
          </w:rPr>
          <w:t>https://www.ibm.com/topics/artificial-intelligence</w:t>
        </w:r>
      </w:hyperlink>
    </w:p>
    <w:p w14:paraId="15ED0DC8" w14:textId="77777777" w:rsidR="0035403C" w:rsidRDefault="00C20BE8">
      <w:pPr>
        <w:widowControl w:val="0"/>
        <w:tabs>
          <w:tab w:val="left" w:pos="1740"/>
        </w:tabs>
        <w:spacing w:line="276" w:lineRule="auto"/>
        <w:jc w:val="both"/>
      </w:pPr>
      <w:hyperlink r:id="rId88">
        <w:r w:rsidR="00D02C31">
          <w:rPr>
            <w:color w:val="0000FF"/>
            <w:u w:val="single"/>
          </w:rPr>
          <w:t>https://en.wikipedia.org/wiki/Computer_security</w:t>
        </w:r>
      </w:hyperlink>
    </w:p>
    <w:p w14:paraId="365CCA65" w14:textId="77777777" w:rsidR="0035403C" w:rsidRDefault="00C20BE8">
      <w:pPr>
        <w:widowControl w:val="0"/>
        <w:tabs>
          <w:tab w:val="left" w:pos="1740"/>
        </w:tabs>
        <w:spacing w:line="276" w:lineRule="auto"/>
        <w:jc w:val="both"/>
      </w:pPr>
      <w:hyperlink r:id="rId89">
        <w:r w:rsidR="00D02C31">
          <w:rPr>
            <w:color w:val="0000FF"/>
            <w:u w:val="single"/>
          </w:rPr>
          <w:t>https://adex.ltd/microsoft-azure-vs-aws-vs-google-cloud</w:t>
        </w:r>
      </w:hyperlink>
    </w:p>
    <w:p w14:paraId="14793EDB" w14:textId="77777777" w:rsidR="0035403C" w:rsidRDefault="00C20BE8">
      <w:pPr>
        <w:widowControl w:val="0"/>
        <w:tabs>
          <w:tab w:val="left" w:pos="1740"/>
        </w:tabs>
        <w:spacing w:line="276" w:lineRule="auto"/>
        <w:jc w:val="both"/>
      </w:pPr>
      <w:hyperlink r:id="rId90">
        <w:r w:rsidR="00D02C31">
          <w:rPr>
            <w:color w:val="0000FF"/>
            <w:u w:val="single"/>
          </w:rPr>
          <w:t>https://www.redhat.com/es/topics/cloud-computing/public-cloud-vs-private-cloud-and-hybrid-cloud</w:t>
        </w:r>
      </w:hyperlink>
    </w:p>
    <w:p w14:paraId="4D7FC65E" w14:textId="77777777" w:rsidR="0035403C" w:rsidRDefault="00C20BE8">
      <w:pPr>
        <w:widowControl w:val="0"/>
        <w:tabs>
          <w:tab w:val="left" w:pos="1740"/>
        </w:tabs>
        <w:spacing w:line="276" w:lineRule="auto"/>
        <w:jc w:val="both"/>
      </w:pPr>
      <w:hyperlink r:id="rId91">
        <w:r w:rsidR="00D02C31">
          <w:rPr>
            <w:color w:val="0000FF"/>
            <w:u w:val="single"/>
          </w:rPr>
          <w:t>https://fourweekmba.com/es/iaas-frente-a-paas-frente-a-saas/</w:t>
        </w:r>
      </w:hyperlink>
    </w:p>
    <w:p w14:paraId="356C71D1" w14:textId="77777777" w:rsidR="0035403C" w:rsidRDefault="00C20BE8">
      <w:pPr>
        <w:widowControl w:val="0"/>
        <w:tabs>
          <w:tab w:val="left" w:pos="1740"/>
        </w:tabs>
        <w:spacing w:line="276" w:lineRule="auto"/>
        <w:jc w:val="both"/>
      </w:pPr>
      <w:hyperlink r:id="rId92" w:anchor="no8">
        <w:r w:rsidR="00D02C31">
          <w:rPr>
            <w:color w:val="0000FF"/>
            <w:u w:val="single"/>
          </w:rPr>
          <w:t>https://intellipaat.com/blog/aws-vs-azure-vs-google-cloud/#no8</w:t>
        </w:r>
      </w:hyperlink>
    </w:p>
    <w:p w14:paraId="789BF87B" w14:textId="77777777" w:rsidR="0035403C" w:rsidRDefault="00C20BE8">
      <w:pPr>
        <w:widowControl w:val="0"/>
        <w:tabs>
          <w:tab w:val="left" w:pos="1740"/>
        </w:tabs>
        <w:spacing w:line="276" w:lineRule="auto"/>
        <w:jc w:val="both"/>
      </w:pPr>
      <w:hyperlink r:id="rId93">
        <w:r w:rsidR="00D02C31">
          <w:rPr>
            <w:color w:val="0000FF"/>
            <w:u w:val="single"/>
          </w:rPr>
          <w:t>https://dev.to/jignesh_simform/on-demand-compute-pricing-aws-vs-azure-vs-google-adb</w:t>
        </w:r>
      </w:hyperlink>
      <w:r w:rsidR="00D02C31">
        <w:t xml:space="preserve"> </w:t>
      </w:r>
    </w:p>
    <w:p w14:paraId="753B036B" w14:textId="77777777" w:rsidR="0035403C" w:rsidRDefault="00C20BE8">
      <w:pPr>
        <w:widowControl w:val="0"/>
        <w:tabs>
          <w:tab w:val="left" w:pos="1740"/>
        </w:tabs>
        <w:spacing w:line="276" w:lineRule="auto"/>
        <w:jc w:val="both"/>
      </w:pPr>
      <w:hyperlink r:id="rId94">
        <w:r w:rsidR="00D02C31">
          <w:rPr>
            <w:color w:val="0000FF"/>
            <w:u w:val="single"/>
          </w:rPr>
          <w:t>https://www.veritis.com/blog/aws-vs-azure-vs-gcp-cloud-cost-comparison/</w:t>
        </w:r>
      </w:hyperlink>
    </w:p>
    <w:p w14:paraId="3829A4BD" w14:textId="77777777" w:rsidR="0035403C" w:rsidRDefault="00C20BE8">
      <w:pPr>
        <w:widowControl w:val="0"/>
        <w:tabs>
          <w:tab w:val="left" w:pos="1740"/>
        </w:tabs>
        <w:spacing w:line="276" w:lineRule="auto"/>
        <w:jc w:val="both"/>
      </w:pPr>
      <w:hyperlink r:id="rId95">
        <w:r w:rsidR="00D02C31">
          <w:rPr>
            <w:color w:val="0000FF"/>
            <w:u w:val="single"/>
          </w:rPr>
          <w:t>https://sankeysolutions.com/blogs/aws-vs-ms-azure-vs-gcp-cloud-platform-comparison/</w:t>
        </w:r>
      </w:hyperlink>
    </w:p>
    <w:p w14:paraId="2CBDFCEB" w14:textId="77777777" w:rsidR="0035403C" w:rsidRDefault="00C20BE8">
      <w:pPr>
        <w:widowControl w:val="0"/>
        <w:tabs>
          <w:tab w:val="left" w:pos="1740"/>
        </w:tabs>
        <w:spacing w:line="276" w:lineRule="auto"/>
        <w:jc w:val="both"/>
      </w:pPr>
      <w:hyperlink r:id="rId96">
        <w:r w:rsidR="00D02C31">
          <w:rPr>
            <w:color w:val="0000FF"/>
            <w:u w:val="single"/>
          </w:rPr>
          <w:t>https://www.coelsa.com.ar/static/media/Informe-Sustentabilidad-COELSA-Abril2023.pdf</w:t>
        </w:r>
      </w:hyperlink>
    </w:p>
    <w:p w14:paraId="252E45EF" w14:textId="77777777" w:rsidR="0035403C" w:rsidRDefault="00C20BE8">
      <w:pPr>
        <w:widowControl w:val="0"/>
        <w:tabs>
          <w:tab w:val="left" w:pos="1740"/>
        </w:tabs>
        <w:spacing w:line="276" w:lineRule="auto"/>
        <w:jc w:val="both"/>
      </w:pPr>
      <w:hyperlink r:id="rId97" w:anchor="mision_y_posicionamiento">
        <w:r w:rsidR="00D02C31">
          <w:rPr>
            <w:color w:val="0000FF"/>
            <w:u w:val="single"/>
          </w:rPr>
          <w:t>https://www.redlink.com.ar/la_empresa.html#mision_y_posicionamiento</w:t>
        </w:r>
      </w:hyperlink>
    </w:p>
    <w:p w14:paraId="7B3273B6" w14:textId="77777777" w:rsidR="0035403C" w:rsidRDefault="00C20BE8">
      <w:pPr>
        <w:widowControl w:val="0"/>
        <w:tabs>
          <w:tab w:val="left" w:pos="1740"/>
        </w:tabs>
        <w:spacing w:line="276" w:lineRule="auto"/>
        <w:jc w:val="both"/>
      </w:pPr>
      <w:hyperlink r:id="rId98">
        <w:r w:rsidR="00D02C31">
          <w:rPr>
            <w:color w:val="0000FF"/>
            <w:u w:val="single"/>
          </w:rPr>
          <w:t>https://www.prismamediosdepago.com</w:t>
        </w:r>
      </w:hyperlink>
    </w:p>
    <w:p w14:paraId="6AD6E7BC" w14:textId="77777777" w:rsidR="0035403C" w:rsidRDefault="00C20BE8">
      <w:pPr>
        <w:widowControl w:val="0"/>
        <w:tabs>
          <w:tab w:val="left" w:pos="1740"/>
        </w:tabs>
        <w:spacing w:line="276" w:lineRule="auto"/>
        <w:jc w:val="both"/>
        <w:rPr>
          <w:color w:val="0000FF"/>
          <w:u w:val="single"/>
        </w:rPr>
      </w:pPr>
      <w:hyperlink r:id="rId99">
        <w:r w:rsidR="00D02C31">
          <w:rPr>
            <w:color w:val="0000FF"/>
            <w:u w:val="single"/>
          </w:rPr>
          <w:t>https://ar.linkedin.com/company/prisma-medios-de-pago</w:t>
        </w:r>
      </w:hyperlink>
    </w:p>
    <w:p w14:paraId="335361B1" w14:textId="77777777" w:rsidR="0035403C" w:rsidRDefault="00D02C31">
      <w:pPr>
        <w:widowControl w:val="0"/>
        <w:tabs>
          <w:tab w:val="left" w:pos="1740"/>
        </w:tabs>
        <w:spacing w:line="276" w:lineRule="auto"/>
        <w:jc w:val="both"/>
        <w:rPr>
          <w:color w:val="0000FF"/>
          <w:u w:val="single"/>
        </w:rPr>
      </w:pPr>
      <w:r>
        <w:rPr>
          <w:color w:val="0000FF"/>
          <w:u w:val="single"/>
        </w:rPr>
        <w:t>https://learn.microsoft.com/es-es/azure/architecture/guide/architecture-styles/microservices</w:t>
      </w:r>
    </w:p>
    <w:p w14:paraId="0966D528" w14:textId="77777777" w:rsidR="0035403C" w:rsidRDefault="00C20BE8">
      <w:pPr>
        <w:widowControl w:val="0"/>
        <w:tabs>
          <w:tab w:val="left" w:pos="1740"/>
        </w:tabs>
        <w:spacing w:line="276" w:lineRule="auto"/>
        <w:jc w:val="both"/>
      </w:pPr>
      <w:hyperlink r:id="rId100">
        <w:r w:rsidR="00D02C31">
          <w:rPr>
            <w:color w:val="0000FF"/>
            <w:u w:val="single"/>
          </w:rPr>
          <w:t>https://aws.amazon.com/es/docker/</w:t>
        </w:r>
      </w:hyperlink>
      <w:r w:rsidR="00D02C31">
        <w:t xml:space="preserve"> </w:t>
      </w:r>
    </w:p>
    <w:p w14:paraId="4B2AC6A2" w14:textId="77777777" w:rsidR="0035403C" w:rsidRDefault="00C20BE8">
      <w:pPr>
        <w:widowControl w:val="0"/>
        <w:tabs>
          <w:tab w:val="left" w:pos="1740"/>
        </w:tabs>
        <w:spacing w:line="276" w:lineRule="auto"/>
        <w:jc w:val="both"/>
      </w:pPr>
      <w:hyperlink r:id="rId101">
        <w:r w:rsidR="00D02C31">
          <w:rPr>
            <w:color w:val="0000FF"/>
            <w:u w:val="single"/>
          </w:rPr>
          <w:t>https://www.redhat.com/es/topics/containers/what-is-docker</w:t>
        </w:r>
      </w:hyperlink>
      <w:r w:rsidR="00D02C31">
        <w:t xml:space="preserve"> </w:t>
      </w:r>
    </w:p>
    <w:p w14:paraId="02B2F4F4" w14:textId="77777777" w:rsidR="0035403C" w:rsidRDefault="00C20BE8">
      <w:pPr>
        <w:widowControl w:val="0"/>
        <w:tabs>
          <w:tab w:val="left" w:pos="1740"/>
        </w:tabs>
        <w:spacing w:line="276" w:lineRule="auto"/>
        <w:jc w:val="both"/>
      </w:pPr>
      <w:hyperlink r:id="rId102">
        <w:r w:rsidR="00D02C31">
          <w:rPr>
            <w:color w:val="0000FF"/>
            <w:u w:val="single"/>
          </w:rPr>
          <w:t>https://www.oracle.com/ar/cloud/cloud-native/container-registry/what-is-docker/</w:t>
        </w:r>
      </w:hyperlink>
      <w:r w:rsidR="00D02C31">
        <w:t xml:space="preserve"> </w:t>
      </w:r>
    </w:p>
    <w:p w14:paraId="4001306A" w14:textId="77777777" w:rsidR="0035403C" w:rsidRDefault="00C20BE8">
      <w:pPr>
        <w:widowControl w:val="0"/>
        <w:tabs>
          <w:tab w:val="left" w:pos="1740"/>
        </w:tabs>
        <w:spacing w:line="276" w:lineRule="auto"/>
        <w:jc w:val="both"/>
      </w:pPr>
      <w:hyperlink r:id="rId103">
        <w:r w:rsidR="00D02C31">
          <w:rPr>
            <w:color w:val="0000FF"/>
            <w:u w:val="single"/>
          </w:rPr>
          <w:t>https://www.redhat.com/es/topics/api/what-is-api-management</w:t>
        </w:r>
      </w:hyperlink>
    </w:p>
    <w:p w14:paraId="17E02627" w14:textId="77777777" w:rsidR="0035403C" w:rsidRDefault="00C20BE8">
      <w:pPr>
        <w:widowControl w:val="0"/>
        <w:tabs>
          <w:tab w:val="left" w:pos="1740"/>
        </w:tabs>
        <w:spacing w:line="276" w:lineRule="auto"/>
        <w:jc w:val="both"/>
      </w:pPr>
      <w:hyperlink r:id="rId104">
        <w:r w:rsidR="00D02C31">
          <w:rPr>
            <w:color w:val="0000FF"/>
            <w:u w:val="single"/>
          </w:rPr>
          <w:t>https://www.redhat.com/es/topics/api/what-is-api-design</w:t>
        </w:r>
      </w:hyperlink>
    </w:p>
    <w:p w14:paraId="781FE67D" w14:textId="77777777" w:rsidR="0035403C" w:rsidRDefault="00C20BE8">
      <w:pPr>
        <w:widowControl w:val="0"/>
        <w:tabs>
          <w:tab w:val="left" w:pos="1740"/>
        </w:tabs>
        <w:spacing w:line="276" w:lineRule="auto"/>
        <w:jc w:val="both"/>
      </w:pPr>
      <w:hyperlink r:id="rId105">
        <w:r w:rsidR="00D02C31">
          <w:rPr>
            <w:color w:val="0000FF"/>
            <w:u w:val="single"/>
          </w:rPr>
          <w:t>https://www.intel.la/content/www/xl/es/cloud-computing/microservices.html</w:t>
        </w:r>
      </w:hyperlink>
      <w:r w:rsidR="00D02C31">
        <w:t xml:space="preserve"> </w:t>
      </w:r>
    </w:p>
    <w:p w14:paraId="3E96A67F" w14:textId="77777777" w:rsidR="0035403C" w:rsidRDefault="00C20BE8">
      <w:pPr>
        <w:widowControl w:val="0"/>
        <w:tabs>
          <w:tab w:val="left" w:pos="1740"/>
        </w:tabs>
        <w:spacing w:line="276" w:lineRule="auto"/>
        <w:jc w:val="both"/>
      </w:pPr>
      <w:hyperlink r:id="rId106">
        <w:r w:rsidR="00D02C31">
          <w:rPr>
            <w:color w:val="0000FF"/>
            <w:u w:val="single"/>
          </w:rPr>
          <w:t>https://www.uv.mx/iiesca/files/2013/04/11ca201202.pdf</w:t>
        </w:r>
      </w:hyperlink>
      <w:r w:rsidR="00D02C31">
        <w:t xml:space="preserve"> </w:t>
      </w:r>
    </w:p>
    <w:p w14:paraId="607552BE" w14:textId="77777777" w:rsidR="0035403C" w:rsidRDefault="00C20BE8">
      <w:pPr>
        <w:widowControl w:val="0"/>
        <w:tabs>
          <w:tab w:val="left" w:pos="1740"/>
        </w:tabs>
        <w:spacing w:line="276" w:lineRule="auto"/>
        <w:jc w:val="both"/>
      </w:pPr>
      <w:hyperlink r:id="rId107">
        <w:r w:rsidR="00D02C31">
          <w:rPr>
            <w:color w:val="0000FF"/>
            <w:u w:val="single"/>
          </w:rPr>
          <w:t>https://aws.amazon.com/es/blogs/compute/understanding-asynchronous-messaging-for-microservices/</w:t>
        </w:r>
      </w:hyperlink>
      <w:r w:rsidR="00D02C31">
        <w:t xml:space="preserve"> </w:t>
      </w:r>
    </w:p>
    <w:p w14:paraId="6BABA029" w14:textId="77777777" w:rsidR="0035403C" w:rsidRDefault="00C20BE8">
      <w:pPr>
        <w:widowControl w:val="0"/>
        <w:tabs>
          <w:tab w:val="left" w:pos="1740"/>
        </w:tabs>
        <w:spacing w:line="276" w:lineRule="auto"/>
        <w:jc w:val="both"/>
      </w:pPr>
      <w:hyperlink r:id="rId108">
        <w:r w:rsidR="00D02C31">
          <w:rPr>
            <w:color w:val="0000FF"/>
            <w:u w:val="single"/>
          </w:rPr>
          <w:t>https://aws.amazon.com/blogs/compute/building-scalable-applications-and-microservices-adding-messaging-to-your-toolbox/</w:t>
        </w:r>
      </w:hyperlink>
      <w:r w:rsidR="00D02C31">
        <w:t xml:space="preserve"> </w:t>
      </w:r>
    </w:p>
    <w:p w14:paraId="0083DAB9" w14:textId="77777777" w:rsidR="0035403C" w:rsidRDefault="00C20BE8">
      <w:pPr>
        <w:widowControl w:val="0"/>
        <w:tabs>
          <w:tab w:val="left" w:pos="1740"/>
        </w:tabs>
        <w:spacing w:line="276" w:lineRule="auto"/>
        <w:jc w:val="both"/>
        <w:rPr>
          <w:b/>
          <w:color w:val="1F497D"/>
        </w:rPr>
      </w:pPr>
      <w:hyperlink r:id="rId109">
        <w:r w:rsidR="00D02C31">
          <w:rPr>
            <w:color w:val="0000FF"/>
            <w:u w:val="single"/>
          </w:rPr>
          <w:t>https://orangematter.solarwinds.com/2022/03/21/what-is-devops/</w:t>
        </w:r>
      </w:hyperlink>
    </w:p>
    <w:p w14:paraId="0C8FE7CE" w14:textId="0AF7849A" w:rsidR="0035403C" w:rsidRPr="00C20BE8" w:rsidRDefault="00C20BE8" w:rsidP="00C20BE8">
      <w:pPr>
        <w:rPr>
          <w:rFonts w:ascii="Calibri" w:eastAsia="Calibri" w:hAnsi="Calibri" w:cs="Calibri"/>
          <w:color w:val="17365D"/>
          <w:sz w:val="52"/>
          <w:szCs w:val="52"/>
        </w:rPr>
      </w:pPr>
      <w:hyperlink r:id="rId110">
        <w:r w:rsidR="00D02C31">
          <w:rPr>
            <w:color w:val="1155CC"/>
            <w:u w:val="single"/>
          </w:rPr>
          <w:t>https://www.researchgate.net/publication/319604195_A_New_Framework_of_Software_Testing_Using_Cloud_Computing_for_Banking_Applications</w:t>
        </w:r>
      </w:hyperlink>
    </w:p>
    <w:sectPr w:rsidR="0035403C" w:rsidRPr="00C20BE8">
      <w:footerReference w:type="default" r:id="rId111"/>
      <w:type w:val="continuous"/>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7BB2BC7" w14:textId="77777777" w:rsidR="005B6BDA" w:rsidRDefault="005B6BDA">
      <w:r>
        <w:separator/>
      </w:r>
    </w:p>
  </w:endnote>
  <w:endnote w:type="continuationSeparator" w:id="0">
    <w:p w14:paraId="20B2185C" w14:textId="77777777" w:rsidR="005B6BDA" w:rsidRDefault="005B6BD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Noto Sans Symbols">
    <w:charset w:val="00"/>
    <w:family w:val="auto"/>
    <w:pitch w:val="default"/>
    <w:embedRegular r:id="rId1" w:fontKey="{B7B771B2-C3A0-4A63-9378-1C8457ADC974}"/>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embedRegular r:id="rId2" w:fontKey="{C0A50228-16C6-4E03-82B8-CE04470BFB35}"/>
    <w:embedBold r:id="rId3" w:fontKey="{00140AA7-EAF4-4B8F-AD52-EDF62EDDBA06}"/>
    <w:embedItalic r:id="rId4" w:fontKey="{4A1D809F-5978-4757-BBFD-E608737446BA}"/>
    <w:embedBoldItalic r:id="rId5" w:fontKey="{B509C493-3DB6-40A7-A2EA-902101B60A3D}"/>
  </w:font>
  <w:font w:name="Cambria">
    <w:panose1 w:val="02040503050406030204"/>
    <w:charset w:val="00"/>
    <w:family w:val="roman"/>
    <w:pitch w:val="variable"/>
    <w:sig w:usb0="E00006FF" w:usb1="420024FF" w:usb2="02000000" w:usb3="00000000" w:csb0="0000019F" w:csb1="00000000"/>
    <w:embedRegular r:id="rId6" w:fontKey="{03197F23-E708-4639-8344-6A25A1F883F8}"/>
    <w:embedBold r:id="rId7" w:fontKey="{782A061D-5476-4632-93FD-6EE6BB368379}"/>
    <w:embedItalic r:id="rId8" w:fontKey="{81F31554-EC52-4945-B947-03A51F2EBC8C}"/>
  </w:font>
  <w:font w:name="Tahoma">
    <w:panose1 w:val="020B0604030504040204"/>
    <w:charset w:val="00"/>
    <w:family w:val="swiss"/>
    <w:pitch w:val="variable"/>
    <w:sig w:usb0="E1002EFF" w:usb1="C000605B" w:usb2="00000029" w:usb3="00000000" w:csb0="000101FF" w:csb1="00000000"/>
    <w:embedRegular r:id="rId9" w:fontKey="{ED4BF8F5-212D-4BCA-9E9C-342D8406CBC9}"/>
  </w:font>
  <w:font w:name="Arial">
    <w:panose1 w:val="020B0604020202020204"/>
    <w:charset w:val="00"/>
    <w:family w:val="swiss"/>
    <w:pitch w:val="variable"/>
    <w:sig w:usb0="E0002EFF" w:usb1="C000785B" w:usb2="00000009" w:usb3="00000000" w:csb0="000001FF" w:csb1="00000000"/>
  </w:font>
  <w:font w:name="Open Sans">
    <w:charset w:val="00"/>
    <w:family w:val="swiss"/>
    <w:pitch w:val="variable"/>
    <w:sig w:usb0="E00002EF" w:usb1="4000205B" w:usb2="00000028" w:usb3="00000000" w:csb0="0000019F" w:csb1="00000000"/>
    <w:embedRegular r:id="rId10" w:fontKey="{044D04C2-3AD6-4DBE-8F59-01E1221FB2CD}"/>
    <w:embedBold r:id="rId11" w:fontKey="{168C8DBF-F319-4746-80E5-F24535C0E95E}"/>
  </w:font>
  <w:font w:name="Roboto">
    <w:charset w:val="00"/>
    <w:family w:val="auto"/>
    <w:pitch w:val="variable"/>
    <w:sig w:usb0="E0000AFF" w:usb1="5000217F" w:usb2="00000021" w:usb3="00000000" w:csb0="0000019F" w:csb1="00000000"/>
    <w:embedRegular r:id="rId12" w:fontKey="{47C1E286-A710-491B-B693-87C494EEA464}"/>
    <w:embedBold r:id="rId13" w:fontKey="{EBEE8A1F-F68D-4C24-9D2C-3FE59F5192FF}"/>
  </w:font>
  <w:font w:name="Helvetica Neue">
    <w:charset w:val="00"/>
    <w:family w:val="auto"/>
    <w:pitch w:val="default"/>
    <w:embedRegular r:id="rId14" w:fontKey="{0A6364F9-358C-4D40-9386-D8EFC73DB04D}"/>
    <w:embedBold r:id="rId15" w:fontKey="{8D576266-7CB0-49FF-927A-4AF9E39662AA}"/>
  </w:font>
  <w:font w:name="MS Gothic">
    <w:altName w:val="ＭＳ ゴシック"/>
    <w:panose1 w:val="020B0609070205080204"/>
    <w:charset w:val="80"/>
    <w:family w:val="modern"/>
    <w:pitch w:val="fixed"/>
    <w:sig w:usb0="E00002FF" w:usb1="6AC7FDFB" w:usb2="08000012" w:usb3="00000000" w:csb0="0002009F" w:csb1="00000000"/>
  </w:font>
  <w:font w:name="MS Mincho">
    <w:altName w:val="MS Gothic"/>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3EDD17" w14:textId="77777777" w:rsidR="00C20BE8" w:rsidRDefault="00C20BE8">
    <w:pPr>
      <w:pBdr>
        <w:top w:val="nil"/>
        <w:left w:val="nil"/>
        <w:bottom w:val="nil"/>
        <w:right w:val="nil"/>
        <w:between w:val="nil"/>
      </w:pBdr>
      <w:tabs>
        <w:tab w:val="center" w:pos="4419"/>
        <w:tab w:val="right" w:pos="8838"/>
      </w:tabs>
      <w:jc w:val="center"/>
      <w:rPr>
        <w:smallCaps/>
        <w:color w:val="4F81BD"/>
      </w:rPr>
    </w:pPr>
    <w:r>
      <w:rPr>
        <w:smallCaps/>
        <w:color w:val="4F81BD"/>
      </w:rPr>
      <w:fldChar w:fldCharType="begin"/>
    </w:r>
    <w:r>
      <w:rPr>
        <w:smallCaps/>
        <w:color w:val="4F81BD"/>
      </w:rPr>
      <w:instrText>PAGE</w:instrText>
    </w:r>
    <w:r>
      <w:rPr>
        <w:smallCaps/>
        <w:color w:val="4F81BD"/>
      </w:rPr>
      <w:fldChar w:fldCharType="separate"/>
    </w:r>
    <w:r w:rsidR="00DC73FC">
      <w:rPr>
        <w:smallCaps/>
        <w:noProof/>
        <w:color w:val="4F81BD"/>
      </w:rPr>
      <w:t>63</w:t>
    </w:r>
    <w:r>
      <w:rPr>
        <w:smallCaps/>
        <w:color w:val="4F81BD"/>
      </w:rPr>
      <w:fldChar w:fldCharType="end"/>
    </w:r>
  </w:p>
  <w:p w14:paraId="41004F19" w14:textId="77777777" w:rsidR="00C20BE8" w:rsidRDefault="00C20BE8">
    <w:pPr>
      <w:pBdr>
        <w:top w:val="nil"/>
        <w:left w:val="nil"/>
        <w:bottom w:val="nil"/>
        <w:right w:val="nil"/>
        <w:between w:val="nil"/>
      </w:pBdr>
      <w:tabs>
        <w:tab w:val="center" w:pos="4419"/>
        <w:tab w:val="right" w:pos="8838"/>
      </w:tabs>
      <w:rPr>
        <w:color w:val="00000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AA2BA2D" w14:textId="77777777" w:rsidR="005B6BDA" w:rsidRDefault="005B6BDA">
      <w:r>
        <w:separator/>
      </w:r>
    </w:p>
  </w:footnote>
  <w:footnote w:type="continuationSeparator" w:id="0">
    <w:p w14:paraId="003C5E0F" w14:textId="77777777" w:rsidR="005B6BDA" w:rsidRDefault="005B6BDA">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F213AD"/>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nsid w:val="07241F04"/>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nsid w:val="0ABB5E33"/>
    <w:multiLevelType w:val="multilevel"/>
    <w:tmpl w:val="FFFFFFFF"/>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nsid w:val="0C82764D"/>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nsid w:val="11F34640"/>
    <w:multiLevelType w:val="multilevel"/>
    <w:tmpl w:val="FFFFFFFF"/>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nsid w:val="1CD7205D"/>
    <w:multiLevelType w:val="multilevel"/>
    <w:tmpl w:val="FFFFFFFF"/>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nsid w:val="220D7A7F"/>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nsid w:val="23DF6301"/>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nsid w:val="25DB0E29"/>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nsid w:val="27D30929"/>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nsid w:val="286B4337"/>
    <w:multiLevelType w:val="multilevel"/>
    <w:tmpl w:val="FFFFFFFF"/>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nsid w:val="2CFA209E"/>
    <w:multiLevelType w:val="multilevel"/>
    <w:tmpl w:val="FFFFFFFF"/>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nsid w:val="2DA54CA0"/>
    <w:multiLevelType w:val="multilevel"/>
    <w:tmpl w:val="FFFFFFFF"/>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nsid w:val="32BA3CBC"/>
    <w:multiLevelType w:val="multilevel"/>
    <w:tmpl w:val="FFFFFFFF"/>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nsid w:val="35221683"/>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nsid w:val="354C5B44"/>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nsid w:val="375E5606"/>
    <w:multiLevelType w:val="multilevel"/>
    <w:tmpl w:val="FFFFFFFF"/>
    <w:lvl w:ilvl="0">
      <w:start w:val="1"/>
      <w:numFmt w:val="bullet"/>
      <w:lvlText w:val="●"/>
      <w:lvlJc w:val="left"/>
      <w:pPr>
        <w:ind w:left="720" w:hanging="360"/>
      </w:pPr>
      <w:rPr>
        <w:rFonts w:ascii="Noto Sans Symbols" w:eastAsia="Noto Sans Symbols" w:hAnsi="Noto Sans Symbols" w:cs="Noto Sans Symbols"/>
      </w:rPr>
    </w:lvl>
    <w:lvl w:ilvl="1">
      <w:numFmt w:val="bullet"/>
      <w:lvlText w:val="-"/>
      <w:lvlJc w:val="left"/>
      <w:pPr>
        <w:ind w:left="1440" w:hanging="360"/>
      </w:pPr>
      <w:rPr>
        <w:rFonts w:ascii="Times New Roman" w:eastAsia="Times New Roman" w:hAnsi="Times New Roman" w:cs="Times New Roman"/>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nsid w:val="38D56FB5"/>
    <w:multiLevelType w:val="multilevel"/>
    <w:tmpl w:val="FFFFFFFF"/>
    <w:lvl w:ilvl="0">
      <w:start w:val="1"/>
      <w:numFmt w:val="decimal"/>
      <w:lvlText w:val="%1."/>
      <w:lvlJc w:val="left"/>
      <w:pPr>
        <w:ind w:left="720" w:hanging="360"/>
      </w:p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nsid w:val="39290884"/>
    <w:multiLevelType w:val="multilevel"/>
    <w:tmpl w:val="FFFFFFFF"/>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nsid w:val="3A25502D"/>
    <w:multiLevelType w:val="multilevel"/>
    <w:tmpl w:val="FFFFFFFF"/>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nsid w:val="3B643731"/>
    <w:multiLevelType w:val="multilevel"/>
    <w:tmpl w:val="FFFFFFFF"/>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nsid w:val="40C1002D"/>
    <w:multiLevelType w:val="multilevel"/>
    <w:tmpl w:val="FFFFFFFF"/>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nsid w:val="4184375E"/>
    <w:multiLevelType w:val="multilevel"/>
    <w:tmpl w:val="FFFFFFFF"/>
    <w:lvl w:ilvl="0">
      <w:start w:val="1"/>
      <w:numFmt w:val="bullet"/>
      <w:lvlText w:val="●"/>
      <w:lvlJc w:val="left"/>
      <w:pPr>
        <w:ind w:left="720" w:hanging="360"/>
      </w:pPr>
      <w:rPr>
        <w:rFonts w:ascii="Noto Sans Symbols" w:eastAsia="Noto Sans Symbols" w:hAnsi="Noto Sans Symbols" w:cs="Noto Sans Symbols"/>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3">
    <w:nsid w:val="42DE6FDF"/>
    <w:multiLevelType w:val="multilevel"/>
    <w:tmpl w:val="FFFFFFFF"/>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nsid w:val="444F431A"/>
    <w:multiLevelType w:val="multilevel"/>
    <w:tmpl w:val="FFFFFFFF"/>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
    <w:nsid w:val="477D42A2"/>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nsid w:val="50EF145B"/>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nsid w:val="534F57EB"/>
    <w:multiLevelType w:val="multilevel"/>
    <w:tmpl w:val="FFFFFFFF"/>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8">
    <w:nsid w:val="56B05E11"/>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nsid w:val="59851D69"/>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nsid w:val="5B9E0822"/>
    <w:multiLevelType w:val="multilevel"/>
    <w:tmpl w:val="FFFFFFFF"/>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1">
    <w:nsid w:val="5DC75EDB"/>
    <w:multiLevelType w:val="multilevel"/>
    <w:tmpl w:val="FFFFFFFF"/>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2">
    <w:nsid w:val="64DF1431"/>
    <w:multiLevelType w:val="multilevel"/>
    <w:tmpl w:val="FFFFFFFF"/>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3">
    <w:nsid w:val="67D81E7E"/>
    <w:multiLevelType w:val="multilevel"/>
    <w:tmpl w:val="FFFFFFFF"/>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4">
    <w:nsid w:val="67EE538F"/>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nsid w:val="682E6A7F"/>
    <w:multiLevelType w:val="multilevel"/>
    <w:tmpl w:val="FFFFFFFF"/>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6">
    <w:nsid w:val="69DA2D35"/>
    <w:multiLevelType w:val="multilevel"/>
    <w:tmpl w:val="FFFFFFFF"/>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7">
    <w:nsid w:val="6A0F7E82"/>
    <w:multiLevelType w:val="multilevel"/>
    <w:tmpl w:val="FFFFFFFF"/>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8">
    <w:nsid w:val="6A4B0628"/>
    <w:multiLevelType w:val="multilevel"/>
    <w:tmpl w:val="FFFFFFFF"/>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9">
    <w:nsid w:val="6AA75C56"/>
    <w:multiLevelType w:val="multilevel"/>
    <w:tmpl w:val="FFFFFFFF"/>
    <w:lvl w:ilvl="0">
      <w:start w:val="1"/>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40">
    <w:nsid w:val="6EE2349A"/>
    <w:multiLevelType w:val="multilevel"/>
    <w:tmpl w:val="FFFFFFFF"/>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1">
    <w:nsid w:val="6F126407"/>
    <w:multiLevelType w:val="multilevel"/>
    <w:tmpl w:val="FFFFFFFF"/>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2">
    <w:nsid w:val="713310A0"/>
    <w:multiLevelType w:val="multilevel"/>
    <w:tmpl w:val="FFFFFFFF"/>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3">
    <w:nsid w:val="718708A2"/>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
    <w:nsid w:val="72805D1C"/>
    <w:multiLevelType w:val="multilevel"/>
    <w:tmpl w:val="FFFFFFFF"/>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5">
    <w:nsid w:val="748E4231"/>
    <w:multiLevelType w:val="multilevel"/>
    <w:tmpl w:val="FFFFFFFF"/>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6">
    <w:nsid w:val="76BD035F"/>
    <w:multiLevelType w:val="multilevel"/>
    <w:tmpl w:val="FFFFFFFF"/>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7">
    <w:nsid w:val="7D65536A"/>
    <w:multiLevelType w:val="multilevel"/>
    <w:tmpl w:val="FFFFFFFF"/>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8">
    <w:nsid w:val="7E3A3FB9"/>
    <w:multiLevelType w:val="multilevel"/>
    <w:tmpl w:val="FFFFFFFF"/>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28"/>
  </w:num>
  <w:num w:numId="2">
    <w:abstractNumId w:val="14"/>
  </w:num>
  <w:num w:numId="3">
    <w:abstractNumId w:val="2"/>
  </w:num>
  <w:num w:numId="4">
    <w:abstractNumId w:val="3"/>
  </w:num>
  <w:num w:numId="5">
    <w:abstractNumId w:val="0"/>
  </w:num>
  <w:num w:numId="6">
    <w:abstractNumId w:val="31"/>
  </w:num>
  <w:num w:numId="7">
    <w:abstractNumId w:val="47"/>
  </w:num>
  <w:num w:numId="8">
    <w:abstractNumId w:val="43"/>
  </w:num>
  <w:num w:numId="9">
    <w:abstractNumId w:val="46"/>
  </w:num>
  <w:num w:numId="10">
    <w:abstractNumId w:val="40"/>
  </w:num>
  <w:num w:numId="11">
    <w:abstractNumId w:val="19"/>
  </w:num>
  <w:num w:numId="12">
    <w:abstractNumId w:val="15"/>
  </w:num>
  <w:num w:numId="13">
    <w:abstractNumId w:val="24"/>
  </w:num>
  <w:num w:numId="14">
    <w:abstractNumId w:val="16"/>
  </w:num>
  <w:num w:numId="15">
    <w:abstractNumId w:val="17"/>
  </w:num>
  <w:num w:numId="16">
    <w:abstractNumId w:val="6"/>
  </w:num>
  <w:num w:numId="17">
    <w:abstractNumId w:val="12"/>
  </w:num>
  <w:num w:numId="18">
    <w:abstractNumId w:val="20"/>
  </w:num>
  <w:num w:numId="19">
    <w:abstractNumId w:val="21"/>
  </w:num>
  <w:num w:numId="20">
    <w:abstractNumId w:val="30"/>
  </w:num>
  <w:num w:numId="21">
    <w:abstractNumId w:val="9"/>
  </w:num>
  <w:num w:numId="22">
    <w:abstractNumId w:val="38"/>
  </w:num>
  <w:num w:numId="23">
    <w:abstractNumId w:val="33"/>
  </w:num>
  <w:num w:numId="24">
    <w:abstractNumId w:val="48"/>
  </w:num>
  <w:num w:numId="25">
    <w:abstractNumId w:val="23"/>
  </w:num>
  <w:num w:numId="26">
    <w:abstractNumId w:val="34"/>
  </w:num>
  <w:num w:numId="27">
    <w:abstractNumId w:val="32"/>
  </w:num>
  <w:num w:numId="28">
    <w:abstractNumId w:val="42"/>
  </w:num>
  <w:num w:numId="29">
    <w:abstractNumId w:val="18"/>
  </w:num>
  <w:num w:numId="30">
    <w:abstractNumId w:val="35"/>
  </w:num>
  <w:num w:numId="31">
    <w:abstractNumId w:val="45"/>
  </w:num>
  <w:num w:numId="32">
    <w:abstractNumId w:val="36"/>
  </w:num>
  <w:num w:numId="33">
    <w:abstractNumId w:val="41"/>
  </w:num>
  <w:num w:numId="34">
    <w:abstractNumId w:val="1"/>
  </w:num>
  <w:num w:numId="35">
    <w:abstractNumId w:val="39"/>
  </w:num>
  <w:num w:numId="36">
    <w:abstractNumId w:val="4"/>
  </w:num>
  <w:num w:numId="37">
    <w:abstractNumId w:val="13"/>
  </w:num>
  <w:num w:numId="38">
    <w:abstractNumId w:val="5"/>
  </w:num>
  <w:num w:numId="39">
    <w:abstractNumId w:val="26"/>
  </w:num>
  <w:num w:numId="40">
    <w:abstractNumId w:val="44"/>
  </w:num>
  <w:num w:numId="41">
    <w:abstractNumId w:val="11"/>
  </w:num>
  <w:num w:numId="42">
    <w:abstractNumId w:val="10"/>
  </w:num>
  <w:num w:numId="43">
    <w:abstractNumId w:val="27"/>
  </w:num>
  <w:num w:numId="44">
    <w:abstractNumId w:val="29"/>
  </w:num>
  <w:num w:numId="45">
    <w:abstractNumId w:val="22"/>
  </w:num>
  <w:num w:numId="46">
    <w:abstractNumId w:val="25"/>
  </w:num>
  <w:num w:numId="47">
    <w:abstractNumId w:val="7"/>
  </w:num>
  <w:num w:numId="48">
    <w:abstractNumId w:val="37"/>
  </w:num>
  <w:num w:numId="4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TrueTypeFonts/>
  <w:hideSpellingErrors/>
  <w:proofState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5403C"/>
    <w:rsid w:val="0035403C"/>
    <w:rsid w:val="005B6BDA"/>
    <w:rsid w:val="006F5661"/>
    <w:rsid w:val="00C20BE8"/>
    <w:rsid w:val="00D02C31"/>
    <w:rsid w:val="00DC73FC"/>
    <w:rsid w:val="0FE4D5DF"/>
    <w:rsid w:val="14F7F2DF"/>
    <w:rsid w:val="17FBBB8B"/>
    <w:rsid w:val="7A724BDD"/>
  </w:rsids>
  <m:mathPr>
    <m:mathFont m:val="Cambria Math"/>
    <m:brkBin m:val="before"/>
    <m:brkBinSub m:val="--"/>
    <m:smallFrac m:val="0"/>
    <m:dispDef/>
    <m:lMargin m:val="0"/>
    <m:rMargin m:val="0"/>
    <m:defJc m:val="centerGroup"/>
    <m:wrapIndent m:val="1440"/>
    <m:intLim m:val="subSup"/>
    <m:naryLim m:val="undOvr"/>
  </m:mathPr>
  <w:themeFontLang w:val="es-E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60350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4"/>
        <w:szCs w:val="24"/>
        <w:lang w:val="es-AR"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uiPriority w:val="9"/>
    <w:qFormat/>
    <w:pPr>
      <w:keepNext/>
      <w:keepLines/>
      <w:spacing w:before="480" w:line="276" w:lineRule="auto"/>
      <w:outlineLvl w:val="0"/>
    </w:pPr>
    <w:rPr>
      <w:rFonts w:ascii="Calibri" w:eastAsia="Calibri" w:hAnsi="Calibri" w:cs="Calibri"/>
      <w:b/>
      <w:color w:val="366091"/>
      <w:sz w:val="28"/>
      <w:szCs w:val="28"/>
    </w:rPr>
  </w:style>
  <w:style w:type="paragraph" w:styleId="Ttulo2">
    <w:name w:val="heading 2"/>
    <w:basedOn w:val="Normal"/>
    <w:next w:val="Normal"/>
    <w:uiPriority w:val="9"/>
    <w:unhideWhenUsed/>
    <w:qFormat/>
    <w:pPr>
      <w:keepNext/>
      <w:keepLines/>
      <w:spacing w:before="200"/>
      <w:outlineLvl w:val="1"/>
    </w:pPr>
    <w:rPr>
      <w:rFonts w:ascii="Calibri" w:eastAsia="Calibri" w:hAnsi="Calibri" w:cs="Calibri"/>
      <w:b/>
      <w:color w:val="4F81BD"/>
      <w:sz w:val="26"/>
      <w:szCs w:val="26"/>
    </w:rPr>
  </w:style>
  <w:style w:type="paragraph" w:styleId="Ttulo3">
    <w:name w:val="heading 3"/>
    <w:basedOn w:val="Normal"/>
    <w:next w:val="Normal"/>
    <w:uiPriority w:val="9"/>
    <w:unhideWhenUsed/>
    <w:qFormat/>
    <w:pPr>
      <w:keepNext/>
      <w:keepLines/>
      <w:spacing w:before="200"/>
      <w:outlineLvl w:val="2"/>
    </w:pPr>
    <w:rPr>
      <w:rFonts w:ascii="Calibri" w:eastAsia="Calibri" w:hAnsi="Calibri" w:cs="Calibri"/>
      <w:b/>
      <w:color w:val="4F81BD"/>
    </w:rPr>
  </w:style>
  <w:style w:type="paragraph" w:styleId="Ttulo4">
    <w:name w:val="heading 4"/>
    <w:basedOn w:val="Normal"/>
    <w:next w:val="Normal"/>
    <w:uiPriority w:val="9"/>
    <w:semiHidden/>
    <w:unhideWhenUsed/>
    <w:qFormat/>
    <w:pPr>
      <w:keepNext/>
      <w:keepLines/>
      <w:spacing w:before="200"/>
      <w:outlineLvl w:val="3"/>
    </w:pPr>
    <w:rPr>
      <w:rFonts w:ascii="Calibri" w:eastAsia="Calibri" w:hAnsi="Calibri" w:cs="Calibri"/>
      <w:b/>
      <w:i/>
      <w:color w:val="4F81BD"/>
    </w:rPr>
  </w:style>
  <w:style w:type="paragraph" w:styleId="Ttulo5">
    <w:name w:val="heading 5"/>
    <w:basedOn w:val="Normal"/>
    <w:next w:val="Normal"/>
    <w:uiPriority w:val="9"/>
    <w:semiHidden/>
    <w:unhideWhenUsed/>
    <w:qFormat/>
    <w:pPr>
      <w:keepNext/>
      <w:keepLines/>
      <w:spacing w:before="200"/>
      <w:outlineLvl w:val="4"/>
    </w:pPr>
    <w:rPr>
      <w:rFonts w:ascii="Calibri" w:eastAsia="Calibri" w:hAnsi="Calibri" w:cs="Calibri"/>
      <w:color w:val="243F61"/>
    </w:rPr>
  </w:style>
  <w:style w:type="paragraph" w:styleId="Ttulo6">
    <w:name w:val="heading 6"/>
    <w:basedOn w:val="Normal"/>
    <w:next w:val="Normal"/>
    <w:uiPriority w:val="9"/>
    <w:semiHidden/>
    <w:unhideWhenUsed/>
    <w:qFormat/>
    <w:pPr>
      <w:keepNext/>
      <w:keepLines/>
      <w:spacing w:before="200"/>
      <w:outlineLvl w:val="5"/>
    </w:pPr>
    <w:rPr>
      <w:rFonts w:ascii="Calibri" w:eastAsia="Calibri" w:hAnsi="Calibri" w:cs="Calibri"/>
      <w:i/>
      <w:color w:val="243F6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pBdr>
        <w:bottom w:val="single" w:sz="8" w:space="4" w:color="4F81BD"/>
      </w:pBdr>
      <w:spacing w:after="300"/>
    </w:pPr>
    <w:rPr>
      <w:rFonts w:ascii="Calibri" w:eastAsia="Calibri" w:hAnsi="Calibri" w:cs="Calibri"/>
      <w:color w:val="17365D"/>
      <w:sz w:val="52"/>
      <w:szCs w:val="52"/>
    </w:rPr>
  </w:style>
  <w:style w:type="table" w:customStyle="1" w:styleId="TableNormal0">
    <w:name w:val="Table Normal0"/>
    <w:tblPr>
      <w:tblCellMar>
        <w:top w:w="0" w:type="dxa"/>
        <w:left w:w="0" w:type="dxa"/>
        <w:bottom w:w="0" w:type="dxa"/>
        <w:right w:w="0" w:type="dxa"/>
      </w:tblCellMar>
    </w:tblPr>
  </w:style>
  <w:style w:type="table" w:customStyle="1" w:styleId="TableNormal1">
    <w:name w:val="Table Normal1"/>
    <w:tblPr>
      <w:tblCellMar>
        <w:top w:w="0" w:type="dxa"/>
        <w:left w:w="0" w:type="dxa"/>
        <w:bottom w:w="0" w:type="dxa"/>
        <w:right w:w="0" w:type="dxa"/>
      </w:tblCellMar>
    </w:tblPr>
  </w:style>
  <w:style w:type="table" w:customStyle="1" w:styleId="TableNormal2">
    <w:name w:val="Table Normal2"/>
    <w:tblPr>
      <w:tblCellMar>
        <w:top w:w="0" w:type="dxa"/>
        <w:left w:w="0" w:type="dxa"/>
        <w:bottom w:w="0" w:type="dxa"/>
        <w:right w:w="0" w:type="dxa"/>
      </w:tblCellMar>
    </w:tblPr>
  </w:style>
  <w:style w:type="paragraph" w:styleId="Subttulo">
    <w:name w:val="Subtitle"/>
    <w:basedOn w:val="Normal"/>
    <w:next w:val="Normal"/>
    <w:uiPriority w:val="11"/>
    <w:qFormat/>
    <w:rPr>
      <w:rFonts w:ascii="Calibri" w:eastAsia="Calibri" w:hAnsi="Calibri" w:cs="Calibri"/>
      <w:i/>
      <w:color w:val="4F81BD"/>
    </w:rPr>
  </w:style>
  <w:style w:type="table" w:customStyle="1" w:styleId="a">
    <w:basedOn w:val="TableNormal2"/>
    <w:rPr>
      <w:rFonts w:ascii="Cambria" w:eastAsia="Cambria" w:hAnsi="Cambria" w:cs="Cambria"/>
      <w:sz w:val="22"/>
      <w:szCs w:val="22"/>
    </w:rPr>
    <w:tblPr>
      <w:tblStyleRowBandSize w:val="1"/>
      <w:tblStyleColBandSize w:val="1"/>
      <w:tblCellMar>
        <w:top w:w="0" w:type="dxa"/>
        <w:left w:w="115" w:type="dxa"/>
        <w:bottom w:w="0" w:type="dxa"/>
        <w:right w:w="115" w:type="dxa"/>
      </w:tblCellMar>
    </w:tblPr>
    <w:tblStylePr w:type="firstRow">
      <w:rPr>
        <w:b/>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rPr>
      <w:tblPr/>
      <w:tcPr>
        <w:tcBorders>
          <w:top w:val="single" w:sz="4" w:space="0" w:color="9BBB59"/>
        </w:tcBorders>
      </w:tcPr>
    </w:tblStylePr>
    <w:tblStylePr w:type="firstCol">
      <w:rPr>
        <w:b/>
      </w:rPr>
    </w:tblStylePr>
    <w:tblStylePr w:type="lastCol">
      <w:rPr>
        <w:b/>
      </w:rPr>
    </w:tblStylePr>
    <w:tblStylePr w:type="band1Vert">
      <w:tblPr/>
      <w:tcPr>
        <w:shd w:val="clear" w:color="auto" w:fill="EBF1DD"/>
      </w:tcPr>
    </w:tblStylePr>
    <w:tblStylePr w:type="band1Horz">
      <w:tblPr/>
      <w:tcPr>
        <w:shd w:val="clear" w:color="auto" w:fill="EBF1DD"/>
      </w:tcPr>
    </w:tblStylePr>
  </w:style>
  <w:style w:type="table" w:customStyle="1" w:styleId="a0">
    <w:basedOn w:val="TableNormal2"/>
    <w:rPr>
      <w:rFonts w:ascii="Cambria" w:eastAsia="Cambria" w:hAnsi="Cambria" w:cs="Cambria"/>
      <w:sz w:val="22"/>
      <w:szCs w:val="22"/>
    </w:rPr>
    <w:tblPr>
      <w:tblStyleRowBandSize w:val="1"/>
      <w:tblStyleColBandSize w:val="1"/>
      <w:tblCellMar>
        <w:top w:w="0" w:type="dxa"/>
        <w:left w:w="115" w:type="dxa"/>
        <w:bottom w:w="0" w:type="dxa"/>
        <w:right w:w="115" w:type="dxa"/>
      </w:tblCellMar>
    </w:tblPr>
    <w:tblStylePr w:type="firstRow">
      <w:rPr>
        <w:b/>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rPr>
      <w:tblPr/>
      <w:tcPr>
        <w:tcBorders>
          <w:top w:val="single" w:sz="4" w:space="0" w:color="9BBB59"/>
        </w:tcBorders>
      </w:tcPr>
    </w:tblStylePr>
    <w:tblStylePr w:type="firstCol">
      <w:rPr>
        <w:b/>
      </w:rPr>
    </w:tblStylePr>
    <w:tblStylePr w:type="lastCol">
      <w:rPr>
        <w:b/>
      </w:rPr>
    </w:tblStylePr>
    <w:tblStylePr w:type="band1Vert">
      <w:tblPr/>
      <w:tcPr>
        <w:shd w:val="clear" w:color="auto" w:fill="EBF1DD"/>
      </w:tcPr>
    </w:tblStylePr>
    <w:tblStylePr w:type="band1Horz">
      <w:tblPr/>
      <w:tcPr>
        <w:shd w:val="clear" w:color="auto" w:fill="EBF1DD"/>
      </w:tcPr>
    </w:tblStylePr>
  </w:style>
  <w:style w:type="table" w:customStyle="1" w:styleId="a1">
    <w:basedOn w:val="TableNormal2"/>
    <w:rPr>
      <w:rFonts w:ascii="Cambria" w:eastAsia="Cambria" w:hAnsi="Cambria" w:cs="Cambria"/>
      <w:sz w:val="22"/>
      <w:szCs w:val="22"/>
    </w:rPr>
    <w:tblPr>
      <w:tblStyleRowBandSize w:val="1"/>
      <w:tblStyleColBandSize w:val="1"/>
      <w:tblCellMar>
        <w:top w:w="0" w:type="dxa"/>
        <w:left w:w="115" w:type="dxa"/>
        <w:bottom w:w="0" w:type="dxa"/>
        <w:right w:w="115" w:type="dxa"/>
      </w:tblCellMar>
    </w:tblPr>
  </w:style>
  <w:style w:type="table" w:customStyle="1" w:styleId="a2">
    <w:basedOn w:val="TableNormal2"/>
    <w:rPr>
      <w:rFonts w:ascii="Cambria" w:eastAsia="Cambria" w:hAnsi="Cambria" w:cs="Cambria"/>
      <w:sz w:val="22"/>
      <w:szCs w:val="22"/>
    </w:rPr>
    <w:tblPr>
      <w:tblStyleRowBandSize w:val="1"/>
      <w:tblStyleColBandSize w:val="1"/>
      <w:tblCellMar>
        <w:top w:w="0" w:type="dxa"/>
        <w:left w:w="115" w:type="dxa"/>
        <w:bottom w:w="0" w:type="dxa"/>
        <w:right w:w="115" w:type="dxa"/>
      </w:tblCellMar>
    </w:tblPr>
  </w:style>
  <w:style w:type="table" w:customStyle="1" w:styleId="a3">
    <w:basedOn w:val="TableNormal2"/>
    <w:rPr>
      <w:rFonts w:ascii="Cambria" w:eastAsia="Cambria" w:hAnsi="Cambria" w:cs="Cambria"/>
      <w:sz w:val="22"/>
      <w:szCs w:val="22"/>
    </w:rPr>
    <w:tblPr>
      <w:tblStyleRowBandSize w:val="1"/>
      <w:tblStyleColBandSize w:val="1"/>
      <w:tblCellMar>
        <w:top w:w="0" w:type="dxa"/>
        <w:left w:w="115" w:type="dxa"/>
        <w:bottom w:w="0" w:type="dxa"/>
        <w:right w:w="115" w:type="dxa"/>
      </w:tblCellMar>
    </w:tblPr>
  </w:style>
  <w:style w:type="table" w:customStyle="1" w:styleId="a4">
    <w:basedOn w:val="TableNormal2"/>
    <w:rPr>
      <w:rFonts w:ascii="Cambria" w:eastAsia="Cambria" w:hAnsi="Cambria" w:cs="Cambria"/>
      <w:sz w:val="22"/>
      <w:szCs w:val="22"/>
    </w:rPr>
    <w:tblPr>
      <w:tblStyleRowBandSize w:val="1"/>
      <w:tblStyleColBandSize w:val="1"/>
      <w:tblCellMar>
        <w:top w:w="0" w:type="dxa"/>
        <w:left w:w="115" w:type="dxa"/>
        <w:bottom w:w="0" w:type="dxa"/>
        <w:right w:w="115" w:type="dxa"/>
      </w:tblCellMar>
    </w:tblPr>
  </w:style>
  <w:style w:type="table" w:customStyle="1" w:styleId="a5">
    <w:basedOn w:val="TableNormal2"/>
    <w:rPr>
      <w:rFonts w:ascii="Cambria" w:eastAsia="Cambria" w:hAnsi="Cambria" w:cs="Cambria"/>
      <w:sz w:val="22"/>
      <w:szCs w:val="22"/>
    </w:rPr>
    <w:tblPr>
      <w:tblStyleRowBandSize w:val="1"/>
      <w:tblStyleColBandSize w:val="1"/>
      <w:tblCellMar>
        <w:top w:w="0" w:type="dxa"/>
        <w:left w:w="115" w:type="dxa"/>
        <w:bottom w:w="0" w:type="dxa"/>
        <w:right w:w="115" w:type="dxa"/>
      </w:tblCellMar>
    </w:tblPr>
    <w:tblStylePr w:type="firstRow">
      <w:rPr>
        <w:b/>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rPr>
      <w:tblPr/>
      <w:tcPr>
        <w:tcBorders>
          <w:top w:val="single" w:sz="4" w:space="0" w:color="9BBB59"/>
        </w:tcBorders>
      </w:tcPr>
    </w:tblStylePr>
    <w:tblStylePr w:type="firstCol">
      <w:rPr>
        <w:b/>
      </w:rPr>
    </w:tblStylePr>
    <w:tblStylePr w:type="lastCol">
      <w:rPr>
        <w:b/>
      </w:rPr>
    </w:tblStylePr>
    <w:tblStylePr w:type="band1Vert">
      <w:tblPr/>
      <w:tcPr>
        <w:shd w:val="clear" w:color="auto" w:fill="EBF1DD"/>
      </w:tcPr>
    </w:tblStylePr>
    <w:tblStylePr w:type="band1Horz">
      <w:tblPr/>
      <w:tcPr>
        <w:shd w:val="clear" w:color="auto" w:fill="EBF1DD"/>
      </w:tcPr>
    </w:tblStylePr>
  </w:style>
  <w:style w:type="table" w:customStyle="1" w:styleId="a6">
    <w:basedOn w:val="TableNormal2"/>
    <w:rPr>
      <w:rFonts w:ascii="Cambria" w:eastAsia="Cambria" w:hAnsi="Cambria" w:cs="Cambria"/>
      <w:sz w:val="22"/>
      <w:szCs w:val="22"/>
    </w:rPr>
    <w:tblPr>
      <w:tblStyleRowBandSize w:val="1"/>
      <w:tblStyleColBandSize w:val="1"/>
      <w:tblCellMar>
        <w:top w:w="0" w:type="dxa"/>
        <w:left w:w="115" w:type="dxa"/>
        <w:bottom w:w="0" w:type="dxa"/>
        <w:right w:w="115" w:type="dxa"/>
      </w:tblCellMar>
    </w:tblPr>
    <w:tblStylePr w:type="firstRow">
      <w:rPr>
        <w:b/>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rPr>
      <w:tblPr/>
      <w:tcPr>
        <w:tcBorders>
          <w:top w:val="single" w:sz="4" w:space="0" w:color="9BBB59"/>
        </w:tcBorders>
      </w:tcPr>
    </w:tblStylePr>
    <w:tblStylePr w:type="firstCol">
      <w:rPr>
        <w:b/>
      </w:rPr>
    </w:tblStylePr>
    <w:tblStylePr w:type="lastCol">
      <w:rPr>
        <w:b/>
      </w:rPr>
    </w:tblStylePr>
    <w:tblStylePr w:type="band1Vert">
      <w:tblPr/>
      <w:tcPr>
        <w:shd w:val="clear" w:color="auto" w:fill="EBF1DD"/>
      </w:tcPr>
    </w:tblStylePr>
    <w:tblStylePr w:type="band1Horz">
      <w:tblPr/>
      <w:tcPr>
        <w:shd w:val="clear" w:color="auto" w:fill="EBF1DD"/>
      </w:tcPr>
    </w:tblStylePr>
  </w:style>
  <w:style w:type="table" w:customStyle="1" w:styleId="a7">
    <w:basedOn w:val="TableNormal2"/>
    <w:rPr>
      <w:rFonts w:ascii="Cambria" w:eastAsia="Cambria" w:hAnsi="Cambria" w:cs="Cambria"/>
      <w:sz w:val="22"/>
      <w:szCs w:val="22"/>
    </w:rPr>
    <w:tblPr>
      <w:tblStyleRowBandSize w:val="1"/>
      <w:tblStyleColBandSize w:val="1"/>
      <w:tblCellMar>
        <w:top w:w="0" w:type="dxa"/>
        <w:left w:w="115" w:type="dxa"/>
        <w:bottom w:w="0" w:type="dxa"/>
        <w:right w:w="115" w:type="dxa"/>
      </w:tblCellMar>
    </w:tblPr>
  </w:style>
  <w:style w:type="table" w:customStyle="1" w:styleId="a8">
    <w:basedOn w:val="TableNormal2"/>
    <w:rPr>
      <w:rFonts w:ascii="Cambria" w:eastAsia="Cambria" w:hAnsi="Cambria" w:cs="Cambria"/>
      <w:sz w:val="22"/>
      <w:szCs w:val="22"/>
    </w:rPr>
    <w:tblPr>
      <w:tblStyleRowBandSize w:val="1"/>
      <w:tblStyleColBandSize w:val="1"/>
      <w:tblCellMar>
        <w:top w:w="0" w:type="dxa"/>
        <w:left w:w="115" w:type="dxa"/>
        <w:bottom w:w="0" w:type="dxa"/>
        <w:right w:w="115" w:type="dxa"/>
      </w:tblCellMar>
    </w:tblPr>
  </w:style>
  <w:style w:type="table" w:customStyle="1" w:styleId="a9">
    <w:basedOn w:val="TableNormal2"/>
    <w:rPr>
      <w:rFonts w:ascii="Cambria" w:eastAsia="Cambria" w:hAnsi="Cambria" w:cs="Cambria"/>
      <w:sz w:val="22"/>
      <w:szCs w:val="22"/>
    </w:rPr>
    <w:tblPr>
      <w:tblStyleRowBandSize w:val="1"/>
      <w:tblStyleColBandSize w:val="1"/>
      <w:tblCellMar>
        <w:top w:w="0" w:type="dxa"/>
        <w:left w:w="115" w:type="dxa"/>
        <w:bottom w:w="0" w:type="dxa"/>
        <w:right w:w="115" w:type="dxa"/>
      </w:tblCellMar>
    </w:tblPr>
  </w:style>
  <w:style w:type="table" w:customStyle="1" w:styleId="aa">
    <w:basedOn w:val="TableNormal2"/>
    <w:rPr>
      <w:rFonts w:ascii="Cambria" w:eastAsia="Cambria" w:hAnsi="Cambria" w:cs="Cambria"/>
      <w:sz w:val="22"/>
      <w:szCs w:val="22"/>
    </w:rPr>
    <w:tblPr>
      <w:tblStyleRowBandSize w:val="1"/>
      <w:tblStyleColBandSize w:val="1"/>
      <w:tblCellMar>
        <w:top w:w="0" w:type="dxa"/>
        <w:left w:w="115" w:type="dxa"/>
        <w:bottom w:w="0" w:type="dxa"/>
        <w:right w:w="115" w:type="dxa"/>
      </w:tblCellMar>
    </w:tblPr>
  </w:style>
  <w:style w:type="table" w:customStyle="1" w:styleId="ab">
    <w:basedOn w:val="TableNormal2"/>
    <w:rPr>
      <w:rFonts w:ascii="Cambria" w:eastAsia="Cambria" w:hAnsi="Cambria" w:cs="Cambria"/>
      <w:sz w:val="22"/>
      <w:szCs w:val="22"/>
    </w:rPr>
    <w:tblPr>
      <w:tblStyleRowBandSize w:val="1"/>
      <w:tblStyleColBandSize w:val="1"/>
      <w:tblCellMar>
        <w:top w:w="0" w:type="dxa"/>
        <w:left w:w="115" w:type="dxa"/>
        <w:bottom w:w="0" w:type="dxa"/>
        <w:right w:w="115" w:type="dxa"/>
      </w:tblCellMar>
    </w:tblPr>
    <w:tblStylePr w:type="firstRow">
      <w:rPr>
        <w:b/>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rPr>
      <w:tblPr/>
      <w:tcPr>
        <w:tcBorders>
          <w:top w:val="single" w:sz="4" w:space="0" w:color="9BBB59"/>
        </w:tcBorders>
      </w:tcPr>
    </w:tblStylePr>
    <w:tblStylePr w:type="firstCol">
      <w:rPr>
        <w:b/>
      </w:rPr>
    </w:tblStylePr>
    <w:tblStylePr w:type="lastCol">
      <w:rPr>
        <w:b/>
      </w:rPr>
    </w:tblStylePr>
    <w:tblStylePr w:type="band1Vert">
      <w:tblPr/>
      <w:tcPr>
        <w:shd w:val="clear" w:color="auto" w:fill="EBF1DD"/>
      </w:tcPr>
    </w:tblStylePr>
    <w:tblStylePr w:type="band1Horz">
      <w:tblPr/>
      <w:tcPr>
        <w:shd w:val="clear" w:color="auto" w:fill="EBF1DD"/>
      </w:tcPr>
    </w:tblStylePr>
  </w:style>
  <w:style w:type="table" w:customStyle="1" w:styleId="ac">
    <w:basedOn w:val="TableNormal2"/>
    <w:rPr>
      <w:rFonts w:ascii="Cambria" w:eastAsia="Cambria" w:hAnsi="Cambria" w:cs="Cambria"/>
      <w:sz w:val="22"/>
      <w:szCs w:val="22"/>
    </w:rPr>
    <w:tblPr>
      <w:tblStyleRowBandSize w:val="1"/>
      <w:tblStyleColBandSize w:val="1"/>
      <w:tblCellMar>
        <w:top w:w="0" w:type="dxa"/>
        <w:left w:w="115" w:type="dxa"/>
        <w:bottom w:w="0" w:type="dxa"/>
        <w:right w:w="115" w:type="dxa"/>
      </w:tblCellMar>
    </w:tblPr>
    <w:tblStylePr w:type="firstRow">
      <w:rPr>
        <w:b/>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rPr>
      <w:tblPr/>
      <w:tcPr>
        <w:tcBorders>
          <w:top w:val="single" w:sz="4" w:space="0" w:color="9BBB59"/>
        </w:tcBorders>
      </w:tcPr>
    </w:tblStylePr>
    <w:tblStylePr w:type="firstCol">
      <w:rPr>
        <w:b/>
      </w:rPr>
    </w:tblStylePr>
    <w:tblStylePr w:type="lastCol">
      <w:rPr>
        <w:b/>
      </w:rPr>
    </w:tblStylePr>
    <w:tblStylePr w:type="band1Vert">
      <w:tblPr/>
      <w:tcPr>
        <w:shd w:val="clear" w:color="auto" w:fill="EBF1DD"/>
      </w:tcPr>
    </w:tblStylePr>
    <w:tblStylePr w:type="band1Horz">
      <w:tblPr/>
      <w:tcPr>
        <w:shd w:val="clear" w:color="auto" w:fill="EBF1DD"/>
      </w:tcPr>
    </w:tblStylePr>
  </w:style>
  <w:style w:type="table" w:customStyle="1" w:styleId="ad">
    <w:basedOn w:val="TableNormal2"/>
    <w:rPr>
      <w:rFonts w:ascii="Cambria" w:eastAsia="Cambria" w:hAnsi="Cambria" w:cs="Cambria"/>
      <w:sz w:val="22"/>
      <w:szCs w:val="22"/>
    </w:rPr>
    <w:tblPr>
      <w:tblStyleRowBandSize w:val="1"/>
      <w:tblStyleColBandSize w:val="1"/>
      <w:tblCellMar>
        <w:top w:w="0" w:type="dxa"/>
        <w:left w:w="115" w:type="dxa"/>
        <w:bottom w:w="0" w:type="dxa"/>
        <w:right w:w="115" w:type="dxa"/>
      </w:tblCellMar>
    </w:tblPr>
  </w:style>
  <w:style w:type="table" w:customStyle="1" w:styleId="ae">
    <w:basedOn w:val="TableNormal2"/>
    <w:rPr>
      <w:rFonts w:ascii="Cambria" w:eastAsia="Cambria" w:hAnsi="Cambria" w:cs="Cambria"/>
      <w:sz w:val="22"/>
      <w:szCs w:val="22"/>
    </w:rPr>
    <w:tblPr>
      <w:tblStyleRowBandSize w:val="1"/>
      <w:tblStyleColBandSize w:val="1"/>
      <w:tblCellMar>
        <w:top w:w="0" w:type="dxa"/>
        <w:left w:w="115" w:type="dxa"/>
        <w:bottom w:w="0" w:type="dxa"/>
        <w:right w:w="115" w:type="dxa"/>
      </w:tblCellMar>
    </w:tblPr>
  </w:style>
  <w:style w:type="table" w:customStyle="1" w:styleId="af">
    <w:basedOn w:val="TableNormal2"/>
    <w:rPr>
      <w:rFonts w:ascii="Cambria" w:eastAsia="Cambria" w:hAnsi="Cambria" w:cs="Cambria"/>
      <w:sz w:val="22"/>
      <w:szCs w:val="22"/>
    </w:rPr>
    <w:tblPr>
      <w:tblStyleRowBandSize w:val="1"/>
      <w:tblStyleColBandSize w:val="1"/>
      <w:tblCellMar>
        <w:top w:w="0" w:type="dxa"/>
        <w:left w:w="115" w:type="dxa"/>
        <w:bottom w:w="0" w:type="dxa"/>
        <w:right w:w="115" w:type="dxa"/>
      </w:tblCellMar>
    </w:tblPr>
  </w:style>
  <w:style w:type="table" w:customStyle="1" w:styleId="af0">
    <w:basedOn w:val="TableNormal2"/>
    <w:rPr>
      <w:rFonts w:ascii="Cambria" w:eastAsia="Cambria" w:hAnsi="Cambria" w:cs="Cambria"/>
      <w:sz w:val="22"/>
      <w:szCs w:val="22"/>
    </w:rPr>
    <w:tblPr>
      <w:tblStyleRowBandSize w:val="1"/>
      <w:tblStyleColBandSize w:val="1"/>
      <w:tblCellMar>
        <w:top w:w="0" w:type="dxa"/>
        <w:left w:w="115" w:type="dxa"/>
        <w:bottom w:w="0" w:type="dxa"/>
        <w:right w:w="115" w:type="dxa"/>
      </w:tblCellMar>
    </w:tblPr>
  </w:style>
  <w:style w:type="table" w:customStyle="1" w:styleId="af1">
    <w:basedOn w:val="TableNormal2"/>
    <w:rPr>
      <w:rFonts w:ascii="Cambria" w:eastAsia="Cambria" w:hAnsi="Cambria" w:cs="Cambria"/>
      <w:sz w:val="22"/>
      <w:szCs w:val="22"/>
    </w:rPr>
    <w:tblPr>
      <w:tblStyleRowBandSize w:val="1"/>
      <w:tblStyleColBandSize w:val="1"/>
      <w:tblCellMar>
        <w:top w:w="0" w:type="dxa"/>
        <w:left w:w="115" w:type="dxa"/>
        <w:bottom w:w="0" w:type="dxa"/>
        <w:right w:w="115" w:type="dxa"/>
      </w:tblCellMar>
    </w:tblPr>
    <w:tblStylePr w:type="firstRow">
      <w:rPr>
        <w:b/>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rPr>
      <w:tblPr/>
      <w:tcPr>
        <w:tcBorders>
          <w:top w:val="single" w:sz="4" w:space="0" w:color="9BBB59"/>
        </w:tcBorders>
      </w:tcPr>
    </w:tblStylePr>
    <w:tblStylePr w:type="firstCol">
      <w:rPr>
        <w:b/>
      </w:rPr>
    </w:tblStylePr>
    <w:tblStylePr w:type="lastCol">
      <w:rPr>
        <w:b/>
      </w:rPr>
    </w:tblStylePr>
    <w:tblStylePr w:type="band1Vert">
      <w:tblPr/>
      <w:tcPr>
        <w:shd w:val="clear" w:color="auto" w:fill="EBF1DD"/>
      </w:tcPr>
    </w:tblStylePr>
    <w:tblStylePr w:type="band1Horz">
      <w:tblPr/>
      <w:tcPr>
        <w:shd w:val="clear" w:color="auto" w:fill="EBF1DD"/>
      </w:tcPr>
    </w:tblStylePr>
  </w:style>
  <w:style w:type="table" w:customStyle="1" w:styleId="af2">
    <w:basedOn w:val="TableNormal2"/>
    <w:rPr>
      <w:rFonts w:ascii="Cambria" w:eastAsia="Cambria" w:hAnsi="Cambria" w:cs="Cambria"/>
      <w:sz w:val="22"/>
      <w:szCs w:val="22"/>
    </w:rPr>
    <w:tblPr>
      <w:tblStyleRowBandSize w:val="1"/>
      <w:tblStyleColBandSize w:val="1"/>
      <w:tblCellMar>
        <w:top w:w="0" w:type="dxa"/>
        <w:left w:w="115" w:type="dxa"/>
        <w:bottom w:w="0" w:type="dxa"/>
        <w:right w:w="115" w:type="dxa"/>
      </w:tblCellMar>
    </w:tblPr>
    <w:tblStylePr w:type="firstRow">
      <w:rPr>
        <w:b/>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rPr>
      <w:tblPr/>
      <w:tcPr>
        <w:tcBorders>
          <w:top w:val="single" w:sz="4" w:space="0" w:color="9BBB59"/>
        </w:tcBorders>
      </w:tcPr>
    </w:tblStylePr>
    <w:tblStylePr w:type="firstCol">
      <w:rPr>
        <w:b/>
      </w:rPr>
    </w:tblStylePr>
    <w:tblStylePr w:type="lastCol">
      <w:rPr>
        <w:b/>
      </w:rPr>
    </w:tblStylePr>
    <w:tblStylePr w:type="band1Vert">
      <w:tblPr/>
      <w:tcPr>
        <w:shd w:val="clear" w:color="auto" w:fill="EBF1DD"/>
      </w:tcPr>
    </w:tblStylePr>
    <w:tblStylePr w:type="band1Horz">
      <w:tblPr/>
      <w:tcPr>
        <w:shd w:val="clear" w:color="auto" w:fill="EBF1DD"/>
      </w:tcPr>
    </w:tblStylePr>
  </w:style>
  <w:style w:type="table" w:customStyle="1" w:styleId="af3">
    <w:basedOn w:val="TableNormal2"/>
    <w:rPr>
      <w:rFonts w:ascii="Cambria" w:eastAsia="Cambria" w:hAnsi="Cambria" w:cs="Cambria"/>
      <w:sz w:val="22"/>
      <w:szCs w:val="22"/>
    </w:rPr>
    <w:tblPr>
      <w:tblStyleRowBandSize w:val="1"/>
      <w:tblStyleColBandSize w:val="1"/>
      <w:tblCellMar>
        <w:top w:w="0" w:type="dxa"/>
        <w:left w:w="115" w:type="dxa"/>
        <w:bottom w:w="0" w:type="dxa"/>
        <w:right w:w="115" w:type="dxa"/>
      </w:tblCellMar>
    </w:tblPr>
  </w:style>
  <w:style w:type="table" w:customStyle="1" w:styleId="af4">
    <w:basedOn w:val="TableNormal2"/>
    <w:rPr>
      <w:rFonts w:ascii="Cambria" w:eastAsia="Cambria" w:hAnsi="Cambria" w:cs="Cambria"/>
      <w:sz w:val="22"/>
      <w:szCs w:val="22"/>
    </w:rPr>
    <w:tblPr>
      <w:tblStyleRowBandSize w:val="1"/>
      <w:tblStyleColBandSize w:val="1"/>
      <w:tblCellMar>
        <w:top w:w="0" w:type="dxa"/>
        <w:left w:w="115" w:type="dxa"/>
        <w:bottom w:w="0" w:type="dxa"/>
        <w:right w:w="115" w:type="dxa"/>
      </w:tblCellMar>
    </w:tblPr>
  </w:style>
  <w:style w:type="table" w:customStyle="1" w:styleId="af5">
    <w:basedOn w:val="TableNormal2"/>
    <w:rPr>
      <w:rFonts w:ascii="Cambria" w:eastAsia="Cambria" w:hAnsi="Cambria" w:cs="Cambria"/>
      <w:sz w:val="22"/>
      <w:szCs w:val="22"/>
    </w:rPr>
    <w:tblPr>
      <w:tblStyleRowBandSize w:val="1"/>
      <w:tblStyleColBandSize w:val="1"/>
      <w:tblCellMar>
        <w:top w:w="0" w:type="dxa"/>
        <w:left w:w="115" w:type="dxa"/>
        <w:bottom w:w="0" w:type="dxa"/>
        <w:right w:w="115" w:type="dxa"/>
      </w:tblCellMar>
    </w:tblPr>
  </w:style>
  <w:style w:type="table" w:customStyle="1" w:styleId="af6">
    <w:basedOn w:val="TableNormal2"/>
    <w:rPr>
      <w:rFonts w:ascii="Cambria" w:eastAsia="Cambria" w:hAnsi="Cambria" w:cs="Cambria"/>
      <w:sz w:val="22"/>
      <w:szCs w:val="22"/>
    </w:rPr>
    <w:tblPr>
      <w:tblStyleRowBandSize w:val="1"/>
      <w:tblStyleColBandSize w:val="1"/>
      <w:tblCellMar>
        <w:top w:w="0" w:type="dxa"/>
        <w:left w:w="115" w:type="dxa"/>
        <w:bottom w:w="0" w:type="dxa"/>
        <w:right w:w="115" w:type="dxa"/>
      </w:tblCellMar>
    </w:tblPr>
  </w:style>
  <w:style w:type="paragraph" w:styleId="Textodeglobo">
    <w:name w:val="Balloon Text"/>
    <w:basedOn w:val="Normal"/>
    <w:link w:val="TextodegloboCar"/>
    <w:uiPriority w:val="99"/>
    <w:semiHidden/>
    <w:unhideWhenUsed/>
    <w:rsid w:val="00C20BE8"/>
    <w:rPr>
      <w:rFonts w:ascii="Tahoma" w:hAnsi="Tahoma" w:cs="Tahoma"/>
      <w:sz w:val="16"/>
      <w:szCs w:val="16"/>
    </w:rPr>
  </w:style>
  <w:style w:type="character" w:customStyle="1" w:styleId="TextodegloboCar">
    <w:name w:val="Texto de globo Car"/>
    <w:basedOn w:val="Fuentedeprrafopredeter"/>
    <w:link w:val="Textodeglobo"/>
    <w:uiPriority w:val="99"/>
    <w:semiHidden/>
    <w:rsid w:val="00C20BE8"/>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4"/>
        <w:szCs w:val="24"/>
        <w:lang w:val="es-AR"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uiPriority w:val="9"/>
    <w:qFormat/>
    <w:pPr>
      <w:keepNext/>
      <w:keepLines/>
      <w:spacing w:before="480" w:line="276" w:lineRule="auto"/>
      <w:outlineLvl w:val="0"/>
    </w:pPr>
    <w:rPr>
      <w:rFonts w:ascii="Calibri" w:eastAsia="Calibri" w:hAnsi="Calibri" w:cs="Calibri"/>
      <w:b/>
      <w:color w:val="366091"/>
      <w:sz w:val="28"/>
      <w:szCs w:val="28"/>
    </w:rPr>
  </w:style>
  <w:style w:type="paragraph" w:styleId="Ttulo2">
    <w:name w:val="heading 2"/>
    <w:basedOn w:val="Normal"/>
    <w:next w:val="Normal"/>
    <w:uiPriority w:val="9"/>
    <w:unhideWhenUsed/>
    <w:qFormat/>
    <w:pPr>
      <w:keepNext/>
      <w:keepLines/>
      <w:spacing w:before="200"/>
      <w:outlineLvl w:val="1"/>
    </w:pPr>
    <w:rPr>
      <w:rFonts w:ascii="Calibri" w:eastAsia="Calibri" w:hAnsi="Calibri" w:cs="Calibri"/>
      <w:b/>
      <w:color w:val="4F81BD"/>
      <w:sz w:val="26"/>
      <w:szCs w:val="26"/>
    </w:rPr>
  </w:style>
  <w:style w:type="paragraph" w:styleId="Ttulo3">
    <w:name w:val="heading 3"/>
    <w:basedOn w:val="Normal"/>
    <w:next w:val="Normal"/>
    <w:uiPriority w:val="9"/>
    <w:unhideWhenUsed/>
    <w:qFormat/>
    <w:pPr>
      <w:keepNext/>
      <w:keepLines/>
      <w:spacing w:before="200"/>
      <w:outlineLvl w:val="2"/>
    </w:pPr>
    <w:rPr>
      <w:rFonts w:ascii="Calibri" w:eastAsia="Calibri" w:hAnsi="Calibri" w:cs="Calibri"/>
      <w:b/>
      <w:color w:val="4F81BD"/>
    </w:rPr>
  </w:style>
  <w:style w:type="paragraph" w:styleId="Ttulo4">
    <w:name w:val="heading 4"/>
    <w:basedOn w:val="Normal"/>
    <w:next w:val="Normal"/>
    <w:uiPriority w:val="9"/>
    <w:semiHidden/>
    <w:unhideWhenUsed/>
    <w:qFormat/>
    <w:pPr>
      <w:keepNext/>
      <w:keepLines/>
      <w:spacing w:before="200"/>
      <w:outlineLvl w:val="3"/>
    </w:pPr>
    <w:rPr>
      <w:rFonts w:ascii="Calibri" w:eastAsia="Calibri" w:hAnsi="Calibri" w:cs="Calibri"/>
      <w:b/>
      <w:i/>
      <w:color w:val="4F81BD"/>
    </w:rPr>
  </w:style>
  <w:style w:type="paragraph" w:styleId="Ttulo5">
    <w:name w:val="heading 5"/>
    <w:basedOn w:val="Normal"/>
    <w:next w:val="Normal"/>
    <w:uiPriority w:val="9"/>
    <w:semiHidden/>
    <w:unhideWhenUsed/>
    <w:qFormat/>
    <w:pPr>
      <w:keepNext/>
      <w:keepLines/>
      <w:spacing w:before="200"/>
      <w:outlineLvl w:val="4"/>
    </w:pPr>
    <w:rPr>
      <w:rFonts w:ascii="Calibri" w:eastAsia="Calibri" w:hAnsi="Calibri" w:cs="Calibri"/>
      <w:color w:val="243F61"/>
    </w:rPr>
  </w:style>
  <w:style w:type="paragraph" w:styleId="Ttulo6">
    <w:name w:val="heading 6"/>
    <w:basedOn w:val="Normal"/>
    <w:next w:val="Normal"/>
    <w:uiPriority w:val="9"/>
    <w:semiHidden/>
    <w:unhideWhenUsed/>
    <w:qFormat/>
    <w:pPr>
      <w:keepNext/>
      <w:keepLines/>
      <w:spacing w:before="200"/>
      <w:outlineLvl w:val="5"/>
    </w:pPr>
    <w:rPr>
      <w:rFonts w:ascii="Calibri" w:eastAsia="Calibri" w:hAnsi="Calibri" w:cs="Calibri"/>
      <w:i/>
      <w:color w:val="243F6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pBdr>
        <w:bottom w:val="single" w:sz="8" w:space="4" w:color="4F81BD"/>
      </w:pBdr>
      <w:spacing w:after="300"/>
    </w:pPr>
    <w:rPr>
      <w:rFonts w:ascii="Calibri" w:eastAsia="Calibri" w:hAnsi="Calibri" w:cs="Calibri"/>
      <w:color w:val="17365D"/>
      <w:sz w:val="52"/>
      <w:szCs w:val="52"/>
    </w:rPr>
  </w:style>
  <w:style w:type="table" w:customStyle="1" w:styleId="TableNormal0">
    <w:name w:val="Table Normal0"/>
    <w:tblPr>
      <w:tblCellMar>
        <w:top w:w="0" w:type="dxa"/>
        <w:left w:w="0" w:type="dxa"/>
        <w:bottom w:w="0" w:type="dxa"/>
        <w:right w:w="0" w:type="dxa"/>
      </w:tblCellMar>
    </w:tblPr>
  </w:style>
  <w:style w:type="table" w:customStyle="1" w:styleId="TableNormal1">
    <w:name w:val="Table Normal1"/>
    <w:tblPr>
      <w:tblCellMar>
        <w:top w:w="0" w:type="dxa"/>
        <w:left w:w="0" w:type="dxa"/>
        <w:bottom w:w="0" w:type="dxa"/>
        <w:right w:w="0" w:type="dxa"/>
      </w:tblCellMar>
    </w:tblPr>
  </w:style>
  <w:style w:type="table" w:customStyle="1" w:styleId="TableNormal2">
    <w:name w:val="Table Normal2"/>
    <w:tblPr>
      <w:tblCellMar>
        <w:top w:w="0" w:type="dxa"/>
        <w:left w:w="0" w:type="dxa"/>
        <w:bottom w:w="0" w:type="dxa"/>
        <w:right w:w="0" w:type="dxa"/>
      </w:tblCellMar>
    </w:tblPr>
  </w:style>
  <w:style w:type="paragraph" w:styleId="Subttulo">
    <w:name w:val="Subtitle"/>
    <w:basedOn w:val="Normal"/>
    <w:next w:val="Normal"/>
    <w:uiPriority w:val="11"/>
    <w:qFormat/>
    <w:rPr>
      <w:rFonts w:ascii="Calibri" w:eastAsia="Calibri" w:hAnsi="Calibri" w:cs="Calibri"/>
      <w:i/>
      <w:color w:val="4F81BD"/>
    </w:rPr>
  </w:style>
  <w:style w:type="table" w:customStyle="1" w:styleId="a">
    <w:basedOn w:val="TableNormal2"/>
    <w:rPr>
      <w:rFonts w:ascii="Cambria" w:eastAsia="Cambria" w:hAnsi="Cambria" w:cs="Cambria"/>
      <w:sz w:val="22"/>
      <w:szCs w:val="22"/>
    </w:rPr>
    <w:tblPr>
      <w:tblStyleRowBandSize w:val="1"/>
      <w:tblStyleColBandSize w:val="1"/>
      <w:tblCellMar>
        <w:top w:w="0" w:type="dxa"/>
        <w:left w:w="115" w:type="dxa"/>
        <w:bottom w:w="0" w:type="dxa"/>
        <w:right w:w="115" w:type="dxa"/>
      </w:tblCellMar>
    </w:tblPr>
    <w:tblStylePr w:type="firstRow">
      <w:rPr>
        <w:b/>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rPr>
      <w:tblPr/>
      <w:tcPr>
        <w:tcBorders>
          <w:top w:val="single" w:sz="4" w:space="0" w:color="9BBB59"/>
        </w:tcBorders>
      </w:tcPr>
    </w:tblStylePr>
    <w:tblStylePr w:type="firstCol">
      <w:rPr>
        <w:b/>
      </w:rPr>
    </w:tblStylePr>
    <w:tblStylePr w:type="lastCol">
      <w:rPr>
        <w:b/>
      </w:rPr>
    </w:tblStylePr>
    <w:tblStylePr w:type="band1Vert">
      <w:tblPr/>
      <w:tcPr>
        <w:shd w:val="clear" w:color="auto" w:fill="EBF1DD"/>
      </w:tcPr>
    </w:tblStylePr>
    <w:tblStylePr w:type="band1Horz">
      <w:tblPr/>
      <w:tcPr>
        <w:shd w:val="clear" w:color="auto" w:fill="EBF1DD"/>
      </w:tcPr>
    </w:tblStylePr>
  </w:style>
  <w:style w:type="table" w:customStyle="1" w:styleId="a0">
    <w:basedOn w:val="TableNormal2"/>
    <w:rPr>
      <w:rFonts w:ascii="Cambria" w:eastAsia="Cambria" w:hAnsi="Cambria" w:cs="Cambria"/>
      <w:sz w:val="22"/>
      <w:szCs w:val="22"/>
    </w:rPr>
    <w:tblPr>
      <w:tblStyleRowBandSize w:val="1"/>
      <w:tblStyleColBandSize w:val="1"/>
      <w:tblCellMar>
        <w:top w:w="0" w:type="dxa"/>
        <w:left w:w="115" w:type="dxa"/>
        <w:bottom w:w="0" w:type="dxa"/>
        <w:right w:w="115" w:type="dxa"/>
      </w:tblCellMar>
    </w:tblPr>
    <w:tblStylePr w:type="firstRow">
      <w:rPr>
        <w:b/>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rPr>
      <w:tblPr/>
      <w:tcPr>
        <w:tcBorders>
          <w:top w:val="single" w:sz="4" w:space="0" w:color="9BBB59"/>
        </w:tcBorders>
      </w:tcPr>
    </w:tblStylePr>
    <w:tblStylePr w:type="firstCol">
      <w:rPr>
        <w:b/>
      </w:rPr>
    </w:tblStylePr>
    <w:tblStylePr w:type="lastCol">
      <w:rPr>
        <w:b/>
      </w:rPr>
    </w:tblStylePr>
    <w:tblStylePr w:type="band1Vert">
      <w:tblPr/>
      <w:tcPr>
        <w:shd w:val="clear" w:color="auto" w:fill="EBF1DD"/>
      </w:tcPr>
    </w:tblStylePr>
    <w:tblStylePr w:type="band1Horz">
      <w:tblPr/>
      <w:tcPr>
        <w:shd w:val="clear" w:color="auto" w:fill="EBF1DD"/>
      </w:tcPr>
    </w:tblStylePr>
  </w:style>
  <w:style w:type="table" w:customStyle="1" w:styleId="a1">
    <w:basedOn w:val="TableNormal2"/>
    <w:rPr>
      <w:rFonts w:ascii="Cambria" w:eastAsia="Cambria" w:hAnsi="Cambria" w:cs="Cambria"/>
      <w:sz w:val="22"/>
      <w:szCs w:val="22"/>
    </w:rPr>
    <w:tblPr>
      <w:tblStyleRowBandSize w:val="1"/>
      <w:tblStyleColBandSize w:val="1"/>
      <w:tblCellMar>
        <w:top w:w="0" w:type="dxa"/>
        <w:left w:w="115" w:type="dxa"/>
        <w:bottom w:w="0" w:type="dxa"/>
        <w:right w:w="115" w:type="dxa"/>
      </w:tblCellMar>
    </w:tblPr>
  </w:style>
  <w:style w:type="table" w:customStyle="1" w:styleId="a2">
    <w:basedOn w:val="TableNormal2"/>
    <w:rPr>
      <w:rFonts w:ascii="Cambria" w:eastAsia="Cambria" w:hAnsi="Cambria" w:cs="Cambria"/>
      <w:sz w:val="22"/>
      <w:szCs w:val="22"/>
    </w:rPr>
    <w:tblPr>
      <w:tblStyleRowBandSize w:val="1"/>
      <w:tblStyleColBandSize w:val="1"/>
      <w:tblCellMar>
        <w:top w:w="0" w:type="dxa"/>
        <w:left w:w="115" w:type="dxa"/>
        <w:bottom w:w="0" w:type="dxa"/>
        <w:right w:w="115" w:type="dxa"/>
      </w:tblCellMar>
    </w:tblPr>
  </w:style>
  <w:style w:type="table" w:customStyle="1" w:styleId="a3">
    <w:basedOn w:val="TableNormal2"/>
    <w:rPr>
      <w:rFonts w:ascii="Cambria" w:eastAsia="Cambria" w:hAnsi="Cambria" w:cs="Cambria"/>
      <w:sz w:val="22"/>
      <w:szCs w:val="22"/>
    </w:rPr>
    <w:tblPr>
      <w:tblStyleRowBandSize w:val="1"/>
      <w:tblStyleColBandSize w:val="1"/>
      <w:tblCellMar>
        <w:top w:w="0" w:type="dxa"/>
        <w:left w:w="115" w:type="dxa"/>
        <w:bottom w:w="0" w:type="dxa"/>
        <w:right w:w="115" w:type="dxa"/>
      </w:tblCellMar>
    </w:tblPr>
  </w:style>
  <w:style w:type="table" w:customStyle="1" w:styleId="a4">
    <w:basedOn w:val="TableNormal2"/>
    <w:rPr>
      <w:rFonts w:ascii="Cambria" w:eastAsia="Cambria" w:hAnsi="Cambria" w:cs="Cambria"/>
      <w:sz w:val="22"/>
      <w:szCs w:val="22"/>
    </w:rPr>
    <w:tblPr>
      <w:tblStyleRowBandSize w:val="1"/>
      <w:tblStyleColBandSize w:val="1"/>
      <w:tblCellMar>
        <w:top w:w="0" w:type="dxa"/>
        <w:left w:w="115" w:type="dxa"/>
        <w:bottom w:w="0" w:type="dxa"/>
        <w:right w:w="115" w:type="dxa"/>
      </w:tblCellMar>
    </w:tblPr>
  </w:style>
  <w:style w:type="table" w:customStyle="1" w:styleId="a5">
    <w:basedOn w:val="TableNormal2"/>
    <w:rPr>
      <w:rFonts w:ascii="Cambria" w:eastAsia="Cambria" w:hAnsi="Cambria" w:cs="Cambria"/>
      <w:sz w:val="22"/>
      <w:szCs w:val="22"/>
    </w:rPr>
    <w:tblPr>
      <w:tblStyleRowBandSize w:val="1"/>
      <w:tblStyleColBandSize w:val="1"/>
      <w:tblCellMar>
        <w:top w:w="0" w:type="dxa"/>
        <w:left w:w="115" w:type="dxa"/>
        <w:bottom w:w="0" w:type="dxa"/>
        <w:right w:w="115" w:type="dxa"/>
      </w:tblCellMar>
    </w:tblPr>
    <w:tblStylePr w:type="firstRow">
      <w:rPr>
        <w:b/>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rPr>
      <w:tblPr/>
      <w:tcPr>
        <w:tcBorders>
          <w:top w:val="single" w:sz="4" w:space="0" w:color="9BBB59"/>
        </w:tcBorders>
      </w:tcPr>
    </w:tblStylePr>
    <w:tblStylePr w:type="firstCol">
      <w:rPr>
        <w:b/>
      </w:rPr>
    </w:tblStylePr>
    <w:tblStylePr w:type="lastCol">
      <w:rPr>
        <w:b/>
      </w:rPr>
    </w:tblStylePr>
    <w:tblStylePr w:type="band1Vert">
      <w:tblPr/>
      <w:tcPr>
        <w:shd w:val="clear" w:color="auto" w:fill="EBF1DD"/>
      </w:tcPr>
    </w:tblStylePr>
    <w:tblStylePr w:type="band1Horz">
      <w:tblPr/>
      <w:tcPr>
        <w:shd w:val="clear" w:color="auto" w:fill="EBF1DD"/>
      </w:tcPr>
    </w:tblStylePr>
  </w:style>
  <w:style w:type="table" w:customStyle="1" w:styleId="a6">
    <w:basedOn w:val="TableNormal2"/>
    <w:rPr>
      <w:rFonts w:ascii="Cambria" w:eastAsia="Cambria" w:hAnsi="Cambria" w:cs="Cambria"/>
      <w:sz w:val="22"/>
      <w:szCs w:val="22"/>
    </w:rPr>
    <w:tblPr>
      <w:tblStyleRowBandSize w:val="1"/>
      <w:tblStyleColBandSize w:val="1"/>
      <w:tblCellMar>
        <w:top w:w="0" w:type="dxa"/>
        <w:left w:w="115" w:type="dxa"/>
        <w:bottom w:w="0" w:type="dxa"/>
        <w:right w:w="115" w:type="dxa"/>
      </w:tblCellMar>
    </w:tblPr>
    <w:tblStylePr w:type="firstRow">
      <w:rPr>
        <w:b/>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rPr>
      <w:tblPr/>
      <w:tcPr>
        <w:tcBorders>
          <w:top w:val="single" w:sz="4" w:space="0" w:color="9BBB59"/>
        </w:tcBorders>
      </w:tcPr>
    </w:tblStylePr>
    <w:tblStylePr w:type="firstCol">
      <w:rPr>
        <w:b/>
      </w:rPr>
    </w:tblStylePr>
    <w:tblStylePr w:type="lastCol">
      <w:rPr>
        <w:b/>
      </w:rPr>
    </w:tblStylePr>
    <w:tblStylePr w:type="band1Vert">
      <w:tblPr/>
      <w:tcPr>
        <w:shd w:val="clear" w:color="auto" w:fill="EBF1DD"/>
      </w:tcPr>
    </w:tblStylePr>
    <w:tblStylePr w:type="band1Horz">
      <w:tblPr/>
      <w:tcPr>
        <w:shd w:val="clear" w:color="auto" w:fill="EBF1DD"/>
      </w:tcPr>
    </w:tblStylePr>
  </w:style>
  <w:style w:type="table" w:customStyle="1" w:styleId="a7">
    <w:basedOn w:val="TableNormal2"/>
    <w:rPr>
      <w:rFonts w:ascii="Cambria" w:eastAsia="Cambria" w:hAnsi="Cambria" w:cs="Cambria"/>
      <w:sz w:val="22"/>
      <w:szCs w:val="22"/>
    </w:rPr>
    <w:tblPr>
      <w:tblStyleRowBandSize w:val="1"/>
      <w:tblStyleColBandSize w:val="1"/>
      <w:tblCellMar>
        <w:top w:w="0" w:type="dxa"/>
        <w:left w:w="115" w:type="dxa"/>
        <w:bottom w:w="0" w:type="dxa"/>
        <w:right w:w="115" w:type="dxa"/>
      </w:tblCellMar>
    </w:tblPr>
  </w:style>
  <w:style w:type="table" w:customStyle="1" w:styleId="a8">
    <w:basedOn w:val="TableNormal2"/>
    <w:rPr>
      <w:rFonts w:ascii="Cambria" w:eastAsia="Cambria" w:hAnsi="Cambria" w:cs="Cambria"/>
      <w:sz w:val="22"/>
      <w:szCs w:val="22"/>
    </w:rPr>
    <w:tblPr>
      <w:tblStyleRowBandSize w:val="1"/>
      <w:tblStyleColBandSize w:val="1"/>
      <w:tblCellMar>
        <w:top w:w="0" w:type="dxa"/>
        <w:left w:w="115" w:type="dxa"/>
        <w:bottom w:w="0" w:type="dxa"/>
        <w:right w:w="115" w:type="dxa"/>
      </w:tblCellMar>
    </w:tblPr>
  </w:style>
  <w:style w:type="table" w:customStyle="1" w:styleId="a9">
    <w:basedOn w:val="TableNormal2"/>
    <w:rPr>
      <w:rFonts w:ascii="Cambria" w:eastAsia="Cambria" w:hAnsi="Cambria" w:cs="Cambria"/>
      <w:sz w:val="22"/>
      <w:szCs w:val="22"/>
    </w:rPr>
    <w:tblPr>
      <w:tblStyleRowBandSize w:val="1"/>
      <w:tblStyleColBandSize w:val="1"/>
      <w:tblCellMar>
        <w:top w:w="0" w:type="dxa"/>
        <w:left w:w="115" w:type="dxa"/>
        <w:bottom w:w="0" w:type="dxa"/>
        <w:right w:w="115" w:type="dxa"/>
      </w:tblCellMar>
    </w:tblPr>
  </w:style>
  <w:style w:type="table" w:customStyle="1" w:styleId="aa">
    <w:basedOn w:val="TableNormal2"/>
    <w:rPr>
      <w:rFonts w:ascii="Cambria" w:eastAsia="Cambria" w:hAnsi="Cambria" w:cs="Cambria"/>
      <w:sz w:val="22"/>
      <w:szCs w:val="22"/>
    </w:rPr>
    <w:tblPr>
      <w:tblStyleRowBandSize w:val="1"/>
      <w:tblStyleColBandSize w:val="1"/>
      <w:tblCellMar>
        <w:top w:w="0" w:type="dxa"/>
        <w:left w:w="115" w:type="dxa"/>
        <w:bottom w:w="0" w:type="dxa"/>
        <w:right w:w="115" w:type="dxa"/>
      </w:tblCellMar>
    </w:tblPr>
  </w:style>
  <w:style w:type="table" w:customStyle="1" w:styleId="ab">
    <w:basedOn w:val="TableNormal2"/>
    <w:rPr>
      <w:rFonts w:ascii="Cambria" w:eastAsia="Cambria" w:hAnsi="Cambria" w:cs="Cambria"/>
      <w:sz w:val="22"/>
      <w:szCs w:val="22"/>
    </w:rPr>
    <w:tblPr>
      <w:tblStyleRowBandSize w:val="1"/>
      <w:tblStyleColBandSize w:val="1"/>
      <w:tblCellMar>
        <w:top w:w="0" w:type="dxa"/>
        <w:left w:w="115" w:type="dxa"/>
        <w:bottom w:w="0" w:type="dxa"/>
        <w:right w:w="115" w:type="dxa"/>
      </w:tblCellMar>
    </w:tblPr>
    <w:tblStylePr w:type="firstRow">
      <w:rPr>
        <w:b/>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rPr>
      <w:tblPr/>
      <w:tcPr>
        <w:tcBorders>
          <w:top w:val="single" w:sz="4" w:space="0" w:color="9BBB59"/>
        </w:tcBorders>
      </w:tcPr>
    </w:tblStylePr>
    <w:tblStylePr w:type="firstCol">
      <w:rPr>
        <w:b/>
      </w:rPr>
    </w:tblStylePr>
    <w:tblStylePr w:type="lastCol">
      <w:rPr>
        <w:b/>
      </w:rPr>
    </w:tblStylePr>
    <w:tblStylePr w:type="band1Vert">
      <w:tblPr/>
      <w:tcPr>
        <w:shd w:val="clear" w:color="auto" w:fill="EBF1DD"/>
      </w:tcPr>
    </w:tblStylePr>
    <w:tblStylePr w:type="band1Horz">
      <w:tblPr/>
      <w:tcPr>
        <w:shd w:val="clear" w:color="auto" w:fill="EBF1DD"/>
      </w:tcPr>
    </w:tblStylePr>
  </w:style>
  <w:style w:type="table" w:customStyle="1" w:styleId="ac">
    <w:basedOn w:val="TableNormal2"/>
    <w:rPr>
      <w:rFonts w:ascii="Cambria" w:eastAsia="Cambria" w:hAnsi="Cambria" w:cs="Cambria"/>
      <w:sz w:val="22"/>
      <w:szCs w:val="22"/>
    </w:rPr>
    <w:tblPr>
      <w:tblStyleRowBandSize w:val="1"/>
      <w:tblStyleColBandSize w:val="1"/>
      <w:tblCellMar>
        <w:top w:w="0" w:type="dxa"/>
        <w:left w:w="115" w:type="dxa"/>
        <w:bottom w:w="0" w:type="dxa"/>
        <w:right w:w="115" w:type="dxa"/>
      </w:tblCellMar>
    </w:tblPr>
    <w:tblStylePr w:type="firstRow">
      <w:rPr>
        <w:b/>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rPr>
      <w:tblPr/>
      <w:tcPr>
        <w:tcBorders>
          <w:top w:val="single" w:sz="4" w:space="0" w:color="9BBB59"/>
        </w:tcBorders>
      </w:tcPr>
    </w:tblStylePr>
    <w:tblStylePr w:type="firstCol">
      <w:rPr>
        <w:b/>
      </w:rPr>
    </w:tblStylePr>
    <w:tblStylePr w:type="lastCol">
      <w:rPr>
        <w:b/>
      </w:rPr>
    </w:tblStylePr>
    <w:tblStylePr w:type="band1Vert">
      <w:tblPr/>
      <w:tcPr>
        <w:shd w:val="clear" w:color="auto" w:fill="EBF1DD"/>
      </w:tcPr>
    </w:tblStylePr>
    <w:tblStylePr w:type="band1Horz">
      <w:tblPr/>
      <w:tcPr>
        <w:shd w:val="clear" w:color="auto" w:fill="EBF1DD"/>
      </w:tcPr>
    </w:tblStylePr>
  </w:style>
  <w:style w:type="table" w:customStyle="1" w:styleId="ad">
    <w:basedOn w:val="TableNormal2"/>
    <w:rPr>
      <w:rFonts w:ascii="Cambria" w:eastAsia="Cambria" w:hAnsi="Cambria" w:cs="Cambria"/>
      <w:sz w:val="22"/>
      <w:szCs w:val="22"/>
    </w:rPr>
    <w:tblPr>
      <w:tblStyleRowBandSize w:val="1"/>
      <w:tblStyleColBandSize w:val="1"/>
      <w:tblCellMar>
        <w:top w:w="0" w:type="dxa"/>
        <w:left w:w="115" w:type="dxa"/>
        <w:bottom w:w="0" w:type="dxa"/>
        <w:right w:w="115" w:type="dxa"/>
      </w:tblCellMar>
    </w:tblPr>
  </w:style>
  <w:style w:type="table" w:customStyle="1" w:styleId="ae">
    <w:basedOn w:val="TableNormal2"/>
    <w:rPr>
      <w:rFonts w:ascii="Cambria" w:eastAsia="Cambria" w:hAnsi="Cambria" w:cs="Cambria"/>
      <w:sz w:val="22"/>
      <w:szCs w:val="22"/>
    </w:rPr>
    <w:tblPr>
      <w:tblStyleRowBandSize w:val="1"/>
      <w:tblStyleColBandSize w:val="1"/>
      <w:tblCellMar>
        <w:top w:w="0" w:type="dxa"/>
        <w:left w:w="115" w:type="dxa"/>
        <w:bottom w:w="0" w:type="dxa"/>
        <w:right w:w="115" w:type="dxa"/>
      </w:tblCellMar>
    </w:tblPr>
  </w:style>
  <w:style w:type="table" w:customStyle="1" w:styleId="af">
    <w:basedOn w:val="TableNormal2"/>
    <w:rPr>
      <w:rFonts w:ascii="Cambria" w:eastAsia="Cambria" w:hAnsi="Cambria" w:cs="Cambria"/>
      <w:sz w:val="22"/>
      <w:szCs w:val="22"/>
    </w:rPr>
    <w:tblPr>
      <w:tblStyleRowBandSize w:val="1"/>
      <w:tblStyleColBandSize w:val="1"/>
      <w:tblCellMar>
        <w:top w:w="0" w:type="dxa"/>
        <w:left w:w="115" w:type="dxa"/>
        <w:bottom w:w="0" w:type="dxa"/>
        <w:right w:w="115" w:type="dxa"/>
      </w:tblCellMar>
    </w:tblPr>
  </w:style>
  <w:style w:type="table" w:customStyle="1" w:styleId="af0">
    <w:basedOn w:val="TableNormal2"/>
    <w:rPr>
      <w:rFonts w:ascii="Cambria" w:eastAsia="Cambria" w:hAnsi="Cambria" w:cs="Cambria"/>
      <w:sz w:val="22"/>
      <w:szCs w:val="22"/>
    </w:rPr>
    <w:tblPr>
      <w:tblStyleRowBandSize w:val="1"/>
      <w:tblStyleColBandSize w:val="1"/>
      <w:tblCellMar>
        <w:top w:w="0" w:type="dxa"/>
        <w:left w:w="115" w:type="dxa"/>
        <w:bottom w:w="0" w:type="dxa"/>
        <w:right w:w="115" w:type="dxa"/>
      </w:tblCellMar>
    </w:tblPr>
  </w:style>
  <w:style w:type="table" w:customStyle="1" w:styleId="af1">
    <w:basedOn w:val="TableNormal2"/>
    <w:rPr>
      <w:rFonts w:ascii="Cambria" w:eastAsia="Cambria" w:hAnsi="Cambria" w:cs="Cambria"/>
      <w:sz w:val="22"/>
      <w:szCs w:val="22"/>
    </w:rPr>
    <w:tblPr>
      <w:tblStyleRowBandSize w:val="1"/>
      <w:tblStyleColBandSize w:val="1"/>
      <w:tblCellMar>
        <w:top w:w="0" w:type="dxa"/>
        <w:left w:w="115" w:type="dxa"/>
        <w:bottom w:w="0" w:type="dxa"/>
        <w:right w:w="115" w:type="dxa"/>
      </w:tblCellMar>
    </w:tblPr>
    <w:tblStylePr w:type="firstRow">
      <w:rPr>
        <w:b/>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rPr>
      <w:tblPr/>
      <w:tcPr>
        <w:tcBorders>
          <w:top w:val="single" w:sz="4" w:space="0" w:color="9BBB59"/>
        </w:tcBorders>
      </w:tcPr>
    </w:tblStylePr>
    <w:tblStylePr w:type="firstCol">
      <w:rPr>
        <w:b/>
      </w:rPr>
    </w:tblStylePr>
    <w:tblStylePr w:type="lastCol">
      <w:rPr>
        <w:b/>
      </w:rPr>
    </w:tblStylePr>
    <w:tblStylePr w:type="band1Vert">
      <w:tblPr/>
      <w:tcPr>
        <w:shd w:val="clear" w:color="auto" w:fill="EBF1DD"/>
      </w:tcPr>
    </w:tblStylePr>
    <w:tblStylePr w:type="band1Horz">
      <w:tblPr/>
      <w:tcPr>
        <w:shd w:val="clear" w:color="auto" w:fill="EBF1DD"/>
      </w:tcPr>
    </w:tblStylePr>
  </w:style>
  <w:style w:type="table" w:customStyle="1" w:styleId="af2">
    <w:basedOn w:val="TableNormal2"/>
    <w:rPr>
      <w:rFonts w:ascii="Cambria" w:eastAsia="Cambria" w:hAnsi="Cambria" w:cs="Cambria"/>
      <w:sz w:val="22"/>
      <w:szCs w:val="22"/>
    </w:rPr>
    <w:tblPr>
      <w:tblStyleRowBandSize w:val="1"/>
      <w:tblStyleColBandSize w:val="1"/>
      <w:tblCellMar>
        <w:top w:w="0" w:type="dxa"/>
        <w:left w:w="115" w:type="dxa"/>
        <w:bottom w:w="0" w:type="dxa"/>
        <w:right w:w="115" w:type="dxa"/>
      </w:tblCellMar>
    </w:tblPr>
    <w:tblStylePr w:type="firstRow">
      <w:rPr>
        <w:b/>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rPr>
      <w:tblPr/>
      <w:tcPr>
        <w:tcBorders>
          <w:top w:val="single" w:sz="4" w:space="0" w:color="9BBB59"/>
        </w:tcBorders>
      </w:tcPr>
    </w:tblStylePr>
    <w:tblStylePr w:type="firstCol">
      <w:rPr>
        <w:b/>
      </w:rPr>
    </w:tblStylePr>
    <w:tblStylePr w:type="lastCol">
      <w:rPr>
        <w:b/>
      </w:rPr>
    </w:tblStylePr>
    <w:tblStylePr w:type="band1Vert">
      <w:tblPr/>
      <w:tcPr>
        <w:shd w:val="clear" w:color="auto" w:fill="EBF1DD"/>
      </w:tcPr>
    </w:tblStylePr>
    <w:tblStylePr w:type="band1Horz">
      <w:tblPr/>
      <w:tcPr>
        <w:shd w:val="clear" w:color="auto" w:fill="EBF1DD"/>
      </w:tcPr>
    </w:tblStylePr>
  </w:style>
  <w:style w:type="table" w:customStyle="1" w:styleId="af3">
    <w:basedOn w:val="TableNormal2"/>
    <w:rPr>
      <w:rFonts w:ascii="Cambria" w:eastAsia="Cambria" w:hAnsi="Cambria" w:cs="Cambria"/>
      <w:sz w:val="22"/>
      <w:szCs w:val="22"/>
    </w:rPr>
    <w:tblPr>
      <w:tblStyleRowBandSize w:val="1"/>
      <w:tblStyleColBandSize w:val="1"/>
      <w:tblCellMar>
        <w:top w:w="0" w:type="dxa"/>
        <w:left w:w="115" w:type="dxa"/>
        <w:bottom w:w="0" w:type="dxa"/>
        <w:right w:w="115" w:type="dxa"/>
      </w:tblCellMar>
    </w:tblPr>
  </w:style>
  <w:style w:type="table" w:customStyle="1" w:styleId="af4">
    <w:basedOn w:val="TableNormal2"/>
    <w:rPr>
      <w:rFonts w:ascii="Cambria" w:eastAsia="Cambria" w:hAnsi="Cambria" w:cs="Cambria"/>
      <w:sz w:val="22"/>
      <w:szCs w:val="22"/>
    </w:rPr>
    <w:tblPr>
      <w:tblStyleRowBandSize w:val="1"/>
      <w:tblStyleColBandSize w:val="1"/>
      <w:tblCellMar>
        <w:top w:w="0" w:type="dxa"/>
        <w:left w:w="115" w:type="dxa"/>
        <w:bottom w:w="0" w:type="dxa"/>
        <w:right w:w="115" w:type="dxa"/>
      </w:tblCellMar>
    </w:tblPr>
  </w:style>
  <w:style w:type="table" w:customStyle="1" w:styleId="af5">
    <w:basedOn w:val="TableNormal2"/>
    <w:rPr>
      <w:rFonts w:ascii="Cambria" w:eastAsia="Cambria" w:hAnsi="Cambria" w:cs="Cambria"/>
      <w:sz w:val="22"/>
      <w:szCs w:val="22"/>
    </w:rPr>
    <w:tblPr>
      <w:tblStyleRowBandSize w:val="1"/>
      <w:tblStyleColBandSize w:val="1"/>
      <w:tblCellMar>
        <w:top w:w="0" w:type="dxa"/>
        <w:left w:w="115" w:type="dxa"/>
        <w:bottom w:w="0" w:type="dxa"/>
        <w:right w:w="115" w:type="dxa"/>
      </w:tblCellMar>
    </w:tblPr>
  </w:style>
  <w:style w:type="table" w:customStyle="1" w:styleId="af6">
    <w:basedOn w:val="TableNormal2"/>
    <w:rPr>
      <w:rFonts w:ascii="Cambria" w:eastAsia="Cambria" w:hAnsi="Cambria" w:cs="Cambria"/>
      <w:sz w:val="22"/>
      <w:szCs w:val="22"/>
    </w:rPr>
    <w:tblPr>
      <w:tblStyleRowBandSize w:val="1"/>
      <w:tblStyleColBandSize w:val="1"/>
      <w:tblCellMar>
        <w:top w:w="0" w:type="dxa"/>
        <w:left w:w="115" w:type="dxa"/>
        <w:bottom w:w="0" w:type="dxa"/>
        <w:right w:w="115" w:type="dxa"/>
      </w:tblCellMar>
    </w:tblPr>
  </w:style>
  <w:style w:type="paragraph" w:styleId="Textodeglobo">
    <w:name w:val="Balloon Text"/>
    <w:basedOn w:val="Normal"/>
    <w:link w:val="TextodegloboCar"/>
    <w:uiPriority w:val="99"/>
    <w:semiHidden/>
    <w:unhideWhenUsed/>
    <w:rsid w:val="00C20BE8"/>
    <w:rPr>
      <w:rFonts w:ascii="Tahoma" w:hAnsi="Tahoma" w:cs="Tahoma"/>
      <w:sz w:val="16"/>
      <w:szCs w:val="16"/>
    </w:rPr>
  </w:style>
  <w:style w:type="character" w:customStyle="1" w:styleId="TextodegloboCar">
    <w:name w:val="Texto de globo Car"/>
    <w:basedOn w:val="Fuentedeprrafopredeter"/>
    <w:link w:val="Textodeglobo"/>
    <w:uiPriority w:val="99"/>
    <w:semiHidden/>
    <w:rsid w:val="00C20BE8"/>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hyperlink" Target="https://www.bcra.gob.ar/Micrositios/Micrositio_debin.asp" TargetMode="External"/><Relationship Id="rId68" Type="http://schemas.openxmlformats.org/officeDocument/2006/relationships/hyperlink" Target="https://www.instagram.com/p/CnW77LKKxFU/" TargetMode="External"/><Relationship Id="rId84" Type="http://schemas.openxmlformats.org/officeDocument/2006/relationships/hyperlink" Target="https://www.netapp.com/es/evolved-cloud/what-is-evolved-cloud/" TargetMode="External"/><Relationship Id="rId89" Type="http://schemas.openxmlformats.org/officeDocument/2006/relationships/hyperlink" Target="https://adex.ltd/microsoft-azure-vs-aws-vs-google-cloud" TargetMode="External"/><Relationship Id="rId11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png"/><Relationship Id="rId107" Type="http://schemas.openxmlformats.org/officeDocument/2006/relationships/hyperlink" Target="https://aws.amazon.com/es/blogs/compute/understanding-asynchronous-messaging-for-microservices/" TargetMode="External"/><Relationship Id="rId11" Type="http://schemas.openxmlformats.org/officeDocument/2006/relationships/hyperlink" Target="https://www.linkedin.com/in/abecasispablo/" TargetMode="External"/><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4.jpg"/><Relationship Id="rId53" Type="http://schemas.openxmlformats.org/officeDocument/2006/relationships/image" Target="media/image41.png"/><Relationship Id="rId58" Type="http://schemas.openxmlformats.org/officeDocument/2006/relationships/hyperlink" Target="https://www.bcra.gob.ar/mediospago/politica_pagos.asp" TargetMode="External"/><Relationship Id="rId66" Type="http://schemas.openxmlformats.org/officeDocument/2006/relationships/hyperlink" Target="https://www.bcra.gob.ar/Noticias/Relanzamiento-Cuenta-Gratuita-Universal.asp" TargetMode="External"/><Relationship Id="rId74" Type="http://schemas.openxmlformats.org/officeDocument/2006/relationships/hyperlink" Target="https://www.linkedin.com/posts/coelsa_indicador-coelsa-activity-7046864355463684096-NWYi?utm_source=share&amp;utm_medium=member_desktop" TargetMode="External"/><Relationship Id="rId79" Type="http://schemas.openxmlformats.org/officeDocument/2006/relationships/hyperlink" Target="https://www.perfil.com/noticias/economia/evolucion-metodos-pago-historia.phtml" TargetMode="External"/><Relationship Id="rId87" Type="http://schemas.openxmlformats.org/officeDocument/2006/relationships/hyperlink" Target="https://www.ibm.com/topics/artificial-intelligence" TargetMode="External"/><Relationship Id="rId102" Type="http://schemas.openxmlformats.org/officeDocument/2006/relationships/hyperlink" Target="https://www.oracle.com/ar/cloud/cloud-native/container-registry/what-is-docker/" TargetMode="External"/><Relationship Id="rId110" Type="http://schemas.openxmlformats.org/officeDocument/2006/relationships/hyperlink" Target="https://www.researchgate.net/publication/319604195_A_New_Framework_of_Software_Testing_Using_Cloud_Computing_for_Banking_Applications" TargetMode="External"/><Relationship Id="rId5" Type="http://schemas.openxmlformats.org/officeDocument/2006/relationships/settings" Target="settings.xml"/><Relationship Id="rId61" Type="http://schemas.openxmlformats.org/officeDocument/2006/relationships/hyperlink" Target="https://www.bcra.gob.ar/Pdfs/comytexord/A6099.pdf" TargetMode="External"/><Relationship Id="rId82" Type="http://schemas.openxmlformats.org/officeDocument/2006/relationships/hyperlink" Target="https://santanderpost.com.ar/articulo/por-las-nubes-las-razones-de-la-evolucion-de-las-tecnologias-cloud/" TargetMode="External"/><Relationship Id="rId90" Type="http://schemas.openxmlformats.org/officeDocument/2006/relationships/hyperlink" Target="https://www.redhat.com/es/topics/cloud-computing/public-cloud-vs-private-cloud-and-hybrid-cloud" TargetMode="External"/><Relationship Id="rId95" Type="http://schemas.openxmlformats.org/officeDocument/2006/relationships/hyperlink" Target="https://sankeysolutions.com/blogs/aws-vs-ms-azure-vs-gcp-cloud-platform-comparison/" TargetMode="External"/><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4.png"/><Relationship Id="rId64" Type="http://schemas.openxmlformats.org/officeDocument/2006/relationships/hyperlink" Target="https://www.bcra.gob.ar/Pdfs/Texord/t-snp-debin.pdf" TargetMode="External"/><Relationship Id="rId69" Type="http://schemas.openxmlformats.org/officeDocument/2006/relationships/hyperlink" Target="https://www.instagram.com/p/CnjsdWFIPnN/" TargetMode="External"/><Relationship Id="rId77" Type="http://schemas.openxmlformats.org/officeDocument/2006/relationships/hyperlink" Target="https://hipertextual.com/2017/02/historia-de-los-medios-de-pago" TargetMode="External"/><Relationship Id="rId100" Type="http://schemas.openxmlformats.org/officeDocument/2006/relationships/hyperlink" Target="https://aws.amazon.com/es/docker/" TargetMode="External"/><Relationship Id="rId105" Type="http://schemas.openxmlformats.org/officeDocument/2006/relationships/hyperlink" Target="https://www.intel.la/content/www/xl/es/cloud-computing/microservices.html" TargetMode="External"/><Relationship Id="rId113"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hyperlink" Target="https://www.researchgate.net/publication/319604195_A_New_Framework_of_Software_Testing_Using_Cloud_Computing_for_Banking_Applications" TargetMode="External"/><Relationship Id="rId72" Type="http://schemas.openxmlformats.org/officeDocument/2006/relationships/hyperlink" Target="https://www.instagram.com/p/CjGx32pp2nB/" TargetMode="External"/><Relationship Id="rId80" Type="http://schemas.openxmlformats.org/officeDocument/2006/relationships/hyperlink" Target="https://www.a24.com/crypto/que-son-las-cbdc-las-monedas-digitales-que-analiza-implementar-el-gobierno-n1014911" TargetMode="External"/><Relationship Id="rId85" Type="http://schemas.openxmlformats.org/officeDocument/2006/relationships/hyperlink" Target="https://www.sas.com/en_us/insights/big-data/what-is-big-data.html" TargetMode="External"/><Relationship Id="rId93" Type="http://schemas.openxmlformats.org/officeDocument/2006/relationships/hyperlink" Target="https://dev.to/jignesh_simform/on-demand-compute-pricing-aws-vs-azure-vs-google-adb" TargetMode="External"/><Relationship Id="rId98" Type="http://schemas.openxmlformats.org/officeDocument/2006/relationships/hyperlink" Target="https://www.prismamediosdepago.com" TargetMode="Externa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5.png"/><Relationship Id="rId59" Type="http://schemas.openxmlformats.org/officeDocument/2006/relationships/hyperlink" Target="https://www.bcra.gob.ar/MediosPago/Sistemas_de_Pago1.asp" TargetMode="External"/><Relationship Id="rId67" Type="http://schemas.openxmlformats.org/officeDocument/2006/relationships/hyperlink" Target="https://www.bcra.gob.ar/Saber_es_central/transferencias-bancarias-inmediatas-y-gratuitas.html" TargetMode="External"/><Relationship Id="rId103" Type="http://schemas.openxmlformats.org/officeDocument/2006/relationships/hyperlink" Target="https://www.redhat.com/es/topics/api/what-is-api-management" TargetMode="External"/><Relationship Id="rId108" Type="http://schemas.openxmlformats.org/officeDocument/2006/relationships/hyperlink" Target="https://aws.amazon.com/blogs/compute/building-scalable-applications-and-microservices-adding-messaging-to-your-toolbox/" TargetMode="External"/><Relationship Id="rId20" Type="http://schemas.openxmlformats.org/officeDocument/2006/relationships/image" Target="media/image10.png"/><Relationship Id="rId41" Type="http://schemas.openxmlformats.org/officeDocument/2006/relationships/hyperlink" Target="https://www.redhat.com/es/topics/api" TargetMode="External"/><Relationship Id="rId54" Type="http://schemas.openxmlformats.org/officeDocument/2006/relationships/image" Target="media/image42.png"/><Relationship Id="rId62" Type="http://schemas.openxmlformats.org/officeDocument/2006/relationships/hyperlink" Target="https://www.bcra.gob.ar/Pdfs/comytexord/A7533.pdf" TargetMode="External"/><Relationship Id="rId70" Type="http://schemas.openxmlformats.org/officeDocument/2006/relationships/hyperlink" Target="https://www.instagram.com/p/Cnwn_jRIFrt/" TargetMode="External"/><Relationship Id="rId75" Type="http://schemas.openxmlformats.org/officeDocument/2006/relationships/hyperlink" Target="https://www.bcra.gob.ar/Pdfs/PublicacionesEstadisticas/Informe-Mensual-de-Pagos-Minoristas-abril-2023.pdf" TargetMode="External"/><Relationship Id="rId83" Type="http://schemas.openxmlformats.org/officeDocument/2006/relationships/hyperlink" Target="https://www.cisga.es/conoces-origen-del-cloud-computing-nube-informatica/" TargetMode="External"/><Relationship Id="rId88" Type="http://schemas.openxmlformats.org/officeDocument/2006/relationships/hyperlink" Target="https://en.wikipedia.org/wiki/Computer_security" TargetMode="External"/><Relationship Id="rId91" Type="http://schemas.openxmlformats.org/officeDocument/2006/relationships/hyperlink" Target="https://fourweekmba.com/es/iaas-frente-a-paas-frente-a-saas/" TargetMode="External"/><Relationship Id="rId96" Type="http://schemas.openxmlformats.org/officeDocument/2006/relationships/hyperlink" Target="https://www.coelsa.com.ar/static/media/Informe-Sustentabilidad-COELSA-Abril2023.pdf" TargetMode="External"/><Relationship Id="rId11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8.png"/><Relationship Id="rId57" Type="http://schemas.openxmlformats.org/officeDocument/2006/relationships/hyperlink" Target="https://coelsa.com.ar" TargetMode="External"/><Relationship Id="rId106" Type="http://schemas.openxmlformats.org/officeDocument/2006/relationships/hyperlink" Target="https://www.uv.mx/iiesca/files/2013/04/11ca201202.pdf" TargetMode="External"/><Relationship Id="rId10" Type="http://schemas.openxmlformats.org/officeDocument/2006/relationships/hyperlink" Target="mailto:pablo.abecasis@gmail.com" TargetMode="External"/><Relationship Id="rId31" Type="http://schemas.openxmlformats.org/officeDocument/2006/relationships/image" Target="media/image21.png"/><Relationship Id="rId44" Type="http://schemas.openxmlformats.org/officeDocument/2006/relationships/image" Target="media/image33.png"/><Relationship Id="rId52" Type="http://schemas.openxmlformats.org/officeDocument/2006/relationships/image" Target="media/image40.png"/><Relationship Id="rId60" Type="http://schemas.openxmlformats.org/officeDocument/2006/relationships/hyperlink" Target="https://www.bcra.gob.ar/Institucional/Medidas_adoptadas.asp" TargetMode="External"/><Relationship Id="rId65" Type="http://schemas.openxmlformats.org/officeDocument/2006/relationships/hyperlink" Target="https://www.bcra.gob.ar/MediosPago/Debitos_directos.asp" TargetMode="External"/><Relationship Id="rId73" Type="http://schemas.openxmlformats.org/officeDocument/2006/relationships/hyperlink" Target="https://www.linkedin.com/company/coelsa/about/" TargetMode="External"/><Relationship Id="rId78" Type="http://schemas.openxmlformats.org/officeDocument/2006/relationships/hyperlink" Target="https://www.bbva.com/es/que-es-el-dinero/" TargetMode="External"/><Relationship Id="rId81" Type="http://schemas.openxmlformats.org/officeDocument/2006/relationships/hyperlink" Target="https://www.enriquedans.com/2023/05/la-interesante-evolucion-de-los-pagos-digitales-en-el-mundo.html" TargetMode="External"/><Relationship Id="rId86" Type="http://schemas.openxmlformats.org/officeDocument/2006/relationships/hyperlink" Target="https://www.oracle.com/internet-of-things/what-is-iot/" TargetMode="External"/><Relationship Id="rId94" Type="http://schemas.openxmlformats.org/officeDocument/2006/relationships/hyperlink" Target="https://www.veritis.com/blog/aws-vs-azure-vs-gcp-cloud-cost-comparison/" TargetMode="External"/><Relationship Id="rId99" Type="http://schemas.openxmlformats.org/officeDocument/2006/relationships/hyperlink" Target="https://ar.linkedin.com/company/prisma-medios-de-pago" TargetMode="External"/><Relationship Id="rId101" Type="http://schemas.openxmlformats.org/officeDocument/2006/relationships/hyperlink" Target="https://www.redhat.com/es/topics/containers/what-is-docker" TargetMode="Externa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hyperlink" Target="https://orangematter.solarwinds.com/2022/03/21/what-is-devops/" TargetMode="External"/><Relationship Id="rId34" Type="http://schemas.openxmlformats.org/officeDocument/2006/relationships/image" Target="media/image24.png"/><Relationship Id="rId50" Type="http://schemas.openxmlformats.org/officeDocument/2006/relationships/image" Target="media/image39.png"/><Relationship Id="rId55" Type="http://schemas.openxmlformats.org/officeDocument/2006/relationships/image" Target="media/image43.png"/><Relationship Id="rId76" Type="http://schemas.openxmlformats.org/officeDocument/2006/relationships/hyperlink" Target="https://blogreds.es/medios-pago/la-historia-de-los-medios-de-pago-hasta-nuestro-siglo" TargetMode="External"/><Relationship Id="rId97" Type="http://schemas.openxmlformats.org/officeDocument/2006/relationships/hyperlink" Target="https://www.redlink.com.ar/la_empresa.html" TargetMode="External"/><Relationship Id="rId104" Type="http://schemas.openxmlformats.org/officeDocument/2006/relationships/hyperlink" Target="https://www.redhat.com/es/topics/api/what-is-api-design" TargetMode="External"/><Relationship Id="rId7" Type="http://schemas.openxmlformats.org/officeDocument/2006/relationships/footnotes" Target="footnotes.xml"/><Relationship Id="rId71" Type="http://schemas.openxmlformats.org/officeDocument/2006/relationships/hyperlink" Target="https://www.instagram.com/p/ClE0KV2PHZx/" TargetMode="External"/><Relationship Id="rId92" Type="http://schemas.openxmlformats.org/officeDocument/2006/relationships/hyperlink" Target="https://intellipaat.com/blog/aws-vs-azure-vs-google-cloud/"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kl3bWWGhaGcM0GeOq5vTYGpmwgw==">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</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24</TotalTime>
  <Pages>71</Pages>
  <Words>19420</Words>
  <Characters>106814</Characters>
  <Application>Microsoft Office Word</Application>
  <DocSecurity>0</DocSecurity>
  <Lines>890</Lines>
  <Paragraphs>251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125983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MBA</cp:lastModifiedBy>
  <cp:revision>5</cp:revision>
  <dcterms:created xsi:type="dcterms:W3CDTF">2025-09-10T19:19:00Z</dcterms:created>
  <dcterms:modified xsi:type="dcterms:W3CDTF">2026-04-28T20:21:00Z</dcterms:modified>
</cp:coreProperties>
</file>