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BB4" w:rsidRDefault="00C44001">
      <w:pPr>
        <w:ind w:left="965"/>
        <w:rPr>
          <w:rFonts w:ascii="Times New Roman"/>
          <w:sz w:val="20"/>
        </w:rPr>
      </w:pPr>
      <w:r>
        <w:rPr>
          <w:rFonts w:ascii="Times New Roman"/>
          <w:noProof/>
          <w:sz w:val="20"/>
          <w:lang w:val="es-AR" w:eastAsia="es-AR"/>
        </w:rPr>
        <mc:AlternateContent>
          <mc:Choice Requires="wps">
            <w:drawing>
              <wp:inline distT="0" distB="0" distL="0" distR="0">
                <wp:extent cx="5232400" cy="17145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2400" cy="1714500"/>
                          <a:chOff x="0" y="0"/>
                          <a:chExt cx="5232400" cy="1714500"/>
                        </a:xfrm>
                      </wpg:grpSpPr>
                      <pic:pic xmlns:pic="http://schemas.openxmlformats.org/drawingml/2006/picture">
                        <pic:nvPicPr>
                          <pic:cNvPr id="2" name="Image 2"/>
                          <pic:cNvPicPr/>
                        </pic:nvPicPr>
                        <pic:blipFill>
                          <a:blip r:embed="rId8" cstate="print"/>
                          <a:stretch>
                            <a:fillRect/>
                          </a:stretch>
                        </pic:blipFill>
                        <pic:spPr>
                          <a:xfrm>
                            <a:off x="1676899" y="190162"/>
                            <a:ext cx="1533524" cy="1524000"/>
                          </a:xfrm>
                          <a:prstGeom prst="rect">
                            <a:avLst/>
                          </a:prstGeom>
                        </pic:spPr>
                      </pic:pic>
                      <wps:wsp>
                        <wps:cNvPr id="3" name="Graphic 3"/>
                        <wps:cNvSpPr/>
                        <wps:spPr>
                          <a:xfrm>
                            <a:off x="0" y="0"/>
                            <a:ext cx="5232400" cy="254000"/>
                          </a:xfrm>
                          <a:custGeom>
                            <a:avLst/>
                            <a:gdLst/>
                            <a:ahLst/>
                            <a:cxnLst/>
                            <a:rect l="l" t="t" r="r" b="b"/>
                            <a:pathLst>
                              <a:path w="5232400" h="254000">
                                <a:moveTo>
                                  <a:pt x="5232399" y="253999"/>
                                </a:moveTo>
                                <a:lnTo>
                                  <a:pt x="0" y="253999"/>
                                </a:lnTo>
                                <a:lnTo>
                                  <a:pt x="0" y="0"/>
                                </a:lnTo>
                                <a:lnTo>
                                  <a:pt x="5232399" y="0"/>
                                </a:lnTo>
                                <a:lnTo>
                                  <a:pt x="5232399" y="253999"/>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12pt;height:135pt;mso-position-horizontal-relative:char;mso-position-vertical-relative:line" id="docshapegroup1" coordorigin="0,0" coordsize="8240,2700">
                <v:shape style="position:absolute;left:2640;top:299;width:2415;height:2400" type="#_x0000_t75" id="docshape2" stroked="false">
                  <v:imagedata r:id="rId9" o:title=""/>
                </v:shape>
                <v:rect style="position:absolute;left:0;top:0;width:8240;height:400" id="docshape3" filled="true" fillcolor="#ffffff" stroked="false">
                  <v:fill type="solid"/>
                </v:rect>
              </v:group>
            </w:pict>
          </mc:Fallback>
        </mc:AlternateContent>
      </w:r>
    </w:p>
    <w:p w:rsidR="009B4BB4" w:rsidRDefault="009B4BB4">
      <w:pPr>
        <w:pStyle w:val="Textoindependiente"/>
        <w:spacing w:before="0"/>
        <w:rPr>
          <w:rFonts w:ascii="Times New Roman"/>
        </w:rPr>
      </w:pPr>
    </w:p>
    <w:p w:rsidR="009B4BB4" w:rsidRDefault="009B4BB4">
      <w:pPr>
        <w:pStyle w:val="Textoindependiente"/>
        <w:spacing w:before="0"/>
        <w:rPr>
          <w:rFonts w:ascii="Times New Roman"/>
        </w:rPr>
      </w:pPr>
    </w:p>
    <w:p w:rsidR="009B4BB4" w:rsidRDefault="009B4BB4">
      <w:pPr>
        <w:pStyle w:val="Textoindependiente"/>
        <w:spacing w:before="0"/>
        <w:rPr>
          <w:rFonts w:ascii="Times New Roman"/>
        </w:rPr>
      </w:pPr>
    </w:p>
    <w:p w:rsidR="009B4BB4" w:rsidRDefault="009B4BB4">
      <w:pPr>
        <w:pStyle w:val="Textoindependiente"/>
        <w:spacing w:before="0"/>
        <w:rPr>
          <w:rFonts w:ascii="Times New Roman"/>
        </w:rPr>
      </w:pPr>
    </w:p>
    <w:p w:rsidR="009B4BB4" w:rsidRDefault="009B4BB4">
      <w:pPr>
        <w:pStyle w:val="Textoindependiente"/>
        <w:spacing w:before="0"/>
        <w:rPr>
          <w:rFonts w:ascii="Times New Roman"/>
        </w:rPr>
      </w:pPr>
    </w:p>
    <w:p w:rsidR="009B4BB4" w:rsidRDefault="009B4BB4">
      <w:pPr>
        <w:pStyle w:val="Textoindependiente"/>
        <w:spacing w:before="90"/>
        <w:rPr>
          <w:rFonts w:ascii="Times New Roman"/>
        </w:rPr>
      </w:pPr>
    </w:p>
    <w:p w:rsidR="009B4BB4" w:rsidRDefault="00C44001">
      <w:pPr>
        <w:pStyle w:val="Textoindependiente"/>
        <w:spacing w:before="0" w:line="504" w:lineRule="auto"/>
        <w:ind w:left="2694" w:right="2578" w:firstLine="618"/>
      </w:pPr>
      <w:r>
        <w:t>UNIVERSIDAD DE PALERMO MÁSTER</w:t>
      </w:r>
      <w:r>
        <w:rPr>
          <w:spacing w:val="-10"/>
        </w:rPr>
        <w:t xml:space="preserve"> </w:t>
      </w:r>
      <w:r>
        <w:t>EN</w:t>
      </w:r>
      <w:r>
        <w:rPr>
          <w:spacing w:val="-10"/>
        </w:rPr>
        <w:t xml:space="preserve"> </w:t>
      </w:r>
      <w:r>
        <w:t>DIRECCIÓN</w:t>
      </w:r>
      <w:r>
        <w:rPr>
          <w:spacing w:val="-10"/>
        </w:rPr>
        <w:t xml:space="preserve"> </w:t>
      </w:r>
      <w:r>
        <w:t>DE</w:t>
      </w:r>
      <w:r>
        <w:rPr>
          <w:spacing w:val="-10"/>
        </w:rPr>
        <w:t xml:space="preserve"> </w:t>
      </w:r>
      <w:r>
        <w:t>EMPRESAS</w:t>
      </w:r>
    </w:p>
    <w:p w:rsidR="009B4BB4" w:rsidRDefault="00C44001">
      <w:pPr>
        <w:pStyle w:val="Textoindependiente"/>
        <w:spacing w:before="0" w:line="271" w:lineRule="auto"/>
        <w:ind w:left="237" w:right="413"/>
        <w:jc w:val="center"/>
      </w:pPr>
      <w:r>
        <w:rPr>
          <w:color w:val="212121"/>
        </w:rPr>
        <w:t>Trabajo</w:t>
      </w:r>
      <w:r>
        <w:rPr>
          <w:color w:val="212121"/>
          <w:spacing w:val="-4"/>
        </w:rPr>
        <w:t xml:space="preserve"> </w:t>
      </w:r>
      <w:r>
        <w:rPr>
          <w:color w:val="212121"/>
        </w:rPr>
        <w:t>Final</w:t>
      </w:r>
      <w:r>
        <w:rPr>
          <w:color w:val="212121"/>
          <w:spacing w:val="-4"/>
        </w:rPr>
        <w:t xml:space="preserve"> </w:t>
      </w:r>
      <w:r>
        <w:rPr>
          <w:color w:val="212121"/>
        </w:rPr>
        <w:t>de</w:t>
      </w:r>
      <w:r>
        <w:rPr>
          <w:color w:val="212121"/>
          <w:spacing w:val="-4"/>
        </w:rPr>
        <w:t xml:space="preserve"> </w:t>
      </w:r>
      <w:r>
        <w:rPr>
          <w:color w:val="212121"/>
        </w:rPr>
        <w:t>Maestría</w:t>
      </w:r>
      <w:r>
        <w:rPr>
          <w:color w:val="212121"/>
          <w:spacing w:val="-4"/>
        </w:rPr>
        <w:t xml:space="preserve"> </w:t>
      </w:r>
      <w:r>
        <w:rPr>
          <w:color w:val="212121"/>
        </w:rPr>
        <w:t>presentado</w:t>
      </w:r>
      <w:r>
        <w:rPr>
          <w:color w:val="212121"/>
          <w:spacing w:val="-4"/>
        </w:rPr>
        <w:t xml:space="preserve"> </w:t>
      </w:r>
      <w:r>
        <w:rPr>
          <w:color w:val="212121"/>
        </w:rPr>
        <w:t>para</w:t>
      </w:r>
      <w:r>
        <w:rPr>
          <w:color w:val="212121"/>
          <w:spacing w:val="-4"/>
        </w:rPr>
        <w:t xml:space="preserve"> </w:t>
      </w:r>
      <w:r>
        <w:rPr>
          <w:color w:val="212121"/>
        </w:rPr>
        <w:t>optar</w:t>
      </w:r>
      <w:r>
        <w:rPr>
          <w:color w:val="212121"/>
          <w:spacing w:val="-4"/>
        </w:rPr>
        <w:t xml:space="preserve"> </w:t>
      </w:r>
      <w:r>
        <w:rPr>
          <w:color w:val="212121"/>
        </w:rPr>
        <w:t>al</w:t>
      </w:r>
      <w:r>
        <w:rPr>
          <w:color w:val="212121"/>
          <w:spacing w:val="-4"/>
        </w:rPr>
        <w:t xml:space="preserve"> </w:t>
      </w:r>
      <w:r>
        <w:rPr>
          <w:color w:val="212121"/>
        </w:rPr>
        <w:t>título</w:t>
      </w:r>
      <w:r>
        <w:rPr>
          <w:color w:val="212121"/>
          <w:spacing w:val="-4"/>
        </w:rPr>
        <w:t xml:space="preserve"> </w:t>
      </w:r>
      <w:r>
        <w:rPr>
          <w:color w:val="212121"/>
        </w:rPr>
        <w:t>de</w:t>
      </w:r>
      <w:r>
        <w:rPr>
          <w:color w:val="212121"/>
          <w:spacing w:val="-4"/>
        </w:rPr>
        <w:t xml:space="preserve"> </w:t>
      </w:r>
      <w:r>
        <w:rPr>
          <w:color w:val="212121"/>
        </w:rPr>
        <w:t>Magíster</w:t>
      </w:r>
      <w:r>
        <w:rPr>
          <w:color w:val="212121"/>
          <w:spacing w:val="-4"/>
        </w:rPr>
        <w:t xml:space="preserve"> </w:t>
      </w:r>
      <w:r>
        <w:rPr>
          <w:color w:val="212121"/>
        </w:rPr>
        <w:t>en</w:t>
      </w:r>
      <w:r>
        <w:rPr>
          <w:color w:val="212121"/>
          <w:spacing w:val="-4"/>
        </w:rPr>
        <w:t xml:space="preserve"> </w:t>
      </w:r>
      <w:r>
        <w:rPr>
          <w:color w:val="212121"/>
        </w:rPr>
        <w:t>Dirección</w:t>
      </w:r>
      <w:r>
        <w:rPr>
          <w:color w:val="212121"/>
          <w:spacing w:val="-4"/>
        </w:rPr>
        <w:t xml:space="preserve"> </w:t>
      </w:r>
      <w:r>
        <w:rPr>
          <w:color w:val="212121"/>
        </w:rPr>
        <w:t xml:space="preserve">de </w:t>
      </w:r>
      <w:r>
        <w:rPr>
          <w:color w:val="212121"/>
          <w:spacing w:val="-2"/>
        </w:rPr>
        <w:t>Empresas</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40"/>
      </w:pPr>
    </w:p>
    <w:p w:rsidR="009B4BB4" w:rsidRDefault="00C44001">
      <w:pPr>
        <w:pStyle w:val="Textoindependiente"/>
        <w:spacing w:before="0" w:line="360" w:lineRule="auto"/>
        <w:ind w:left="719" w:right="881" w:hanging="16"/>
        <w:jc w:val="center"/>
      </w:pPr>
      <w:r>
        <w:t>Título:</w:t>
      </w:r>
      <w:r>
        <w:rPr>
          <w:spacing w:val="-1"/>
        </w:rPr>
        <w:t xml:space="preserve"> </w:t>
      </w:r>
      <w:r>
        <w:t>PLAN</w:t>
      </w:r>
      <w:r>
        <w:rPr>
          <w:spacing w:val="-1"/>
        </w:rPr>
        <w:t xml:space="preserve"> </w:t>
      </w:r>
      <w:r>
        <w:t>DE</w:t>
      </w:r>
      <w:r>
        <w:rPr>
          <w:spacing w:val="-1"/>
        </w:rPr>
        <w:t xml:space="preserve"> </w:t>
      </w:r>
      <w:r>
        <w:t>NEGOCIOS</w:t>
      </w:r>
      <w:r>
        <w:rPr>
          <w:spacing w:val="-1"/>
        </w:rPr>
        <w:t xml:space="preserve"> </w:t>
      </w:r>
      <w:r>
        <w:t>PARA</w:t>
      </w:r>
      <w:r>
        <w:rPr>
          <w:spacing w:val="-1"/>
        </w:rPr>
        <w:t xml:space="preserve"> </w:t>
      </w:r>
      <w:r>
        <w:t>LA</w:t>
      </w:r>
      <w:r>
        <w:rPr>
          <w:spacing w:val="-1"/>
        </w:rPr>
        <w:t xml:space="preserve"> </w:t>
      </w:r>
      <w:r>
        <w:t>COMERCIALIZACIÓN</w:t>
      </w:r>
      <w:r>
        <w:rPr>
          <w:spacing w:val="-1"/>
        </w:rPr>
        <w:t xml:space="preserve"> </w:t>
      </w:r>
      <w:r>
        <w:t>DE</w:t>
      </w:r>
      <w:r>
        <w:rPr>
          <w:spacing w:val="-1"/>
        </w:rPr>
        <w:t xml:space="preserve"> </w:t>
      </w:r>
      <w:r>
        <w:t>MIEL</w:t>
      </w:r>
      <w:r>
        <w:rPr>
          <w:spacing w:val="-1"/>
        </w:rPr>
        <w:t xml:space="preserve"> </w:t>
      </w:r>
      <w:r>
        <w:t>DE</w:t>
      </w:r>
      <w:r>
        <w:rPr>
          <w:spacing w:val="-1"/>
        </w:rPr>
        <w:t xml:space="preserve"> </w:t>
      </w:r>
      <w:r>
        <w:t>ABEJA MELIPONA</w:t>
      </w:r>
      <w:r>
        <w:rPr>
          <w:spacing w:val="-13"/>
        </w:rPr>
        <w:t xml:space="preserve"> </w:t>
      </w:r>
      <w:r>
        <w:t>EN</w:t>
      </w:r>
      <w:r>
        <w:rPr>
          <w:spacing w:val="-13"/>
        </w:rPr>
        <w:t xml:space="preserve"> </w:t>
      </w:r>
      <w:r>
        <w:t>FORMATO</w:t>
      </w:r>
      <w:r>
        <w:rPr>
          <w:spacing w:val="-13"/>
        </w:rPr>
        <w:t xml:space="preserve"> </w:t>
      </w:r>
      <w:r>
        <w:t>PREMIUM</w:t>
      </w:r>
      <w:r>
        <w:rPr>
          <w:spacing w:val="-13"/>
        </w:rPr>
        <w:t xml:space="preserve"> </w:t>
      </w:r>
      <w:r>
        <w:t>EN</w:t>
      </w:r>
      <w:r>
        <w:rPr>
          <w:spacing w:val="-13"/>
        </w:rPr>
        <w:t xml:space="preserve"> </w:t>
      </w:r>
      <w:r>
        <w:t>VALLADOLID,</w:t>
      </w:r>
      <w:r>
        <w:rPr>
          <w:spacing w:val="-13"/>
        </w:rPr>
        <w:t xml:space="preserve"> </w:t>
      </w:r>
      <w:r>
        <w:t>YUCATÁN,</w:t>
      </w:r>
      <w:r>
        <w:rPr>
          <w:spacing w:val="-13"/>
        </w:rPr>
        <w:t xml:space="preserve"> </w:t>
      </w:r>
      <w:r>
        <w:t>COMO</w:t>
      </w:r>
      <w:r>
        <w:rPr>
          <w:spacing w:val="-13"/>
        </w:rPr>
        <w:t xml:space="preserve"> </w:t>
      </w:r>
      <w:r>
        <w:t>NODO ESTRATÉGICO DEL CORREDOR TURÍSTICO DEL SURESTE MEXICANO</w:t>
      </w:r>
    </w:p>
    <w:p w:rsidR="009B4BB4" w:rsidRDefault="00C44001">
      <w:pPr>
        <w:pStyle w:val="Textoindependiente"/>
        <w:spacing w:before="245"/>
        <w:ind w:left="237" w:right="413"/>
        <w:jc w:val="center"/>
      </w:pPr>
      <w:r>
        <w:t>Noviembre</w:t>
      </w:r>
      <w:r>
        <w:rPr>
          <w:spacing w:val="-9"/>
        </w:rPr>
        <w:t xml:space="preserve"> </w:t>
      </w:r>
      <w:r>
        <w:rPr>
          <w:spacing w:val="-4"/>
        </w:rPr>
        <w:t>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23"/>
      </w:pPr>
    </w:p>
    <w:p w:rsidR="009B4BB4" w:rsidRDefault="00C44001">
      <w:pPr>
        <w:pStyle w:val="Textoindependiente"/>
        <w:spacing w:before="1" w:line="504" w:lineRule="auto"/>
        <w:ind w:left="425" w:right="6213"/>
      </w:pPr>
      <w:r>
        <w:rPr>
          <w:spacing w:val="-2"/>
        </w:rPr>
        <w:t>Tesista:</w:t>
      </w:r>
      <w:r>
        <w:rPr>
          <w:spacing w:val="-9"/>
        </w:rPr>
        <w:t xml:space="preserve"> </w:t>
      </w:r>
      <w:r>
        <w:rPr>
          <w:spacing w:val="-2"/>
        </w:rPr>
        <w:t>Stephanie</w:t>
      </w:r>
      <w:r>
        <w:rPr>
          <w:spacing w:val="-9"/>
        </w:rPr>
        <w:t xml:space="preserve"> </w:t>
      </w:r>
      <w:r>
        <w:rPr>
          <w:spacing w:val="-2"/>
        </w:rPr>
        <w:t xml:space="preserve">Rivero </w:t>
      </w:r>
      <w:r>
        <w:t>Legajo: 44842</w:t>
      </w:r>
    </w:p>
    <w:p w:rsidR="009B4BB4" w:rsidRDefault="00C44001">
      <w:pPr>
        <w:pStyle w:val="Textoindependiente"/>
        <w:spacing w:before="0" w:line="504" w:lineRule="auto"/>
        <w:ind w:left="425" w:right="5963"/>
      </w:pPr>
      <w:r>
        <w:t xml:space="preserve">Email: </w:t>
      </w:r>
      <w:hyperlink r:id="rId10">
        <w:r>
          <w:rPr>
            <w:color w:val="1154CC"/>
            <w:u w:val="thick" w:color="1154CC"/>
          </w:rPr>
          <w:t>steph.riv@gmail.com</w:t>
        </w:r>
      </w:hyperlink>
      <w:r>
        <w:rPr>
          <w:color w:val="1154CC"/>
        </w:rPr>
        <w:t xml:space="preserve"> </w:t>
      </w:r>
      <w:r>
        <w:t>Tutora:</w:t>
      </w:r>
      <w:r>
        <w:rPr>
          <w:spacing w:val="-16"/>
        </w:rPr>
        <w:t xml:space="preserve"> </w:t>
      </w:r>
      <w:r>
        <w:t>Maria</w:t>
      </w:r>
      <w:r>
        <w:rPr>
          <w:spacing w:val="-15"/>
        </w:rPr>
        <w:t xml:space="preserve"> </w:t>
      </w:r>
      <w:r>
        <w:t>Agustina</w:t>
      </w:r>
      <w:r>
        <w:rPr>
          <w:spacing w:val="-15"/>
        </w:rPr>
        <w:t xml:space="preserve"> </w:t>
      </w:r>
      <w:r>
        <w:t>Tiscornia</w:t>
      </w:r>
    </w:p>
    <w:p w:rsidR="009B4BB4" w:rsidRDefault="009B4BB4">
      <w:pPr>
        <w:pStyle w:val="Textoindependiente"/>
        <w:spacing w:line="504" w:lineRule="auto"/>
        <w:sectPr w:rsidR="009B4BB4">
          <w:type w:val="continuous"/>
          <w:pgSz w:w="11920" w:h="16840"/>
          <w:pgMar w:top="1820" w:right="850" w:bottom="280" w:left="1275" w:header="720" w:footer="720" w:gutter="0"/>
          <w:cols w:space="720"/>
        </w:sectPr>
      </w:pPr>
    </w:p>
    <w:p w:rsidR="009B4BB4" w:rsidRDefault="009B4BB4">
      <w:pPr>
        <w:pStyle w:val="Textoindependiente"/>
        <w:spacing w:before="68"/>
      </w:pPr>
    </w:p>
    <w:p w:rsidR="009B4BB4" w:rsidRDefault="00C44001">
      <w:pPr>
        <w:pStyle w:val="Ttulo1"/>
        <w:spacing w:before="1"/>
        <w:ind w:left="267" w:right="413"/>
        <w:jc w:val="center"/>
      </w:pPr>
      <w:bookmarkStart w:id="0" w:name="Introducción__"/>
      <w:bookmarkStart w:id="1" w:name="h.nzho88jvrx42"/>
      <w:bookmarkEnd w:id="0"/>
      <w:bookmarkEnd w:id="1"/>
      <w:r>
        <w:rPr>
          <w:spacing w:val="-2"/>
        </w:rPr>
        <w:t>Introducción</w:t>
      </w:r>
    </w:p>
    <w:p w:rsidR="009B4BB4" w:rsidRDefault="009B4BB4">
      <w:pPr>
        <w:pStyle w:val="Textoindependiente"/>
        <w:spacing w:before="239"/>
        <w:rPr>
          <w:rFonts w:ascii="Arial"/>
          <w:b/>
        </w:rPr>
      </w:pPr>
    </w:p>
    <w:p w:rsidR="009B4BB4" w:rsidRDefault="00C44001">
      <w:pPr>
        <w:pStyle w:val="Textoindependiente"/>
        <w:spacing w:before="1" w:line="360" w:lineRule="auto"/>
        <w:ind w:left="425" w:right="602" w:firstLine="720"/>
        <w:jc w:val="both"/>
      </w:pPr>
      <w:bookmarkStart w:id="2" w:name="_GoBack"/>
      <w:r>
        <w:t>En un contexto donde los consumidores valoran cada vez más el</w:t>
      </w:r>
      <w:r>
        <w:rPr>
          <w:spacing w:val="-3"/>
        </w:rPr>
        <w:t xml:space="preserve"> </w:t>
      </w:r>
      <w:r>
        <w:t>impacto</w:t>
      </w:r>
      <w:r>
        <w:rPr>
          <w:spacing w:val="-3"/>
        </w:rPr>
        <w:t xml:space="preserve"> </w:t>
      </w:r>
      <w:r>
        <w:t>de</w:t>
      </w:r>
      <w:r>
        <w:rPr>
          <w:spacing w:val="-3"/>
        </w:rPr>
        <w:t xml:space="preserve"> </w:t>
      </w:r>
      <w:r>
        <w:t>sus decisiones, los productos éticos, sostenibles y</w:t>
      </w:r>
      <w:r>
        <w:rPr>
          <w:spacing w:val="-4"/>
        </w:rPr>
        <w:t xml:space="preserve"> </w:t>
      </w:r>
      <w:r>
        <w:t>con</w:t>
      </w:r>
      <w:r>
        <w:rPr>
          <w:spacing w:val="-4"/>
        </w:rPr>
        <w:t xml:space="preserve"> </w:t>
      </w:r>
      <w:r>
        <w:t>trazabilidad</w:t>
      </w:r>
      <w:r>
        <w:rPr>
          <w:spacing w:val="-4"/>
        </w:rPr>
        <w:t xml:space="preserve"> </w:t>
      </w:r>
      <w:r>
        <w:t>han</w:t>
      </w:r>
      <w:r>
        <w:rPr>
          <w:spacing w:val="-4"/>
        </w:rPr>
        <w:t xml:space="preserve"> </w:t>
      </w:r>
      <w:r>
        <w:t>ganado</w:t>
      </w:r>
      <w:r>
        <w:rPr>
          <w:spacing w:val="-4"/>
        </w:rPr>
        <w:t xml:space="preserve"> </w:t>
      </w:r>
      <w:r>
        <w:t>relevancia</w:t>
      </w:r>
      <w:r>
        <w:rPr>
          <w:spacing w:val="-4"/>
        </w:rPr>
        <w:t xml:space="preserve"> </w:t>
      </w:r>
      <w:r>
        <w:t>en los mercados globales</w:t>
      </w:r>
      <w:proofErr w:type="gramStart"/>
      <w:r>
        <w:t>..</w:t>
      </w:r>
      <w:proofErr w:type="gramEnd"/>
      <w:r>
        <w:t xml:space="preserve"> La demanda de e</w:t>
      </w:r>
      <w:r>
        <w:t>xperiencias y bienes</w:t>
      </w:r>
      <w:r>
        <w:rPr>
          <w:spacing w:val="-4"/>
        </w:rPr>
        <w:t xml:space="preserve"> </w:t>
      </w:r>
      <w:r>
        <w:t>auténticos,</w:t>
      </w:r>
      <w:r>
        <w:rPr>
          <w:spacing w:val="-4"/>
        </w:rPr>
        <w:t xml:space="preserve"> </w:t>
      </w:r>
      <w:r>
        <w:t>con</w:t>
      </w:r>
      <w:r>
        <w:rPr>
          <w:spacing w:val="-4"/>
        </w:rPr>
        <w:t xml:space="preserve"> </w:t>
      </w:r>
      <w:r>
        <w:t>propósito, ha generado oportunidades para modelos híbridos que combinan rentabilidad e impacto social. El turismo de alto poder adquisitivo y los consumidores conscientes</w:t>
      </w:r>
      <w:r>
        <w:rPr>
          <w:spacing w:val="-3"/>
        </w:rPr>
        <w:t xml:space="preserve"> </w:t>
      </w:r>
      <w:r>
        <w:t>de</w:t>
      </w:r>
      <w:r>
        <w:rPr>
          <w:spacing w:val="-3"/>
        </w:rPr>
        <w:t xml:space="preserve"> </w:t>
      </w:r>
      <w:r>
        <w:t>alta</w:t>
      </w:r>
      <w:r>
        <w:rPr>
          <w:spacing w:val="-3"/>
        </w:rPr>
        <w:t xml:space="preserve"> </w:t>
      </w:r>
      <w:r>
        <w:t>gama representan nichos estratégicos par</w:t>
      </w:r>
      <w:r>
        <w:t>a propuestas innovadoras que integran origen, calidad, impacto positivo y una historia que contar.</w:t>
      </w:r>
    </w:p>
    <w:bookmarkEnd w:id="2"/>
    <w:p w:rsidR="009B4BB4" w:rsidRDefault="00C44001">
      <w:pPr>
        <w:pStyle w:val="Textoindependiente"/>
        <w:spacing w:line="360" w:lineRule="auto"/>
        <w:ind w:left="425" w:right="604" w:firstLine="720"/>
        <w:jc w:val="both"/>
      </w:pPr>
      <w:r>
        <w:t>La miel melipona destaca por su rareza y por sus propiedades medicinales</w:t>
      </w:r>
      <w:r>
        <w:rPr>
          <w:spacing w:val="40"/>
        </w:rPr>
        <w:t xml:space="preserve"> </w:t>
      </w:r>
      <w:r>
        <w:t>únicas. Estudios han señalado que contiene una mayor concentración de compuestos ant</w:t>
      </w:r>
      <w:r>
        <w:t>ibacterianos,</w:t>
      </w:r>
      <w:r>
        <w:rPr>
          <w:spacing w:val="-4"/>
        </w:rPr>
        <w:t xml:space="preserve"> </w:t>
      </w:r>
      <w:r>
        <w:t>antioxidantes</w:t>
      </w:r>
      <w:r>
        <w:rPr>
          <w:spacing w:val="-4"/>
        </w:rPr>
        <w:t xml:space="preserve"> </w:t>
      </w:r>
      <w:r>
        <w:t>y</w:t>
      </w:r>
      <w:r>
        <w:rPr>
          <w:spacing w:val="-4"/>
        </w:rPr>
        <w:t xml:space="preserve"> </w:t>
      </w:r>
      <w:r>
        <w:t>enzimas</w:t>
      </w:r>
      <w:r>
        <w:rPr>
          <w:spacing w:val="-4"/>
        </w:rPr>
        <w:t xml:space="preserve"> </w:t>
      </w:r>
      <w:r>
        <w:t>en</w:t>
      </w:r>
      <w:r>
        <w:rPr>
          <w:spacing w:val="-4"/>
        </w:rPr>
        <w:t xml:space="preserve"> </w:t>
      </w:r>
      <w:r>
        <w:t>comparación</w:t>
      </w:r>
      <w:r>
        <w:rPr>
          <w:spacing w:val="-4"/>
        </w:rPr>
        <w:t xml:space="preserve"> </w:t>
      </w:r>
      <w:r>
        <w:t>con</w:t>
      </w:r>
      <w:r>
        <w:rPr>
          <w:spacing w:val="-4"/>
        </w:rPr>
        <w:t xml:space="preserve"> </w:t>
      </w:r>
      <w:r>
        <w:t>la</w:t>
      </w:r>
      <w:r>
        <w:rPr>
          <w:spacing w:val="-4"/>
        </w:rPr>
        <w:t xml:space="preserve"> </w:t>
      </w:r>
      <w:r>
        <w:t>miel</w:t>
      </w:r>
      <w:r>
        <w:rPr>
          <w:spacing w:val="-4"/>
        </w:rPr>
        <w:t xml:space="preserve"> </w:t>
      </w:r>
      <w:r>
        <w:t>convencional,</w:t>
      </w:r>
      <w:r>
        <w:rPr>
          <w:spacing w:val="-4"/>
        </w:rPr>
        <w:t xml:space="preserve"> </w:t>
      </w:r>
      <w:r>
        <w:t>lo</w:t>
      </w:r>
      <w:r>
        <w:rPr>
          <w:spacing w:val="-4"/>
        </w:rPr>
        <w:t xml:space="preserve"> </w:t>
      </w:r>
      <w:r>
        <w:t>que la</w:t>
      </w:r>
      <w:r>
        <w:rPr>
          <w:spacing w:val="-4"/>
        </w:rPr>
        <w:t xml:space="preserve"> </w:t>
      </w:r>
      <w:r>
        <w:t>hace</w:t>
      </w:r>
      <w:r>
        <w:rPr>
          <w:spacing w:val="-4"/>
        </w:rPr>
        <w:t xml:space="preserve"> </w:t>
      </w:r>
      <w:r>
        <w:t>especialmente</w:t>
      </w:r>
      <w:r>
        <w:rPr>
          <w:spacing w:val="-4"/>
        </w:rPr>
        <w:t xml:space="preserve"> </w:t>
      </w:r>
      <w:r>
        <w:t>útil</w:t>
      </w:r>
      <w:r>
        <w:rPr>
          <w:spacing w:val="-4"/>
        </w:rPr>
        <w:t xml:space="preserve"> </w:t>
      </w:r>
      <w:r>
        <w:t>en</w:t>
      </w:r>
      <w:r>
        <w:rPr>
          <w:spacing w:val="-4"/>
        </w:rPr>
        <w:t xml:space="preserve"> </w:t>
      </w:r>
      <w:r>
        <w:t>el</w:t>
      </w:r>
      <w:r>
        <w:rPr>
          <w:spacing w:val="-4"/>
        </w:rPr>
        <w:t xml:space="preserve"> </w:t>
      </w:r>
      <w:r>
        <w:t>tratamiento</w:t>
      </w:r>
      <w:r>
        <w:rPr>
          <w:spacing w:val="-4"/>
        </w:rPr>
        <w:t xml:space="preserve"> </w:t>
      </w:r>
      <w:r>
        <w:t>de</w:t>
      </w:r>
      <w:r>
        <w:rPr>
          <w:spacing w:val="-4"/>
        </w:rPr>
        <w:t xml:space="preserve"> </w:t>
      </w:r>
      <w:r>
        <w:t>afecciones</w:t>
      </w:r>
      <w:r>
        <w:rPr>
          <w:spacing w:val="-4"/>
        </w:rPr>
        <w:t xml:space="preserve"> </w:t>
      </w:r>
      <w:r>
        <w:t>respiratorias,</w:t>
      </w:r>
      <w:r>
        <w:rPr>
          <w:spacing w:val="-4"/>
        </w:rPr>
        <w:t xml:space="preserve"> </w:t>
      </w:r>
      <w:r>
        <w:t>gastrointestinales y oculares. A nivel cultural, su uso por comunidades mayas se remonta a tiempos prehispánicos, tanto con fines</w:t>
      </w:r>
      <w:r>
        <w:rPr>
          <w:spacing w:val="-4"/>
        </w:rPr>
        <w:t xml:space="preserve"> </w:t>
      </w:r>
      <w:r>
        <w:t>curativos</w:t>
      </w:r>
      <w:r>
        <w:rPr>
          <w:spacing w:val="-4"/>
        </w:rPr>
        <w:t xml:space="preserve"> </w:t>
      </w:r>
      <w:r>
        <w:t>como</w:t>
      </w:r>
      <w:r>
        <w:rPr>
          <w:spacing w:val="-4"/>
        </w:rPr>
        <w:t xml:space="preserve"> </w:t>
      </w:r>
      <w:r>
        <w:t>rituales.</w:t>
      </w:r>
      <w:r>
        <w:rPr>
          <w:spacing w:val="-4"/>
        </w:rPr>
        <w:t xml:space="preserve"> </w:t>
      </w:r>
      <w:r>
        <w:t>En</w:t>
      </w:r>
      <w:r>
        <w:rPr>
          <w:spacing w:val="-4"/>
        </w:rPr>
        <w:t xml:space="preserve"> </w:t>
      </w:r>
      <w:r>
        <w:t>términos</w:t>
      </w:r>
      <w:r>
        <w:rPr>
          <w:spacing w:val="-4"/>
        </w:rPr>
        <w:t xml:space="preserve"> </w:t>
      </w:r>
      <w:r>
        <w:t>económicos,</w:t>
      </w:r>
      <w:r>
        <w:rPr>
          <w:spacing w:val="-4"/>
        </w:rPr>
        <w:t xml:space="preserve"> </w:t>
      </w:r>
      <w:r>
        <w:t>mientras que el litro de miel de abeja europea se comercializa entre $50 y $7</w:t>
      </w:r>
      <w:r>
        <w:t>5 MXN, el de miel melipona puede alcanzar los $50 a $75 USD,</w:t>
      </w:r>
      <w:r>
        <w:rPr>
          <w:spacing w:val="-3"/>
        </w:rPr>
        <w:t xml:space="preserve"> </w:t>
      </w:r>
      <w:r>
        <w:t>reflejando</w:t>
      </w:r>
      <w:r>
        <w:rPr>
          <w:spacing w:val="-3"/>
        </w:rPr>
        <w:t xml:space="preserve"> </w:t>
      </w:r>
      <w:r>
        <w:t>su</w:t>
      </w:r>
      <w:r>
        <w:rPr>
          <w:spacing w:val="-3"/>
        </w:rPr>
        <w:t xml:space="preserve"> </w:t>
      </w:r>
      <w:r>
        <w:t>escasez,</w:t>
      </w:r>
      <w:r>
        <w:rPr>
          <w:spacing w:val="-3"/>
        </w:rPr>
        <w:t xml:space="preserve"> </w:t>
      </w:r>
      <w:r>
        <w:t>proceso</w:t>
      </w:r>
      <w:r>
        <w:rPr>
          <w:spacing w:val="-3"/>
        </w:rPr>
        <w:t xml:space="preserve"> </w:t>
      </w:r>
      <w:r>
        <w:t>artesanal</w:t>
      </w:r>
      <w:r>
        <w:rPr>
          <w:spacing w:val="-3"/>
        </w:rPr>
        <w:t xml:space="preserve"> </w:t>
      </w:r>
      <w:r>
        <w:t>y alto valor agregado (INIFAP, 2024).</w:t>
      </w:r>
    </w:p>
    <w:p w:rsidR="009B4BB4" w:rsidRDefault="00C44001">
      <w:pPr>
        <w:pStyle w:val="Textoindependiente"/>
        <w:spacing w:line="360" w:lineRule="auto"/>
        <w:ind w:left="425" w:right="602" w:firstLine="720"/>
        <w:jc w:val="both"/>
      </w:pPr>
      <w:r>
        <w:t>La región sureste de México —que incluye Campeche, Yucatán, Quintana Roo y partes de Chiapas y</w:t>
      </w:r>
      <w:r>
        <w:rPr>
          <w:spacing w:val="-5"/>
        </w:rPr>
        <w:t xml:space="preserve"> </w:t>
      </w:r>
      <w:r>
        <w:t>Tabasco—</w:t>
      </w:r>
      <w:r>
        <w:rPr>
          <w:spacing w:val="-5"/>
        </w:rPr>
        <w:t xml:space="preserve"> </w:t>
      </w:r>
      <w:r>
        <w:t>concentra</w:t>
      </w:r>
      <w:r>
        <w:rPr>
          <w:spacing w:val="-5"/>
        </w:rPr>
        <w:t xml:space="preserve"> </w:t>
      </w:r>
      <w:r>
        <w:t>el</w:t>
      </w:r>
      <w:r>
        <w:rPr>
          <w:spacing w:val="-5"/>
        </w:rPr>
        <w:t xml:space="preserve"> </w:t>
      </w:r>
      <w:r>
        <w:t>32.4%</w:t>
      </w:r>
      <w:r>
        <w:rPr>
          <w:spacing w:val="-5"/>
        </w:rPr>
        <w:t xml:space="preserve"> </w:t>
      </w:r>
      <w:r>
        <w:t>de</w:t>
      </w:r>
      <w:r>
        <w:rPr>
          <w:spacing w:val="-5"/>
        </w:rPr>
        <w:t xml:space="preserve"> </w:t>
      </w:r>
      <w:r>
        <w:t>la</w:t>
      </w:r>
      <w:r>
        <w:rPr>
          <w:spacing w:val="-5"/>
        </w:rPr>
        <w:t xml:space="preserve"> </w:t>
      </w:r>
      <w:r>
        <w:t>producción</w:t>
      </w:r>
      <w:r>
        <w:rPr>
          <w:spacing w:val="-5"/>
        </w:rPr>
        <w:t xml:space="preserve"> </w:t>
      </w:r>
      <w:r>
        <w:t>nacional</w:t>
      </w:r>
      <w:r>
        <w:rPr>
          <w:spacing w:val="-5"/>
        </w:rPr>
        <w:t xml:space="preserve"> </w:t>
      </w:r>
      <w:r>
        <w:t>de</w:t>
      </w:r>
      <w:r>
        <w:rPr>
          <w:spacing w:val="-5"/>
        </w:rPr>
        <w:t xml:space="preserve"> </w:t>
      </w:r>
      <w:r>
        <w:t>miel.</w:t>
      </w:r>
      <w:r>
        <w:rPr>
          <w:spacing w:val="-5"/>
        </w:rPr>
        <w:t xml:space="preserve"> </w:t>
      </w:r>
      <w:r>
        <w:t>Su característica distintiva es la presencia de determinados períodos en los que plantas locales florecen de forma masiva, brindando a las abejas néctar con propiedades muy particulares. Entre estos ciclos destacan</w:t>
      </w:r>
      <w:r>
        <w:t xml:space="preserve"> los de Dzitbalché y Tajonal (Secretaría de Agricultura, 2023). A pesar del potencial exportador de la miel mexicana, cuyo principal destino es Alemania, seguido por Estados</w:t>
      </w:r>
      <w:r>
        <w:rPr>
          <w:spacing w:val="-3"/>
        </w:rPr>
        <w:t xml:space="preserve"> </w:t>
      </w:r>
      <w:r>
        <w:t>Unidos</w:t>
      </w:r>
      <w:r>
        <w:rPr>
          <w:spacing w:val="-3"/>
        </w:rPr>
        <w:t xml:space="preserve"> </w:t>
      </w:r>
      <w:r>
        <w:t>y</w:t>
      </w:r>
      <w:r>
        <w:rPr>
          <w:spacing w:val="-3"/>
        </w:rPr>
        <w:t xml:space="preserve"> </w:t>
      </w:r>
      <w:r>
        <w:t>Japón,</w:t>
      </w:r>
      <w:r>
        <w:rPr>
          <w:spacing w:val="-3"/>
        </w:rPr>
        <w:t xml:space="preserve"> </w:t>
      </w:r>
      <w:r>
        <w:t>muchas</w:t>
      </w:r>
      <w:r>
        <w:rPr>
          <w:spacing w:val="-3"/>
        </w:rPr>
        <w:t xml:space="preserve"> </w:t>
      </w:r>
      <w:r>
        <w:t>comunidades</w:t>
      </w:r>
      <w:r>
        <w:rPr>
          <w:spacing w:val="-3"/>
        </w:rPr>
        <w:t xml:space="preserve"> </w:t>
      </w:r>
      <w:r>
        <w:t>rurales aún enfrentan desafíos estructurales pa</w:t>
      </w:r>
      <w:r>
        <w:t>ra posicionar sus productos en mercados</w:t>
      </w:r>
      <w:r>
        <w:rPr>
          <w:spacing w:val="-3"/>
        </w:rPr>
        <w:t xml:space="preserve"> </w:t>
      </w:r>
      <w:r>
        <w:t>de</w:t>
      </w:r>
      <w:r>
        <w:rPr>
          <w:spacing w:val="-3"/>
        </w:rPr>
        <w:t xml:space="preserve"> </w:t>
      </w:r>
      <w:r>
        <w:t>alto valor (Atlas de Abejas, 2017).</w:t>
      </w:r>
    </w:p>
    <w:p w:rsidR="009B4BB4" w:rsidRDefault="00C44001">
      <w:pPr>
        <w:pStyle w:val="Textoindependiente"/>
        <w:spacing w:line="360" w:lineRule="auto"/>
        <w:ind w:left="425" w:right="602" w:firstLine="720"/>
        <w:jc w:val="both"/>
      </w:pPr>
      <w:r>
        <w:t>El entorno turístico de la región presenta una oportunidad creciente y concreta. Tan</w:t>
      </w:r>
      <w:r>
        <w:rPr>
          <w:spacing w:val="24"/>
        </w:rPr>
        <w:t xml:space="preserve"> </w:t>
      </w:r>
      <w:r>
        <w:t>solo</w:t>
      </w:r>
      <w:r>
        <w:rPr>
          <w:spacing w:val="24"/>
        </w:rPr>
        <w:t xml:space="preserve"> </w:t>
      </w:r>
      <w:r>
        <w:t>en</w:t>
      </w:r>
      <w:r>
        <w:rPr>
          <w:spacing w:val="24"/>
        </w:rPr>
        <w:t xml:space="preserve"> </w:t>
      </w:r>
      <w:r>
        <w:t>2023,</w:t>
      </w:r>
      <w:r>
        <w:rPr>
          <w:spacing w:val="24"/>
        </w:rPr>
        <w:t xml:space="preserve"> </w:t>
      </w:r>
      <w:r>
        <w:t>el</w:t>
      </w:r>
      <w:r>
        <w:rPr>
          <w:spacing w:val="24"/>
        </w:rPr>
        <w:t xml:space="preserve"> </w:t>
      </w:r>
      <w:r>
        <w:t>estado de Yucatán recibió 2.4 millones de visitantes con pernocta,</w:t>
      </w:r>
    </w:p>
    <w:p w:rsidR="009B4BB4" w:rsidRDefault="009B4BB4">
      <w:pPr>
        <w:pStyle w:val="Textoindependiente"/>
        <w:spacing w:line="360" w:lineRule="auto"/>
        <w:jc w:val="both"/>
        <w:sectPr w:rsidR="009B4BB4">
          <w:footerReference w:type="default" r:id="rId11"/>
          <w:pgSz w:w="11920" w:h="16840"/>
          <w:pgMar w:top="1940" w:right="850" w:bottom="1940" w:left="1275" w:header="0" w:footer="1747" w:gutter="0"/>
          <w:pgNumType w:start="2"/>
          <w:cols w:space="720"/>
        </w:sectPr>
      </w:pPr>
    </w:p>
    <w:p w:rsidR="009B4BB4" w:rsidRDefault="00C44001">
      <w:pPr>
        <w:pStyle w:val="Textoindependiente"/>
        <w:spacing w:before="79" w:line="360" w:lineRule="auto"/>
        <w:ind w:left="425" w:right="607"/>
        <w:jc w:val="both"/>
      </w:pPr>
      <w:proofErr w:type="gramStart"/>
      <w:r>
        <w:lastRenderedPageBreak/>
        <w:t>un</w:t>
      </w:r>
      <w:proofErr w:type="gramEnd"/>
      <w:r>
        <w:t xml:space="preserve"> aumento del 14.2% respecto al año anterior y del 34.2% frente a 2018 (Observatorio Turístico de Yucatán, 2024). Valladolid, ciudad que articu</w:t>
      </w:r>
      <w:r>
        <w:t>la el corredor turístico entre Cancún y Chichén Itzá, se consolida como un nodo estratégico donde</w:t>
      </w:r>
      <w:r>
        <w:rPr>
          <w:spacing w:val="-3"/>
        </w:rPr>
        <w:t xml:space="preserve"> </w:t>
      </w:r>
      <w:r>
        <w:t>convergen</w:t>
      </w:r>
      <w:r>
        <w:rPr>
          <w:spacing w:val="-3"/>
        </w:rPr>
        <w:t xml:space="preserve"> </w:t>
      </w:r>
      <w:r>
        <w:t>el</w:t>
      </w:r>
      <w:r>
        <w:rPr>
          <w:spacing w:val="-3"/>
        </w:rPr>
        <w:t xml:space="preserve"> </w:t>
      </w:r>
      <w:r>
        <w:t>flujo de visitantes nacionales e internacionales, la identidad maya viva y una oferta artesanal vinculada a la meliponicultura. Este contexto fav</w:t>
      </w:r>
      <w:r>
        <w:t>orece el desarrollo de modelos de emprendimiento cultural que integren múltiples disciplinas y fomenten la participación activa de las comunidades locales, promoviendo cohesión social e innovación con identidad (Cuellar Chaves, 2024).</w:t>
      </w:r>
    </w:p>
    <w:p w:rsidR="009B4BB4" w:rsidRDefault="00C44001">
      <w:pPr>
        <w:pStyle w:val="Textoindependiente"/>
        <w:spacing w:line="360" w:lineRule="auto"/>
        <w:ind w:left="425" w:right="602" w:firstLine="720"/>
        <w:jc w:val="both"/>
      </w:pPr>
      <w:r>
        <w:t>Este trabajo desarrol</w:t>
      </w:r>
      <w:r>
        <w:t>la un plan de negocios enfocado en la comercialización de miel melipona en formatos premium, dirigido a turistas y consumidores que valoran productos de alto contenido cultural y funcional.</w:t>
      </w:r>
      <w:r>
        <w:rPr>
          <w:spacing w:val="40"/>
        </w:rPr>
        <w:t xml:space="preserve"> </w:t>
      </w:r>
      <w:r>
        <w:t>El proyecto, denominado Guardiana, posiciona la miel melipona no c</w:t>
      </w:r>
      <w:r>
        <w:t>omo</w:t>
      </w:r>
      <w:r>
        <w:rPr>
          <w:spacing w:val="-4"/>
        </w:rPr>
        <w:t xml:space="preserve"> </w:t>
      </w:r>
      <w:r>
        <w:t>un</w:t>
      </w:r>
      <w:r>
        <w:rPr>
          <w:spacing w:val="-4"/>
        </w:rPr>
        <w:t xml:space="preserve"> </w:t>
      </w:r>
      <w:r>
        <w:t>simple</w:t>
      </w:r>
      <w:r>
        <w:rPr>
          <w:spacing w:val="-4"/>
        </w:rPr>
        <w:t xml:space="preserve"> </w:t>
      </w:r>
      <w:r>
        <w:t>souvenir,</w:t>
      </w:r>
      <w:r>
        <w:rPr>
          <w:spacing w:val="-4"/>
        </w:rPr>
        <w:t xml:space="preserve"> </w:t>
      </w:r>
      <w:r>
        <w:t>sino</w:t>
      </w:r>
      <w:r>
        <w:rPr>
          <w:spacing w:val="-4"/>
        </w:rPr>
        <w:t xml:space="preserve"> </w:t>
      </w:r>
      <w:r>
        <w:t>como</w:t>
      </w:r>
      <w:r>
        <w:rPr>
          <w:spacing w:val="-4"/>
        </w:rPr>
        <w:t xml:space="preserve"> </w:t>
      </w:r>
      <w:r>
        <w:t>un</w:t>
      </w:r>
      <w:r>
        <w:rPr>
          <w:spacing w:val="-4"/>
        </w:rPr>
        <w:t xml:space="preserve"> </w:t>
      </w:r>
      <w:r>
        <w:t>activo</w:t>
      </w:r>
      <w:r>
        <w:rPr>
          <w:spacing w:val="-4"/>
        </w:rPr>
        <w:t xml:space="preserve"> </w:t>
      </w:r>
      <w:r>
        <w:t>nutracéutico de herencia maya: un producto con</w:t>
      </w:r>
      <w:r>
        <w:rPr>
          <w:spacing w:val="-5"/>
        </w:rPr>
        <w:t xml:space="preserve"> </w:t>
      </w:r>
      <w:r>
        <w:t>propiedades</w:t>
      </w:r>
      <w:r>
        <w:rPr>
          <w:spacing w:val="-5"/>
        </w:rPr>
        <w:t xml:space="preserve"> </w:t>
      </w:r>
      <w:r>
        <w:t>medicinales</w:t>
      </w:r>
      <w:r>
        <w:rPr>
          <w:spacing w:val="-5"/>
        </w:rPr>
        <w:t xml:space="preserve"> </w:t>
      </w:r>
      <w:r>
        <w:t>documentadas,</w:t>
      </w:r>
      <w:r>
        <w:rPr>
          <w:spacing w:val="-5"/>
        </w:rPr>
        <w:t xml:space="preserve"> </w:t>
      </w:r>
      <w:r>
        <w:t>trazabilidad verificable y un impacto social directo en las familias meliponicultoras aliadas.</w:t>
      </w:r>
      <w:r>
        <w:rPr>
          <w:spacing w:val="-3"/>
        </w:rPr>
        <w:t xml:space="preserve"> </w:t>
      </w:r>
      <w:r>
        <w:t>El</w:t>
      </w:r>
      <w:r>
        <w:rPr>
          <w:spacing w:val="-3"/>
        </w:rPr>
        <w:t xml:space="preserve"> </w:t>
      </w:r>
      <w:r>
        <w:t>modelo propone capturar el va</w:t>
      </w:r>
      <w:r>
        <w:t>lor que actualmente se pierde en esquemas informales de comercialización, redistribuyendo de manera justa hacia los productores y hacia la conservación del ecosistema donde habita la abeja Melipona beecheii.</w:t>
      </w:r>
    </w:p>
    <w:p w:rsidR="009B4BB4" w:rsidRDefault="00C44001">
      <w:pPr>
        <w:pStyle w:val="Textoindependiente"/>
        <w:spacing w:line="360" w:lineRule="auto"/>
        <w:ind w:left="425" w:right="671" w:firstLine="720"/>
      </w:pPr>
      <w:r>
        <w:t xml:space="preserve">Para sustentar esta propuesta, la investigación </w:t>
      </w:r>
      <w:r>
        <w:t>combina un análisis estratégico del sector con trabajo de campo realizado en Valladolid, Yucatán, que incluye 392 encuestas aplicadas a visitantes y residentes, así como entrevistas en profundidad con meliponicultores y actores clave de la cadena comercial</w:t>
      </w:r>
      <w:r>
        <w:t>. Este enfoque mixto permite anclar</w:t>
      </w:r>
      <w:r>
        <w:rPr>
          <w:spacing w:val="-5"/>
        </w:rPr>
        <w:t xml:space="preserve"> </w:t>
      </w:r>
      <w:r>
        <w:t>las</w:t>
      </w:r>
      <w:r>
        <w:rPr>
          <w:spacing w:val="-5"/>
        </w:rPr>
        <w:t xml:space="preserve"> </w:t>
      </w:r>
      <w:r>
        <w:t>decisiones</w:t>
      </w:r>
      <w:r>
        <w:rPr>
          <w:spacing w:val="-5"/>
        </w:rPr>
        <w:t xml:space="preserve"> </w:t>
      </w:r>
      <w:r>
        <w:t>estratégicas,</w:t>
      </w:r>
      <w:r>
        <w:rPr>
          <w:spacing w:val="-5"/>
        </w:rPr>
        <w:t xml:space="preserve"> </w:t>
      </w:r>
      <w:r>
        <w:t>de</w:t>
      </w:r>
      <w:r>
        <w:rPr>
          <w:spacing w:val="-5"/>
        </w:rPr>
        <w:t xml:space="preserve"> </w:t>
      </w:r>
      <w:r>
        <w:t>posicionamiento,</w:t>
      </w:r>
      <w:r>
        <w:rPr>
          <w:spacing w:val="-5"/>
        </w:rPr>
        <w:t xml:space="preserve"> </w:t>
      </w:r>
      <w:r>
        <w:t>precio,</w:t>
      </w:r>
      <w:r>
        <w:rPr>
          <w:spacing w:val="-5"/>
        </w:rPr>
        <w:t xml:space="preserve"> </w:t>
      </w:r>
      <w:r>
        <w:t>canales</w:t>
      </w:r>
      <w:r>
        <w:rPr>
          <w:spacing w:val="-5"/>
        </w:rPr>
        <w:t xml:space="preserve"> </w:t>
      </w:r>
      <w:r>
        <w:t>y</w:t>
      </w:r>
      <w:r>
        <w:rPr>
          <w:spacing w:val="-5"/>
        </w:rPr>
        <w:t xml:space="preserve"> </w:t>
      </w:r>
      <w:r>
        <w:t>operaciones,</w:t>
      </w:r>
      <w:r>
        <w:rPr>
          <w:spacing w:val="-5"/>
        </w:rPr>
        <w:t xml:space="preserve"> </w:t>
      </w:r>
      <w:r>
        <w:t>en evidencia empírica sobre el comportamiento real del consumidor y las condiciones actuales de la oferta.</w:t>
      </w:r>
    </w:p>
    <w:p w:rsidR="009B4BB4" w:rsidRDefault="00C44001">
      <w:pPr>
        <w:pStyle w:val="Textoindependiente"/>
        <w:spacing w:line="360" w:lineRule="auto"/>
        <w:ind w:left="425" w:right="671" w:firstLine="720"/>
      </w:pPr>
      <w:r>
        <w:t>El objetivo es demostrar que un producto con raíces culturales profundas puede transformarse en una solución rentable, capaz de conectar la riqueza del patrimonio maya con las demandas del consumidor global contemporáneo. En este contexto, una unidad</w:t>
      </w:r>
      <w:r>
        <w:rPr>
          <w:spacing w:val="-4"/>
        </w:rPr>
        <w:t xml:space="preserve"> </w:t>
      </w:r>
      <w:r>
        <w:t>de</w:t>
      </w:r>
      <w:r>
        <w:rPr>
          <w:spacing w:val="-4"/>
        </w:rPr>
        <w:t xml:space="preserve"> </w:t>
      </w:r>
      <w:r>
        <w:t>pr</w:t>
      </w:r>
      <w:r>
        <w:t>oducto</w:t>
      </w:r>
      <w:r>
        <w:rPr>
          <w:spacing w:val="-4"/>
        </w:rPr>
        <w:t xml:space="preserve"> </w:t>
      </w:r>
      <w:r>
        <w:t>puede</w:t>
      </w:r>
      <w:r>
        <w:rPr>
          <w:spacing w:val="-4"/>
        </w:rPr>
        <w:t xml:space="preserve"> </w:t>
      </w:r>
      <w:r>
        <w:t>convertirse</w:t>
      </w:r>
      <w:r>
        <w:rPr>
          <w:spacing w:val="-4"/>
        </w:rPr>
        <w:t xml:space="preserve"> </w:t>
      </w:r>
      <w:r>
        <w:t>en</w:t>
      </w:r>
      <w:r>
        <w:rPr>
          <w:spacing w:val="-4"/>
        </w:rPr>
        <w:t xml:space="preserve"> </w:t>
      </w:r>
      <w:r>
        <w:t>un</w:t>
      </w:r>
      <w:r>
        <w:rPr>
          <w:spacing w:val="-4"/>
        </w:rPr>
        <w:t xml:space="preserve"> </w:t>
      </w:r>
      <w:r>
        <w:t>vehículo</w:t>
      </w:r>
      <w:r>
        <w:rPr>
          <w:spacing w:val="-4"/>
        </w:rPr>
        <w:t xml:space="preserve"> </w:t>
      </w:r>
      <w:r>
        <w:t>de</w:t>
      </w:r>
      <w:r>
        <w:rPr>
          <w:spacing w:val="-4"/>
        </w:rPr>
        <w:t xml:space="preserve"> </w:t>
      </w:r>
      <w:r>
        <w:t>generación</w:t>
      </w:r>
      <w:r>
        <w:rPr>
          <w:spacing w:val="-4"/>
        </w:rPr>
        <w:t xml:space="preserve"> </w:t>
      </w:r>
      <w:r>
        <w:t>de</w:t>
      </w:r>
      <w:r>
        <w:rPr>
          <w:spacing w:val="-4"/>
        </w:rPr>
        <w:t xml:space="preserve"> </w:t>
      </w:r>
      <w:r>
        <w:t>valor</w:t>
      </w:r>
      <w:r>
        <w:rPr>
          <w:spacing w:val="-4"/>
        </w:rPr>
        <w:t xml:space="preserve"> </w:t>
      </w:r>
      <w:r>
        <w:t>económico, social y ambiental.</w:t>
      </w:r>
    </w:p>
    <w:p w:rsidR="009B4BB4" w:rsidRDefault="009B4BB4">
      <w:pPr>
        <w:pStyle w:val="Textoindependiente"/>
        <w:spacing w:line="360" w:lineRule="auto"/>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71" w:firstLine="720"/>
      </w:pPr>
      <w:r>
        <w:lastRenderedPageBreak/>
        <w:t>¿Puede</w:t>
      </w:r>
      <w:r>
        <w:rPr>
          <w:spacing w:val="-4"/>
        </w:rPr>
        <w:t xml:space="preserve"> </w:t>
      </w:r>
      <w:r>
        <w:t>una</w:t>
      </w:r>
      <w:r>
        <w:rPr>
          <w:spacing w:val="-4"/>
        </w:rPr>
        <w:t xml:space="preserve"> </w:t>
      </w:r>
      <w:r>
        <w:t>"cucharadita"</w:t>
      </w:r>
      <w:r>
        <w:rPr>
          <w:spacing w:val="-4"/>
        </w:rPr>
        <w:t xml:space="preserve"> </w:t>
      </w:r>
      <w:r>
        <w:t>de</w:t>
      </w:r>
      <w:r>
        <w:rPr>
          <w:spacing w:val="-4"/>
        </w:rPr>
        <w:t xml:space="preserve"> </w:t>
      </w:r>
      <w:r>
        <w:t>miel</w:t>
      </w:r>
      <w:r>
        <w:rPr>
          <w:spacing w:val="-4"/>
        </w:rPr>
        <w:t xml:space="preserve"> </w:t>
      </w:r>
      <w:r>
        <w:t>convertirse</w:t>
      </w:r>
      <w:r>
        <w:rPr>
          <w:spacing w:val="-4"/>
        </w:rPr>
        <w:t xml:space="preserve"> </w:t>
      </w:r>
      <w:r>
        <w:t>en</w:t>
      </w:r>
      <w:r>
        <w:rPr>
          <w:spacing w:val="-4"/>
        </w:rPr>
        <w:t xml:space="preserve"> </w:t>
      </w:r>
      <w:r>
        <w:t>el</w:t>
      </w:r>
      <w:r>
        <w:rPr>
          <w:spacing w:val="-4"/>
        </w:rPr>
        <w:t xml:space="preserve"> </w:t>
      </w:r>
      <w:r>
        <w:t>motor</w:t>
      </w:r>
      <w:r>
        <w:rPr>
          <w:spacing w:val="-4"/>
        </w:rPr>
        <w:t xml:space="preserve"> </w:t>
      </w:r>
      <w:r>
        <w:t>del</w:t>
      </w:r>
      <w:r>
        <w:rPr>
          <w:spacing w:val="-4"/>
        </w:rPr>
        <w:t xml:space="preserve"> </w:t>
      </w:r>
      <w:r>
        <w:t>desarrollo</w:t>
      </w:r>
      <w:r>
        <w:rPr>
          <w:spacing w:val="-4"/>
        </w:rPr>
        <w:t xml:space="preserve"> </w:t>
      </w:r>
      <w:r>
        <w:t>social,</w:t>
      </w:r>
      <w:r>
        <w:rPr>
          <w:spacing w:val="-4"/>
        </w:rPr>
        <w:t xml:space="preserve"> </w:t>
      </w:r>
      <w:r>
        <w:t>la conservación ambiental y el posicionamiento de una marca premium?</w:t>
      </w:r>
    </w:p>
    <w:p w:rsidR="009B4BB4" w:rsidRDefault="009B4BB4">
      <w:pPr>
        <w:pStyle w:val="Textoindependiente"/>
        <w:spacing w:before="147"/>
      </w:pPr>
    </w:p>
    <w:p w:rsidR="009B4BB4" w:rsidRDefault="00C44001">
      <w:pPr>
        <w:pStyle w:val="Ttulo1"/>
        <w:ind w:left="267" w:right="413"/>
        <w:jc w:val="center"/>
      </w:pPr>
      <w:bookmarkStart w:id="3" w:name="Hipótesis_"/>
      <w:bookmarkStart w:id="4" w:name="h.d06rncr3rhw5"/>
      <w:bookmarkEnd w:id="3"/>
      <w:bookmarkEnd w:id="4"/>
      <w:r>
        <w:rPr>
          <w:spacing w:val="-2"/>
        </w:rPr>
        <w:t>Hipótesis</w:t>
      </w:r>
    </w:p>
    <w:p w:rsidR="009B4BB4" w:rsidRDefault="009B4BB4">
      <w:pPr>
        <w:pStyle w:val="Textoindependiente"/>
        <w:rPr>
          <w:rFonts w:ascii="Arial"/>
          <w:b/>
        </w:rPr>
      </w:pPr>
    </w:p>
    <w:p w:rsidR="009B4BB4" w:rsidRDefault="00C44001">
      <w:pPr>
        <w:pStyle w:val="Textoindependiente"/>
        <w:spacing w:before="0" w:line="360" w:lineRule="auto"/>
        <w:ind w:left="425" w:right="602" w:firstLine="720"/>
        <w:jc w:val="both"/>
      </w:pPr>
      <w:r>
        <w:t>La implementación de un modelo de negocio basado en miel melipona, en formatos prácticos y de alto valor percibido, dirigido a nichos turísticos y consumidores conscientes, es</w:t>
      </w:r>
      <w:r>
        <w:t xml:space="preserve"> rentable y sostenible en valor, y al</w:t>
      </w:r>
      <w:r>
        <w:rPr>
          <w:spacing w:val="-4"/>
        </w:rPr>
        <w:t xml:space="preserve"> </w:t>
      </w:r>
      <w:r>
        <w:t>mismo</w:t>
      </w:r>
      <w:r>
        <w:rPr>
          <w:spacing w:val="-4"/>
        </w:rPr>
        <w:t xml:space="preserve"> </w:t>
      </w:r>
      <w:r>
        <w:t>tiempo</w:t>
      </w:r>
      <w:r>
        <w:rPr>
          <w:spacing w:val="-4"/>
        </w:rPr>
        <w:t xml:space="preserve"> </w:t>
      </w:r>
      <w:r>
        <w:t>puede</w:t>
      </w:r>
      <w:r>
        <w:rPr>
          <w:spacing w:val="-4"/>
        </w:rPr>
        <w:t xml:space="preserve"> </w:t>
      </w:r>
      <w:r>
        <w:t>generar</w:t>
      </w:r>
      <w:r>
        <w:rPr>
          <w:spacing w:val="-4"/>
        </w:rPr>
        <w:t xml:space="preserve"> </w:t>
      </w:r>
      <w:r>
        <w:t>impacto positivo en las economías locales, promover la conservación ambiental y preservar prácticas tradicionales.</w:t>
      </w:r>
    </w:p>
    <w:p w:rsidR="009B4BB4" w:rsidRDefault="009B4BB4">
      <w:pPr>
        <w:pStyle w:val="Textoindependiente"/>
        <w:spacing w:before="147"/>
      </w:pPr>
    </w:p>
    <w:p w:rsidR="009B4BB4" w:rsidRDefault="00C44001">
      <w:pPr>
        <w:pStyle w:val="Ttulo1"/>
        <w:ind w:left="267" w:right="413"/>
        <w:jc w:val="center"/>
      </w:pPr>
      <w:bookmarkStart w:id="5" w:name="Objetivo_General_"/>
      <w:bookmarkStart w:id="6" w:name="h.sa19rvs8437b"/>
      <w:bookmarkEnd w:id="5"/>
      <w:bookmarkEnd w:id="6"/>
      <w:r>
        <w:t>Objetivo</w:t>
      </w:r>
      <w:r>
        <w:rPr>
          <w:spacing w:val="-8"/>
        </w:rPr>
        <w:t xml:space="preserve"> </w:t>
      </w:r>
      <w:r>
        <w:rPr>
          <w:spacing w:val="-2"/>
        </w:rPr>
        <w:t>General</w:t>
      </w:r>
    </w:p>
    <w:p w:rsidR="009B4BB4" w:rsidRDefault="009B4BB4">
      <w:pPr>
        <w:pStyle w:val="Textoindependiente"/>
        <w:rPr>
          <w:rFonts w:ascii="Arial"/>
          <w:b/>
        </w:rPr>
      </w:pPr>
    </w:p>
    <w:p w:rsidR="009B4BB4" w:rsidRDefault="00C44001">
      <w:pPr>
        <w:pStyle w:val="Textoindependiente"/>
        <w:spacing w:before="0" w:line="360" w:lineRule="auto"/>
        <w:ind w:left="425" w:right="613" w:firstLine="720"/>
        <w:jc w:val="both"/>
      </w:pPr>
      <w:r>
        <w:t>Desarrollar un plan de negocios y análisis de factibilida</w:t>
      </w:r>
      <w:r>
        <w:t>d para la implementación de un modelo comercial basado en la comercialización de miel de abeja melipona en Valladolid, Yucatán, como nodo estratégico del corredor turístico del sureste mexicano.</w:t>
      </w:r>
    </w:p>
    <w:p w:rsidR="009B4BB4" w:rsidRDefault="009B4BB4">
      <w:pPr>
        <w:pStyle w:val="Textoindependiente"/>
        <w:spacing w:before="147"/>
      </w:pPr>
    </w:p>
    <w:p w:rsidR="009B4BB4" w:rsidRDefault="00C44001">
      <w:pPr>
        <w:pStyle w:val="Ttulo1"/>
        <w:ind w:left="267" w:right="413"/>
        <w:jc w:val="center"/>
      </w:pPr>
      <w:bookmarkStart w:id="7" w:name="Objetivos_Específicos_"/>
      <w:bookmarkStart w:id="8" w:name="h.2vr26v5tu6pv"/>
      <w:bookmarkEnd w:id="7"/>
      <w:bookmarkEnd w:id="8"/>
      <w:r>
        <w:t>Objetivos</w:t>
      </w:r>
      <w:r>
        <w:rPr>
          <w:spacing w:val="-9"/>
        </w:rPr>
        <w:t xml:space="preserve"> </w:t>
      </w:r>
      <w:r>
        <w:rPr>
          <w:spacing w:val="-2"/>
        </w:rPr>
        <w:t>Específicos</w:t>
      </w:r>
    </w:p>
    <w:p w:rsidR="009B4BB4" w:rsidRDefault="009B4BB4">
      <w:pPr>
        <w:pStyle w:val="Textoindependiente"/>
        <w:rPr>
          <w:rFonts w:ascii="Arial"/>
          <w:b/>
        </w:rPr>
      </w:pPr>
    </w:p>
    <w:p w:rsidR="009B4BB4" w:rsidRDefault="00C44001" w:rsidP="00C44001">
      <w:pPr>
        <w:pStyle w:val="Prrafodelista"/>
        <w:numPr>
          <w:ilvl w:val="0"/>
          <w:numId w:val="86"/>
        </w:numPr>
        <w:tabs>
          <w:tab w:val="left" w:pos="1143"/>
          <w:tab w:val="left" w:pos="1145"/>
        </w:tabs>
        <w:spacing w:before="0" w:line="360" w:lineRule="auto"/>
        <w:ind w:right="837"/>
      </w:pPr>
      <w:r>
        <w:t>Identificar</w:t>
      </w:r>
      <w:r>
        <w:rPr>
          <w:spacing w:val="-5"/>
        </w:rPr>
        <w:t xml:space="preserve"> </w:t>
      </w:r>
      <w:r>
        <w:t>oportunidades</w:t>
      </w:r>
      <w:r>
        <w:rPr>
          <w:spacing w:val="-5"/>
        </w:rPr>
        <w:t xml:space="preserve"> </w:t>
      </w:r>
      <w:r>
        <w:t>de</w:t>
      </w:r>
      <w:r>
        <w:rPr>
          <w:spacing w:val="-5"/>
        </w:rPr>
        <w:t xml:space="preserve"> </w:t>
      </w:r>
      <w:r>
        <w:t>diferenciación</w:t>
      </w:r>
      <w:r>
        <w:rPr>
          <w:spacing w:val="-5"/>
        </w:rPr>
        <w:t xml:space="preserve"> </w:t>
      </w:r>
      <w:r>
        <w:t>que</w:t>
      </w:r>
      <w:r>
        <w:rPr>
          <w:spacing w:val="-5"/>
        </w:rPr>
        <w:t xml:space="preserve"> </w:t>
      </w:r>
      <w:r>
        <w:t>fortalezcan</w:t>
      </w:r>
      <w:r>
        <w:rPr>
          <w:spacing w:val="-5"/>
        </w:rPr>
        <w:t xml:space="preserve"> </w:t>
      </w:r>
      <w:r>
        <w:t>la</w:t>
      </w:r>
      <w:r>
        <w:rPr>
          <w:spacing w:val="-5"/>
        </w:rPr>
        <w:t xml:space="preserve"> </w:t>
      </w:r>
      <w:r>
        <w:t>propuesta</w:t>
      </w:r>
      <w:r>
        <w:rPr>
          <w:spacing w:val="-5"/>
        </w:rPr>
        <w:t xml:space="preserve"> </w:t>
      </w:r>
      <w:r>
        <w:t>de</w:t>
      </w:r>
      <w:r>
        <w:rPr>
          <w:spacing w:val="-5"/>
        </w:rPr>
        <w:t xml:space="preserve"> </w:t>
      </w:r>
      <w:r>
        <w:t>valor del proyecto.</w:t>
      </w:r>
    </w:p>
    <w:p w:rsidR="009B4BB4" w:rsidRDefault="00C44001" w:rsidP="00C44001">
      <w:pPr>
        <w:pStyle w:val="Prrafodelista"/>
        <w:numPr>
          <w:ilvl w:val="0"/>
          <w:numId w:val="86"/>
        </w:numPr>
        <w:tabs>
          <w:tab w:val="left" w:pos="1143"/>
          <w:tab w:val="left" w:pos="1145"/>
        </w:tabs>
        <w:spacing w:line="360" w:lineRule="auto"/>
        <w:ind w:right="1000"/>
      </w:pPr>
      <w:r>
        <w:t>Analizar</w:t>
      </w:r>
      <w:r>
        <w:rPr>
          <w:spacing w:val="-8"/>
        </w:rPr>
        <w:t xml:space="preserve"> </w:t>
      </w:r>
      <w:r>
        <w:t>el</w:t>
      </w:r>
      <w:r>
        <w:rPr>
          <w:spacing w:val="-8"/>
        </w:rPr>
        <w:t xml:space="preserve"> </w:t>
      </w:r>
      <w:r>
        <w:t>contexto</w:t>
      </w:r>
      <w:r>
        <w:rPr>
          <w:spacing w:val="-8"/>
        </w:rPr>
        <w:t xml:space="preserve"> </w:t>
      </w:r>
      <w:r>
        <w:t>turístico</w:t>
      </w:r>
      <w:r>
        <w:rPr>
          <w:spacing w:val="-8"/>
        </w:rPr>
        <w:t xml:space="preserve"> </w:t>
      </w:r>
      <w:r>
        <w:t>de</w:t>
      </w:r>
      <w:r>
        <w:rPr>
          <w:spacing w:val="-8"/>
        </w:rPr>
        <w:t xml:space="preserve"> </w:t>
      </w:r>
      <w:r>
        <w:t>Valladolid,</w:t>
      </w:r>
      <w:r>
        <w:rPr>
          <w:spacing w:val="-8"/>
        </w:rPr>
        <w:t xml:space="preserve"> </w:t>
      </w:r>
      <w:r>
        <w:t>Yucatán,</w:t>
      </w:r>
      <w:r>
        <w:rPr>
          <w:spacing w:val="-8"/>
        </w:rPr>
        <w:t xml:space="preserve"> </w:t>
      </w:r>
      <w:r>
        <w:t>considerando</w:t>
      </w:r>
      <w:r>
        <w:rPr>
          <w:spacing w:val="-8"/>
        </w:rPr>
        <w:t xml:space="preserve"> </w:t>
      </w:r>
      <w:r>
        <w:t>su</w:t>
      </w:r>
      <w:r>
        <w:rPr>
          <w:spacing w:val="-8"/>
        </w:rPr>
        <w:t xml:space="preserve"> </w:t>
      </w:r>
      <w:r>
        <w:t xml:space="preserve">potencial para integrar productos culturales y de impacto social en la experiencia del </w:t>
      </w:r>
      <w:r>
        <w:rPr>
          <w:spacing w:val="-2"/>
        </w:rPr>
        <w:t>visitante.</w:t>
      </w:r>
    </w:p>
    <w:p w:rsidR="009B4BB4" w:rsidRDefault="00C44001" w:rsidP="00C44001">
      <w:pPr>
        <w:pStyle w:val="Prrafodelista"/>
        <w:numPr>
          <w:ilvl w:val="0"/>
          <w:numId w:val="86"/>
        </w:numPr>
        <w:tabs>
          <w:tab w:val="left" w:pos="1143"/>
          <w:tab w:val="left" w:pos="1145"/>
        </w:tabs>
        <w:spacing w:line="360" w:lineRule="auto"/>
        <w:ind w:right="618"/>
      </w:pPr>
      <w:r>
        <w:t>Establecer el perfil del consumidor: analizar turistas y consumidores conscientes, y</w:t>
      </w:r>
      <w:r>
        <w:rPr>
          <w:spacing w:val="-4"/>
        </w:rPr>
        <w:t xml:space="preserve"> </w:t>
      </w:r>
      <w:r>
        <w:t>los</w:t>
      </w:r>
      <w:r>
        <w:rPr>
          <w:spacing w:val="-4"/>
        </w:rPr>
        <w:t xml:space="preserve"> </w:t>
      </w:r>
      <w:r>
        <w:t>factores</w:t>
      </w:r>
      <w:r>
        <w:rPr>
          <w:spacing w:val="-4"/>
        </w:rPr>
        <w:t xml:space="preserve"> </w:t>
      </w:r>
      <w:r>
        <w:t>que</w:t>
      </w:r>
      <w:r>
        <w:rPr>
          <w:spacing w:val="-4"/>
        </w:rPr>
        <w:t xml:space="preserve"> </w:t>
      </w:r>
      <w:r>
        <w:t>influyen</w:t>
      </w:r>
      <w:r>
        <w:rPr>
          <w:spacing w:val="-4"/>
        </w:rPr>
        <w:t xml:space="preserve"> </w:t>
      </w:r>
      <w:r>
        <w:t>en</w:t>
      </w:r>
      <w:r>
        <w:rPr>
          <w:spacing w:val="-4"/>
        </w:rPr>
        <w:t xml:space="preserve"> </w:t>
      </w:r>
      <w:r>
        <w:t>su</w:t>
      </w:r>
      <w:r>
        <w:rPr>
          <w:spacing w:val="-4"/>
        </w:rPr>
        <w:t xml:space="preserve"> </w:t>
      </w:r>
      <w:r>
        <w:t>decisión</w:t>
      </w:r>
      <w:r>
        <w:rPr>
          <w:spacing w:val="-4"/>
        </w:rPr>
        <w:t xml:space="preserve"> </w:t>
      </w:r>
      <w:r>
        <w:t>de</w:t>
      </w:r>
      <w:r>
        <w:rPr>
          <w:spacing w:val="-4"/>
        </w:rPr>
        <w:t xml:space="preserve"> </w:t>
      </w:r>
      <w:r>
        <w:t>compra</w:t>
      </w:r>
      <w:r>
        <w:rPr>
          <w:spacing w:val="-4"/>
        </w:rPr>
        <w:t xml:space="preserve"> </w:t>
      </w:r>
      <w:r>
        <w:t>frente</w:t>
      </w:r>
      <w:r>
        <w:rPr>
          <w:spacing w:val="-4"/>
        </w:rPr>
        <w:t xml:space="preserve"> </w:t>
      </w:r>
      <w:r>
        <w:t>a</w:t>
      </w:r>
      <w:r>
        <w:rPr>
          <w:spacing w:val="-4"/>
        </w:rPr>
        <w:t xml:space="preserve"> </w:t>
      </w:r>
      <w:r>
        <w:t>productos</w:t>
      </w:r>
      <w:r>
        <w:rPr>
          <w:spacing w:val="-4"/>
        </w:rPr>
        <w:t xml:space="preserve"> </w:t>
      </w:r>
      <w:r>
        <w:t>con</w:t>
      </w:r>
      <w:r>
        <w:rPr>
          <w:spacing w:val="-4"/>
        </w:rPr>
        <w:t xml:space="preserve"> </w:t>
      </w:r>
      <w:r>
        <w:t>origen cultural, propiedades medicinales documentadas y formatos innovadores.</w:t>
      </w:r>
    </w:p>
    <w:p w:rsidR="009B4BB4" w:rsidRDefault="00C44001" w:rsidP="00C44001">
      <w:pPr>
        <w:pStyle w:val="Prrafodelista"/>
        <w:numPr>
          <w:ilvl w:val="0"/>
          <w:numId w:val="86"/>
        </w:numPr>
        <w:tabs>
          <w:tab w:val="left" w:pos="1143"/>
          <w:tab w:val="left" w:pos="1145"/>
        </w:tabs>
        <w:spacing w:line="360" w:lineRule="auto"/>
        <w:ind w:right="655"/>
      </w:pPr>
      <w:r>
        <w:t>Definir</w:t>
      </w:r>
      <w:r>
        <w:rPr>
          <w:spacing w:val="-4"/>
        </w:rPr>
        <w:t xml:space="preserve"> </w:t>
      </w:r>
      <w:r>
        <w:t>el</w:t>
      </w:r>
      <w:r>
        <w:rPr>
          <w:spacing w:val="-4"/>
        </w:rPr>
        <w:t xml:space="preserve"> </w:t>
      </w:r>
      <w:r>
        <w:t>formato</w:t>
      </w:r>
      <w:r>
        <w:rPr>
          <w:spacing w:val="-4"/>
        </w:rPr>
        <w:t xml:space="preserve"> </w:t>
      </w:r>
      <w:r>
        <w:t>óptimo</w:t>
      </w:r>
      <w:r>
        <w:rPr>
          <w:spacing w:val="-4"/>
        </w:rPr>
        <w:t xml:space="preserve"> </w:t>
      </w:r>
      <w:r>
        <w:t>de</w:t>
      </w:r>
      <w:r>
        <w:rPr>
          <w:spacing w:val="-4"/>
        </w:rPr>
        <w:t xml:space="preserve"> </w:t>
      </w:r>
      <w:r>
        <w:t>comercialización</w:t>
      </w:r>
      <w:r>
        <w:rPr>
          <w:spacing w:val="-4"/>
        </w:rPr>
        <w:t xml:space="preserve"> </w:t>
      </w:r>
      <w:r>
        <w:t>que</w:t>
      </w:r>
      <w:r>
        <w:rPr>
          <w:spacing w:val="-4"/>
        </w:rPr>
        <w:t xml:space="preserve"> </w:t>
      </w:r>
      <w:r>
        <w:t>conecte</w:t>
      </w:r>
      <w:r>
        <w:rPr>
          <w:spacing w:val="-4"/>
        </w:rPr>
        <w:t xml:space="preserve"> </w:t>
      </w:r>
      <w:r>
        <w:t>con</w:t>
      </w:r>
      <w:r>
        <w:rPr>
          <w:spacing w:val="-4"/>
        </w:rPr>
        <w:t xml:space="preserve"> </w:t>
      </w:r>
      <w:r>
        <w:t>el</w:t>
      </w:r>
      <w:r>
        <w:rPr>
          <w:spacing w:val="-4"/>
        </w:rPr>
        <w:t xml:space="preserve"> </w:t>
      </w:r>
      <w:r>
        <w:t>estilo</w:t>
      </w:r>
      <w:r>
        <w:rPr>
          <w:spacing w:val="-4"/>
        </w:rPr>
        <w:t xml:space="preserve"> </w:t>
      </w:r>
      <w:r>
        <w:t>de</w:t>
      </w:r>
      <w:r>
        <w:rPr>
          <w:spacing w:val="-4"/>
        </w:rPr>
        <w:t xml:space="preserve"> </w:t>
      </w:r>
      <w:r>
        <w:t>vida</w:t>
      </w:r>
      <w:r>
        <w:rPr>
          <w:spacing w:val="-4"/>
        </w:rPr>
        <w:t xml:space="preserve"> </w:t>
      </w:r>
      <w:r>
        <w:t>del consumidor objetivo y maximice el valor percibido por unidad.</w:t>
      </w:r>
    </w:p>
    <w:p w:rsidR="009B4BB4" w:rsidRDefault="009B4BB4">
      <w:pPr>
        <w:pStyle w:val="Prrafodelista"/>
        <w:spacing w:line="360" w:lineRule="auto"/>
        <w:sectPr w:rsidR="009B4BB4">
          <w:pgSz w:w="11920" w:h="16840"/>
          <w:pgMar w:top="1500" w:right="850" w:bottom="1940" w:left="1275" w:header="0" w:footer="1747" w:gutter="0"/>
          <w:cols w:space="720"/>
        </w:sectPr>
      </w:pPr>
    </w:p>
    <w:p w:rsidR="009B4BB4" w:rsidRDefault="00C44001" w:rsidP="00C44001">
      <w:pPr>
        <w:pStyle w:val="Prrafodelista"/>
        <w:numPr>
          <w:ilvl w:val="0"/>
          <w:numId w:val="86"/>
        </w:numPr>
        <w:tabs>
          <w:tab w:val="left" w:pos="1143"/>
          <w:tab w:val="left" w:pos="1145"/>
        </w:tabs>
        <w:spacing w:before="79" w:line="360" w:lineRule="auto"/>
        <w:ind w:right="667"/>
      </w:pPr>
      <w:r>
        <w:lastRenderedPageBreak/>
        <w:t>Diseñar</w:t>
      </w:r>
      <w:r>
        <w:rPr>
          <w:spacing w:val="-5"/>
        </w:rPr>
        <w:t xml:space="preserve"> </w:t>
      </w:r>
      <w:r>
        <w:t>una</w:t>
      </w:r>
      <w:r>
        <w:rPr>
          <w:spacing w:val="-5"/>
        </w:rPr>
        <w:t xml:space="preserve"> </w:t>
      </w:r>
      <w:r>
        <w:t>estrategia</w:t>
      </w:r>
      <w:r>
        <w:rPr>
          <w:spacing w:val="-5"/>
        </w:rPr>
        <w:t xml:space="preserve"> </w:t>
      </w:r>
      <w:r>
        <w:t>de</w:t>
      </w:r>
      <w:r>
        <w:rPr>
          <w:spacing w:val="-5"/>
        </w:rPr>
        <w:t xml:space="preserve"> </w:t>
      </w:r>
      <w:r>
        <w:t>marketing</w:t>
      </w:r>
      <w:r>
        <w:rPr>
          <w:spacing w:val="-5"/>
        </w:rPr>
        <w:t xml:space="preserve"> </w:t>
      </w:r>
      <w:r>
        <w:t>coherente</w:t>
      </w:r>
      <w:r>
        <w:rPr>
          <w:spacing w:val="-5"/>
        </w:rPr>
        <w:t xml:space="preserve"> </w:t>
      </w:r>
      <w:r>
        <w:t>con</w:t>
      </w:r>
      <w:r>
        <w:rPr>
          <w:spacing w:val="-5"/>
        </w:rPr>
        <w:t xml:space="preserve"> </w:t>
      </w:r>
      <w:r>
        <w:t>el</w:t>
      </w:r>
      <w:r>
        <w:rPr>
          <w:spacing w:val="-5"/>
        </w:rPr>
        <w:t xml:space="preserve"> </w:t>
      </w:r>
      <w:r>
        <w:t>comportamiento</w:t>
      </w:r>
      <w:r>
        <w:rPr>
          <w:spacing w:val="-5"/>
        </w:rPr>
        <w:t xml:space="preserve"> </w:t>
      </w:r>
      <w:r>
        <w:t>del</w:t>
      </w:r>
      <w:r>
        <w:rPr>
          <w:spacing w:val="-5"/>
        </w:rPr>
        <w:t xml:space="preserve"> </w:t>
      </w:r>
      <w:r>
        <w:t>público objetivo, los canales adecuados y el contexto turístico.</w:t>
      </w:r>
    </w:p>
    <w:p w:rsidR="009B4BB4" w:rsidRDefault="00C44001" w:rsidP="00C44001">
      <w:pPr>
        <w:pStyle w:val="Prrafodelista"/>
        <w:numPr>
          <w:ilvl w:val="0"/>
          <w:numId w:val="86"/>
        </w:numPr>
        <w:tabs>
          <w:tab w:val="left" w:pos="1143"/>
          <w:tab w:val="left" w:pos="1145"/>
        </w:tabs>
        <w:spacing w:line="360" w:lineRule="auto"/>
        <w:ind w:right="667"/>
      </w:pPr>
      <w:r>
        <w:t>Realizar</w:t>
      </w:r>
      <w:r>
        <w:rPr>
          <w:spacing w:val="-4"/>
        </w:rPr>
        <w:t xml:space="preserve"> </w:t>
      </w:r>
      <w:r>
        <w:t>un</w:t>
      </w:r>
      <w:r>
        <w:rPr>
          <w:spacing w:val="-4"/>
        </w:rPr>
        <w:t xml:space="preserve"> </w:t>
      </w:r>
      <w:r>
        <w:t>análisis</w:t>
      </w:r>
      <w:r>
        <w:rPr>
          <w:spacing w:val="-4"/>
        </w:rPr>
        <w:t xml:space="preserve"> </w:t>
      </w:r>
      <w:r>
        <w:t>económico</w:t>
      </w:r>
      <w:r>
        <w:rPr>
          <w:spacing w:val="-4"/>
        </w:rPr>
        <w:t xml:space="preserve"> </w:t>
      </w:r>
      <w:r>
        <w:t>y</w:t>
      </w:r>
      <w:r>
        <w:rPr>
          <w:spacing w:val="-4"/>
        </w:rPr>
        <w:t xml:space="preserve"> </w:t>
      </w:r>
      <w:r>
        <w:t>financiero</w:t>
      </w:r>
      <w:r>
        <w:rPr>
          <w:spacing w:val="-4"/>
        </w:rPr>
        <w:t xml:space="preserve"> </w:t>
      </w:r>
      <w:r>
        <w:t>que</w:t>
      </w:r>
      <w:r>
        <w:rPr>
          <w:spacing w:val="-4"/>
        </w:rPr>
        <w:t xml:space="preserve"> </w:t>
      </w:r>
      <w:r>
        <w:t>permita</w:t>
      </w:r>
      <w:r>
        <w:rPr>
          <w:spacing w:val="-4"/>
        </w:rPr>
        <w:t xml:space="preserve"> </w:t>
      </w:r>
      <w:r>
        <w:t>proyectar</w:t>
      </w:r>
      <w:r>
        <w:rPr>
          <w:spacing w:val="-4"/>
        </w:rPr>
        <w:t xml:space="preserve"> </w:t>
      </w:r>
      <w:r>
        <w:t>la</w:t>
      </w:r>
      <w:r>
        <w:rPr>
          <w:spacing w:val="-4"/>
        </w:rPr>
        <w:t xml:space="preserve"> </w:t>
      </w:r>
      <w:r>
        <w:t>viabilidad</w:t>
      </w:r>
      <w:r>
        <w:rPr>
          <w:spacing w:val="-4"/>
        </w:rPr>
        <w:t xml:space="preserve"> </w:t>
      </w:r>
      <w:r>
        <w:t>del modelo de negocio y su potencial de crecimiento basado en valor.</w:t>
      </w:r>
    </w:p>
    <w:p w:rsidR="009B4BB4" w:rsidRDefault="009B4BB4">
      <w:pPr>
        <w:pStyle w:val="Textoindependiente"/>
        <w:spacing w:before="147"/>
      </w:pPr>
    </w:p>
    <w:p w:rsidR="009B4BB4" w:rsidRDefault="00C44001">
      <w:pPr>
        <w:pStyle w:val="Ttulo1"/>
        <w:ind w:left="267" w:right="413"/>
        <w:jc w:val="center"/>
      </w:pPr>
      <w:bookmarkStart w:id="9" w:name="Resumen_Ejecutivo_"/>
      <w:bookmarkStart w:id="10" w:name="h.nuhzgjyifrm0"/>
      <w:bookmarkEnd w:id="9"/>
      <w:bookmarkEnd w:id="10"/>
      <w:r>
        <w:t>Resumen</w:t>
      </w:r>
      <w:r>
        <w:rPr>
          <w:spacing w:val="-7"/>
        </w:rPr>
        <w:t xml:space="preserve"> </w:t>
      </w:r>
      <w:r>
        <w:rPr>
          <w:spacing w:val="-2"/>
        </w:rPr>
        <w:t>Ejecutivo</w:t>
      </w:r>
    </w:p>
    <w:p w:rsidR="009B4BB4" w:rsidRDefault="009B4BB4">
      <w:pPr>
        <w:pStyle w:val="Textoindependiente"/>
        <w:spacing w:before="120"/>
        <w:rPr>
          <w:rFonts w:ascii="Arial"/>
          <w:b/>
        </w:rPr>
      </w:pPr>
    </w:p>
    <w:p w:rsidR="009B4BB4" w:rsidRDefault="00C44001">
      <w:pPr>
        <w:pStyle w:val="Textoindependiente"/>
        <w:spacing w:before="0" w:line="360" w:lineRule="auto"/>
        <w:ind w:left="425" w:right="603" w:firstLine="720"/>
        <w:jc w:val="both"/>
      </w:pPr>
      <w:r>
        <w:t>Este proyecto evalúa l</w:t>
      </w:r>
      <w:r>
        <w:t>a viabilidad de un modelo de negocio basado en la comercialización de miel de abeja melipona (</w:t>
      </w:r>
      <w:r>
        <w:rPr>
          <w:rFonts w:ascii="Arial" w:hAnsi="Arial"/>
          <w:i/>
        </w:rPr>
        <w:t xml:space="preserve">Melipona beecheii) </w:t>
      </w:r>
      <w:r>
        <w:t xml:space="preserve">en formato </w:t>
      </w:r>
      <w:r>
        <w:rPr>
          <w:rFonts w:ascii="Arial" w:hAnsi="Arial"/>
          <w:i/>
        </w:rPr>
        <w:t>premium,</w:t>
      </w:r>
      <w:r>
        <w:rPr>
          <w:rFonts w:ascii="Arial" w:hAnsi="Arial"/>
          <w:i/>
          <w:spacing w:val="40"/>
        </w:rPr>
        <w:t xml:space="preserve"> </w:t>
      </w:r>
      <w:r>
        <w:t>bajo la marca Guardiana., en el contexto de la creciente demanda por productos funcionales y con trazabilidad. La investiga</w:t>
      </w:r>
      <w:r>
        <w:t>ción aborda</w:t>
      </w:r>
      <w:r>
        <w:rPr>
          <w:spacing w:val="80"/>
        </w:rPr>
        <w:t xml:space="preserve"> </w:t>
      </w:r>
      <w:r>
        <w:t>un modelo de captura de valor por unidad, en vez de competir por volumen, puede transformar un recurso biocultural escaso en una propuesta rentable y sostenible, reduciendo la desconexión entre la producción rural y los mercados de alto valor e</w:t>
      </w:r>
      <w:r>
        <w:t>n destinos turísticos.</w:t>
      </w:r>
    </w:p>
    <w:p w:rsidR="009B4BB4" w:rsidRDefault="00C44001">
      <w:pPr>
        <w:pStyle w:val="Textoindependiente"/>
        <w:spacing w:before="0" w:line="360" w:lineRule="auto"/>
        <w:ind w:left="425" w:right="602" w:firstLine="720"/>
        <w:jc w:val="both"/>
      </w:pPr>
      <w:r>
        <w:t xml:space="preserve">Se emplea una metodología mixta. Desde el enfoque cuantitativo, se aplicaron 392 encuestas en Valladolid, Yucatán, para medir disposición a pagar, percepción de valor y comportamiento del consumidor. Desde el enfoque cualitativo, se </w:t>
      </w:r>
      <w:r>
        <w:t>realizan entrevistas a meliponicultores y actores del sector para comprender dinámicas de producción, limitaciones estructurales y oportunidades de comercialización.</w:t>
      </w:r>
    </w:p>
    <w:p w:rsidR="009B4BB4" w:rsidRDefault="00C44001">
      <w:pPr>
        <w:pStyle w:val="Textoindependiente"/>
        <w:spacing w:before="0" w:line="360" w:lineRule="auto"/>
        <w:ind w:left="425" w:right="606" w:firstLine="720"/>
        <w:jc w:val="both"/>
      </w:pPr>
      <w:r>
        <w:t xml:space="preserve">Los resultados muestran una alta disposición a pagar en segmentos turísticos y conscientes, lo que valida un posicionamiento </w:t>
      </w:r>
      <w:r>
        <w:rPr>
          <w:rFonts w:ascii="Arial" w:hAnsi="Arial"/>
          <w:i/>
        </w:rPr>
        <w:t>premium</w:t>
      </w:r>
      <w:r>
        <w:t>. El empaque, el storytelling biocultural y el contexto turístico influyen directamente en la percepción de valor, lo que co</w:t>
      </w:r>
      <w:r>
        <w:t>nfirma que la diferenciación del producto</w:t>
      </w:r>
      <w:r>
        <w:rPr>
          <w:spacing w:val="40"/>
        </w:rPr>
        <w:t xml:space="preserve"> </w:t>
      </w:r>
      <w:r>
        <w:t>depende de sus atributos funcionales y</w:t>
      </w:r>
      <w:r>
        <w:rPr>
          <w:spacing w:val="40"/>
        </w:rPr>
        <w:t xml:space="preserve"> </w:t>
      </w:r>
      <w:r>
        <w:t xml:space="preserve">su </w:t>
      </w:r>
      <w:r>
        <w:rPr>
          <w:spacing w:val="-2"/>
        </w:rPr>
        <w:t>narrativa.</w:t>
      </w:r>
    </w:p>
    <w:p w:rsidR="009B4BB4" w:rsidRDefault="00C44001">
      <w:pPr>
        <w:pStyle w:val="Textoindependiente"/>
        <w:spacing w:before="0" w:line="360" w:lineRule="auto"/>
        <w:ind w:left="425" w:right="602" w:firstLine="720"/>
        <w:jc w:val="both"/>
      </w:pPr>
      <w:r>
        <w:t>La evaluación financiera confirma la viabilidad del modelo: con una inversión</w:t>
      </w:r>
      <w:r>
        <w:rPr>
          <w:spacing w:val="40"/>
        </w:rPr>
        <w:t xml:space="preserve"> </w:t>
      </w:r>
      <w:r>
        <w:t xml:space="preserve">inicial de $7,650 USD bajo un esquema </w:t>
      </w:r>
      <w:r>
        <w:rPr>
          <w:rFonts w:ascii="Arial" w:hAnsi="Arial"/>
          <w:i/>
        </w:rPr>
        <w:t xml:space="preserve">asset-light, </w:t>
      </w:r>
      <w:r>
        <w:t>el proyecto proyecta una TIR del</w:t>
      </w:r>
      <w:r>
        <w:rPr>
          <w:spacing w:val="40"/>
        </w:rPr>
        <w:t xml:space="preserve"> </w:t>
      </w:r>
      <w:r>
        <w:t>92%, un VAN de $145,800 USD y un periodo de recuperación de 1.8 años. El punto de equilibrio se alcanza con apenas 216 unidades anuales, lo que representa un amplio margen de seguridad operativa.</w:t>
      </w:r>
    </w:p>
    <w:p w:rsidR="009B4BB4" w:rsidRDefault="00C44001">
      <w:pPr>
        <w:pStyle w:val="Textoindependiente"/>
        <w:spacing w:before="0" w:line="360" w:lineRule="auto"/>
        <w:ind w:left="425" w:right="610" w:firstLine="720"/>
        <w:jc w:val="both"/>
      </w:pPr>
      <w:r>
        <w:t>Se concluye que el modelo propuesto es viable y competitivo, con un triple impacto económico, social y ambiental alineado con los ODS 3, 8, 12 y 15. Desde una perspectiva</w:t>
      </w:r>
      <w:r>
        <w:rPr>
          <w:spacing w:val="71"/>
        </w:rPr>
        <w:t xml:space="preserve"> </w:t>
      </w:r>
      <w:r>
        <w:t>gerencial,</w:t>
      </w:r>
      <w:r>
        <w:rPr>
          <w:spacing w:val="71"/>
        </w:rPr>
        <w:t xml:space="preserve"> </w:t>
      </w:r>
      <w:r>
        <w:t>el</w:t>
      </w:r>
      <w:r>
        <w:rPr>
          <w:spacing w:val="71"/>
        </w:rPr>
        <w:t xml:space="preserve"> </w:t>
      </w:r>
      <w:r>
        <w:t>éxito</w:t>
      </w:r>
      <w:r>
        <w:rPr>
          <w:spacing w:val="71"/>
        </w:rPr>
        <w:t xml:space="preserve"> </w:t>
      </w:r>
      <w:r>
        <w:t>depende</w:t>
      </w:r>
      <w:r>
        <w:rPr>
          <w:spacing w:val="71"/>
        </w:rPr>
        <w:t xml:space="preserve"> </w:t>
      </w:r>
      <w:r>
        <w:t>de</w:t>
      </w:r>
      <w:r>
        <w:rPr>
          <w:spacing w:val="71"/>
        </w:rPr>
        <w:t xml:space="preserve"> </w:t>
      </w:r>
      <w:r>
        <w:t>asegurar</w:t>
      </w:r>
      <w:r>
        <w:rPr>
          <w:spacing w:val="71"/>
        </w:rPr>
        <w:t xml:space="preserve"> </w:t>
      </w:r>
      <w:r>
        <w:t>la</w:t>
      </w:r>
      <w:r>
        <w:rPr>
          <w:spacing w:val="40"/>
        </w:rPr>
        <w:t xml:space="preserve"> </w:t>
      </w:r>
      <w:r>
        <w:t>integridad</w:t>
      </w:r>
      <w:r>
        <w:rPr>
          <w:spacing w:val="40"/>
        </w:rPr>
        <w:t xml:space="preserve"> </w:t>
      </w:r>
      <w:r>
        <w:t>de</w:t>
      </w:r>
      <w:r>
        <w:rPr>
          <w:spacing w:val="40"/>
        </w:rPr>
        <w:t xml:space="preserve"> </w:t>
      </w:r>
      <w:r>
        <w:t>la</w:t>
      </w:r>
      <w:r>
        <w:rPr>
          <w:spacing w:val="40"/>
        </w:rPr>
        <w:t xml:space="preserve"> </w:t>
      </w:r>
      <w:r>
        <w:t>cadena</w:t>
      </w:r>
      <w:r>
        <w:rPr>
          <w:spacing w:val="40"/>
        </w:rPr>
        <w:t xml:space="preserve"> </w:t>
      </w:r>
      <w:r>
        <w:t>de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3"/>
        <w:jc w:val="both"/>
      </w:pPr>
      <w:proofErr w:type="gramStart"/>
      <w:r>
        <w:lastRenderedPageBreak/>
        <w:t>suministro</w:t>
      </w:r>
      <w:proofErr w:type="gramEnd"/>
      <w:r>
        <w:t>,</w:t>
      </w:r>
      <w:r>
        <w:rPr>
          <w:spacing w:val="26"/>
        </w:rPr>
        <w:t xml:space="preserve"> </w:t>
      </w:r>
      <w:r>
        <w:t>mantener</w:t>
      </w:r>
      <w:r>
        <w:rPr>
          <w:spacing w:val="26"/>
        </w:rPr>
        <w:t xml:space="preserve"> </w:t>
      </w:r>
      <w:r>
        <w:t>relaciones</w:t>
      </w:r>
      <w:r>
        <w:rPr>
          <w:spacing w:val="26"/>
        </w:rPr>
        <w:t xml:space="preserve"> </w:t>
      </w:r>
      <w:r>
        <w:t>de comercio justo con los productores aliados y educar al consumidor para sostener el posicionamiento premium. Guardiana ofrece así un modelo de referencia para la comercialización de activos bioculturales</w:t>
      </w:r>
      <w:r>
        <w:t xml:space="preserve"> que demuestra</w:t>
      </w:r>
      <w:r>
        <w:rPr>
          <w:spacing w:val="40"/>
        </w:rPr>
        <w:t xml:space="preserve"> </w:t>
      </w:r>
      <w:r>
        <w:t>que rentabilidad e impacto positivo no son contrapuestos, sino mutuamente</w:t>
      </w:r>
      <w:r>
        <w:rPr>
          <w:spacing w:val="40"/>
        </w:rPr>
        <w:t xml:space="preserve"> </w:t>
      </w:r>
      <w:r>
        <w:rPr>
          <w:spacing w:val="-2"/>
        </w:rPr>
        <w:t>dependientes.</w:t>
      </w:r>
    </w:p>
    <w:p w:rsidR="009B4BB4" w:rsidRDefault="009B4BB4">
      <w:pPr>
        <w:pStyle w:val="Textoindependiente"/>
        <w:spacing w:line="360" w:lineRule="auto"/>
        <w:jc w:val="both"/>
        <w:sectPr w:rsidR="009B4BB4">
          <w:pgSz w:w="11920" w:h="16840"/>
          <w:pgMar w:top="1500" w:right="850" w:bottom="2794" w:left="1275" w:header="0" w:footer="1747" w:gutter="0"/>
          <w:cols w:space="720"/>
        </w:sectPr>
      </w:pPr>
    </w:p>
    <w:bookmarkStart w:id="11" w:name="h.fp4ecxpxpd98" w:displacedByCustomXml="next"/>
    <w:bookmarkEnd w:id="11" w:displacedByCustomXml="next"/>
    <w:bookmarkStart w:id="12" w:name="Índice_" w:displacedByCustomXml="next"/>
    <w:bookmarkEnd w:id="12" w:displacedByCustomXml="next"/>
    <w:sdt>
      <w:sdtPr>
        <w:rPr>
          <w:rFonts w:ascii="Arial MT" w:eastAsia="Arial MT" w:hAnsi="Arial MT" w:cs="Arial MT"/>
          <w:b w:val="0"/>
          <w:bCs w:val="0"/>
        </w:rPr>
        <w:id w:val="-1625377883"/>
        <w:docPartObj>
          <w:docPartGallery w:val="Table of Contents"/>
          <w:docPartUnique/>
        </w:docPartObj>
      </w:sdtPr>
      <w:sdtEndPr/>
      <w:sdtContent>
        <w:p w:rsidR="009B4BB4" w:rsidRDefault="00C44001">
          <w:pPr>
            <w:pStyle w:val="TDC5"/>
            <w:tabs>
              <w:tab w:val="left" w:leader="dot" w:pos="9068"/>
            </w:tabs>
          </w:pPr>
          <w:r>
            <w:rPr>
              <w:spacing w:val="-2"/>
            </w:rPr>
            <w:t>Índice</w:t>
          </w:r>
          <w:r>
            <w:rPr>
              <w:spacing w:val="80"/>
              <w:w w:val="150"/>
            </w:rPr>
            <w:t xml:space="preserve">                 </w:t>
          </w:r>
          <w:hyperlink w:anchor="h.nzho88jvrx42" w:history="1">
            <w:r>
              <w:rPr>
                <w:spacing w:val="-2"/>
              </w:rPr>
              <w:t>Introducción</w:t>
            </w:r>
            <w:r>
              <w:rPr>
                <w:rFonts w:ascii="Times New Roman" w:hAnsi="Times New Roman"/>
                <w:b w:val="0"/>
              </w:rPr>
              <w:tab/>
            </w:r>
            <w:r>
              <w:rPr>
                <w:spacing w:val="-10"/>
              </w:rPr>
              <w:t>2</w:t>
            </w:r>
          </w:hyperlink>
        </w:p>
        <w:p w:rsidR="009B4BB4" w:rsidRDefault="00C44001">
          <w:pPr>
            <w:pStyle w:val="TDC1"/>
            <w:tabs>
              <w:tab w:val="left" w:leader="dot" w:pos="9068"/>
            </w:tabs>
            <w:spacing w:before="66"/>
          </w:pPr>
          <w:hyperlink w:anchor="h.d06rncr3rhw5" w:history="1">
            <w:r>
              <w:rPr>
                <w:spacing w:val="-2"/>
              </w:rPr>
              <w:t>Hipótesis</w:t>
            </w:r>
            <w:r>
              <w:rPr>
                <w:rFonts w:ascii="Times New Roman" w:hAnsi="Times New Roman"/>
                <w:b w:val="0"/>
              </w:rPr>
              <w:tab/>
            </w:r>
            <w:r>
              <w:rPr>
                <w:spacing w:val="-10"/>
              </w:rPr>
              <w:t>4</w:t>
            </w:r>
          </w:hyperlink>
        </w:p>
        <w:p w:rsidR="009B4BB4" w:rsidRDefault="00C44001">
          <w:pPr>
            <w:pStyle w:val="TDC1"/>
            <w:tabs>
              <w:tab w:val="left" w:leader="dot" w:pos="9068"/>
            </w:tabs>
          </w:pPr>
          <w:hyperlink w:anchor="h.sa19rvs8437b" w:history="1">
            <w:r>
              <w:t>Objetivo</w:t>
            </w:r>
            <w:r>
              <w:rPr>
                <w:spacing w:val="-8"/>
              </w:rPr>
              <w:t xml:space="preserve"> </w:t>
            </w:r>
            <w:r>
              <w:rPr>
                <w:spacing w:val="-2"/>
              </w:rPr>
              <w:t>General</w:t>
            </w:r>
            <w:r>
              <w:rPr>
                <w:rFonts w:ascii="Times New Roman"/>
                <w:b w:val="0"/>
              </w:rPr>
              <w:tab/>
            </w:r>
            <w:r>
              <w:rPr>
                <w:spacing w:val="-10"/>
              </w:rPr>
              <w:t>4</w:t>
            </w:r>
          </w:hyperlink>
        </w:p>
        <w:p w:rsidR="009B4BB4" w:rsidRDefault="00C44001">
          <w:pPr>
            <w:pStyle w:val="TDC1"/>
            <w:tabs>
              <w:tab w:val="left" w:leader="dot" w:pos="9068"/>
            </w:tabs>
          </w:pPr>
          <w:hyperlink w:anchor="h.2vr26v5tu6pv" w:history="1">
            <w:r>
              <w:t>Objetivos</w:t>
            </w:r>
            <w:r>
              <w:rPr>
                <w:spacing w:val="-9"/>
              </w:rPr>
              <w:t xml:space="preserve"> </w:t>
            </w:r>
            <w:r>
              <w:rPr>
                <w:spacing w:val="-2"/>
              </w:rPr>
              <w:t>Específicos</w:t>
            </w:r>
            <w:r>
              <w:rPr>
                <w:rFonts w:ascii="Times New Roman" w:hAnsi="Times New Roman"/>
                <w:b w:val="0"/>
              </w:rPr>
              <w:tab/>
            </w:r>
            <w:r>
              <w:rPr>
                <w:spacing w:val="-10"/>
              </w:rPr>
              <w:t>4</w:t>
            </w:r>
          </w:hyperlink>
        </w:p>
        <w:p w:rsidR="009B4BB4" w:rsidRDefault="00C44001">
          <w:pPr>
            <w:pStyle w:val="TDC1"/>
            <w:tabs>
              <w:tab w:val="left" w:leader="dot" w:pos="9068"/>
            </w:tabs>
          </w:pPr>
          <w:hyperlink w:anchor="h.nuhzgjyifrm0" w:history="1">
            <w:r>
              <w:t>Resumen</w:t>
            </w:r>
            <w:r>
              <w:rPr>
                <w:spacing w:val="-7"/>
              </w:rPr>
              <w:t xml:space="preserve"> </w:t>
            </w:r>
            <w:r>
              <w:rPr>
                <w:spacing w:val="-2"/>
              </w:rPr>
              <w:t>Ejecutivo</w:t>
            </w:r>
            <w:r>
              <w:rPr>
                <w:rFonts w:ascii="Times New Roman"/>
                <w:b w:val="0"/>
              </w:rPr>
              <w:tab/>
            </w:r>
            <w:r>
              <w:rPr>
                <w:spacing w:val="-10"/>
              </w:rPr>
              <w:t>5</w:t>
            </w:r>
          </w:hyperlink>
        </w:p>
        <w:p w:rsidR="009B4BB4" w:rsidRDefault="00C44001">
          <w:pPr>
            <w:pStyle w:val="TDC1"/>
            <w:tabs>
              <w:tab w:val="left" w:leader="dot" w:pos="9068"/>
            </w:tabs>
          </w:pPr>
          <w:hyperlink w:anchor="h.fp4ecxpxpd98" w:history="1">
            <w:r>
              <w:rPr>
                <w:spacing w:val="-2"/>
              </w:rPr>
              <w:t>Índice</w:t>
            </w:r>
            <w:r>
              <w:rPr>
                <w:rFonts w:ascii="Times New Roman" w:hAnsi="Times New Roman"/>
                <w:b w:val="0"/>
              </w:rPr>
              <w:tab/>
            </w:r>
            <w:r>
              <w:rPr>
                <w:spacing w:val="-10"/>
              </w:rPr>
              <w:t>6</w:t>
            </w:r>
          </w:hyperlink>
        </w:p>
        <w:p w:rsidR="009B4BB4" w:rsidRDefault="00C44001">
          <w:pPr>
            <w:pStyle w:val="TDC1"/>
            <w:tabs>
              <w:tab w:val="left" w:leader="dot" w:pos="8945"/>
            </w:tabs>
          </w:pPr>
          <w:hyperlink w:anchor="h.eao051m1ossw" w:history="1">
            <w:r>
              <w:t>Índice</w:t>
            </w:r>
            <w:r>
              <w:rPr>
                <w:spacing w:val="-4"/>
              </w:rPr>
              <w:t xml:space="preserve"> </w:t>
            </w:r>
            <w:r>
              <w:t>de</w:t>
            </w:r>
            <w:r>
              <w:rPr>
                <w:spacing w:val="-4"/>
              </w:rPr>
              <w:t xml:space="preserve"> </w:t>
            </w:r>
            <w:r>
              <w:rPr>
                <w:spacing w:val="-2"/>
              </w:rPr>
              <w:t>Tablas</w:t>
            </w:r>
            <w:r>
              <w:rPr>
                <w:rFonts w:ascii="Times New Roman" w:hAnsi="Times New Roman"/>
                <w:b w:val="0"/>
              </w:rPr>
              <w:tab/>
            </w:r>
            <w:r>
              <w:rPr>
                <w:spacing w:val="-5"/>
              </w:rPr>
              <w:t>10</w:t>
            </w:r>
          </w:hyperlink>
        </w:p>
        <w:p w:rsidR="009B4BB4" w:rsidRDefault="00C44001">
          <w:pPr>
            <w:pStyle w:val="TDC1"/>
            <w:tabs>
              <w:tab w:val="left" w:leader="dot" w:pos="8958"/>
            </w:tabs>
          </w:pPr>
          <w:hyperlink w:anchor="h.4rhkwcexzmqp" w:history="1">
            <w:r>
              <w:t>Índice</w:t>
            </w:r>
            <w:r>
              <w:rPr>
                <w:spacing w:val="-4"/>
              </w:rPr>
              <w:t xml:space="preserve"> </w:t>
            </w:r>
            <w:r>
              <w:t>de</w:t>
            </w:r>
            <w:r>
              <w:rPr>
                <w:spacing w:val="-4"/>
              </w:rPr>
              <w:t xml:space="preserve"> </w:t>
            </w:r>
            <w:r>
              <w:rPr>
                <w:spacing w:val="-2"/>
              </w:rPr>
              <w:t>Figuras</w:t>
            </w:r>
            <w:r>
              <w:rPr>
                <w:rFonts w:ascii="Times New Roman" w:hAnsi="Times New Roman"/>
                <w:b w:val="0"/>
              </w:rPr>
              <w:tab/>
            </w:r>
            <w:r>
              <w:rPr>
                <w:spacing w:val="-5"/>
              </w:rPr>
              <w:t>11</w:t>
            </w:r>
          </w:hyperlink>
        </w:p>
        <w:p w:rsidR="009B4BB4" w:rsidRDefault="00C44001">
          <w:pPr>
            <w:pStyle w:val="TDC1"/>
          </w:pPr>
          <w:hyperlink w:anchor="h.q2w5svm7c17b" w:history="1">
            <w:r>
              <w:t>Capítulo</w:t>
            </w:r>
            <w:r>
              <w:rPr>
                <w:spacing w:val="-8"/>
              </w:rPr>
              <w:t xml:space="preserve"> </w:t>
            </w:r>
            <w:r>
              <w:rPr>
                <w:spacing w:val="-10"/>
              </w:rPr>
              <w:t>1</w:t>
            </w:r>
          </w:hyperlink>
        </w:p>
        <w:p w:rsidR="009B4BB4" w:rsidRDefault="00C44001">
          <w:pPr>
            <w:pStyle w:val="TDC1"/>
            <w:tabs>
              <w:tab w:val="left" w:leader="dot" w:pos="8945"/>
            </w:tabs>
            <w:spacing w:before="0"/>
          </w:pPr>
          <w:hyperlink w:anchor="h.q2w5svm7c17b" w:history="1">
            <w:r>
              <w:t>Marco</w:t>
            </w:r>
            <w:r>
              <w:rPr>
                <w:spacing w:val="-5"/>
              </w:rPr>
              <w:t xml:space="preserve"> </w:t>
            </w:r>
            <w:r>
              <w:rPr>
                <w:spacing w:val="-2"/>
              </w:rPr>
              <w:t>Teórico</w:t>
            </w:r>
            <w:r>
              <w:rPr>
                <w:rFonts w:ascii="Times New Roman" w:hAnsi="Times New Roman"/>
                <w:b w:val="0"/>
              </w:rPr>
              <w:tab/>
            </w:r>
            <w:r>
              <w:rPr>
                <w:spacing w:val="-5"/>
              </w:rPr>
              <w:t>12</w:t>
            </w:r>
          </w:hyperlink>
        </w:p>
        <w:p w:rsidR="009B4BB4" w:rsidRDefault="00C44001" w:rsidP="00C44001">
          <w:pPr>
            <w:pStyle w:val="TDC3"/>
            <w:numPr>
              <w:ilvl w:val="1"/>
              <w:numId w:val="85"/>
            </w:numPr>
            <w:tabs>
              <w:tab w:val="left" w:pos="1148"/>
              <w:tab w:val="left" w:leader="dot" w:pos="8945"/>
            </w:tabs>
            <w:ind w:left="1148" w:hanging="363"/>
          </w:pPr>
          <w:hyperlink w:anchor="h.4ddppc7z4b61" w:history="1">
            <w:r>
              <w:t>Plan</w:t>
            </w:r>
            <w:r>
              <w:rPr>
                <w:spacing w:val="-3"/>
              </w:rPr>
              <w:t xml:space="preserve"> </w:t>
            </w:r>
            <w:r>
              <w:t>de</w:t>
            </w:r>
            <w:r>
              <w:rPr>
                <w:spacing w:val="-3"/>
              </w:rPr>
              <w:t xml:space="preserve"> </w:t>
            </w:r>
            <w:r>
              <w:rPr>
                <w:spacing w:val="-2"/>
              </w:rPr>
              <w:t>Negocios</w:t>
            </w:r>
            <w:r>
              <w:rPr>
                <w:rFonts w:ascii="Times New Roman"/>
              </w:rPr>
              <w:tab/>
            </w:r>
            <w:r>
              <w:rPr>
                <w:spacing w:val="-5"/>
              </w:rPr>
              <w:t>12</w:t>
            </w:r>
          </w:hyperlink>
        </w:p>
        <w:p w:rsidR="009B4BB4" w:rsidRDefault="00C44001" w:rsidP="00C44001">
          <w:pPr>
            <w:pStyle w:val="TDC4"/>
            <w:numPr>
              <w:ilvl w:val="2"/>
              <w:numId w:val="85"/>
            </w:numPr>
            <w:tabs>
              <w:tab w:val="left" w:pos="1751"/>
              <w:tab w:val="left" w:leader="dot" w:pos="8945"/>
            </w:tabs>
            <w:ind w:left="1751" w:hanging="606"/>
          </w:pPr>
          <w:hyperlink w:anchor="h.x6nkflyf9e1a" w:history="1">
            <w:r>
              <w:t>Herramientas</w:t>
            </w:r>
            <w:r>
              <w:rPr>
                <w:spacing w:val="-12"/>
              </w:rPr>
              <w:t xml:space="preserve"> </w:t>
            </w:r>
            <w:r>
              <w:rPr>
                <w:spacing w:val="-2"/>
              </w:rPr>
              <w:t>estratégicas</w:t>
            </w:r>
            <w:r>
              <w:rPr>
                <w:rFonts w:ascii="Times New Roman" w:hAnsi="Times New Roman"/>
              </w:rPr>
              <w:tab/>
            </w:r>
            <w:r>
              <w:rPr>
                <w:spacing w:val="-5"/>
              </w:rPr>
              <w:t>13</w:t>
            </w:r>
          </w:hyperlink>
        </w:p>
        <w:p w:rsidR="009B4BB4" w:rsidRDefault="00C44001" w:rsidP="00C44001">
          <w:pPr>
            <w:pStyle w:val="TDC4"/>
            <w:numPr>
              <w:ilvl w:val="2"/>
              <w:numId w:val="85"/>
            </w:numPr>
            <w:tabs>
              <w:tab w:val="left" w:pos="1690"/>
              <w:tab w:val="left" w:leader="dot" w:pos="8945"/>
            </w:tabs>
            <w:ind w:left="1690" w:hanging="545"/>
          </w:pPr>
          <w:hyperlink w:anchor="h.vkqz338oug37" w:history="1">
            <w:r>
              <w:t>El</w:t>
            </w:r>
            <w:r>
              <w:rPr>
                <w:spacing w:val="-6"/>
              </w:rPr>
              <w:t xml:space="preserve"> </w:t>
            </w:r>
            <w:r>
              <w:t>modelo</w:t>
            </w:r>
            <w:r>
              <w:rPr>
                <w:spacing w:val="-5"/>
              </w:rPr>
              <w:t xml:space="preserve"> </w:t>
            </w:r>
            <w:r>
              <w:t>Business</w:t>
            </w:r>
            <w:r>
              <w:rPr>
                <w:spacing w:val="-5"/>
              </w:rPr>
              <w:t xml:space="preserve"> </w:t>
            </w:r>
            <w:r>
              <w:t>Model</w:t>
            </w:r>
            <w:r>
              <w:rPr>
                <w:spacing w:val="-5"/>
              </w:rPr>
              <w:t xml:space="preserve"> </w:t>
            </w:r>
            <w:r>
              <w:rPr>
                <w:spacing w:val="-2"/>
              </w:rPr>
              <w:t>Canvas</w:t>
            </w:r>
            <w:r>
              <w:rPr>
                <w:rFonts w:ascii="Times New Roman"/>
              </w:rPr>
              <w:tab/>
            </w:r>
            <w:r>
              <w:rPr>
                <w:spacing w:val="-5"/>
              </w:rPr>
              <w:t>18</w:t>
            </w:r>
          </w:hyperlink>
        </w:p>
        <w:p w:rsidR="009B4BB4" w:rsidRDefault="00C44001" w:rsidP="00C44001">
          <w:pPr>
            <w:pStyle w:val="TDC3"/>
            <w:numPr>
              <w:ilvl w:val="1"/>
              <w:numId w:val="85"/>
            </w:numPr>
            <w:tabs>
              <w:tab w:val="left" w:pos="1148"/>
              <w:tab w:val="left" w:leader="dot" w:pos="8945"/>
            </w:tabs>
            <w:ind w:left="1148" w:hanging="363"/>
          </w:pPr>
          <w:hyperlink w:anchor="h.kb7jtcqd9t0p" w:history="1">
            <w:r>
              <w:t>Sostenibilidad,</w:t>
            </w:r>
            <w:r>
              <w:rPr>
                <w:spacing w:val="-7"/>
              </w:rPr>
              <w:t xml:space="preserve"> </w:t>
            </w:r>
            <w:r>
              <w:t>salud</w:t>
            </w:r>
            <w:r>
              <w:rPr>
                <w:spacing w:val="-7"/>
              </w:rPr>
              <w:t xml:space="preserve"> </w:t>
            </w:r>
            <w:r>
              <w:t>e</w:t>
            </w:r>
            <w:r>
              <w:rPr>
                <w:spacing w:val="-7"/>
              </w:rPr>
              <w:t xml:space="preserve"> </w:t>
            </w:r>
            <w:r>
              <w:rPr>
                <w:spacing w:val="-2"/>
              </w:rPr>
              <w:t>impacto</w:t>
            </w:r>
            <w:r>
              <w:rPr>
                <w:rFonts w:ascii="Times New Roman"/>
              </w:rPr>
              <w:tab/>
            </w:r>
            <w:r>
              <w:rPr>
                <w:spacing w:val="-5"/>
              </w:rPr>
              <w:t>21</w:t>
            </w:r>
          </w:hyperlink>
        </w:p>
        <w:p w:rsidR="009B4BB4" w:rsidRDefault="00C44001" w:rsidP="00C44001">
          <w:pPr>
            <w:pStyle w:val="TDC4"/>
            <w:numPr>
              <w:ilvl w:val="2"/>
              <w:numId w:val="85"/>
            </w:numPr>
            <w:tabs>
              <w:tab w:val="left" w:pos="1690"/>
              <w:tab w:val="left" w:leader="dot" w:pos="8945"/>
            </w:tabs>
            <w:ind w:left="1690" w:hanging="545"/>
          </w:pPr>
          <w:hyperlink w:anchor="h.7in6gyz4une8" w:history="1">
            <w:r>
              <w:t>ODS</w:t>
            </w:r>
            <w:r>
              <w:rPr>
                <w:spacing w:val="-3"/>
              </w:rPr>
              <w:t xml:space="preserve"> </w:t>
            </w:r>
            <w:r>
              <w:rPr>
                <w:spacing w:val="-2"/>
              </w:rPr>
              <w:t>relevantes</w:t>
            </w:r>
            <w:r>
              <w:rPr>
                <w:rFonts w:ascii="Times New Roman"/>
              </w:rPr>
              <w:tab/>
            </w:r>
            <w:r>
              <w:rPr>
                <w:spacing w:val="-5"/>
              </w:rPr>
              <w:t>21</w:t>
            </w:r>
          </w:hyperlink>
        </w:p>
        <w:p w:rsidR="009B4BB4" w:rsidRDefault="00C44001" w:rsidP="00C44001">
          <w:pPr>
            <w:pStyle w:val="TDC4"/>
            <w:numPr>
              <w:ilvl w:val="2"/>
              <w:numId w:val="85"/>
            </w:numPr>
            <w:tabs>
              <w:tab w:val="left" w:pos="1690"/>
              <w:tab w:val="left" w:leader="dot" w:pos="8945"/>
            </w:tabs>
            <w:ind w:left="1690" w:hanging="545"/>
          </w:pPr>
          <w:hyperlink w:anchor="h.cko85kjtige8" w:history="1">
            <w:r>
              <w:t>Empresa</w:t>
            </w:r>
            <w:r>
              <w:rPr>
                <w:spacing w:val="-4"/>
              </w:rPr>
              <w:t xml:space="preserve"> </w:t>
            </w:r>
            <w:r>
              <w:t>B</w:t>
            </w:r>
            <w:r>
              <w:rPr>
                <w:spacing w:val="-4"/>
              </w:rPr>
              <w:t xml:space="preserve"> </w:t>
            </w:r>
            <w:r>
              <w:t>y</w:t>
            </w:r>
            <w:r>
              <w:rPr>
                <w:spacing w:val="-3"/>
              </w:rPr>
              <w:t xml:space="preserve"> </w:t>
            </w:r>
            <w:r>
              <w:t>el</w:t>
            </w:r>
            <w:r>
              <w:rPr>
                <w:spacing w:val="-4"/>
              </w:rPr>
              <w:t xml:space="preserve"> </w:t>
            </w:r>
            <w:r>
              <w:t>modelo</w:t>
            </w:r>
            <w:r>
              <w:rPr>
                <w:spacing w:val="-3"/>
              </w:rPr>
              <w:t xml:space="preserve"> </w:t>
            </w:r>
            <w:r>
              <w:t>de</w:t>
            </w:r>
            <w:r>
              <w:rPr>
                <w:spacing w:val="-4"/>
              </w:rPr>
              <w:t xml:space="preserve"> </w:t>
            </w:r>
            <w:r>
              <w:t>triple</w:t>
            </w:r>
            <w:r>
              <w:rPr>
                <w:spacing w:val="-3"/>
              </w:rPr>
              <w:t xml:space="preserve"> </w:t>
            </w:r>
            <w:r>
              <w:rPr>
                <w:spacing w:val="-2"/>
              </w:rPr>
              <w:t>impacto</w:t>
            </w:r>
            <w:r>
              <w:rPr>
                <w:rFonts w:ascii="Times New Roman"/>
              </w:rPr>
              <w:tab/>
            </w:r>
            <w:r>
              <w:rPr>
                <w:spacing w:val="-5"/>
              </w:rPr>
              <w:t>23</w:t>
            </w:r>
          </w:hyperlink>
        </w:p>
        <w:p w:rsidR="009B4BB4" w:rsidRDefault="00C44001" w:rsidP="00C44001">
          <w:pPr>
            <w:pStyle w:val="TDC3"/>
            <w:numPr>
              <w:ilvl w:val="1"/>
              <w:numId w:val="85"/>
            </w:numPr>
            <w:tabs>
              <w:tab w:val="left" w:pos="1148"/>
              <w:tab w:val="left" w:leader="dot" w:pos="8945"/>
            </w:tabs>
            <w:ind w:left="1148" w:hanging="363"/>
          </w:pPr>
          <w:hyperlink w:anchor="h.p4qtc3mglyl3" w:history="1">
            <w:r>
              <w:t>Fundamentos</w:t>
            </w:r>
            <w:r>
              <w:rPr>
                <w:spacing w:val="-11"/>
              </w:rPr>
              <w:t xml:space="preserve"> </w:t>
            </w:r>
            <w:r>
              <w:t>bioculturales</w:t>
            </w:r>
            <w:r>
              <w:rPr>
                <w:spacing w:val="-9"/>
              </w:rPr>
              <w:t xml:space="preserve"> </w:t>
            </w:r>
            <w:r>
              <w:t>y</w:t>
            </w:r>
            <w:r>
              <w:rPr>
                <w:spacing w:val="-8"/>
              </w:rPr>
              <w:t xml:space="preserve"> </w:t>
            </w:r>
            <w:r>
              <w:t>diferenciadores</w:t>
            </w:r>
            <w:r>
              <w:rPr>
                <w:spacing w:val="-9"/>
              </w:rPr>
              <w:t xml:space="preserve"> </w:t>
            </w:r>
            <w:r>
              <w:t>del</w:t>
            </w:r>
            <w:r>
              <w:rPr>
                <w:spacing w:val="-8"/>
              </w:rPr>
              <w:t xml:space="preserve"> </w:t>
            </w:r>
            <w:r>
              <w:rPr>
                <w:spacing w:val="-2"/>
              </w:rPr>
              <w:t>proyecto</w:t>
            </w:r>
            <w:r>
              <w:rPr>
                <w:rFonts w:ascii="Times New Roman"/>
              </w:rPr>
              <w:tab/>
            </w:r>
            <w:r>
              <w:rPr>
                <w:spacing w:val="-5"/>
              </w:rPr>
              <w:t>24</w:t>
            </w:r>
          </w:hyperlink>
        </w:p>
        <w:p w:rsidR="009B4BB4" w:rsidRDefault="00C44001" w:rsidP="00C44001">
          <w:pPr>
            <w:pStyle w:val="TDC4"/>
            <w:numPr>
              <w:ilvl w:val="2"/>
              <w:numId w:val="85"/>
            </w:numPr>
            <w:tabs>
              <w:tab w:val="left" w:pos="1690"/>
              <w:tab w:val="left" w:leader="dot" w:pos="8945"/>
            </w:tabs>
            <w:ind w:left="1690" w:hanging="545"/>
          </w:pPr>
          <w:hyperlink w:anchor="h.9idycye9mfb" w:history="1">
            <w:r>
              <w:t>Origen</w:t>
            </w:r>
            <w:r>
              <w:rPr>
                <w:spacing w:val="-5"/>
              </w:rPr>
              <w:t xml:space="preserve"> </w:t>
            </w:r>
            <w:r>
              <w:t>y</w:t>
            </w:r>
            <w:r>
              <w:rPr>
                <w:spacing w:val="-5"/>
              </w:rPr>
              <w:t xml:space="preserve"> </w:t>
            </w:r>
            <w:r>
              <w:t>Característica</w:t>
            </w:r>
            <w:r>
              <w:rPr>
                <w:spacing w:val="-5"/>
              </w:rPr>
              <w:t xml:space="preserve"> </w:t>
            </w:r>
            <w:r>
              <w:t>de</w:t>
            </w:r>
            <w:r>
              <w:rPr>
                <w:spacing w:val="-5"/>
              </w:rPr>
              <w:t xml:space="preserve"> </w:t>
            </w:r>
            <w:r>
              <w:t>la</w:t>
            </w:r>
            <w:r>
              <w:rPr>
                <w:spacing w:val="-5"/>
              </w:rPr>
              <w:t xml:space="preserve"> </w:t>
            </w:r>
            <w:r>
              <w:t>abeja</w:t>
            </w:r>
            <w:r>
              <w:rPr>
                <w:spacing w:val="-5"/>
              </w:rPr>
              <w:t xml:space="preserve"> </w:t>
            </w:r>
            <w:r>
              <w:rPr>
                <w:spacing w:val="-2"/>
              </w:rPr>
              <w:t>melipona</w:t>
            </w:r>
            <w:r>
              <w:rPr>
                <w:rFonts w:ascii="Times New Roman" w:hAnsi="Times New Roman"/>
              </w:rPr>
              <w:tab/>
            </w:r>
            <w:r>
              <w:rPr>
                <w:spacing w:val="-5"/>
              </w:rPr>
              <w:t>24</w:t>
            </w:r>
          </w:hyperlink>
        </w:p>
        <w:p w:rsidR="009B4BB4" w:rsidRDefault="00C44001" w:rsidP="00C44001">
          <w:pPr>
            <w:pStyle w:val="TDC4"/>
            <w:numPr>
              <w:ilvl w:val="2"/>
              <w:numId w:val="85"/>
            </w:numPr>
            <w:tabs>
              <w:tab w:val="left" w:pos="1690"/>
              <w:tab w:val="left" w:leader="dot" w:pos="8945"/>
            </w:tabs>
            <w:ind w:left="1690" w:hanging="545"/>
          </w:pPr>
          <w:hyperlink w:anchor="h.83j6yopd7dp1" w:history="1">
            <w:r>
              <w:t>Propiedades</w:t>
            </w:r>
            <w:r>
              <w:rPr>
                <w:spacing w:val="-6"/>
              </w:rPr>
              <w:t xml:space="preserve"> </w:t>
            </w:r>
            <w:r>
              <w:t>medicinales</w:t>
            </w:r>
            <w:r>
              <w:rPr>
                <w:spacing w:val="-6"/>
              </w:rPr>
              <w:t xml:space="preserve"> </w:t>
            </w:r>
            <w:r>
              <w:t>de</w:t>
            </w:r>
            <w:r>
              <w:rPr>
                <w:spacing w:val="-6"/>
              </w:rPr>
              <w:t xml:space="preserve"> </w:t>
            </w:r>
            <w:r>
              <w:t>la</w:t>
            </w:r>
            <w:r>
              <w:rPr>
                <w:spacing w:val="-6"/>
              </w:rPr>
              <w:t xml:space="preserve"> </w:t>
            </w:r>
            <w:r>
              <w:t>miel</w:t>
            </w:r>
            <w:r>
              <w:rPr>
                <w:spacing w:val="-6"/>
              </w:rPr>
              <w:t xml:space="preserve"> </w:t>
            </w:r>
            <w:r>
              <w:rPr>
                <w:spacing w:val="-2"/>
              </w:rPr>
              <w:t>melipona</w:t>
            </w:r>
            <w:r>
              <w:rPr>
                <w:rFonts w:ascii="Times New Roman"/>
              </w:rPr>
              <w:tab/>
            </w:r>
            <w:r>
              <w:rPr>
                <w:spacing w:val="-5"/>
              </w:rPr>
              <w:t>25</w:t>
            </w:r>
          </w:hyperlink>
        </w:p>
        <w:p w:rsidR="009B4BB4" w:rsidRDefault="00C44001" w:rsidP="00C44001">
          <w:pPr>
            <w:pStyle w:val="TDC4"/>
            <w:numPr>
              <w:ilvl w:val="2"/>
              <w:numId w:val="85"/>
            </w:numPr>
            <w:tabs>
              <w:tab w:val="left" w:pos="1690"/>
              <w:tab w:val="left" w:leader="dot" w:pos="8945"/>
            </w:tabs>
            <w:ind w:left="1690" w:hanging="545"/>
          </w:pPr>
          <w:hyperlink w:anchor="h.2u1d5w8s4n3z" w:history="1">
            <w:r>
              <w:t>Producción</w:t>
            </w:r>
            <w:r>
              <w:rPr>
                <w:spacing w:val="-5"/>
              </w:rPr>
              <w:t xml:space="preserve"> </w:t>
            </w:r>
            <w:r>
              <w:t>y</w:t>
            </w:r>
            <w:r>
              <w:rPr>
                <w:spacing w:val="-5"/>
              </w:rPr>
              <w:t xml:space="preserve"> </w:t>
            </w:r>
            <w:r>
              <w:t>rol</w:t>
            </w:r>
            <w:r>
              <w:rPr>
                <w:spacing w:val="-5"/>
              </w:rPr>
              <w:t xml:space="preserve"> </w:t>
            </w:r>
            <w:r>
              <w:t>de</w:t>
            </w:r>
            <w:r>
              <w:rPr>
                <w:spacing w:val="-5"/>
              </w:rPr>
              <w:t xml:space="preserve"> </w:t>
            </w:r>
            <w:r>
              <w:t>las</w:t>
            </w:r>
            <w:r>
              <w:rPr>
                <w:spacing w:val="-5"/>
              </w:rPr>
              <w:t xml:space="preserve"> </w:t>
            </w:r>
            <w:r>
              <w:t>comunidades</w:t>
            </w:r>
            <w:r>
              <w:rPr>
                <w:spacing w:val="-5"/>
              </w:rPr>
              <w:t xml:space="preserve"> </w:t>
            </w:r>
            <w:r>
              <w:rPr>
                <w:spacing w:val="-2"/>
              </w:rPr>
              <w:t>mayas</w:t>
            </w:r>
            <w:r>
              <w:rPr>
                <w:rFonts w:ascii="Times New Roman" w:hAnsi="Times New Roman"/>
              </w:rPr>
              <w:tab/>
            </w:r>
            <w:r>
              <w:rPr>
                <w:spacing w:val="-5"/>
              </w:rPr>
              <w:t>26</w:t>
            </w:r>
          </w:hyperlink>
        </w:p>
        <w:p w:rsidR="009B4BB4" w:rsidRDefault="00C44001" w:rsidP="00C44001">
          <w:pPr>
            <w:pStyle w:val="TDC4"/>
            <w:numPr>
              <w:ilvl w:val="2"/>
              <w:numId w:val="85"/>
            </w:numPr>
            <w:tabs>
              <w:tab w:val="left" w:pos="1690"/>
              <w:tab w:val="left" w:leader="dot" w:pos="8945"/>
            </w:tabs>
            <w:ind w:left="1690" w:hanging="545"/>
          </w:pPr>
          <w:hyperlink w:anchor="h.lpr7ne2jsw2w" w:history="1">
            <w:r>
              <w:t>La</w:t>
            </w:r>
            <w:r>
              <w:rPr>
                <w:spacing w:val="-5"/>
              </w:rPr>
              <w:t xml:space="preserve"> </w:t>
            </w:r>
            <w:r>
              <w:t>melipona</w:t>
            </w:r>
            <w:r>
              <w:rPr>
                <w:spacing w:val="-4"/>
              </w:rPr>
              <w:t xml:space="preserve"> </w:t>
            </w:r>
            <w:r>
              <w:t>como</w:t>
            </w:r>
            <w:r>
              <w:rPr>
                <w:spacing w:val="-4"/>
              </w:rPr>
              <w:t xml:space="preserve"> </w:t>
            </w:r>
            <w:r>
              <w:t>bien</w:t>
            </w:r>
            <w:r>
              <w:rPr>
                <w:spacing w:val="-4"/>
              </w:rPr>
              <w:t xml:space="preserve"> </w:t>
            </w:r>
            <w:r>
              <w:t>escaso</w:t>
            </w:r>
            <w:r>
              <w:rPr>
                <w:spacing w:val="-4"/>
              </w:rPr>
              <w:t xml:space="preserve"> </w:t>
            </w:r>
            <w:r>
              <w:t>y</w:t>
            </w:r>
            <w:r>
              <w:rPr>
                <w:spacing w:val="-4"/>
              </w:rPr>
              <w:t xml:space="preserve"> </w:t>
            </w:r>
            <w:r>
              <w:rPr>
                <w:spacing w:val="-2"/>
              </w:rPr>
              <w:t>valioso</w:t>
            </w:r>
            <w:r>
              <w:rPr>
                <w:rFonts w:ascii="Times New Roman"/>
              </w:rPr>
              <w:tab/>
            </w:r>
            <w:r>
              <w:rPr>
                <w:spacing w:val="-5"/>
              </w:rPr>
              <w:t>27</w:t>
            </w:r>
          </w:hyperlink>
        </w:p>
        <w:p w:rsidR="009B4BB4" w:rsidRDefault="00C44001" w:rsidP="00C44001">
          <w:pPr>
            <w:pStyle w:val="TDC3"/>
            <w:numPr>
              <w:ilvl w:val="1"/>
              <w:numId w:val="85"/>
            </w:numPr>
            <w:tabs>
              <w:tab w:val="left" w:pos="1148"/>
              <w:tab w:val="left" w:leader="dot" w:pos="8945"/>
            </w:tabs>
            <w:ind w:left="1148" w:hanging="363"/>
          </w:pPr>
          <w:hyperlink w:anchor="h.lgrenlixeubm" w:history="1">
            <w:r>
              <w:t>Conclusión</w:t>
            </w:r>
            <w:r>
              <w:rPr>
                <w:spacing w:val="-7"/>
              </w:rPr>
              <w:t xml:space="preserve"> </w:t>
            </w:r>
            <w:r>
              <w:t>del</w:t>
            </w:r>
            <w:r>
              <w:rPr>
                <w:spacing w:val="-6"/>
              </w:rPr>
              <w:t xml:space="preserve"> </w:t>
            </w:r>
            <w:r>
              <w:rPr>
                <w:spacing w:val="-2"/>
              </w:rPr>
              <w:t>Capítulo</w:t>
            </w:r>
            <w:r>
              <w:rPr>
                <w:rFonts w:ascii="Times New Roman" w:hAnsi="Times New Roman"/>
              </w:rPr>
              <w:tab/>
            </w:r>
            <w:r>
              <w:rPr>
                <w:spacing w:val="-5"/>
              </w:rPr>
              <w:t>28</w:t>
            </w:r>
          </w:hyperlink>
        </w:p>
        <w:p w:rsidR="009B4BB4" w:rsidRDefault="00C44001">
          <w:pPr>
            <w:pStyle w:val="TDC1"/>
          </w:pPr>
          <w:hyperlink w:anchor="h.ofj81saomz80" w:history="1">
            <w:r>
              <w:t>Capítulo</w:t>
            </w:r>
            <w:r>
              <w:rPr>
                <w:spacing w:val="-8"/>
              </w:rPr>
              <w:t xml:space="preserve"> </w:t>
            </w:r>
            <w:r>
              <w:rPr>
                <w:spacing w:val="-10"/>
              </w:rPr>
              <w:t>2</w:t>
            </w:r>
          </w:hyperlink>
        </w:p>
        <w:p w:rsidR="009B4BB4" w:rsidRDefault="00C44001">
          <w:pPr>
            <w:pStyle w:val="TDC1"/>
            <w:tabs>
              <w:tab w:val="left" w:leader="dot" w:pos="8945"/>
            </w:tabs>
            <w:spacing w:before="0"/>
          </w:pPr>
          <w:hyperlink w:anchor="h.ofj81saomz80" w:history="1">
            <w:r>
              <w:t>Análisis</w:t>
            </w:r>
            <w:r>
              <w:rPr>
                <w:spacing w:val="-4"/>
              </w:rPr>
              <w:t xml:space="preserve"> </w:t>
            </w:r>
            <w:r>
              <w:t>del</w:t>
            </w:r>
            <w:r>
              <w:rPr>
                <w:spacing w:val="-4"/>
              </w:rPr>
              <w:t xml:space="preserve"> </w:t>
            </w:r>
            <w:r>
              <w:t>sector</w:t>
            </w:r>
            <w:r>
              <w:rPr>
                <w:spacing w:val="-4"/>
              </w:rPr>
              <w:t xml:space="preserve"> </w:t>
            </w:r>
            <w:r>
              <w:t>y</w:t>
            </w:r>
            <w:r>
              <w:rPr>
                <w:spacing w:val="-4"/>
              </w:rPr>
              <w:t xml:space="preserve"> </w:t>
            </w:r>
            <w:r>
              <w:t>la</w:t>
            </w:r>
            <w:r>
              <w:rPr>
                <w:spacing w:val="-4"/>
              </w:rPr>
              <w:t xml:space="preserve"> </w:t>
            </w:r>
            <w:r>
              <w:rPr>
                <w:spacing w:val="-2"/>
              </w:rPr>
              <w:t>empresa</w:t>
            </w:r>
            <w:r>
              <w:rPr>
                <w:rFonts w:ascii="Times New Roman" w:hAnsi="Times New Roman"/>
                <w:b w:val="0"/>
              </w:rPr>
              <w:tab/>
            </w:r>
            <w:r>
              <w:rPr>
                <w:spacing w:val="-5"/>
              </w:rPr>
              <w:t>29</w:t>
            </w:r>
          </w:hyperlink>
        </w:p>
        <w:p w:rsidR="009B4BB4" w:rsidRDefault="00C44001" w:rsidP="00C44001">
          <w:pPr>
            <w:pStyle w:val="TDC3"/>
            <w:numPr>
              <w:ilvl w:val="1"/>
              <w:numId w:val="84"/>
            </w:numPr>
            <w:tabs>
              <w:tab w:val="left" w:pos="1148"/>
              <w:tab w:val="left" w:leader="dot" w:pos="8945"/>
            </w:tabs>
            <w:ind w:left="1148" w:hanging="363"/>
            <w:jc w:val="left"/>
          </w:pPr>
          <w:hyperlink w:anchor="h.yy8o7o27az8p" w:history="1">
            <w:r>
              <w:t>Panorama</w:t>
            </w:r>
            <w:r>
              <w:rPr>
                <w:spacing w:val="-5"/>
              </w:rPr>
              <w:t xml:space="preserve"> </w:t>
            </w:r>
            <w:r>
              <w:t>del</w:t>
            </w:r>
            <w:r>
              <w:rPr>
                <w:spacing w:val="-5"/>
              </w:rPr>
              <w:t xml:space="preserve"> </w:t>
            </w:r>
            <w:r>
              <w:t>sector</w:t>
            </w:r>
            <w:r>
              <w:rPr>
                <w:spacing w:val="-5"/>
              </w:rPr>
              <w:t xml:space="preserve"> </w:t>
            </w:r>
            <w:r>
              <w:t>mielero</w:t>
            </w:r>
            <w:r>
              <w:rPr>
                <w:spacing w:val="-5"/>
              </w:rPr>
              <w:t xml:space="preserve"> </w:t>
            </w:r>
            <w:r>
              <w:t>y</w:t>
            </w:r>
            <w:r>
              <w:rPr>
                <w:spacing w:val="-5"/>
              </w:rPr>
              <w:t xml:space="preserve"> </w:t>
            </w:r>
            <w:r>
              <w:rPr>
                <w:spacing w:val="-2"/>
              </w:rPr>
              <w:t>natural</w:t>
            </w:r>
            <w:r>
              <w:rPr>
                <w:rFonts w:ascii="Times New Roman"/>
              </w:rPr>
              <w:tab/>
            </w:r>
            <w:r>
              <w:rPr>
                <w:spacing w:val="-5"/>
              </w:rPr>
              <w:t>29</w:t>
            </w:r>
          </w:hyperlink>
        </w:p>
        <w:p w:rsidR="009B4BB4" w:rsidRDefault="00C44001" w:rsidP="00C44001">
          <w:pPr>
            <w:pStyle w:val="TDC4"/>
            <w:numPr>
              <w:ilvl w:val="2"/>
              <w:numId w:val="84"/>
            </w:numPr>
            <w:tabs>
              <w:tab w:val="left" w:pos="1690"/>
              <w:tab w:val="left" w:leader="dot" w:pos="8945"/>
            </w:tabs>
            <w:ind w:left="1690" w:hanging="545"/>
          </w:pPr>
          <w:hyperlink w:anchor="h.elxa11opwjwl" w:history="1">
            <w:r>
              <w:t>Mercado</w:t>
            </w:r>
            <w:r>
              <w:rPr>
                <w:spacing w:val="-6"/>
              </w:rPr>
              <w:t xml:space="preserve"> </w:t>
            </w:r>
            <w:r>
              <w:t>nacional</w:t>
            </w:r>
            <w:r>
              <w:rPr>
                <w:spacing w:val="-5"/>
              </w:rPr>
              <w:t xml:space="preserve"> </w:t>
            </w:r>
            <w:r>
              <w:t>e</w:t>
            </w:r>
            <w:r>
              <w:rPr>
                <w:spacing w:val="-5"/>
              </w:rPr>
              <w:t xml:space="preserve"> </w:t>
            </w:r>
            <w:r>
              <w:rPr>
                <w:spacing w:val="-2"/>
              </w:rPr>
              <w:t>internacional</w:t>
            </w:r>
            <w:r>
              <w:rPr>
                <w:rFonts w:ascii="Times New Roman"/>
              </w:rPr>
              <w:tab/>
            </w:r>
            <w:r>
              <w:rPr>
                <w:spacing w:val="-5"/>
              </w:rPr>
              <w:t>29</w:t>
            </w:r>
          </w:hyperlink>
        </w:p>
        <w:p w:rsidR="009B4BB4" w:rsidRDefault="00C44001" w:rsidP="00C44001">
          <w:pPr>
            <w:pStyle w:val="TDC4"/>
            <w:numPr>
              <w:ilvl w:val="2"/>
              <w:numId w:val="84"/>
            </w:numPr>
            <w:tabs>
              <w:tab w:val="left" w:pos="1690"/>
              <w:tab w:val="left" w:leader="dot" w:pos="8945"/>
            </w:tabs>
            <w:ind w:left="1690" w:hanging="545"/>
          </w:pPr>
          <w:hyperlink w:anchor="h.rvy4hcjm709m" w:history="1">
            <w:r>
              <w:t>Situación</w:t>
            </w:r>
            <w:r>
              <w:rPr>
                <w:spacing w:val="-5"/>
              </w:rPr>
              <w:t xml:space="preserve"> </w:t>
            </w:r>
            <w:r>
              <w:t>actual</w:t>
            </w:r>
            <w:r>
              <w:rPr>
                <w:spacing w:val="-5"/>
              </w:rPr>
              <w:t xml:space="preserve"> </w:t>
            </w:r>
            <w:r>
              <w:t>de</w:t>
            </w:r>
            <w:r>
              <w:rPr>
                <w:spacing w:val="-4"/>
              </w:rPr>
              <w:t xml:space="preserve"> </w:t>
            </w:r>
            <w:r>
              <w:t>la</w:t>
            </w:r>
            <w:r>
              <w:rPr>
                <w:spacing w:val="-5"/>
              </w:rPr>
              <w:t xml:space="preserve"> </w:t>
            </w:r>
            <w:r>
              <w:t>miel</w:t>
            </w:r>
            <w:r>
              <w:rPr>
                <w:spacing w:val="-4"/>
              </w:rPr>
              <w:t xml:space="preserve"> </w:t>
            </w:r>
            <w:r>
              <w:rPr>
                <w:spacing w:val="-2"/>
              </w:rPr>
              <w:t>melipona</w:t>
            </w:r>
            <w:r>
              <w:rPr>
                <w:rFonts w:ascii="Times New Roman" w:hAnsi="Times New Roman"/>
              </w:rPr>
              <w:tab/>
            </w:r>
            <w:r>
              <w:rPr>
                <w:spacing w:val="-5"/>
              </w:rPr>
              <w:t>31</w:t>
            </w:r>
          </w:hyperlink>
        </w:p>
        <w:p w:rsidR="009B4BB4" w:rsidRDefault="00C44001" w:rsidP="00C44001">
          <w:pPr>
            <w:pStyle w:val="TDC4"/>
            <w:numPr>
              <w:ilvl w:val="2"/>
              <w:numId w:val="84"/>
            </w:numPr>
            <w:tabs>
              <w:tab w:val="left" w:pos="1690"/>
              <w:tab w:val="left" w:leader="dot" w:pos="8945"/>
            </w:tabs>
            <w:ind w:left="1690" w:hanging="545"/>
          </w:pPr>
          <w:hyperlink w:anchor="h.us5xszag5b76" w:history="1">
            <w:r>
              <w:t>Tendencias:</w:t>
            </w:r>
            <w:r>
              <w:rPr>
                <w:spacing w:val="-14"/>
              </w:rPr>
              <w:t xml:space="preserve"> </w:t>
            </w:r>
            <w:r>
              <w:t>salud,</w:t>
            </w:r>
            <w:r>
              <w:rPr>
                <w:spacing w:val="-12"/>
              </w:rPr>
              <w:t xml:space="preserve"> </w:t>
            </w:r>
            <w:r>
              <w:t>conciencia</w:t>
            </w:r>
            <w:r>
              <w:rPr>
                <w:spacing w:val="-11"/>
              </w:rPr>
              <w:t xml:space="preserve"> </w:t>
            </w:r>
            <w:r>
              <w:t>ecológica</w:t>
            </w:r>
            <w:r>
              <w:rPr>
                <w:spacing w:val="-12"/>
              </w:rPr>
              <w:t xml:space="preserve"> </w:t>
            </w:r>
            <w:r>
              <w:t>y</w:t>
            </w:r>
            <w:r>
              <w:rPr>
                <w:spacing w:val="-12"/>
              </w:rPr>
              <w:t xml:space="preserve"> </w:t>
            </w:r>
            <w:r>
              <w:t>productos</w:t>
            </w:r>
            <w:r>
              <w:rPr>
                <w:spacing w:val="-11"/>
              </w:rPr>
              <w:t xml:space="preserve"> </w:t>
            </w:r>
            <w:r>
              <w:rPr>
                <w:spacing w:val="-2"/>
              </w:rPr>
              <w:t>premium</w:t>
            </w:r>
            <w:r>
              <w:rPr>
                <w:rFonts w:ascii="Times New Roman" w:hAnsi="Times New Roman"/>
              </w:rPr>
              <w:tab/>
            </w:r>
            <w:r>
              <w:rPr>
                <w:spacing w:val="-5"/>
              </w:rPr>
              <w:t>32</w:t>
            </w:r>
          </w:hyperlink>
        </w:p>
        <w:p w:rsidR="009B4BB4" w:rsidRDefault="00C44001" w:rsidP="00C44001">
          <w:pPr>
            <w:pStyle w:val="TDC3"/>
            <w:numPr>
              <w:ilvl w:val="1"/>
              <w:numId w:val="84"/>
            </w:numPr>
            <w:tabs>
              <w:tab w:val="left" w:pos="1148"/>
              <w:tab w:val="left" w:leader="dot" w:pos="8945"/>
            </w:tabs>
            <w:ind w:left="1148" w:hanging="363"/>
            <w:jc w:val="left"/>
          </w:pPr>
          <w:hyperlink w:anchor="h.fw8gilngiiwy" w:history="1">
            <w:r>
              <w:t>Caracterización</w:t>
            </w:r>
            <w:r>
              <w:rPr>
                <w:spacing w:val="-10"/>
              </w:rPr>
              <w:t xml:space="preserve"> </w:t>
            </w:r>
            <w:r>
              <w:t>del</w:t>
            </w:r>
            <w:r>
              <w:rPr>
                <w:spacing w:val="-9"/>
              </w:rPr>
              <w:t xml:space="preserve"> </w:t>
            </w:r>
            <w:r>
              <w:t>consumidor</w:t>
            </w:r>
            <w:r>
              <w:rPr>
                <w:spacing w:val="-9"/>
              </w:rPr>
              <w:t xml:space="preserve"> </w:t>
            </w:r>
            <w:r>
              <w:rPr>
                <w:spacing w:val="-2"/>
              </w:rPr>
              <w:t>objetivo</w:t>
            </w:r>
            <w:r>
              <w:rPr>
                <w:rFonts w:ascii="Times New Roman" w:hAnsi="Times New Roman"/>
              </w:rPr>
              <w:tab/>
            </w:r>
            <w:r>
              <w:rPr>
                <w:spacing w:val="-5"/>
              </w:rPr>
              <w:t>34</w:t>
            </w:r>
          </w:hyperlink>
        </w:p>
        <w:p w:rsidR="009B4BB4" w:rsidRDefault="00C44001" w:rsidP="00C44001">
          <w:pPr>
            <w:pStyle w:val="TDC4"/>
            <w:numPr>
              <w:ilvl w:val="2"/>
              <w:numId w:val="84"/>
            </w:numPr>
            <w:tabs>
              <w:tab w:val="left" w:pos="1690"/>
              <w:tab w:val="left" w:leader="dot" w:pos="8945"/>
            </w:tabs>
            <w:ind w:left="1690" w:hanging="545"/>
          </w:pPr>
          <w:hyperlink w:anchor="h.ie93cgdxrerp" w:history="1">
            <w:r>
              <w:t>Segmentación</w:t>
            </w:r>
            <w:r>
              <w:rPr>
                <w:spacing w:val="-6"/>
              </w:rPr>
              <w:t xml:space="preserve"> </w:t>
            </w:r>
            <w:r>
              <w:t>y</w:t>
            </w:r>
            <w:r>
              <w:rPr>
                <w:spacing w:val="-5"/>
              </w:rPr>
              <w:t xml:space="preserve"> </w:t>
            </w:r>
            <w:r>
              <w:t>perfil</w:t>
            </w:r>
            <w:r>
              <w:rPr>
                <w:spacing w:val="-6"/>
              </w:rPr>
              <w:t xml:space="preserve"> </w:t>
            </w:r>
            <w:r>
              <w:t>del</w:t>
            </w:r>
            <w:r>
              <w:rPr>
                <w:spacing w:val="-5"/>
              </w:rPr>
              <w:t xml:space="preserve"> </w:t>
            </w:r>
            <w:r>
              <w:rPr>
                <w:spacing w:val="-2"/>
              </w:rPr>
              <w:t>cliente</w:t>
            </w:r>
            <w:r>
              <w:rPr>
                <w:rFonts w:ascii="Times New Roman" w:hAnsi="Times New Roman"/>
              </w:rPr>
              <w:tab/>
            </w:r>
            <w:r>
              <w:rPr>
                <w:spacing w:val="-5"/>
              </w:rPr>
              <w:t>34</w:t>
            </w:r>
          </w:hyperlink>
        </w:p>
        <w:p w:rsidR="009B4BB4" w:rsidRDefault="00C44001" w:rsidP="00C44001">
          <w:pPr>
            <w:pStyle w:val="TDC4"/>
            <w:numPr>
              <w:ilvl w:val="2"/>
              <w:numId w:val="84"/>
            </w:numPr>
            <w:tabs>
              <w:tab w:val="left" w:pos="1690"/>
              <w:tab w:val="left" w:leader="dot" w:pos="8945"/>
            </w:tabs>
            <w:spacing w:after="20"/>
            <w:ind w:left="1690" w:hanging="545"/>
          </w:pPr>
          <w:hyperlink w:anchor="h.nxgul13jq85f" w:history="1">
            <w:r>
              <w:t>Comportamiento</w:t>
            </w:r>
            <w:r>
              <w:rPr>
                <w:spacing w:val="-7"/>
              </w:rPr>
              <w:t xml:space="preserve"> </w:t>
            </w:r>
            <w:r>
              <w:t>de</w:t>
            </w:r>
            <w:r>
              <w:rPr>
                <w:spacing w:val="-6"/>
              </w:rPr>
              <w:t xml:space="preserve"> </w:t>
            </w:r>
            <w:r>
              <w:t>compra</w:t>
            </w:r>
            <w:r>
              <w:rPr>
                <w:spacing w:val="-6"/>
              </w:rPr>
              <w:t xml:space="preserve"> </w:t>
            </w:r>
            <w:r>
              <w:t>y</w:t>
            </w:r>
            <w:r>
              <w:rPr>
                <w:spacing w:val="-7"/>
              </w:rPr>
              <w:t xml:space="preserve"> </w:t>
            </w:r>
            <w:r>
              <w:t>preferencias</w:t>
            </w:r>
            <w:r>
              <w:rPr>
                <w:spacing w:val="-6"/>
              </w:rPr>
              <w:t xml:space="preserve"> </w:t>
            </w:r>
            <w:r>
              <w:t>del</w:t>
            </w:r>
            <w:r>
              <w:rPr>
                <w:spacing w:val="-6"/>
              </w:rPr>
              <w:t xml:space="preserve"> </w:t>
            </w:r>
            <w:r>
              <w:rPr>
                <w:spacing w:val="-2"/>
              </w:rPr>
              <w:t>consumidor</w:t>
            </w:r>
            <w:r>
              <w:rPr>
                <w:rFonts w:ascii="Times New Roman"/>
              </w:rPr>
              <w:tab/>
            </w:r>
            <w:r>
              <w:rPr>
                <w:spacing w:val="-5"/>
              </w:rPr>
              <w:t>35</w:t>
            </w:r>
          </w:hyperlink>
        </w:p>
        <w:p w:rsidR="009B4BB4" w:rsidRDefault="00C44001" w:rsidP="00C44001">
          <w:pPr>
            <w:pStyle w:val="TDC3"/>
            <w:numPr>
              <w:ilvl w:val="1"/>
              <w:numId w:val="84"/>
            </w:numPr>
            <w:tabs>
              <w:tab w:val="left" w:pos="1148"/>
              <w:tab w:val="right" w:leader="dot" w:pos="9190"/>
            </w:tabs>
            <w:spacing w:before="79"/>
            <w:ind w:left="1148" w:hanging="363"/>
            <w:jc w:val="left"/>
          </w:pPr>
          <w:hyperlink w:anchor="h.mvhdvmen2g6h" w:history="1">
            <w:r>
              <w:t>Competencia</w:t>
            </w:r>
            <w:r>
              <w:rPr>
                <w:spacing w:val="-7"/>
              </w:rPr>
              <w:t xml:space="preserve"> </w:t>
            </w:r>
            <w:r>
              <w:t>y</w:t>
            </w:r>
            <w:r>
              <w:rPr>
                <w:spacing w:val="-6"/>
              </w:rPr>
              <w:t xml:space="preserve"> </w:t>
            </w:r>
            <w:r>
              <w:t>posicionamiento</w:t>
            </w:r>
            <w:r>
              <w:rPr>
                <w:spacing w:val="-6"/>
              </w:rPr>
              <w:t xml:space="preserve"> </w:t>
            </w:r>
            <w:r>
              <w:t>en</w:t>
            </w:r>
            <w:r>
              <w:rPr>
                <w:spacing w:val="-6"/>
              </w:rPr>
              <w:t xml:space="preserve"> </w:t>
            </w:r>
            <w:r>
              <w:t>el</w:t>
            </w:r>
            <w:r>
              <w:rPr>
                <w:spacing w:val="-6"/>
              </w:rPr>
              <w:t xml:space="preserve"> </w:t>
            </w:r>
            <w:r>
              <w:rPr>
                <w:spacing w:val="-2"/>
              </w:rPr>
              <w:t>sector</w:t>
            </w:r>
            <w:r>
              <w:rPr>
                <w:rFonts w:ascii="Times New Roman"/>
              </w:rPr>
              <w:tab/>
            </w:r>
            <w:r>
              <w:rPr>
                <w:spacing w:val="-5"/>
              </w:rPr>
              <w:t>37</w:t>
            </w:r>
          </w:hyperlink>
        </w:p>
        <w:p w:rsidR="009B4BB4" w:rsidRDefault="00C44001" w:rsidP="00C44001">
          <w:pPr>
            <w:pStyle w:val="TDC4"/>
            <w:numPr>
              <w:ilvl w:val="2"/>
              <w:numId w:val="84"/>
            </w:numPr>
            <w:tabs>
              <w:tab w:val="left" w:pos="1690"/>
              <w:tab w:val="right" w:leader="dot" w:pos="9190"/>
            </w:tabs>
            <w:ind w:left="1690" w:hanging="545"/>
          </w:pPr>
          <w:hyperlink w:anchor="h.ivvd4i7ymf4d" w:history="1">
            <w:r>
              <w:t>Análisis</w:t>
            </w:r>
            <w:r>
              <w:rPr>
                <w:spacing w:val="-7"/>
              </w:rPr>
              <w:t xml:space="preserve"> </w:t>
            </w:r>
            <w:r>
              <w:t>de</w:t>
            </w:r>
            <w:r>
              <w:rPr>
                <w:spacing w:val="-6"/>
              </w:rPr>
              <w:t xml:space="preserve"> </w:t>
            </w:r>
            <w:r>
              <w:t>competidores</w:t>
            </w:r>
            <w:r>
              <w:rPr>
                <w:spacing w:val="-6"/>
              </w:rPr>
              <w:t xml:space="preserve"> </w:t>
            </w:r>
            <w:r>
              <w:t>directos</w:t>
            </w:r>
            <w:r>
              <w:rPr>
                <w:spacing w:val="-6"/>
              </w:rPr>
              <w:t xml:space="preserve"> </w:t>
            </w:r>
            <w:r>
              <w:t>e</w:t>
            </w:r>
            <w:r>
              <w:rPr>
                <w:spacing w:val="-6"/>
              </w:rPr>
              <w:t xml:space="preserve"> </w:t>
            </w:r>
            <w:r>
              <w:rPr>
                <w:spacing w:val="-2"/>
              </w:rPr>
              <w:t>indirectos</w:t>
            </w:r>
            <w:r>
              <w:rPr>
                <w:rFonts w:ascii="Times New Roman" w:hAnsi="Times New Roman"/>
              </w:rPr>
              <w:tab/>
            </w:r>
            <w:r>
              <w:rPr>
                <w:spacing w:val="-5"/>
              </w:rPr>
              <w:t>37</w:t>
            </w:r>
          </w:hyperlink>
        </w:p>
        <w:p w:rsidR="009B4BB4" w:rsidRDefault="00C44001" w:rsidP="00C44001">
          <w:pPr>
            <w:pStyle w:val="TDC4"/>
            <w:numPr>
              <w:ilvl w:val="2"/>
              <w:numId w:val="84"/>
            </w:numPr>
            <w:tabs>
              <w:tab w:val="left" w:pos="1690"/>
              <w:tab w:val="right" w:leader="dot" w:pos="9190"/>
            </w:tabs>
            <w:ind w:left="1690" w:hanging="545"/>
          </w:pPr>
          <w:hyperlink w:anchor="h.8bn8nexhdy4z" w:history="1">
            <w:r>
              <w:t>Barreras</w:t>
            </w:r>
            <w:r>
              <w:rPr>
                <w:spacing w:val="-5"/>
              </w:rPr>
              <w:t xml:space="preserve"> </w:t>
            </w:r>
            <w:r>
              <w:t>de</w:t>
            </w:r>
            <w:r>
              <w:rPr>
                <w:spacing w:val="-4"/>
              </w:rPr>
              <w:t xml:space="preserve"> </w:t>
            </w:r>
            <w:r>
              <w:t>entrada</w:t>
            </w:r>
            <w:r>
              <w:rPr>
                <w:spacing w:val="-5"/>
              </w:rPr>
              <w:t xml:space="preserve"> </w:t>
            </w:r>
            <w:r>
              <w:t>y</w:t>
            </w:r>
            <w:r>
              <w:rPr>
                <w:spacing w:val="-4"/>
              </w:rPr>
              <w:t xml:space="preserve"> </w:t>
            </w:r>
            <w:r>
              <w:rPr>
                <w:spacing w:val="-2"/>
              </w:rPr>
              <w:t>oportunidades</w:t>
            </w:r>
            <w:r>
              <w:rPr>
                <w:rFonts w:ascii="Times New Roman"/>
              </w:rPr>
              <w:tab/>
            </w:r>
            <w:r>
              <w:rPr>
                <w:spacing w:val="-5"/>
              </w:rPr>
              <w:t>39</w:t>
            </w:r>
          </w:hyperlink>
        </w:p>
        <w:p w:rsidR="009B4BB4" w:rsidRDefault="00C44001" w:rsidP="00C44001">
          <w:pPr>
            <w:pStyle w:val="TDC3"/>
            <w:numPr>
              <w:ilvl w:val="1"/>
              <w:numId w:val="84"/>
            </w:numPr>
            <w:tabs>
              <w:tab w:val="left" w:pos="1148"/>
              <w:tab w:val="right" w:leader="dot" w:pos="9190"/>
            </w:tabs>
            <w:ind w:left="1148" w:hanging="363"/>
            <w:jc w:val="left"/>
          </w:pPr>
          <w:hyperlink w:anchor="h.w9siiks23r12" w:history="1">
            <w:r>
              <w:t>Tamaño</w:t>
            </w:r>
            <w:r>
              <w:rPr>
                <w:spacing w:val="-11"/>
              </w:rPr>
              <w:t xml:space="preserve"> </w:t>
            </w:r>
            <w:r>
              <w:t>del</w:t>
            </w:r>
            <w:r>
              <w:rPr>
                <w:spacing w:val="-10"/>
              </w:rPr>
              <w:t xml:space="preserve"> </w:t>
            </w:r>
            <w:r>
              <w:t>mercado</w:t>
            </w:r>
            <w:r>
              <w:rPr>
                <w:spacing w:val="-10"/>
              </w:rPr>
              <w:t xml:space="preserve"> </w:t>
            </w:r>
            <w:r>
              <w:t>y</w:t>
            </w:r>
            <w:r>
              <w:rPr>
                <w:spacing w:val="-10"/>
              </w:rPr>
              <w:t xml:space="preserve"> </w:t>
            </w:r>
            <w:r>
              <w:rPr>
                <w:spacing w:val="-2"/>
              </w:rPr>
              <w:t>oferta</w:t>
            </w:r>
            <w:r>
              <w:rPr>
                <w:rFonts w:ascii="Times New Roman" w:hAnsi="Times New Roman"/>
              </w:rPr>
              <w:tab/>
            </w:r>
            <w:r>
              <w:rPr>
                <w:spacing w:val="-5"/>
              </w:rPr>
              <w:t>39</w:t>
            </w:r>
          </w:hyperlink>
        </w:p>
        <w:p w:rsidR="009B4BB4" w:rsidRDefault="00C44001" w:rsidP="00C44001">
          <w:pPr>
            <w:pStyle w:val="TDC4"/>
            <w:numPr>
              <w:ilvl w:val="2"/>
              <w:numId w:val="84"/>
            </w:numPr>
            <w:tabs>
              <w:tab w:val="left" w:pos="1690"/>
              <w:tab w:val="right" w:leader="dot" w:pos="9190"/>
            </w:tabs>
            <w:ind w:left="1690" w:hanging="545"/>
          </w:pPr>
          <w:hyperlink w:anchor="h.j0hiiwscy09a" w:history="1">
            <w:r>
              <w:rPr>
                <w:spacing w:val="-2"/>
              </w:rPr>
              <w:t>Tamaño</w:t>
            </w:r>
            <w:r>
              <w:rPr>
                <w:spacing w:val="-8"/>
              </w:rPr>
              <w:t xml:space="preserve"> </w:t>
            </w:r>
            <w:r>
              <w:rPr>
                <w:spacing w:val="-2"/>
              </w:rPr>
              <w:t>del</w:t>
            </w:r>
            <w:r>
              <w:rPr>
                <w:spacing w:val="-7"/>
              </w:rPr>
              <w:t xml:space="preserve"> </w:t>
            </w:r>
            <w:r>
              <w:rPr>
                <w:spacing w:val="-2"/>
              </w:rPr>
              <w:t>mercado</w:t>
            </w:r>
            <w:r>
              <w:rPr>
                <w:rFonts w:ascii="Times New Roman" w:hAnsi="Times New Roman"/>
              </w:rPr>
              <w:tab/>
            </w:r>
            <w:r>
              <w:rPr>
                <w:spacing w:val="-5"/>
              </w:rPr>
              <w:t>40</w:t>
            </w:r>
          </w:hyperlink>
        </w:p>
        <w:p w:rsidR="009B4BB4" w:rsidRDefault="00C44001" w:rsidP="00C44001">
          <w:pPr>
            <w:pStyle w:val="TDC4"/>
            <w:numPr>
              <w:ilvl w:val="2"/>
              <w:numId w:val="83"/>
            </w:numPr>
            <w:tabs>
              <w:tab w:val="left" w:pos="1690"/>
              <w:tab w:val="right" w:leader="dot" w:pos="9190"/>
            </w:tabs>
            <w:ind w:left="1690" w:hanging="545"/>
          </w:pPr>
          <w:hyperlink w:anchor="h.jn4f2p2w27l6" w:history="1">
            <w:r>
              <w:t>Análisis</w:t>
            </w:r>
            <w:r>
              <w:rPr>
                <w:spacing w:val="-4"/>
              </w:rPr>
              <w:t xml:space="preserve"> </w:t>
            </w:r>
            <w:r>
              <w:t>de</w:t>
            </w:r>
            <w:r>
              <w:rPr>
                <w:spacing w:val="-4"/>
              </w:rPr>
              <w:t xml:space="preserve"> </w:t>
            </w:r>
            <w:r>
              <w:t>la</w:t>
            </w:r>
            <w:r>
              <w:rPr>
                <w:spacing w:val="-4"/>
              </w:rPr>
              <w:t xml:space="preserve"> </w:t>
            </w:r>
            <w:r>
              <w:rPr>
                <w:spacing w:val="-2"/>
              </w:rPr>
              <w:t>oferta</w:t>
            </w:r>
            <w:r>
              <w:rPr>
                <w:rFonts w:ascii="Times New Roman" w:hAnsi="Times New Roman"/>
              </w:rPr>
              <w:tab/>
            </w:r>
            <w:r>
              <w:rPr>
                <w:spacing w:val="-5"/>
              </w:rPr>
              <w:t>42</w:t>
            </w:r>
          </w:hyperlink>
        </w:p>
        <w:p w:rsidR="009B4BB4" w:rsidRDefault="00C44001" w:rsidP="00C44001">
          <w:pPr>
            <w:pStyle w:val="TDC4"/>
            <w:numPr>
              <w:ilvl w:val="2"/>
              <w:numId w:val="82"/>
            </w:numPr>
            <w:tabs>
              <w:tab w:val="left" w:pos="1690"/>
              <w:tab w:val="right" w:leader="dot" w:pos="9190"/>
            </w:tabs>
            <w:ind w:left="1690" w:hanging="545"/>
          </w:pPr>
          <w:hyperlink w:anchor="h.mcghpdyt11fz" w:history="1">
            <w:r>
              <w:t>Síntesis</w:t>
            </w:r>
            <w:r>
              <w:rPr>
                <w:spacing w:val="-8"/>
              </w:rPr>
              <w:t xml:space="preserve"> </w:t>
            </w:r>
            <w:r>
              <w:rPr>
                <w:spacing w:val="-2"/>
              </w:rPr>
              <w:t>sectorial</w:t>
            </w:r>
            <w:r>
              <w:rPr>
                <w:rFonts w:ascii="Times New Roman" w:hAnsi="Times New Roman"/>
              </w:rPr>
              <w:tab/>
            </w:r>
            <w:r>
              <w:rPr>
                <w:spacing w:val="-5"/>
              </w:rPr>
              <w:t>45</w:t>
            </w:r>
          </w:hyperlink>
        </w:p>
        <w:p w:rsidR="009B4BB4" w:rsidRDefault="00C44001" w:rsidP="00C44001">
          <w:pPr>
            <w:pStyle w:val="TDC3"/>
            <w:numPr>
              <w:ilvl w:val="1"/>
              <w:numId w:val="84"/>
            </w:numPr>
            <w:tabs>
              <w:tab w:val="left" w:pos="1210"/>
              <w:tab w:val="right" w:leader="dot" w:pos="9190"/>
            </w:tabs>
            <w:ind w:left="1210" w:hanging="425"/>
            <w:jc w:val="left"/>
          </w:pPr>
          <w:hyperlink w:anchor="h.pa9hxx9rrfta" w:history="1">
            <w:r>
              <w:t>Presentación</w:t>
            </w:r>
            <w:r>
              <w:rPr>
                <w:spacing w:val="-6"/>
              </w:rPr>
              <w:t xml:space="preserve"> </w:t>
            </w:r>
            <w:r>
              <w:t>de</w:t>
            </w:r>
            <w:r>
              <w:rPr>
                <w:spacing w:val="-6"/>
              </w:rPr>
              <w:t xml:space="preserve"> </w:t>
            </w:r>
            <w:r>
              <w:t>la</w:t>
            </w:r>
            <w:r>
              <w:rPr>
                <w:spacing w:val="-6"/>
              </w:rPr>
              <w:t xml:space="preserve"> </w:t>
            </w:r>
            <w:r>
              <w:t>Empresa:</w:t>
            </w:r>
            <w:r>
              <w:rPr>
                <w:spacing w:val="-6"/>
              </w:rPr>
              <w:t xml:space="preserve"> </w:t>
            </w:r>
            <w:r>
              <w:rPr>
                <w:spacing w:val="-2"/>
              </w:rPr>
              <w:t>Guardiana</w:t>
            </w:r>
            <w:r>
              <w:rPr>
                <w:rFonts w:ascii="Times New Roman" w:hAnsi="Times New Roman"/>
              </w:rPr>
              <w:tab/>
            </w:r>
            <w:r>
              <w:rPr>
                <w:spacing w:val="-5"/>
              </w:rPr>
              <w:t>45</w:t>
            </w:r>
          </w:hyperlink>
        </w:p>
        <w:p w:rsidR="009B4BB4" w:rsidRDefault="00C44001" w:rsidP="00C44001">
          <w:pPr>
            <w:pStyle w:val="TDC4"/>
            <w:numPr>
              <w:ilvl w:val="2"/>
              <w:numId w:val="84"/>
            </w:numPr>
            <w:tabs>
              <w:tab w:val="left" w:pos="1690"/>
              <w:tab w:val="right" w:leader="dot" w:pos="9190"/>
            </w:tabs>
            <w:ind w:left="1690" w:hanging="545"/>
          </w:pPr>
          <w:hyperlink w:anchor="h.wed9obmbjcqx" w:history="1">
            <w:r>
              <w:t>Identidad</w:t>
            </w:r>
            <w:r>
              <w:rPr>
                <w:spacing w:val="-8"/>
              </w:rPr>
              <w:t xml:space="preserve"> </w:t>
            </w:r>
            <w:r>
              <w:t>corporativa:</w:t>
            </w:r>
            <w:r>
              <w:rPr>
                <w:spacing w:val="-8"/>
              </w:rPr>
              <w:t xml:space="preserve"> </w:t>
            </w:r>
            <w:r>
              <w:t>Misión,</w:t>
            </w:r>
            <w:r>
              <w:rPr>
                <w:spacing w:val="-8"/>
              </w:rPr>
              <w:t xml:space="preserve"> </w:t>
            </w:r>
            <w:r>
              <w:t>Visión</w:t>
            </w:r>
            <w:r>
              <w:rPr>
                <w:spacing w:val="-8"/>
              </w:rPr>
              <w:t xml:space="preserve"> </w:t>
            </w:r>
            <w:r>
              <w:t>y</w:t>
            </w:r>
            <w:r>
              <w:rPr>
                <w:spacing w:val="-7"/>
              </w:rPr>
              <w:t xml:space="preserve"> </w:t>
            </w:r>
            <w:r>
              <w:rPr>
                <w:spacing w:val="-2"/>
              </w:rPr>
              <w:t>Valores</w:t>
            </w:r>
            <w:r>
              <w:rPr>
                <w:rFonts w:ascii="Times New Roman" w:hAnsi="Times New Roman"/>
              </w:rPr>
              <w:tab/>
            </w:r>
            <w:r>
              <w:rPr>
                <w:spacing w:val="-5"/>
              </w:rPr>
              <w:t>45</w:t>
            </w:r>
          </w:hyperlink>
        </w:p>
        <w:p w:rsidR="009B4BB4" w:rsidRDefault="00C44001" w:rsidP="00C44001">
          <w:pPr>
            <w:pStyle w:val="TDC4"/>
            <w:numPr>
              <w:ilvl w:val="2"/>
              <w:numId w:val="84"/>
            </w:numPr>
            <w:tabs>
              <w:tab w:val="left" w:pos="1690"/>
              <w:tab w:val="right" w:leader="dot" w:pos="9190"/>
            </w:tabs>
            <w:ind w:left="1690" w:hanging="545"/>
          </w:pPr>
          <w:hyperlink w:anchor="h.jc6yhxajnrbx" w:history="1">
            <w:r>
              <w:t>Propuesta</w:t>
            </w:r>
            <w:r>
              <w:rPr>
                <w:spacing w:val="-6"/>
              </w:rPr>
              <w:t xml:space="preserve"> </w:t>
            </w:r>
            <w:r>
              <w:t>de</w:t>
            </w:r>
            <w:r>
              <w:rPr>
                <w:spacing w:val="-5"/>
              </w:rPr>
              <w:t xml:space="preserve"> </w:t>
            </w:r>
            <w:r>
              <w:t>valor</w:t>
            </w:r>
            <w:r>
              <w:rPr>
                <w:spacing w:val="-5"/>
              </w:rPr>
              <w:t xml:space="preserve"> </w:t>
            </w:r>
            <w:r>
              <w:rPr>
                <w:spacing w:val="-2"/>
              </w:rPr>
              <w:t>estratégica</w:t>
            </w:r>
            <w:r>
              <w:rPr>
                <w:rFonts w:ascii="Times New Roman" w:hAnsi="Times New Roman"/>
              </w:rPr>
              <w:tab/>
            </w:r>
            <w:r>
              <w:rPr>
                <w:spacing w:val="-5"/>
              </w:rPr>
              <w:t>46</w:t>
            </w:r>
          </w:hyperlink>
        </w:p>
        <w:p w:rsidR="009B4BB4" w:rsidRDefault="00C44001" w:rsidP="00C44001">
          <w:pPr>
            <w:pStyle w:val="TDC4"/>
            <w:numPr>
              <w:ilvl w:val="2"/>
              <w:numId w:val="84"/>
            </w:numPr>
            <w:tabs>
              <w:tab w:val="left" w:pos="1690"/>
              <w:tab w:val="right" w:leader="dot" w:pos="9190"/>
            </w:tabs>
            <w:ind w:left="1690" w:hanging="545"/>
          </w:pPr>
          <w:hyperlink w:anchor="h.7wsdupfpj09k" w:history="1">
            <w:r>
              <w:t>Modelo</w:t>
            </w:r>
            <w:r>
              <w:rPr>
                <w:spacing w:val="-4"/>
              </w:rPr>
              <w:t xml:space="preserve"> </w:t>
            </w:r>
            <w:r>
              <w:t>de</w:t>
            </w:r>
            <w:r>
              <w:rPr>
                <w:spacing w:val="-4"/>
              </w:rPr>
              <w:t xml:space="preserve"> </w:t>
            </w:r>
            <w:r>
              <w:rPr>
                <w:spacing w:val="-2"/>
              </w:rPr>
              <w:t>Negocio</w:t>
            </w:r>
            <w:r>
              <w:rPr>
                <w:rFonts w:ascii="Times New Roman"/>
              </w:rPr>
              <w:tab/>
            </w:r>
            <w:r>
              <w:rPr>
                <w:spacing w:val="-5"/>
              </w:rPr>
              <w:t>47</w:t>
            </w:r>
          </w:hyperlink>
        </w:p>
        <w:p w:rsidR="009B4BB4" w:rsidRDefault="00C44001" w:rsidP="00C44001">
          <w:pPr>
            <w:pStyle w:val="TDC4"/>
            <w:numPr>
              <w:ilvl w:val="2"/>
              <w:numId w:val="84"/>
            </w:numPr>
            <w:tabs>
              <w:tab w:val="left" w:pos="1690"/>
              <w:tab w:val="right" w:leader="dot" w:pos="9190"/>
            </w:tabs>
            <w:ind w:left="1690" w:hanging="545"/>
          </w:pPr>
          <w:hyperlink w:anchor="h.ltwi3fwlr3pq" w:history="1">
            <w:r>
              <w:t>Propuesta</w:t>
            </w:r>
            <w:r>
              <w:rPr>
                <w:spacing w:val="-5"/>
              </w:rPr>
              <w:t xml:space="preserve"> </w:t>
            </w:r>
            <w:r>
              <w:t>de</w:t>
            </w:r>
            <w:r>
              <w:rPr>
                <w:spacing w:val="-4"/>
              </w:rPr>
              <w:t xml:space="preserve"> </w:t>
            </w:r>
            <w:r>
              <w:t>valor</w:t>
            </w:r>
            <w:r>
              <w:rPr>
                <w:spacing w:val="-5"/>
              </w:rPr>
              <w:t xml:space="preserve"> </w:t>
            </w:r>
            <w:r>
              <w:t>visual</w:t>
            </w:r>
            <w:r>
              <w:rPr>
                <w:spacing w:val="-4"/>
              </w:rPr>
              <w:t xml:space="preserve"> </w:t>
            </w:r>
            <w:r>
              <w:t>y</w:t>
            </w:r>
            <w:r>
              <w:rPr>
                <w:spacing w:val="-5"/>
              </w:rPr>
              <w:t xml:space="preserve"> </w:t>
            </w:r>
            <w:r>
              <w:t>diseño</w:t>
            </w:r>
            <w:r>
              <w:rPr>
                <w:spacing w:val="-4"/>
              </w:rPr>
              <w:t xml:space="preserve"> </w:t>
            </w:r>
            <w:r>
              <w:t>de</w:t>
            </w:r>
            <w:r>
              <w:rPr>
                <w:spacing w:val="-4"/>
              </w:rPr>
              <w:t xml:space="preserve"> </w:t>
            </w:r>
            <w:r>
              <w:rPr>
                <w:spacing w:val="-2"/>
              </w:rPr>
              <w:t>producto</w:t>
            </w:r>
            <w:r>
              <w:rPr>
                <w:rFonts w:ascii="Times New Roman" w:hAnsi="Times New Roman"/>
              </w:rPr>
              <w:tab/>
            </w:r>
            <w:r>
              <w:rPr>
                <w:spacing w:val="-5"/>
              </w:rPr>
              <w:t>50</w:t>
            </w:r>
          </w:hyperlink>
        </w:p>
        <w:p w:rsidR="009B4BB4" w:rsidRDefault="00C44001" w:rsidP="00C44001">
          <w:pPr>
            <w:pStyle w:val="TDC4"/>
            <w:numPr>
              <w:ilvl w:val="2"/>
              <w:numId w:val="84"/>
            </w:numPr>
            <w:tabs>
              <w:tab w:val="left" w:pos="1690"/>
              <w:tab w:val="right" w:leader="dot" w:pos="9190"/>
            </w:tabs>
            <w:ind w:left="1690" w:hanging="545"/>
          </w:pPr>
          <w:hyperlink w:anchor="h.s493axwl42lt" w:history="1">
            <w:r>
              <w:t>Alianzas</w:t>
            </w:r>
            <w:r>
              <w:rPr>
                <w:spacing w:val="-7"/>
              </w:rPr>
              <w:t xml:space="preserve"> </w:t>
            </w:r>
            <w:r>
              <w:t>Estratégicas</w:t>
            </w:r>
            <w:r>
              <w:rPr>
                <w:spacing w:val="-7"/>
              </w:rPr>
              <w:t xml:space="preserve"> </w:t>
            </w:r>
            <w:r>
              <w:t>y</w:t>
            </w:r>
            <w:r>
              <w:rPr>
                <w:spacing w:val="-7"/>
              </w:rPr>
              <w:t xml:space="preserve"> </w:t>
            </w:r>
            <w:r>
              <w:t>enfoque</w:t>
            </w:r>
            <w:r>
              <w:rPr>
                <w:spacing w:val="-7"/>
              </w:rPr>
              <w:t xml:space="preserve"> </w:t>
            </w:r>
            <w:r>
              <w:rPr>
                <w:spacing w:val="-2"/>
              </w:rPr>
              <w:t>social</w:t>
            </w:r>
            <w:r>
              <w:rPr>
                <w:rFonts w:ascii="Times New Roman" w:hAnsi="Times New Roman"/>
              </w:rPr>
              <w:tab/>
            </w:r>
            <w:r>
              <w:rPr>
                <w:spacing w:val="-5"/>
              </w:rPr>
              <w:t>53</w:t>
            </w:r>
          </w:hyperlink>
        </w:p>
        <w:p w:rsidR="009B4BB4" w:rsidRDefault="00C44001" w:rsidP="00C44001">
          <w:pPr>
            <w:pStyle w:val="TDC3"/>
            <w:numPr>
              <w:ilvl w:val="1"/>
              <w:numId w:val="84"/>
            </w:numPr>
            <w:tabs>
              <w:tab w:val="left" w:pos="1210"/>
              <w:tab w:val="right" w:leader="dot" w:pos="9190"/>
            </w:tabs>
            <w:ind w:left="1210" w:hanging="425"/>
            <w:jc w:val="left"/>
          </w:pPr>
          <w:hyperlink w:anchor="h.wcieky5w23mf" w:history="1">
            <w:r>
              <w:t>Análisis</w:t>
            </w:r>
            <w:r>
              <w:rPr>
                <w:spacing w:val="-8"/>
              </w:rPr>
              <w:t xml:space="preserve"> </w:t>
            </w:r>
            <w:r>
              <w:t>estratégico</w:t>
            </w:r>
            <w:r>
              <w:rPr>
                <w:spacing w:val="-7"/>
              </w:rPr>
              <w:t xml:space="preserve"> </w:t>
            </w:r>
            <w:r>
              <w:t>del</w:t>
            </w:r>
            <w:r>
              <w:rPr>
                <w:spacing w:val="-7"/>
              </w:rPr>
              <w:t xml:space="preserve"> </w:t>
            </w:r>
            <w:r>
              <w:rPr>
                <w:spacing w:val="-2"/>
              </w:rPr>
              <w:t>sector</w:t>
            </w:r>
            <w:r>
              <w:rPr>
                <w:rFonts w:ascii="Times New Roman" w:hAnsi="Times New Roman"/>
              </w:rPr>
              <w:tab/>
            </w:r>
            <w:r>
              <w:rPr>
                <w:spacing w:val="-5"/>
              </w:rPr>
              <w:t>53</w:t>
            </w:r>
          </w:hyperlink>
        </w:p>
        <w:p w:rsidR="009B4BB4" w:rsidRDefault="00C44001" w:rsidP="00C44001">
          <w:pPr>
            <w:pStyle w:val="TDC4"/>
            <w:numPr>
              <w:ilvl w:val="2"/>
              <w:numId w:val="84"/>
            </w:numPr>
            <w:tabs>
              <w:tab w:val="left" w:pos="1690"/>
              <w:tab w:val="right" w:leader="dot" w:pos="9190"/>
            </w:tabs>
            <w:ind w:left="1690" w:hanging="545"/>
          </w:pPr>
          <w:hyperlink w:anchor="h.vn1rffgm6ra6" w:history="1">
            <w:r>
              <w:t>Análisis</w:t>
            </w:r>
            <w:r>
              <w:rPr>
                <w:spacing w:val="-8"/>
              </w:rPr>
              <w:t xml:space="preserve"> </w:t>
            </w:r>
            <w:r>
              <w:rPr>
                <w:spacing w:val="-2"/>
              </w:rPr>
              <w:t>PESTEL</w:t>
            </w:r>
            <w:r>
              <w:rPr>
                <w:rFonts w:ascii="Times New Roman" w:hAnsi="Times New Roman"/>
              </w:rPr>
              <w:tab/>
            </w:r>
            <w:r>
              <w:rPr>
                <w:spacing w:val="-5"/>
              </w:rPr>
              <w:t>54</w:t>
            </w:r>
          </w:hyperlink>
        </w:p>
        <w:p w:rsidR="009B4BB4" w:rsidRDefault="00C44001" w:rsidP="00C44001">
          <w:pPr>
            <w:pStyle w:val="TDC4"/>
            <w:numPr>
              <w:ilvl w:val="2"/>
              <w:numId w:val="84"/>
            </w:numPr>
            <w:tabs>
              <w:tab w:val="left" w:pos="1690"/>
              <w:tab w:val="right" w:leader="dot" w:pos="9190"/>
            </w:tabs>
            <w:ind w:left="1690" w:hanging="545"/>
          </w:pPr>
          <w:hyperlink w:anchor="h.bmmes9kq33yu" w:history="1">
            <w:r>
              <w:t>Análisis</w:t>
            </w:r>
            <w:r>
              <w:rPr>
                <w:spacing w:val="-7"/>
              </w:rPr>
              <w:t xml:space="preserve"> </w:t>
            </w:r>
            <w:r>
              <w:t>de</w:t>
            </w:r>
            <w:r>
              <w:rPr>
                <w:spacing w:val="-4"/>
              </w:rPr>
              <w:t xml:space="preserve"> </w:t>
            </w:r>
            <w:r>
              <w:t>las</w:t>
            </w:r>
            <w:r>
              <w:rPr>
                <w:spacing w:val="-5"/>
              </w:rPr>
              <w:t xml:space="preserve"> </w:t>
            </w:r>
            <w:r>
              <w:t>Cinco</w:t>
            </w:r>
            <w:r>
              <w:rPr>
                <w:spacing w:val="-4"/>
              </w:rPr>
              <w:t xml:space="preserve"> </w:t>
            </w:r>
            <w:r>
              <w:t>Fuer</w:t>
            </w:r>
            <w:r>
              <w:t>zas</w:t>
            </w:r>
            <w:r>
              <w:rPr>
                <w:spacing w:val="-5"/>
              </w:rPr>
              <w:t xml:space="preserve"> </w:t>
            </w:r>
            <w:r>
              <w:t>de</w:t>
            </w:r>
            <w:r>
              <w:rPr>
                <w:spacing w:val="-4"/>
              </w:rPr>
              <w:t xml:space="preserve"> </w:t>
            </w:r>
            <w:r>
              <w:rPr>
                <w:spacing w:val="-2"/>
              </w:rPr>
              <w:t>Porter</w:t>
            </w:r>
            <w:r>
              <w:rPr>
                <w:rFonts w:ascii="Times New Roman" w:hAnsi="Times New Roman"/>
              </w:rPr>
              <w:tab/>
            </w:r>
            <w:r>
              <w:rPr>
                <w:spacing w:val="-5"/>
              </w:rPr>
              <w:t>56</w:t>
            </w:r>
          </w:hyperlink>
        </w:p>
        <w:p w:rsidR="009B4BB4" w:rsidRDefault="00C44001" w:rsidP="00C44001">
          <w:pPr>
            <w:pStyle w:val="TDC4"/>
            <w:numPr>
              <w:ilvl w:val="1"/>
              <w:numId w:val="84"/>
            </w:numPr>
            <w:tabs>
              <w:tab w:val="left" w:pos="1508"/>
              <w:tab w:val="right" w:leader="dot" w:pos="9190"/>
            </w:tabs>
            <w:ind w:left="1508" w:hanging="363"/>
            <w:jc w:val="left"/>
          </w:pPr>
          <w:hyperlink w:anchor="h.8txqows6hwjt" w:history="1">
            <w:r>
              <w:t>Conclusiones</w:t>
            </w:r>
            <w:r>
              <w:rPr>
                <w:spacing w:val="-9"/>
              </w:rPr>
              <w:t xml:space="preserve"> </w:t>
            </w:r>
            <w:r>
              <w:t>estratégicas</w:t>
            </w:r>
            <w:r>
              <w:rPr>
                <w:spacing w:val="-9"/>
              </w:rPr>
              <w:t xml:space="preserve"> </w:t>
            </w:r>
            <w:r>
              <w:t>del</w:t>
            </w:r>
            <w:r>
              <w:rPr>
                <w:spacing w:val="-9"/>
              </w:rPr>
              <w:t xml:space="preserve"> </w:t>
            </w:r>
            <w:r>
              <w:rPr>
                <w:spacing w:val="-2"/>
              </w:rPr>
              <w:t>sector</w:t>
            </w:r>
            <w:r>
              <w:rPr>
                <w:rFonts w:ascii="Times New Roman" w:hAnsi="Times New Roman"/>
              </w:rPr>
              <w:tab/>
            </w:r>
            <w:r>
              <w:rPr>
                <w:spacing w:val="-5"/>
              </w:rPr>
              <w:t>59</w:t>
            </w:r>
          </w:hyperlink>
        </w:p>
        <w:p w:rsidR="009B4BB4" w:rsidRDefault="00C44001">
          <w:pPr>
            <w:pStyle w:val="TDC1"/>
          </w:pPr>
          <w:hyperlink w:anchor="h.xwf2q8x4bi7a" w:history="1">
            <w:r>
              <w:t>Capítulo</w:t>
            </w:r>
            <w:r>
              <w:rPr>
                <w:spacing w:val="-8"/>
              </w:rPr>
              <w:t xml:space="preserve"> </w:t>
            </w:r>
            <w:r>
              <w:rPr>
                <w:spacing w:val="-10"/>
              </w:rPr>
              <w:t>3</w:t>
            </w:r>
          </w:hyperlink>
        </w:p>
        <w:p w:rsidR="009B4BB4" w:rsidRDefault="00C44001">
          <w:pPr>
            <w:pStyle w:val="TDC1"/>
            <w:tabs>
              <w:tab w:val="right" w:leader="dot" w:pos="9190"/>
            </w:tabs>
            <w:spacing w:before="0"/>
          </w:pPr>
          <w:hyperlink w:anchor="h.xwf2q8x4bi7a" w:history="1">
            <w:r>
              <w:t>Marco</w:t>
            </w:r>
            <w:r>
              <w:rPr>
                <w:spacing w:val="-5"/>
              </w:rPr>
              <w:t xml:space="preserve"> </w:t>
            </w:r>
            <w:r>
              <w:rPr>
                <w:spacing w:val="-2"/>
              </w:rPr>
              <w:t>Metodológico</w:t>
            </w:r>
            <w:r>
              <w:rPr>
                <w:rFonts w:ascii="Times New Roman" w:hAnsi="Times New Roman"/>
                <w:b w:val="0"/>
              </w:rPr>
              <w:tab/>
            </w:r>
            <w:r>
              <w:rPr>
                <w:spacing w:val="-5"/>
              </w:rPr>
              <w:t>60</w:t>
            </w:r>
          </w:hyperlink>
        </w:p>
        <w:p w:rsidR="009B4BB4" w:rsidRDefault="00C44001" w:rsidP="00C44001">
          <w:pPr>
            <w:pStyle w:val="TDC3"/>
            <w:numPr>
              <w:ilvl w:val="0"/>
              <w:numId w:val="81"/>
            </w:numPr>
            <w:tabs>
              <w:tab w:val="left" w:pos="1027"/>
              <w:tab w:val="right" w:leader="dot" w:pos="9190"/>
            </w:tabs>
            <w:ind w:left="1027" w:hanging="242"/>
          </w:pPr>
          <w:hyperlink w:anchor="h.8ia2xewd4fcj" w:history="1">
            <w:r>
              <w:t>1</w:t>
            </w:r>
            <w:r>
              <w:rPr>
                <w:spacing w:val="-5"/>
              </w:rPr>
              <w:t xml:space="preserve"> </w:t>
            </w:r>
            <w:r>
              <w:t>Justificación</w:t>
            </w:r>
            <w:r>
              <w:rPr>
                <w:spacing w:val="-4"/>
              </w:rPr>
              <w:t xml:space="preserve"> </w:t>
            </w:r>
            <w:r>
              <w:t>de</w:t>
            </w:r>
            <w:r>
              <w:rPr>
                <w:spacing w:val="-5"/>
              </w:rPr>
              <w:t xml:space="preserve"> </w:t>
            </w:r>
            <w:r>
              <w:t>la</w:t>
            </w:r>
            <w:r>
              <w:rPr>
                <w:spacing w:val="-4"/>
              </w:rPr>
              <w:t xml:space="preserve"> </w:t>
            </w:r>
            <w:r>
              <w:rPr>
                <w:spacing w:val="-2"/>
              </w:rPr>
              <w:t>investigación</w:t>
            </w:r>
            <w:r>
              <w:rPr>
                <w:rFonts w:ascii="Times New Roman" w:hAnsi="Times New Roman"/>
              </w:rPr>
              <w:tab/>
            </w:r>
            <w:r>
              <w:rPr>
                <w:spacing w:val="-5"/>
              </w:rPr>
              <w:t>60</w:t>
            </w:r>
          </w:hyperlink>
        </w:p>
        <w:p w:rsidR="009B4BB4" w:rsidRDefault="00C44001" w:rsidP="00C44001">
          <w:pPr>
            <w:pStyle w:val="TDC3"/>
            <w:numPr>
              <w:ilvl w:val="1"/>
              <w:numId w:val="81"/>
            </w:numPr>
            <w:tabs>
              <w:tab w:val="left" w:pos="1148"/>
              <w:tab w:val="right" w:leader="dot" w:pos="9190"/>
            </w:tabs>
            <w:ind w:left="1148" w:hanging="363"/>
          </w:pPr>
          <w:hyperlink w:anchor="h.4oia0j89d2v0" w:history="1">
            <w:r>
              <w:t>Problema</w:t>
            </w:r>
            <w:r>
              <w:rPr>
                <w:spacing w:val="-5"/>
              </w:rPr>
              <w:t xml:space="preserve"> </w:t>
            </w:r>
            <w:r>
              <w:t>de</w:t>
            </w:r>
            <w:r>
              <w:rPr>
                <w:spacing w:val="-5"/>
              </w:rPr>
              <w:t xml:space="preserve"> </w:t>
            </w:r>
            <w:r>
              <w:rPr>
                <w:spacing w:val="-2"/>
              </w:rPr>
              <w:t>Investigación</w:t>
            </w:r>
            <w:r>
              <w:rPr>
                <w:rFonts w:ascii="Times New Roman" w:hAnsi="Times New Roman"/>
              </w:rPr>
              <w:tab/>
            </w:r>
            <w:r>
              <w:rPr>
                <w:spacing w:val="-5"/>
              </w:rPr>
              <w:t>61</w:t>
            </w:r>
          </w:hyperlink>
        </w:p>
        <w:p w:rsidR="009B4BB4" w:rsidRDefault="00C44001" w:rsidP="00C44001">
          <w:pPr>
            <w:pStyle w:val="TDC3"/>
            <w:numPr>
              <w:ilvl w:val="1"/>
              <w:numId w:val="81"/>
            </w:numPr>
            <w:tabs>
              <w:tab w:val="left" w:pos="1148"/>
              <w:tab w:val="right" w:leader="dot" w:pos="9190"/>
            </w:tabs>
            <w:ind w:left="1148" w:hanging="363"/>
          </w:pPr>
          <w:hyperlink w:anchor="h.1ga6mnn6mlyk" w:history="1">
            <w:r>
              <w:t>Objetivo</w:t>
            </w:r>
            <w:r>
              <w:rPr>
                <w:spacing w:val="-4"/>
              </w:rPr>
              <w:t xml:space="preserve"> </w:t>
            </w:r>
            <w:r>
              <w:t>de</w:t>
            </w:r>
            <w:r>
              <w:rPr>
                <w:spacing w:val="-4"/>
              </w:rPr>
              <w:t xml:space="preserve"> </w:t>
            </w:r>
            <w:r>
              <w:t>la</w:t>
            </w:r>
            <w:r>
              <w:rPr>
                <w:spacing w:val="-4"/>
              </w:rPr>
              <w:t xml:space="preserve"> </w:t>
            </w:r>
            <w:r>
              <w:rPr>
                <w:spacing w:val="-2"/>
              </w:rPr>
              <w:t>investigación</w:t>
            </w:r>
            <w:r>
              <w:rPr>
                <w:rFonts w:ascii="Times New Roman" w:hAnsi="Times New Roman"/>
              </w:rPr>
              <w:tab/>
            </w:r>
            <w:r>
              <w:rPr>
                <w:spacing w:val="-5"/>
              </w:rPr>
              <w:t>62</w:t>
            </w:r>
          </w:hyperlink>
        </w:p>
        <w:p w:rsidR="009B4BB4" w:rsidRDefault="00C44001" w:rsidP="00C44001">
          <w:pPr>
            <w:pStyle w:val="TDC4"/>
            <w:numPr>
              <w:ilvl w:val="2"/>
              <w:numId w:val="81"/>
            </w:numPr>
            <w:tabs>
              <w:tab w:val="left" w:pos="1690"/>
              <w:tab w:val="right" w:leader="dot" w:pos="9190"/>
            </w:tabs>
            <w:ind w:left="1690" w:hanging="545"/>
          </w:pPr>
          <w:hyperlink w:anchor="h.gvt2k4jghbdv" w:history="1">
            <w:r>
              <w:t>Objetivo</w:t>
            </w:r>
            <w:r>
              <w:rPr>
                <w:spacing w:val="-8"/>
              </w:rPr>
              <w:t xml:space="preserve"> </w:t>
            </w:r>
            <w:r>
              <w:rPr>
                <w:spacing w:val="-2"/>
              </w:rPr>
              <w:t>general</w:t>
            </w:r>
            <w:r>
              <w:rPr>
                <w:rFonts w:ascii="Times New Roman"/>
              </w:rPr>
              <w:tab/>
            </w:r>
            <w:r>
              <w:rPr>
                <w:spacing w:val="-5"/>
              </w:rPr>
              <w:t>62</w:t>
            </w:r>
          </w:hyperlink>
        </w:p>
        <w:p w:rsidR="009B4BB4" w:rsidRDefault="00C44001" w:rsidP="00C44001">
          <w:pPr>
            <w:pStyle w:val="TDC4"/>
            <w:numPr>
              <w:ilvl w:val="2"/>
              <w:numId w:val="81"/>
            </w:numPr>
            <w:tabs>
              <w:tab w:val="left" w:pos="1690"/>
              <w:tab w:val="right" w:leader="dot" w:pos="9190"/>
            </w:tabs>
            <w:ind w:left="1690" w:hanging="545"/>
          </w:pPr>
          <w:hyperlink w:anchor="h.t8zcmdjpbzfm" w:history="1">
            <w:r>
              <w:t>Objetivos</w:t>
            </w:r>
            <w:r>
              <w:rPr>
                <w:spacing w:val="-9"/>
              </w:rPr>
              <w:t xml:space="preserve"> </w:t>
            </w:r>
            <w:r>
              <w:t>específicos</w:t>
            </w:r>
            <w:r>
              <w:rPr>
                <w:spacing w:val="-7"/>
              </w:rPr>
              <w:t xml:space="preserve"> </w:t>
            </w:r>
            <w:r>
              <w:t>y</w:t>
            </w:r>
            <w:r>
              <w:rPr>
                <w:spacing w:val="-7"/>
              </w:rPr>
              <w:t xml:space="preserve"> </w:t>
            </w:r>
            <w:r>
              <w:t>su</w:t>
            </w:r>
            <w:r>
              <w:rPr>
                <w:spacing w:val="-7"/>
              </w:rPr>
              <w:t xml:space="preserve"> </w:t>
            </w:r>
            <w:r>
              <w:t>vinculación</w:t>
            </w:r>
            <w:r>
              <w:rPr>
                <w:spacing w:val="-6"/>
              </w:rPr>
              <w:t xml:space="preserve"> </w:t>
            </w:r>
            <w:r>
              <w:rPr>
                <w:spacing w:val="-2"/>
              </w:rPr>
              <w:t>metodológica</w:t>
            </w:r>
            <w:r>
              <w:rPr>
                <w:rFonts w:ascii="Times New Roman" w:hAnsi="Times New Roman"/>
              </w:rPr>
              <w:tab/>
            </w:r>
            <w:r>
              <w:rPr>
                <w:spacing w:val="-5"/>
              </w:rPr>
              <w:t>62</w:t>
            </w:r>
          </w:hyperlink>
        </w:p>
        <w:p w:rsidR="009B4BB4" w:rsidRDefault="00C44001" w:rsidP="00C44001">
          <w:pPr>
            <w:pStyle w:val="TDC3"/>
            <w:numPr>
              <w:ilvl w:val="1"/>
              <w:numId w:val="81"/>
            </w:numPr>
            <w:tabs>
              <w:tab w:val="left" w:pos="1210"/>
              <w:tab w:val="right" w:leader="dot" w:pos="9190"/>
            </w:tabs>
            <w:ind w:left="1210" w:hanging="425"/>
          </w:pPr>
          <w:hyperlink w:anchor="h.b4s9j9u4e02z" w:history="1">
            <w:r>
              <w:t>Diseño</w:t>
            </w:r>
            <w:r>
              <w:rPr>
                <w:spacing w:val="-4"/>
              </w:rPr>
              <w:t xml:space="preserve"> </w:t>
            </w:r>
            <w:r>
              <w:t>de</w:t>
            </w:r>
            <w:r>
              <w:rPr>
                <w:spacing w:val="-3"/>
              </w:rPr>
              <w:t xml:space="preserve"> </w:t>
            </w:r>
            <w:r>
              <w:t>la</w:t>
            </w:r>
            <w:r>
              <w:rPr>
                <w:spacing w:val="-3"/>
              </w:rPr>
              <w:t xml:space="preserve"> </w:t>
            </w:r>
            <w:r>
              <w:rPr>
                <w:spacing w:val="-2"/>
              </w:rPr>
              <w:t>investigación</w:t>
            </w:r>
            <w:r>
              <w:rPr>
                <w:rFonts w:ascii="Times New Roman" w:hAnsi="Times New Roman"/>
              </w:rPr>
              <w:tab/>
            </w:r>
            <w:r>
              <w:rPr>
                <w:spacing w:val="-5"/>
              </w:rPr>
              <w:t>63</w:t>
            </w:r>
          </w:hyperlink>
        </w:p>
        <w:p w:rsidR="009B4BB4" w:rsidRDefault="00C44001" w:rsidP="00C44001">
          <w:pPr>
            <w:pStyle w:val="TDC3"/>
            <w:numPr>
              <w:ilvl w:val="1"/>
              <w:numId w:val="81"/>
            </w:numPr>
            <w:tabs>
              <w:tab w:val="left" w:pos="1148"/>
              <w:tab w:val="right" w:leader="dot" w:pos="9190"/>
            </w:tabs>
            <w:ind w:left="1148" w:hanging="363"/>
          </w:pPr>
          <w:hyperlink w:anchor="h.k3e8s3ugekwj" w:history="1">
            <w:r>
              <w:t>Población</w:t>
            </w:r>
            <w:r>
              <w:rPr>
                <w:spacing w:val="-5"/>
              </w:rPr>
              <w:t xml:space="preserve"> </w:t>
            </w:r>
            <w:r>
              <w:t>y</w:t>
            </w:r>
            <w:r>
              <w:rPr>
                <w:spacing w:val="-5"/>
              </w:rPr>
              <w:t xml:space="preserve"> </w:t>
            </w:r>
            <w:r>
              <w:rPr>
                <w:spacing w:val="-2"/>
              </w:rPr>
              <w:t>muestra</w:t>
            </w:r>
            <w:r>
              <w:rPr>
                <w:rFonts w:ascii="Times New Roman" w:hAnsi="Times New Roman"/>
              </w:rPr>
              <w:tab/>
            </w:r>
            <w:r>
              <w:rPr>
                <w:spacing w:val="-5"/>
              </w:rPr>
              <w:t>64</w:t>
            </w:r>
          </w:hyperlink>
        </w:p>
        <w:p w:rsidR="009B4BB4" w:rsidRDefault="00C44001" w:rsidP="00C44001">
          <w:pPr>
            <w:pStyle w:val="TDC4"/>
            <w:numPr>
              <w:ilvl w:val="2"/>
              <w:numId w:val="81"/>
            </w:numPr>
            <w:tabs>
              <w:tab w:val="left" w:pos="1690"/>
              <w:tab w:val="right" w:leader="dot" w:pos="9190"/>
            </w:tabs>
            <w:ind w:left="1690" w:hanging="545"/>
          </w:pPr>
          <w:hyperlink w:anchor="h.o7vmrg7mps49" w:history="1">
            <w:r>
              <w:t>Población</w:t>
            </w:r>
            <w:r>
              <w:rPr>
                <w:spacing w:val="-8"/>
              </w:rPr>
              <w:t xml:space="preserve"> </w:t>
            </w:r>
            <w:r>
              <w:t>objetivo</w:t>
            </w:r>
            <w:r>
              <w:rPr>
                <w:spacing w:val="-7"/>
              </w:rPr>
              <w:t xml:space="preserve"> </w:t>
            </w:r>
            <w:r>
              <w:t>y</w:t>
            </w:r>
            <w:r>
              <w:rPr>
                <w:spacing w:val="-8"/>
              </w:rPr>
              <w:t xml:space="preserve"> </w:t>
            </w:r>
            <w:r>
              <w:t>segmentación</w:t>
            </w:r>
            <w:r>
              <w:rPr>
                <w:spacing w:val="-7"/>
              </w:rPr>
              <w:t xml:space="preserve"> </w:t>
            </w:r>
            <w:r>
              <w:rPr>
                <w:spacing w:val="-2"/>
              </w:rPr>
              <w:t>estratégica</w:t>
            </w:r>
            <w:r>
              <w:rPr>
                <w:rFonts w:ascii="Times New Roman" w:hAnsi="Times New Roman"/>
              </w:rPr>
              <w:tab/>
            </w:r>
            <w:r>
              <w:rPr>
                <w:spacing w:val="-5"/>
              </w:rPr>
              <w:t>64</w:t>
            </w:r>
          </w:hyperlink>
        </w:p>
        <w:p w:rsidR="009B4BB4" w:rsidRDefault="00C44001" w:rsidP="00C44001">
          <w:pPr>
            <w:pStyle w:val="TDC4"/>
            <w:numPr>
              <w:ilvl w:val="2"/>
              <w:numId w:val="81"/>
            </w:numPr>
            <w:tabs>
              <w:tab w:val="left" w:pos="1690"/>
              <w:tab w:val="right" w:leader="dot" w:pos="9190"/>
            </w:tabs>
            <w:ind w:left="1690" w:hanging="545"/>
          </w:pPr>
          <w:hyperlink w:anchor="h.h3077g57y7k2" w:history="1">
            <w:r>
              <w:t>Determinación</w:t>
            </w:r>
            <w:r>
              <w:rPr>
                <w:spacing w:val="-6"/>
              </w:rPr>
              <w:t xml:space="preserve"> </w:t>
            </w:r>
            <w:r>
              <w:t>de</w:t>
            </w:r>
            <w:r>
              <w:rPr>
                <w:spacing w:val="-6"/>
              </w:rPr>
              <w:t xml:space="preserve"> </w:t>
            </w:r>
            <w:r>
              <w:t>la</w:t>
            </w:r>
            <w:r>
              <w:rPr>
                <w:spacing w:val="-5"/>
              </w:rPr>
              <w:t xml:space="preserve"> </w:t>
            </w:r>
            <w:r>
              <w:rPr>
                <w:spacing w:val="-2"/>
              </w:rPr>
              <w:t>Muestra</w:t>
            </w:r>
            <w:r>
              <w:rPr>
                <w:rFonts w:ascii="Times New Roman" w:hAnsi="Times New Roman"/>
              </w:rPr>
              <w:tab/>
            </w:r>
            <w:r>
              <w:rPr>
                <w:spacing w:val="-5"/>
              </w:rPr>
              <w:t>64</w:t>
            </w:r>
          </w:hyperlink>
        </w:p>
        <w:p w:rsidR="009B4BB4" w:rsidRDefault="00C44001" w:rsidP="00C44001">
          <w:pPr>
            <w:pStyle w:val="TDC4"/>
            <w:numPr>
              <w:ilvl w:val="2"/>
              <w:numId w:val="81"/>
            </w:numPr>
            <w:tabs>
              <w:tab w:val="left" w:pos="1690"/>
              <w:tab w:val="right" w:leader="dot" w:pos="9190"/>
            </w:tabs>
            <w:ind w:left="1690" w:hanging="545"/>
          </w:pPr>
          <w:hyperlink w:anchor="h.9w0na7bhd3z0" w:history="1">
            <w:r>
              <w:t>Resultados</w:t>
            </w:r>
            <w:r>
              <w:rPr>
                <w:spacing w:val="-7"/>
              </w:rPr>
              <w:t xml:space="preserve"> </w:t>
            </w:r>
            <w:r>
              <w:t>y</w:t>
            </w:r>
            <w:r>
              <w:rPr>
                <w:spacing w:val="-6"/>
              </w:rPr>
              <w:t xml:space="preserve"> </w:t>
            </w:r>
            <w:r>
              <w:t>muestreo</w:t>
            </w:r>
            <w:r>
              <w:rPr>
                <w:spacing w:val="-6"/>
              </w:rPr>
              <w:t xml:space="preserve"> </w:t>
            </w:r>
            <w:r>
              <w:rPr>
                <w:spacing w:val="-2"/>
              </w:rPr>
              <w:t>estratificado</w:t>
            </w:r>
            <w:r>
              <w:rPr>
                <w:rFonts w:ascii="Times New Roman"/>
              </w:rPr>
              <w:tab/>
            </w:r>
            <w:r>
              <w:rPr>
                <w:spacing w:val="-5"/>
              </w:rPr>
              <w:t>65</w:t>
            </w:r>
          </w:hyperlink>
        </w:p>
        <w:p w:rsidR="009B4BB4" w:rsidRDefault="00C44001" w:rsidP="00C44001">
          <w:pPr>
            <w:pStyle w:val="TDC4"/>
            <w:numPr>
              <w:ilvl w:val="2"/>
              <w:numId w:val="81"/>
            </w:numPr>
            <w:tabs>
              <w:tab w:val="left" w:pos="1690"/>
              <w:tab w:val="right" w:leader="dot" w:pos="9190"/>
            </w:tabs>
            <w:ind w:left="1690" w:hanging="545"/>
          </w:pPr>
          <w:hyperlink w:anchor="h.hac1ytwznhqq" w:history="1">
            <w:r>
              <w:t>Técnicas</w:t>
            </w:r>
            <w:r>
              <w:rPr>
                <w:spacing w:val="-6"/>
              </w:rPr>
              <w:t xml:space="preserve"> </w:t>
            </w:r>
            <w:r>
              <w:t>e</w:t>
            </w:r>
            <w:r>
              <w:rPr>
                <w:spacing w:val="-6"/>
              </w:rPr>
              <w:t xml:space="preserve"> </w:t>
            </w:r>
            <w:r>
              <w:t>instrumentos</w:t>
            </w:r>
            <w:r>
              <w:rPr>
                <w:spacing w:val="-6"/>
              </w:rPr>
              <w:t xml:space="preserve"> </w:t>
            </w:r>
            <w:r>
              <w:t>de</w:t>
            </w:r>
            <w:r>
              <w:rPr>
                <w:spacing w:val="-6"/>
              </w:rPr>
              <w:t xml:space="preserve"> </w:t>
            </w:r>
            <w:r>
              <w:t>recolección</w:t>
            </w:r>
            <w:r>
              <w:rPr>
                <w:spacing w:val="-6"/>
              </w:rPr>
              <w:t xml:space="preserve"> </w:t>
            </w:r>
            <w:r>
              <w:t>de</w:t>
            </w:r>
            <w:r>
              <w:rPr>
                <w:spacing w:val="-6"/>
              </w:rPr>
              <w:t xml:space="preserve"> </w:t>
            </w:r>
            <w:r>
              <w:rPr>
                <w:spacing w:val="-4"/>
              </w:rPr>
              <w:t>datos</w:t>
            </w:r>
            <w:r>
              <w:rPr>
                <w:rFonts w:ascii="Times New Roman" w:hAnsi="Times New Roman"/>
              </w:rPr>
              <w:tab/>
            </w:r>
            <w:r>
              <w:rPr>
                <w:spacing w:val="-5"/>
              </w:rPr>
              <w:t>66</w:t>
            </w:r>
          </w:hyperlink>
        </w:p>
        <w:p w:rsidR="009B4BB4" w:rsidRDefault="00C44001" w:rsidP="00C44001">
          <w:pPr>
            <w:pStyle w:val="TDC3"/>
            <w:numPr>
              <w:ilvl w:val="1"/>
              <w:numId w:val="81"/>
            </w:numPr>
            <w:tabs>
              <w:tab w:val="left" w:pos="1210"/>
              <w:tab w:val="right" w:leader="dot" w:pos="9190"/>
            </w:tabs>
            <w:ind w:left="1210" w:hanging="425"/>
          </w:pPr>
          <w:hyperlink w:anchor="h.tb6bzgmbqbbp" w:history="1">
            <w:r>
              <w:rPr>
                <w:spacing w:val="-2"/>
              </w:rPr>
              <w:t>Procedimiento</w:t>
            </w:r>
            <w:r>
              <w:rPr>
                <w:rFonts w:ascii="Times New Roman"/>
              </w:rPr>
              <w:tab/>
            </w:r>
            <w:r>
              <w:rPr>
                <w:spacing w:val="-5"/>
              </w:rPr>
              <w:t>67</w:t>
            </w:r>
          </w:hyperlink>
        </w:p>
        <w:p w:rsidR="009B4BB4" w:rsidRDefault="00C44001" w:rsidP="00C44001">
          <w:pPr>
            <w:pStyle w:val="TDC3"/>
            <w:numPr>
              <w:ilvl w:val="1"/>
              <w:numId w:val="81"/>
            </w:numPr>
            <w:tabs>
              <w:tab w:val="left" w:pos="1148"/>
              <w:tab w:val="right" w:leader="dot" w:pos="9190"/>
            </w:tabs>
            <w:ind w:left="1148" w:hanging="363"/>
          </w:pPr>
          <w:hyperlink w:anchor="h.r5ykbe84n92p" w:history="1">
            <w:r>
              <w:rPr>
                <w:spacing w:val="-2"/>
              </w:rPr>
              <w:t>Conclusiones</w:t>
            </w:r>
            <w:r>
              <w:rPr>
                <w:rFonts w:ascii="Times New Roman"/>
              </w:rPr>
              <w:tab/>
            </w:r>
            <w:r>
              <w:rPr>
                <w:spacing w:val="-5"/>
              </w:rPr>
              <w:t>68</w:t>
            </w:r>
          </w:hyperlink>
        </w:p>
        <w:p w:rsidR="009B4BB4" w:rsidRDefault="00C44001">
          <w:pPr>
            <w:pStyle w:val="TDC1"/>
          </w:pPr>
          <w:hyperlink w:anchor="h.f86o2baiftea" w:history="1">
            <w:r>
              <w:t>Capítulo</w:t>
            </w:r>
            <w:r>
              <w:rPr>
                <w:spacing w:val="-8"/>
              </w:rPr>
              <w:t xml:space="preserve"> </w:t>
            </w:r>
            <w:r>
              <w:rPr>
                <w:spacing w:val="-10"/>
              </w:rPr>
              <w:t>4</w:t>
            </w:r>
          </w:hyperlink>
        </w:p>
        <w:p w:rsidR="009B4BB4" w:rsidRDefault="00C44001">
          <w:pPr>
            <w:pStyle w:val="TDC1"/>
            <w:tabs>
              <w:tab w:val="right" w:leader="dot" w:pos="9190"/>
            </w:tabs>
            <w:spacing w:before="0"/>
          </w:pPr>
          <w:hyperlink w:anchor="h.f86o2baiftea" w:history="1">
            <w:r>
              <w:t>Resultados</w:t>
            </w:r>
            <w:r>
              <w:rPr>
                <w:spacing w:val="-5"/>
              </w:rPr>
              <w:t xml:space="preserve"> </w:t>
            </w:r>
            <w:r>
              <w:t>de</w:t>
            </w:r>
            <w:r>
              <w:rPr>
                <w:spacing w:val="-5"/>
              </w:rPr>
              <w:t xml:space="preserve"> </w:t>
            </w:r>
            <w:r>
              <w:t>la</w:t>
            </w:r>
            <w:r>
              <w:rPr>
                <w:spacing w:val="-4"/>
              </w:rPr>
              <w:t xml:space="preserve"> </w:t>
            </w:r>
            <w:r>
              <w:rPr>
                <w:spacing w:val="-2"/>
              </w:rPr>
              <w:t>Investigación</w:t>
            </w:r>
            <w:r>
              <w:rPr>
                <w:rFonts w:ascii="Times New Roman" w:hAnsi="Times New Roman"/>
                <w:b w:val="0"/>
              </w:rPr>
              <w:tab/>
            </w:r>
            <w:r>
              <w:rPr>
                <w:spacing w:val="-5"/>
              </w:rPr>
              <w:t>69</w:t>
            </w:r>
          </w:hyperlink>
        </w:p>
        <w:p w:rsidR="009B4BB4" w:rsidRDefault="00C44001" w:rsidP="00C44001">
          <w:pPr>
            <w:pStyle w:val="TDC3"/>
            <w:numPr>
              <w:ilvl w:val="1"/>
              <w:numId w:val="80"/>
            </w:numPr>
            <w:tabs>
              <w:tab w:val="left" w:pos="1148"/>
              <w:tab w:val="right" w:leader="dot" w:pos="9190"/>
            </w:tabs>
            <w:ind w:left="1148" w:hanging="363"/>
          </w:pPr>
          <w:hyperlink w:anchor="h.6opribx1kl5s" w:history="1">
            <w:r>
              <w:t>Perfil</w:t>
            </w:r>
            <w:r>
              <w:rPr>
                <w:spacing w:val="-4"/>
              </w:rPr>
              <w:t xml:space="preserve"> </w:t>
            </w:r>
            <w:r>
              <w:t>de</w:t>
            </w:r>
            <w:r>
              <w:rPr>
                <w:spacing w:val="-4"/>
              </w:rPr>
              <w:t xml:space="preserve"> </w:t>
            </w:r>
            <w:r>
              <w:t>los</w:t>
            </w:r>
            <w:r>
              <w:rPr>
                <w:spacing w:val="-3"/>
              </w:rPr>
              <w:t xml:space="preserve"> </w:t>
            </w:r>
            <w:r>
              <w:rPr>
                <w:spacing w:val="-2"/>
              </w:rPr>
              <w:t>encuestados</w:t>
            </w:r>
            <w:r>
              <w:rPr>
                <w:rFonts w:ascii="Times New Roman"/>
              </w:rPr>
              <w:tab/>
            </w:r>
            <w:r>
              <w:rPr>
                <w:spacing w:val="-5"/>
              </w:rPr>
              <w:t>70</w:t>
            </w:r>
          </w:hyperlink>
        </w:p>
        <w:p w:rsidR="009B4BB4" w:rsidRDefault="00C44001" w:rsidP="00C44001">
          <w:pPr>
            <w:pStyle w:val="TDC4"/>
            <w:numPr>
              <w:ilvl w:val="2"/>
              <w:numId w:val="80"/>
            </w:numPr>
            <w:tabs>
              <w:tab w:val="left" w:pos="1690"/>
              <w:tab w:val="right" w:leader="dot" w:pos="9190"/>
            </w:tabs>
            <w:ind w:left="1690" w:hanging="545"/>
          </w:pPr>
          <w:hyperlink w:anchor="h.bzsd362t5dmo" w:history="1">
            <w:r>
              <w:t>Procedencia</w:t>
            </w:r>
            <w:r>
              <w:rPr>
                <w:spacing w:val="-7"/>
              </w:rPr>
              <w:t xml:space="preserve"> </w:t>
            </w:r>
            <w:r>
              <w:t>y</w:t>
            </w:r>
            <w:r>
              <w:rPr>
                <w:spacing w:val="-7"/>
              </w:rPr>
              <w:t xml:space="preserve"> </w:t>
            </w:r>
            <w:r>
              <w:t>representatividad</w:t>
            </w:r>
            <w:r>
              <w:rPr>
                <w:spacing w:val="-6"/>
              </w:rPr>
              <w:t xml:space="preserve"> </w:t>
            </w:r>
            <w:r>
              <w:t>de</w:t>
            </w:r>
            <w:r>
              <w:rPr>
                <w:spacing w:val="-7"/>
              </w:rPr>
              <w:t xml:space="preserve"> </w:t>
            </w:r>
            <w:r>
              <w:t>la</w:t>
            </w:r>
            <w:r>
              <w:rPr>
                <w:spacing w:val="-6"/>
              </w:rPr>
              <w:t xml:space="preserve"> </w:t>
            </w:r>
            <w:r>
              <w:rPr>
                <w:spacing w:val="-2"/>
              </w:rPr>
              <w:t>muestra</w:t>
            </w:r>
            <w:r>
              <w:rPr>
                <w:rFonts w:ascii="Times New Roman"/>
              </w:rPr>
              <w:tab/>
            </w:r>
            <w:r>
              <w:rPr>
                <w:spacing w:val="-5"/>
              </w:rPr>
              <w:t>70</w:t>
            </w:r>
          </w:hyperlink>
        </w:p>
        <w:p w:rsidR="009B4BB4" w:rsidRDefault="00C44001" w:rsidP="00C44001">
          <w:pPr>
            <w:pStyle w:val="TDC4"/>
            <w:numPr>
              <w:ilvl w:val="2"/>
              <w:numId w:val="79"/>
            </w:numPr>
            <w:tabs>
              <w:tab w:val="left" w:pos="1690"/>
              <w:tab w:val="right" w:leader="dot" w:pos="9190"/>
            </w:tabs>
            <w:ind w:left="1690" w:hanging="545"/>
          </w:pPr>
          <w:hyperlink w:anchor="h.i4lgtcfht3qe" w:history="1">
            <w:r>
              <w:t>Estructura</w:t>
            </w:r>
            <w:r>
              <w:rPr>
                <w:spacing w:val="-6"/>
              </w:rPr>
              <w:t xml:space="preserve"> </w:t>
            </w:r>
            <w:r>
              <w:t>etaria</w:t>
            </w:r>
            <w:r>
              <w:rPr>
                <w:spacing w:val="-6"/>
              </w:rPr>
              <w:t xml:space="preserve"> </w:t>
            </w:r>
            <w:r>
              <w:t>y</w:t>
            </w:r>
            <w:r>
              <w:rPr>
                <w:spacing w:val="-5"/>
              </w:rPr>
              <w:t xml:space="preserve"> </w:t>
            </w:r>
            <w:r>
              <w:rPr>
                <w:spacing w:val="-2"/>
              </w:rPr>
              <w:t>Género</w:t>
            </w:r>
            <w:r>
              <w:rPr>
                <w:rFonts w:ascii="Times New Roman" w:hAnsi="Times New Roman"/>
              </w:rPr>
              <w:tab/>
            </w:r>
            <w:r>
              <w:rPr>
                <w:spacing w:val="-5"/>
              </w:rPr>
              <w:t>71</w:t>
            </w:r>
          </w:hyperlink>
        </w:p>
        <w:p w:rsidR="009B4BB4" w:rsidRDefault="00C44001" w:rsidP="00C44001">
          <w:pPr>
            <w:pStyle w:val="TDC4"/>
            <w:numPr>
              <w:ilvl w:val="2"/>
              <w:numId w:val="78"/>
            </w:numPr>
            <w:tabs>
              <w:tab w:val="left" w:pos="1690"/>
              <w:tab w:val="right" w:leader="dot" w:pos="9190"/>
            </w:tabs>
            <w:ind w:left="1690" w:hanging="545"/>
          </w:pPr>
          <w:hyperlink w:anchor="h.7j6sbl798gdp" w:history="1">
            <w:r>
              <w:t>Síntesis</w:t>
            </w:r>
            <w:r>
              <w:rPr>
                <w:spacing w:val="-6"/>
              </w:rPr>
              <w:t xml:space="preserve"> </w:t>
            </w:r>
            <w:r>
              <w:t>del</w:t>
            </w:r>
            <w:r>
              <w:rPr>
                <w:spacing w:val="-5"/>
              </w:rPr>
              <w:t xml:space="preserve"> </w:t>
            </w:r>
            <w:r>
              <w:rPr>
                <w:spacing w:val="-2"/>
              </w:rPr>
              <w:t>Perfil</w:t>
            </w:r>
            <w:r>
              <w:rPr>
                <w:rFonts w:ascii="Times New Roman" w:hAnsi="Times New Roman"/>
              </w:rPr>
              <w:tab/>
            </w:r>
            <w:r>
              <w:rPr>
                <w:spacing w:val="-5"/>
              </w:rPr>
              <w:t>73</w:t>
            </w:r>
          </w:hyperlink>
        </w:p>
        <w:p w:rsidR="009B4BB4" w:rsidRDefault="00C44001" w:rsidP="00C44001">
          <w:pPr>
            <w:pStyle w:val="TDC3"/>
            <w:numPr>
              <w:ilvl w:val="1"/>
              <w:numId w:val="77"/>
            </w:numPr>
            <w:tabs>
              <w:tab w:val="left" w:pos="1148"/>
              <w:tab w:val="right" w:leader="dot" w:pos="9190"/>
            </w:tabs>
            <w:ind w:left="1148" w:hanging="363"/>
          </w:pPr>
          <w:hyperlink w:anchor="h.koy2ujblc6uq" w:history="1">
            <w:r>
              <w:t>Comportamiento</w:t>
            </w:r>
            <w:r>
              <w:rPr>
                <w:spacing w:val="-6"/>
              </w:rPr>
              <w:t xml:space="preserve"> </w:t>
            </w:r>
            <w:r>
              <w:t>y</w:t>
            </w:r>
            <w:r>
              <w:rPr>
                <w:spacing w:val="-6"/>
              </w:rPr>
              <w:t xml:space="preserve"> </w:t>
            </w:r>
            <w:r>
              <w:t>hábitos</w:t>
            </w:r>
            <w:r>
              <w:rPr>
                <w:spacing w:val="-6"/>
              </w:rPr>
              <w:t xml:space="preserve"> </w:t>
            </w:r>
            <w:r>
              <w:t>de</w:t>
            </w:r>
            <w:r>
              <w:rPr>
                <w:spacing w:val="-6"/>
              </w:rPr>
              <w:t xml:space="preserve"> </w:t>
            </w:r>
            <w:r>
              <w:rPr>
                <w:spacing w:val="-2"/>
              </w:rPr>
              <w:t>consumo</w:t>
            </w:r>
            <w:r>
              <w:rPr>
                <w:rFonts w:ascii="Times New Roman" w:hAnsi="Times New Roman"/>
              </w:rPr>
              <w:tab/>
            </w:r>
            <w:r>
              <w:rPr>
                <w:spacing w:val="-5"/>
              </w:rPr>
              <w:t>73</w:t>
            </w:r>
          </w:hyperlink>
        </w:p>
        <w:p w:rsidR="009B4BB4" w:rsidRDefault="00C44001" w:rsidP="00C44001">
          <w:pPr>
            <w:pStyle w:val="TDC4"/>
            <w:numPr>
              <w:ilvl w:val="2"/>
              <w:numId w:val="77"/>
            </w:numPr>
            <w:tabs>
              <w:tab w:val="left" w:pos="1690"/>
              <w:tab w:val="right" w:leader="dot" w:pos="9190"/>
            </w:tabs>
            <w:spacing w:after="66"/>
            <w:ind w:left="1690" w:hanging="545"/>
          </w:pPr>
          <w:hyperlink w:anchor="h.w0ejfnvmrze6" w:history="1">
            <w:r>
              <w:t>Frecuencia</w:t>
            </w:r>
            <w:r>
              <w:rPr>
                <w:spacing w:val="-6"/>
              </w:rPr>
              <w:t xml:space="preserve"> </w:t>
            </w:r>
            <w:r>
              <w:t>de</w:t>
            </w:r>
            <w:r>
              <w:rPr>
                <w:spacing w:val="-5"/>
              </w:rPr>
              <w:t xml:space="preserve"> </w:t>
            </w:r>
            <w:r>
              <w:t>consumo</w:t>
            </w:r>
            <w:r>
              <w:rPr>
                <w:spacing w:val="-5"/>
              </w:rPr>
              <w:t xml:space="preserve"> </w:t>
            </w:r>
            <w:r>
              <w:t>de</w:t>
            </w:r>
            <w:r>
              <w:rPr>
                <w:spacing w:val="-5"/>
              </w:rPr>
              <w:t xml:space="preserve"> </w:t>
            </w:r>
            <w:r>
              <w:rPr>
                <w:spacing w:val="-4"/>
              </w:rPr>
              <w:t>miel</w:t>
            </w:r>
            <w:r>
              <w:rPr>
                <w:rFonts w:ascii="Times New Roman"/>
              </w:rPr>
              <w:tab/>
            </w:r>
            <w:r>
              <w:rPr>
                <w:spacing w:val="-5"/>
              </w:rPr>
              <w:t>73</w:t>
            </w:r>
          </w:hyperlink>
        </w:p>
        <w:p w:rsidR="009B4BB4" w:rsidRDefault="00C44001" w:rsidP="00C44001">
          <w:pPr>
            <w:pStyle w:val="TDC4"/>
            <w:numPr>
              <w:ilvl w:val="2"/>
              <w:numId w:val="77"/>
            </w:numPr>
            <w:tabs>
              <w:tab w:val="left" w:pos="1690"/>
              <w:tab w:val="right" w:leader="dot" w:pos="9190"/>
            </w:tabs>
            <w:spacing w:before="79"/>
            <w:ind w:left="1690" w:hanging="545"/>
          </w:pPr>
          <w:hyperlink w:anchor="h.gz8lgbh8qnjw" w:history="1">
            <w:r>
              <w:t>Experiencia</w:t>
            </w:r>
            <w:r>
              <w:rPr>
                <w:spacing w:val="-6"/>
              </w:rPr>
              <w:t xml:space="preserve"> </w:t>
            </w:r>
            <w:r>
              <w:t>previa</w:t>
            </w:r>
            <w:r>
              <w:rPr>
                <w:spacing w:val="-6"/>
              </w:rPr>
              <w:t xml:space="preserve"> </w:t>
            </w:r>
            <w:r>
              <w:t>con</w:t>
            </w:r>
            <w:r>
              <w:rPr>
                <w:spacing w:val="-6"/>
              </w:rPr>
              <w:t xml:space="preserve"> </w:t>
            </w:r>
            <w:r>
              <w:t>miel</w:t>
            </w:r>
            <w:r>
              <w:rPr>
                <w:spacing w:val="-6"/>
              </w:rPr>
              <w:t xml:space="preserve"> </w:t>
            </w:r>
            <w:r>
              <w:rPr>
                <w:spacing w:val="-2"/>
              </w:rPr>
              <w:t>melipona</w:t>
            </w:r>
            <w:r>
              <w:rPr>
                <w:rFonts w:ascii="Times New Roman"/>
              </w:rPr>
              <w:tab/>
            </w:r>
            <w:r>
              <w:rPr>
                <w:spacing w:val="-5"/>
              </w:rPr>
              <w:t>74</w:t>
            </w:r>
          </w:hyperlink>
        </w:p>
        <w:p w:rsidR="009B4BB4" w:rsidRDefault="00C44001" w:rsidP="00C44001">
          <w:pPr>
            <w:pStyle w:val="TDC4"/>
            <w:numPr>
              <w:ilvl w:val="2"/>
              <w:numId w:val="77"/>
            </w:numPr>
            <w:tabs>
              <w:tab w:val="left" w:pos="1690"/>
              <w:tab w:val="right" w:leader="dot" w:pos="9190"/>
            </w:tabs>
            <w:ind w:left="1690" w:hanging="545"/>
          </w:pPr>
          <w:hyperlink w:anchor="h.lxqxu8mzszqa" w:history="1">
            <w:r>
              <w:t>Conocimiento</w:t>
            </w:r>
            <w:r>
              <w:rPr>
                <w:spacing w:val="-9"/>
              </w:rPr>
              <w:t xml:space="preserve"> </w:t>
            </w:r>
            <w:r>
              <w:t>sobre</w:t>
            </w:r>
            <w:r>
              <w:rPr>
                <w:spacing w:val="-7"/>
              </w:rPr>
              <w:t xml:space="preserve"> </w:t>
            </w:r>
            <w:r>
              <w:t>origen</w:t>
            </w:r>
            <w:r>
              <w:rPr>
                <w:spacing w:val="-7"/>
              </w:rPr>
              <w:t xml:space="preserve"> </w:t>
            </w:r>
            <w:r>
              <w:t>y</w:t>
            </w:r>
            <w:r>
              <w:rPr>
                <w:spacing w:val="-7"/>
              </w:rPr>
              <w:t xml:space="preserve"> </w:t>
            </w:r>
            <w:r>
              <w:t>propiedades</w:t>
            </w:r>
            <w:r>
              <w:rPr>
                <w:spacing w:val="-7"/>
              </w:rPr>
              <w:t xml:space="preserve"> </w:t>
            </w:r>
            <w:r>
              <w:rPr>
                <w:spacing w:val="-2"/>
              </w:rPr>
              <w:t>medicinales</w:t>
            </w:r>
            <w:r>
              <w:rPr>
                <w:rFonts w:ascii="Times New Roman"/>
              </w:rPr>
              <w:tab/>
            </w:r>
            <w:r>
              <w:rPr>
                <w:spacing w:val="-5"/>
              </w:rPr>
              <w:t>76</w:t>
            </w:r>
          </w:hyperlink>
        </w:p>
        <w:p w:rsidR="009B4BB4" w:rsidRDefault="00C44001" w:rsidP="00C44001">
          <w:pPr>
            <w:pStyle w:val="TDC3"/>
            <w:numPr>
              <w:ilvl w:val="1"/>
              <w:numId w:val="77"/>
            </w:numPr>
            <w:tabs>
              <w:tab w:val="left" w:pos="1148"/>
              <w:tab w:val="right" w:leader="dot" w:pos="9190"/>
            </w:tabs>
            <w:ind w:left="1148" w:hanging="363"/>
          </w:pPr>
          <w:hyperlink w:anchor="h.x7y4kegqs81i" w:history="1">
            <w:r>
              <w:t>Percepción</w:t>
            </w:r>
            <w:r>
              <w:rPr>
                <w:spacing w:val="-6"/>
              </w:rPr>
              <w:t xml:space="preserve"> </w:t>
            </w:r>
            <w:r>
              <w:t>del</w:t>
            </w:r>
            <w:r>
              <w:rPr>
                <w:spacing w:val="-6"/>
              </w:rPr>
              <w:t xml:space="preserve"> </w:t>
            </w:r>
            <w:r>
              <w:t>producto</w:t>
            </w:r>
            <w:r>
              <w:rPr>
                <w:spacing w:val="-6"/>
              </w:rPr>
              <w:t xml:space="preserve"> </w:t>
            </w:r>
            <w:r>
              <w:t>y</w:t>
            </w:r>
            <w:r>
              <w:rPr>
                <w:spacing w:val="-6"/>
              </w:rPr>
              <w:t xml:space="preserve"> </w:t>
            </w:r>
            <w:r>
              <w:t>motivadores</w:t>
            </w:r>
            <w:r>
              <w:rPr>
                <w:spacing w:val="-6"/>
              </w:rPr>
              <w:t xml:space="preserve"> </w:t>
            </w:r>
            <w:r>
              <w:t>de</w:t>
            </w:r>
            <w:r>
              <w:rPr>
                <w:spacing w:val="-5"/>
              </w:rPr>
              <w:t xml:space="preserve"> </w:t>
            </w:r>
            <w:r>
              <w:rPr>
                <w:spacing w:val="-2"/>
              </w:rPr>
              <w:t>compra</w:t>
            </w:r>
            <w:r>
              <w:rPr>
                <w:rFonts w:ascii="Times New Roman" w:hAnsi="Times New Roman"/>
              </w:rPr>
              <w:tab/>
            </w:r>
            <w:r>
              <w:rPr>
                <w:spacing w:val="-5"/>
              </w:rPr>
              <w:t>79</w:t>
            </w:r>
          </w:hyperlink>
        </w:p>
        <w:p w:rsidR="009B4BB4" w:rsidRDefault="00C44001" w:rsidP="00C44001">
          <w:pPr>
            <w:pStyle w:val="TDC4"/>
            <w:numPr>
              <w:ilvl w:val="2"/>
              <w:numId w:val="77"/>
            </w:numPr>
            <w:tabs>
              <w:tab w:val="left" w:pos="1690"/>
              <w:tab w:val="right" w:leader="dot" w:pos="9190"/>
            </w:tabs>
            <w:ind w:left="1690" w:hanging="545"/>
          </w:pPr>
          <w:hyperlink w:anchor="h.ouyrdagkljus" w:history="1">
            <w:r>
              <w:t>Identificación</w:t>
            </w:r>
            <w:r>
              <w:rPr>
                <w:spacing w:val="-9"/>
              </w:rPr>
              <w:t xml:space="preserve"> </w:t>
            </w:r>
            <w:r>
              <w:t>de</w:t>
            </w:r>
            <w:r>
              <w:rPr>
                <w:spacing w:val="-7"/>
              </w:rPr>
              <w:t xml:space="preserve"> </w:t>
            </w:r>
            <w:r>
              <w:t>arquetipos</w:t>
            </w:r>
            <w:r>
              <w:rPr>
                <w:spacing w:val="-7"/>
              </w:rPr>
              <w:t xml:space="preserve"> </w:t>
            </w:r>
            <w:r>
              <w:t>de</w:t>
            </w:r>
            <w:r>
              <w:rPr>
                <w:spacing w:val="-7"/>
              </w:rPr>
              <w:t xml:space="preserve"> </w:t>
            </w:r>
            <w:r>
              <w:rPr>
                <w:spacing w:val="-2"/>
              </w:rPr>
              <w:t>consumo</w:t>
            </w:r>
            <w:r>
              <w:rPr>
                <w:rFonts w:ascii="Times New Roman" w:hAnsi="Times New Roman"/>
              </w:rPr>
              <w:tab/>
            </w:r>
            <w:r>
              <w:rPr>
                <w:spacing w:val="-5"/>
              </w:rPr>
              <w:t>79</w:t>
            </w:r>
          </w:hyperlink>
        </w:p>
        <w:p w:rsidR="009B4BB4" w:rsidRDefault="00C44001" w:rsidP="00C44001">
          <w:pPr>
            <w:pStyle w:val="TDC3"/>
            <w:numPr>
              <w:ilvl w:val="1"/>
              <w:numId w:val="77"/>
            </w:numPr>
            <w:tabs>
              <w:tab w:val="left" w:pos="1148"/>
              <w:tab w:val="right" w:leader="dot" w:pos="9190"/>
            </w:tabs>
            <w:ind w:left="1148" w:hanging="363"/>
          </w:pPr>
          <w:hyperlink w:anchor="h.xfqluggdtbz4" w:history="1">
            <w:r>
              <w:t>Propuesta</w:t>
            </w:r>
            <w:r>
              <w:rPr>
                <w:spacing w:val="-6"/>
              </w:rPr>
              <w:t xml:space="preserve"> </w:t>
            </w:r>
            <w:r>
              <w:t>de</w:t>
            </w:r>
            <w:r>
              <w:rPr>
                <w:spacing w:val="-6"/>
              </w:rPr>
              <w:t xml:space="preserve"> </w:t>
            </w:r>
            <w:r>
              <w:t>producto</w:t>
            </w:r>
            <w:r>
              <w:rPr>
                <w:spacing w:val="-5"/>
              </w:rPr>
              <w:t xml:space="preserve"> </w:t>
            </w:r>
            <w:r>
              <w:t>y</w:t>
            </w:r>
            <w:r>
              <w:rPr>
                <w:spacing w:val="-6"/>
              </w:rPr>
              <w:t xml:space="preserve"> </w:t>
            </w:r>
            <w:r>
              <w:t>preferencias</w:t>
            </w:r>
            <w:r>
              <w:rPr>
                <w:spacing w:val="-6"/>
              </w:rPr>
              <w:t xml:space="preserve"> </w:t>
            </w:r>
            <w:r>
              <w:t>de</w:t>
            </w:r>
            <w:r>
              <w:rPr>
                <w:spacing w:val="-5"/>
              </w:rPr>
              <w:t xml:space="preserve"> </w:t>
            </w:r>
            <w:r>
              <w:rPr>
                <w:spacing w:val="-2"/>
              </w:rPr>
              <w:t>concepto</w:t>
            </w:r>
            <w:r>
              <w:rPr>
                <w:rFonts w:ascii="Times New Roman"/>
              </w:rPr>
              <w:tab/>
            </w:r>
            <w:r>
              <w:rPr>
                <w:spacing w:val="-5"/>
              </w:rPr>
              <w:t>81</w:t>
            </w:r>
          </w:hyperlink>
        </w:p>
        <w:p w:rsidR="009B4BB4" w:rsidRDefault="00C44001" w:rsidP="00C44001">
          <w:pPr>
            <w:pStyle w:val="TDC4"/>
            <w:numPr>
              <w:ilvl w:val="2"/>
              <w:numId w:val="77"/>
            </w:numPr>
            <w:tabs>
              <w:tab w:val="left" w:pos="1690"/>
              <w:tab w:val="right" w:leader="dot" w:pos="9190"/>
            </w:tabs>
            <w:ind w:left="1690" w:hanging="545"/>
          </w:pPr>
          <w:hyperlink w:anchor="h.84ryf67z2s01" w:history="1">
            <w:r>
              <w:t>Preferencias</w:t>
            </w:r>
            <w:r>
              <w:rPr>
                <w:spacing w:val="-6"/>
              </w:rPr>
              <w:t xml:space="preserve"> </w:t>
            </w:r>
            <w:r>
              <w:t>de</w:t>
            </w:r>
            <w:r>
              <w:rPr>
                <w:spacing w:val="-5"/>
              </w:rPr>
              <w:t xml:space="preserve"> </w:t>
            </w:r>
            <w:r>
              <w:t>formato</w:t>
            </w:r>
            <w:r>
              <w:rPr>
                <w:spacing w:val="-6"/>
              </w:rPr>
              <w:t xml:space="preserve"> </w:t>
            </w:r>
            <w:r>
              <w:t>y</w:t>
            </w:r>
            <w:r>
              <w:rPr>
                <w:spacing w:val="-5"/>
              </w:rPr>
              <w:t xml:space="preserve"> </w:t>
            </w:r>
            <w:r>
              <w:rPr>
                <w:spacing w:val="-2"/>
              </w:rPr>
              <w:t>presentación</w:t>
            </w:r>
            <w:r>
              <w:rPr>
                <w:rFonts w:ascii="Times New Roman" w:hAnsi="Times New Roman"/>
              </w:rPr>
              <w:tab/>
            </w:r>
            <w:r>
              <w:rPr>
                <w:spacing w:val="-5"/>
              </w:rPr>
              <w:t>83</w:t>
            </w:r>
          </w:hyperlink>
        </w:p>
        <w:p w:rsidR="009B4BB4" w:rsidRDefault="00C44001" w:rsidP="00C44001">
          <w:pPr>
            <w:pStyle w:val="TDC3"/>
            <w:numPr>
              <w:ilvl w:val="1"/>
              <w:numId w:val="77"/>
            </w:numPr>
            <w:tabs>
              <w:tab w:val="left" w:pos="1148"/>
              <w:tab w:val="right" w:leader="dot" w:pos="9190"/>
            </w:tabs>
            <w:ind w:left="1148" w:hanging="363"/>
          </w:pPr>
          <w:hyperlink w:anchor="h.l2bklolicxln" w:history="1">
            <w:r>
              <w:t>Análisis</w:t>
            </w:r>
            <w:r>
              <w:rPr>
                <w:spacing w:val="-6"/>
              </w:rPr>
              <w:t xml:space="preserve"> </w:t>
            </w:r>
            <w:r>
              <w:t>de</w:t>
            </w:r>
            <w:r>
              <w:rPr>
                <w:spacing w:val="-5"/>
              </w:rPr>
              <w:t xml:space="preserve"> </w:t>
            </w:r>
            <w:r>
              <w:t>conversión</w:t>
            </w:r>
            <w:r>
              <w:rPr>
                <w:spacing w:val="-6"/>
              </w:rPr>
              <w:t xml:space="preserve"> </w:t>
            </w:r>
            <w:r>
              <w:t>y</w:t>
            </w:r>
            <w:r>
              <w:rPr>
                <w:spacing w:val="-5"/>
              </w:rPr>
              <w:t xml:space="preserve"> </w:t>
            </w:r>
            <w:r>
              <w:t>disposición</w:t>
            </w:r>
            <w:r>
              <w:rPr>
                <w:spacing w:val="-6"/>
              </w:rPr>
              <w:t xml:space="preserve"> </w:t>
            </w:r>
            <w:r>
              <w:t>a</w:t>
            </w:r>
            <w:r>
              <w:rPr>
                <w:spacing w:val="-5"/>
              </w:rPr>
              <w:t xml:space="preserve"> </w:t>
            </w:r>
            <w:r>
              <w:rPr>
                <w:spacing w:val="-2"/>
              </w:rPr>
              <w:t>pagar</w:t>
            </w:r>
            <w:r>
              <w:rPr>
                <w:rFonts w:ascii="Times New Roman" w:hAnsi="Times New Roman"/>
              </w:rPr>
              <w:tab/>
            </w:r>
            <w:r>
              <w:rPr>
                <w:spacing w:val="-5"/>
              </w:rPr>
              <w:t>85</w:t>
            </w:r>
          </w:hyperlink>
        </w:p>
        <w:p w:rsidR="009B4BB4" w:rsidRDefault="00C44001" w:rsidP="00C44001">
          <w:pPr>
            <w:pStyle w:val="TDC4"/>
            <w:numPr>
              <w:ilvl w:val="2"/>
              <w:numId w:val="77"/>
            </w:numPr>
            <w:tabs>
              <w:tab w:val="left" w:pos="1690"/>
              <w:tab w:val="right" w:leader="dot" w:pos="9190"/>
            </w:tabs>
            <w:ind w:left="1690" w:hanging="545"/>
          </w:pPr>
          <w:hyperlink w:anchor="h.jsuza0ud3qr2" w:history="1">
            <w:r>
              <w:t>Probabilidad</w:t>
            </w:r>
            <w:r>
              <w:rPr>
                <w:spacing w:val="-6"/>
              </w:rPr>
              <w:t xml:space="preserve"> </w:t>
            </w:r>
            <w:r>
              <w:t>de</w:t>
            </w:r>
            <w:r>
              <w:rPr>
                <w:spacing w:val="-5"/>
              </w:rPr>
              <w:t xml:space="preserve"> </w:t>
            </w:r>
            <w:r>
              <w:t>compra</w:t>
            </w:r>
            <w:r>
              <w:rPr>
                <w:spacing w:val="-5"/>
              </w:rPr>
              <w:t xml:space="preserve"> </w:t>
            </w:r>
            <w:r>
              <w:t>e</w:t>
            </w:r>
            <w:r>
              <w:rPr>
                <w:spacing w:val="-6"/>
              </w:rPr>
              <w:t xml:space="preserve"> </w:t>
            </w:r>
            <w:r>
              <w:t>intención</w:t>
            </w:r>
            <w:r>
              <w:rPr>
                <w:spacing w:val="-5"/>
              </w:rPr>
              <w:t xml:space="preserve"> </w:t>
            </w:r>
            <w:r>
              <w:t>de</w:t>
            </w:r>
            <w:r>
              <w:rPr>
                <w:spacing w:val="-5"/>
              </w:rPr>
              <w:t xml:space="preserve"> </w:t>
            </w:r>
            <w:r>
              <w:rPr>
                <w:spacing w:val="-2"/>
              </w:rPr>
              <w:t>conversión</w:t>
            </w:r>
            <w:r>
              <w:rPr>
                <w:rFonts w:ascii="Times New Roman" w:hAnsi="Times New Roman"/>
              </w:rPr>
              <w:tab/>
            </w:r>
            <w:r>
              <w:rPr>
                <w:spacing w:val="-5"/>
              </w:rPr>
              <w:t>85</w:t>
            </w:r>
          </w:hyperlink>
        </w:p>
        <w:p w:rsidR="009B4BB4" w:rsidRDefault="00C44001" w:rsidP="00C44001">
          <w:pPr>
            <w:pStyle w:val="TDC4"/>
            <w:numPr>
              <w:ilvl w:val="2"/>
              <w:numId w:val="77"/>
            </w:numPr>
            <w:tabs>
              <w:tab w:val="left" w:pos="1690"/>
              <w:tab w:val="right" w:leader="dot" w:pos="9190"/>
            </w:tabs>
            <w:ind w:left="1690" w:hanging="545"/>
          </w:pPr>
          <w:hyperlink w:anchor="h.7r56h1591det" w:history="1">
            <w:r>
              <w:t>Disposición</w:t>
            </w:r>
            <w:r>
              <w:rPr>
                <w:spacing w:val="-5"/>
              </w:rPr>
              <w:t xml:space="preserve"> </w:t>
            </w:r>
            <w:r>
              <w:t>a</w:t>
            </w:r>
            <w:r>
              <w:rPr>
                <w:spacing w:val="-5"/>
              </w:rPr>
              <w:t xml:space="preserve"> </w:t>
            </w:r>
            <w:r>
              <w:t>pagar</w:t>
            </w:r>
            <w:r>
              <w:rPr>
                <w:spacing w:val="-4"/>
              </w:rPr>
              <w:t xml:space="preserve"> </w:t>
            </w:r>
            <w:r>
              <w:t>y</w:t>
            </w:r>
            <w:r>
              <w:rPr>
                <w:spacing w:val="-5"/>
              </w:rPr>
              <w:t xml:space="preserve"> </w:t>
            </w:r>
            <w:r>
              <w:t>valor</w:t>
            </w:r>
            <w:r>
              <w:rPr>
                <w:spacing w:val="-4"/>
              </w:rPr>
              <w:t xml:space="preserve"> </w:t>
            </w:r>
            <w:r>
              <w:rPr>
                <w:spacing w:val="-2"/>
              </w:rPr>
              <w:t>percibido</w:t>
            </w:r>
            <w:r>
              <w:rPr>
                <w:rFonts w:ascii="Times New Roman" w:hAnsi="Times New Roman"/>
              </w:rPr>
              <w:tab/>
            </w:r>
            <w:r>
              <w:rPr>
                <w:spacing w:val="-5"/>
              </w:rPr>
              <w:t>87</w:t>
            </w:r>
          </w:hyperlink>
        </w:p>
        <w:p w:rsidR="009B4BB4" w:rsidRDefault="00C44001" w:rsidP="00C44001">
          <w:pPr>
            <w:pStyle w:val="TDC3"/>
            <w:numPr>
              <w:ilvl w:val="1"/>
              <w:numId w:val="77"/>
            </w:numPr>
            <w:tabs>
              <w:tab w:val="left" w:pos="1148"/>
              <w:tab w:val="right" w:leader="dot" w:pos="9190"/>
            </w:tabs>
            <w:ind w:left="1148" w:hanging="363"/>
          </w:pPr>
          <w:hyperlink w:anchor="h.vp1cg5sn7mz0" w:history="1">
            <w:r>
              <w:t>Estrategia</w:t>
            </w:r>
            <w:r>
              <w:rPr>
                <w:spacing w:val="-5"/>
              </w:rPr>
              <w:t xml:space="preserve"> </w:t>
            </w:r>
            <w:r>
              <w:t>de</w:t>
            </w:r>
            <w:r>
              <w:rPr>
                <w:spacing w:val="-5"/>
              </w:rPr>
              <w:t xml:space="preserve"> </w:t>
            </w:r>
            <w:r>
              <w:t>canales</w:t>
            </w:r>
            <w:r>
              <w:rPr>
                <w:spacing w:val="-5"/>
              </w:rPr>
              <w:t xml:space="preserve"> </w:t>
            </w:r>
            <w:r>
              <w:t>y</w:t>
            </w:r>
            <w:r>
              <w:rPr>
                <w:spacing w:val="-5"/>
              </w:rPr>
              <w:t xml:space="preserve"> </w:t>
            </w:r>
            <w:r>
              <w:rPr>
                <w:spacing w:val="-2"/>
              </w:rPr>
              <w:t>comunicación</w:t>
            </w:r>
            <w:r>
              <w:rPr>
                <w:rFonts w:ascii="Times New Roman" w:hAnsi="Times New Roman"/>
              </w:rPr>
              <w:tab/>
            </w:r>
            <w:r>
              <w:rPr>
                <w:spacing w:val="-5"/>
              </w:rPr>
              <w:t>90</w:t>
            </w:r>
          </w:hyperlink>
        </w:p>
        <w:p w:rsidR="009B4BB4" w:rsidRDefault="00C44001" w:rsidP="00C44001">
          <w:pPr>
            <w:pStyle w:val="TDC4"/>
            <w:numPr>
              <w:ilvl w:val="2"/>
              <w:numId w:val="77"/>
            </w:numPr>
            <w:tabs>
              <w:tab w:val="left" w:pos="1690"/>
              <w:tab w:val="right" w:leader="dot" w:pos="9190"/>
            </w:tabs>
            <w:ind w:left="1690" w:hanging="545"/>
          </w:pPr>
          <w:hyperlink w:anchor="h.me6ewjwqcgjj" w:history="1">
            <w:r>
              <w:t>Canales</w:t>
            </w:r>
            <w:r>
              <w:rPr>
                <w:spacing w:val="-7"/>
              </w:rPr>
              <w:t xml:space="preserve"> </w:t>
            </w:r>
            <w:r>
              <w:t>de</w:t>
            </w:r>
            <w:r>
              <w:rPr>
                <w:spacing w:val="-5"/>
              </w:rPr>
              <w:t xml:space="preserve"> </w:t>
            </w:r>
            <w:r>
              <w:t>compra</w:t>
            </w:r>
            <w:r>
              <w:rPr>
                <w:spacing w:val="-5"/>
              </w:rPr>
              <w:t xml:space="preserve"> </w:t>
            </w:r>
            <w:r>
              <w:t>y</w:t>
            </w:r>
            <w:r>
              <w:rPr>
                <w:spacing w:val="-5"/>
              </w:rPr>
              <w:t xml:space="preserve"> </w:t>
            </w:r>
            <w:r>
              <w:t>preferencia</w:t>
            </w:r>
            <w:r>
              <w:rPr>
                <w:spacing w:val="-5"/>
              </w:rPr>
              <w:t xml:space="preserve"> </w:t>
            </w:r>
            <w:r>
              <w:t>de</w:t>
            </w:r>
            <w:r>
              <w:rPr>
                <w:spacing w:val="-4"/>
              </w:rPr>
              <w:t xml:space="preserve"> </w:t>
            </w:r>
            <w:r>
              <w:rPr>
                <w:spacing w:val="-2"/>
              </w:rPr>
              <w:t>distribución</w:t>
            </w:r>
            <w:r>
              <w:rPr>
                <w:rFonts w:ascii="Times New Roman" w:hAnsi="Times New Roman"/>
              </w:rPr>
              <w:tab/>
            </w:r>
            <w:r>
              <w:rPr>
                <w:spacing w:val="-5"/>
              </w:rPr>
              <w:t>90</w:t>
            </w:r>
          </w:hyperlink>
        </w:p>
        <w:p w:rsidR="009B4BB4" w:rsidRDefault="00C44001" w:rsidP="00C44001">
          <w:pPr>
            <w:pStyle w:val="TDC4"/>
            <w:numPr>
              <w:ilvl w:val="2"/>
              <w:numId w:val="77"/>
            </w:numPr>
            <w:tabs>
              <w:tab w:val="left" w:pos="1690"/>
              <w:tab w:val="right" w:leader="dot" w:pos="9190"/>
            </w:tabs>
            <w:ind w:left="1690" w:hanging="545"/>
          </w:pPr>
          <w:hyperlink w:anchor="h.x73wac2w9qj3" w:history="1">
            <w:r>
              <w:t>Atributos</w:t>
            </w:r>
            <w:r>
              <w:rPr>
                <w:spacing w:val="-4"/>
              </w:rPr>
              <w:t xml:space="preserve"> </w:t>
            </w:r>
            <w:r>
              <w:t>de</w:t>
            </w:r>
            <w:r>
              <w:rPr>
                <w:spacing w:val="-4"/>
              </w:rPr>
              <w:t xml:space="preserve"> </w:t>
            </w:r>
            <w:r>
              <w:t>valor</w:t>
            </w:r>
            <w:r>
              <w:rPr>
                <w:spacing w:val="-4"/>
              </w:rPr>
              <w:t xml:space="preserve"> </w:t>
            </w:r>
            <w:r>
              <w:t>y</w:t>
            </w:r>
            <w:r>
              <w:rPr>
                <w:spacing w:val="-4"/>
              </w:rPr>
              <w:t xml:space="preserve"> </w:t>
            </w:r>
            <w:r>
              <w:t>ejes</w:t>
            </w:r>
            <w:r>
              <w:rPr>
                <w:spacing w:val="-4"/>
              </w:rPr>
              <w:t xml:space="preserve"> </w:t>
            </w:r>
            <w:r>
              <w:t>de</w:t>
            </w:r>
            <w:r>
              <w:rPr>
                <w:spacing w:val="-3"/>
              </w:rPr>
              <w:t xml:space="preserve"> </w:t>
            </w:r>
            <w:r>
              <w:rPr>
                <w:spacing w:val="-2"/>
              </w:rPr>
              <w:t>comunicación</w:t>
            </w:r>
            <w:r>
              <w:rPr>
                <w:rFonts w:ascii="Times New Roman" w:hAnsi="Times New Roman"/>
              </w:rPr>
              <w:tab/>
            </w:r>
            <w:r>
              <w:rPr>
                <w:spacing w:val="-5"/>
              </w:rPr>
              <w:t>92</w:t>
            </w:r>
          </w:hyperlink>
        </w:p>
        <w:p w:rsidR="009B4BB4" w:rsidRDefault="00C44001" w:rsidP="00C44001">
          <w:pPr>
            <w:pStyle w:val="TDC3"/>
            <w:numPr>
              <w:ilvl w:val="1"/>
              <w:numId w:val="77"/>
            </w:numPr>
            <w:tabs>
              <w:tab w:val="left" w:pos="1148"/>
              <w:tab w:val="right" w:leader="dot" w:pos="9190"/>
            </w:tabs>
            <w:ind w:left="1148" w:hanging="363"/>
          </w:pPr>
          <w:hyperlink w:anchor="h.g9tpa5n5zb0w" w:history="1">
            <w:r>
              <w:t>Barreras</w:t>
            </w:r>
            <w:r>
              <w:rPr>
                <w:spacing w:val="-5"/>
              </w:rPr>
              <w:t xml:space="preserve"> </w:t>
            </w:r>
            <w:r>
              <w:t>de</w:t>
            </w:r>
            <w:r>
              <w:rPr>
                <w:spacing w:val="-5"/>
              </w:rPr>
              <w:t xml:space="preserve"> </w:t>
            </w:r>
            <w:r>
              <w:t>consumo</w:t>
            </w:r>
            <w:r>
              <w:rPr>
                <w:spacing w:val="-5"/>
              </w:rPr>
              <w:t xml:space="preserve"> </w:t>
            </w:r>
            <w:r>
              <w:t>y</w:t>
            </w:r>
            <w:r>
              <w:rPr>
                <w:spacing w:val="-5"/>
              </w:rPr>
              <w:t xml:space="preserve"> </w:t>
            </w:r>
            <w:r>
              <w:t>fricciones</w:t>
            </w:r>
            <w:r>
              <w:rPr>
                <w:spacing w:val="-5"/>
              </w:rPr>
              <w:t xml:space="preserve"> </w:t>
            </w:r>
            <w:r>
              <w:t>de</w:t>
            </w:r>
            <w:r>
              <w:rPr>
                <w:spacing w:val="-5"/>
              </w:rPr>
              <w:t xml:space="preserve"> </w:t>
            </w:r>
            <w:r>
              <w:rPr>
                <w:spacing w:val="-2"/>
              </w:rPr>
              <w:t>compra</w:t>
            </w:r>
            <w:r>
              <w:rPr>
                <w:rFonts w:ascii="Times New Roman"/>
              </w:rPr>
              <w:tab/>
            </w:r>
            <w:r>
              <w:rPr>
                <w:spacing w:val="-5"/>
              </w:rPr>
              <w:t>94</w:t>
            </w:r>
          </w:hyperlink>
        </w:p>
        <w:p w:rsidR="009B4BB4" w:rsidRDefault="00C44001" w:rsidP="00C44001">
          <w:pPr>
            <w:pStyle w:val="TDC3"/>
            <w:numPr>
              <w:ilvl w:val="1"/>
              <w:numId w:val="77"/>
            </w:numPr>
            <w:tabs>
              <w:tab w:val="left" w:pos="1148"/>
              <w:tab w:val="right" w:leader="dot" w:pos="9190"/>
            </w:tabs>
            <w:ind w:left="1148" w:hanging="363"/>
          </w:pPr>
          <w:hyperlink w:anchor="h.qg9bt2kgbtq" w:history="1">
            <w:r>
              <w:t>Fase</w:t>
            </w:r>
            <w:r>
              <w:rPr>
                <w:spacing w:val="-7"/>
              </w:rPr>
              <w:t xml:space="preserve"> </w:t>
            </w:r>
            <w:r>
              <w:t>cualitativa:</w:t>
            </w:r>
            <w:r>
              <w:rPr>
                <w:spacing w:val="-6"/>
              </w:rPr>
              <w:t xml:space="preserve"> </w:t>
            </w:r>
            <w:r>
              <w:t>Resultados</w:t>
            </w:r>
            <w:r>
              <w:rPr>
                <w:spacing w:val="-6"/>
              </w:rPr>
              <w:t xml:space="preserve"> </w:t>
            </w:r>
            <w:r>
              <w:t>de</w:t>
            </w:r>
            <w:r>
              <w:rPr>
                <w:spacing w:val="-6"/>
              </w:rPr>
              <w:t xml:space="preserve"> </w:t>
            </w:r>
            <w:r>
              <w:t>las</w:t>
            </w:r>
            <w:r>
              <w:rPr>
                <w:spacing w:val="-6"/>
              </w:rPr>
              <w:t xml:space="preserve"> </w:t>
            </w:r>
            <w:r>
              <w:t>entrevistas</w:t>
            </w:r>
            <w:r>
              <w:rPr>
                <w:spacing w:val="-6"/>
              </w:rPr>
              <w:t xml:space="preserve"> </w:t>
            </w:r>
            <w:r>
              <w:t>a</w:t>
            </w:r>
            <w:r>
              <w:rPr>
                <w:spacing w:val="-6"/>
              </w:rPr>
              <w:t xml:space="preserve"> </w:t>
            </w:r>
            <w:r>
              <w:rPr>
                <w:spacing w:val="-2"/>
              </w:rPr>
              <w:t>profundidad</w:t>
            </w:r>
            <w:r>
              <w:rPr>
                <w:rFonts w:ascii="Times New Roman"/>
              </w:rPr>
              <w:tab/>
            </w:r>
            <w:r>
              <w:rPr>
                <w:spacing w:val="-5"/>
              </w:rPr>
              <w:t>96</w:t>
            </w:r>
          </w:hyperlink>
        </w:p>
        <w:p w:rsidR="009B4BB4" w:rsidRDefault="00C44001" w:rsidP="00C44001">
          <w:pPr>
            <w:pStyle w:val="TDC4"/>
            <w:numPr>
              <w:ilvl w:val="2"/>
              <w:numId w:val="77"/>
            </w:numPr>
            <w:tabs>
              <w:tab w:val="left" w:pos="1690"/>
              <w:tab w:val="right" w:leader="dot" w:pos="9190"/>
            </w:tabs>
            <w:ind w:left="1690" w:hanging="545"/>
          </w:pPr>
          <w:hyperlink w:anchor="h.ik4jmjpf1ucj" w:history="1">
            <w:r>
              <w:t>Perfil</w:t>
            </w:r>
            <w:r>
              <w:rPr>
                <w:spacing w:val="-6"/>
              </w:rPr>
              <w:t xml:space="preserve"> </w:t>
            </w:r>
            <w:r>
              <w:t>de</w:t>
            </w:r>
            <w:r>
              <w:rPr>
                <w:spacing w:val="-6"/>
              </w:rPr>
              <w:t xml:space="preserve"> </w:t>
            </w:r>
            <w:r>
              <w:t>los</w:t>
            </w:r>
            <w:r>
              <w:rPr>
                <w:spacing w:val="-6"/>
              </w:rPr>
              <w:t xml:space="preserve"> </w:t>
            </w:r>
            <w:r>
              <w:t>entrevistados</w:t>
            </w:r>
            <w:r>
              <w:rPr>
                <w:spacing w:val="-6"/>
              </w:rPr>
              <w:t xml:space="preserve"> </w:t>
            </w:r>
            <w:r>
              <w:rPr>
                <w:spacing w:val="-2"/>
              </w:rPr>
              <w:t>clave</w:t>
            </w:r>
            <w:r>
              <w:rPr>
                <w:rFonts w:ascii="Times New Roman"/>
              </w:rPr>
              <w:tab/>
            </w:r>
            <w:r>
              <w:rPr>
                <w:spacing w:val="-5"/>
              </w:rPr>
              <w:t>96</w:t>
            </w:r>
          </w:hyperlink>
        </w:p>
        <w:p w:rsidR="009B4BB4" w:rsidRDefault="00C44001" w:rsidP="00C44001">
          <w:pPr>
            <w:pStyle w:val="TDC4"/>
            <w:numPr>
              <w:ilvl w:val="2"/>
              <w:numId w:val="77"/>
            </w:numPr>
            <w:tabs>
              <w:tab w:val="left" w:pos="1690"/>
              <w:tab w:val="right" w:leader="dot" w:pos="9190"/>
            </w:tabs>
            <w:ind w:left="1690" w:hanging="545"/>
          </w:pPr>
          <w:hyperlink w:anchor="h.9f9mgfhma82b" w:history="1">
            <w:r>
              <w:t>Principales</w:t>
            </w:r>
            <w:r>
              <w:rPr>
                <w:spacing w:val="-7"/>
              </w:rPr>
              <w:t xml:space="preserve"> </w:t>
            </w:r>
            <w:r>
              <w:t>hallazgos</w:t>
            </w:r>
            <w:r>
              <w:rPr>
                <w:spacing w:val="-6"/>
              </w:rPr>
              <w:t xml:space="preserve"> </w:t>
            </w:r>
            <w:r>
              <w:t>de</w:t>
            </w:r>
            <w:r>
              <w:rPr>
                <w:spacing w:val="-6"/>
              </w:rPr>
              <w:t xml:space="preserve"> </w:t>
            </w:r>
            <w:r>
              <w:t>las</w:t>
            </w:r>
            <w:r>
              <w:rPr>
                <w:spacing w:val="-6"/>
              </w:rPr>
              <w:t xml:space="preserve"> </w:t>
            </w:r>
            <w:r>
              <w:rPr>
                <w:spacing w:val="-2"/>
              </w:rPr>
              <w:t>entrevistas</w:t>
            </w:r>
            <w:r>
              <w:rPr>
                <w:rFonts w:ascii="Times New Roman"/>
              </w:rPr>
              <w:tab/>
            </w:r>
            <w:r>
              <w:rPr>
                <w:spacing w:val="-5"/>
              </w:rPr>
              <w:t>97</w:t>
            </w:r>
          </w:hyperlink>
        </w:p>
        <w:p w:rsidR="009B4BB4" w:rsidRDefault="00C44001" w:rsidP="00C44001">
          <w:pPr>
            <w:pStyle w:val="TDC3"/>
            <w:numPr>
              <w:ilvl w:val="1"/>
              <w:numId w:val="77"/>
            </w:numPr>
            <w:tabs>
              <w:tab w:val="left" w:pos="1270"/>
              <w:tab w:val="right" w:leader="dot" w:pos="9190"/>
            </w:tabs>
            <w:ind w:left="1270" w:hanging="485"/>
          </w:pPr>
          <w:hyperlink w:anchor="h.5kqg8i9dkmy" w:history="1">
            <w:r>
              <w:t>Síntesis</w:t>
            </w:r>
            <w:r>
              <w:rPr>
                <w:spacing w:val="-7"/>
              </w:rPr>
              <w:t xml:space="preserve"> </w:t>
            </w:r>
            <w:r>
              <w:t>estratégica</w:t>
            </w:r>
            <w:r>
              <w:rPr>
                <w:spacing w:val="-7"/>
              </w:rPr>
              <w:t xml:space="preserve"> </w:t>
            </w:r>
            <w:r>
              <w:t>y</w:t>
            </w:r>
            <w:r>
              <w:rPr>
                <w:spacing w:val="-6"/>
              </w:rPr>
              <w:t xml:space="preserve"> </w:t>
            </w:r>
            <w:r>
              <w:t>conclusión</w:t>
            </w:r>
            <w:r>
              <w:rPr>
                <w:spacing w:val="-7"/>
              </w:rPr>
              <w:t xml:space="preserve"> </w:t>
            </w:r>
            <w:r>
              <w:t>del</w:t>
            </w:r>
            <w:r>
              <w:rPr>
                <w:spacing w:val="-6"/>
              </w:rPr>
              <w:t xml:space="preserve"> </w:t>
            </w:r>
            <w:r>
              <w:rPr>
                <w:spacing w:val="-2"/>
              </w:rPr>
              <w:t>capítulo</w:t>
            </w:r>
            <w:r>
              <w:rPr>
                <w:rFonts w:ascii="Times New Roman" w:hAnsi="Times New Roman"/>
              </w:rPr>
              <w:tab/>
            </w:r>
            <w:r>
              <w:rPr>
                <w:spacing w:val="-5"/>
              </w:rPr>
              <w:t>98</w:t>
            </w:r>
          </w:hyperlink>
        </w:p>
        <w:p w:rsidR="009B4BB4" w:rsidRDefault="00C44001" w:rsidP="00C44001">
          <w:pPr>
            <w:pStyle w:val="TDC4"/>
            <w:numPr>
              <w:ilvl w:val="2"/>
              <w:numId w:val="77"/>
            </w:numPr>
            <w:tabs>
              <w:tab w:val="left" w:pos="1811"/>
              <w:tab w:val="right" w:leader="dot" w:pos="9190"/>
            </w:tabs>
            <w:ind w:left="1811" w:hanging="666"/>
          </w:pPr>
          <w:hyperlink w:anchor="h.o23266n0mdzv" w:history="1">
            <w:r>
              <w:t>Factores</w:t>
            </w:r>
            <w:r>
              <w:rPr>
                <w:spacing w:val="-7"/>
              </w:rPr>
              <w:t xml:space="preserve"> </w:t>
            </w:r>
            <w:r>
              <w:t>de</w:t>
            </w:r>
            <w:r>
              <w:rPr>
                <w:spacing w:val="-4"/>
              </w:rPr>
              <w:t xml:space="preserve"> </w:t>
            </w:r>
            <w:r>
              <w:t>mayor</w:t>
            </w:r>
            <w:r>
              <w:rPr>
                <w:spacing w:val="-5"/>
              </w:rPr>
              <w:t xml:space="preserve"> </w:t>
            </w:r>
            <w:r>
              <w:t>impacto</w:t>
            </w:r>
            <w:r>
              <w:rPr>
                <w:spacing w:val="-4"/>
              </w:rPr>
              <w:t xml:space="preserve"> </w:t>
            </w:r>
            <w:r>
              <w:t>para</w:t>
            </w:r>
            <w:r>
              <w:rPr>
                <w:spacing w:val="-5"/>
              </w:rPr>
              <w:t xml:space="preserve"> </w:t>
            </w:r>
            <w:r>
              <w:t>el</w:t>
            </w:r>
            <w:r>
              <w:rPr>
                <w:spacing w:val="-4"/>
              </w:rPr>
              <w:t xml:space="preserve"> </w:t>
            </w:r>
            <w:r>
              <w:t>modelo</w:t>
            </w:r>
            <w:r>
              <w:rPr>
                <w:spacing w:val="-5"/>
              </w:rPr>
              <w:t xml:space="preserve"> </w:t>
            </w:r>
            <w:r>
              <w:t>de</w:t>
            </w:r>
            <w:r>
              <w:rPr>
                <w:spacing w:val="-4"/>
              </w:rPr>
              <w:t xml:space="preserve"> </w:t>
            </w:r>
            <w:r>
              <w:rPr>
                <w:spacing w:val="-2"/>
              </w:rPr>
              <w:t>negocio</w:t>
            </w:r>
            <w:r>
              <w:rPr>
                <w:rFonts w:ascii="Times New Roman"/>
              </w:rPr>
              <w:tab/>
            </w:r>
            <w:r>
              <w:rPr>
                <w:spacing w:val="-5"/>
              </w:rPr>
              <w:t>98</w:t>
            </w:r>
          </w:hyperlink>
        </w:p>
        <w:p w:rsidR="009B4BB4" w:rsidRDefault="00C44001" w:rsidP="00C44001">
          <w:pPr>
            <w:pStyle w:val="TDC4"/>
            <w:numPr>
              <w:ilvl w:val="2"/>
              <w:numId w:val="77"/>
            </w:numPr>
            <w:tabs>
              <w:tab w:val="left" w:pos="1811"/>
              <w:tab w:val="right" w:leader="dot" w:pos="9190"/>
            </w:tabs>
            <w:ind w:left="1811" w:hanging="666"/>
          </w:pPr>
          <w:hyperlink w:anchor="h.2ht0qob7cvi" w:history="1">
            <w:r>
              <w:t>Conclusión</w:t>
            </w:r>
            <w:r>
              <w:rPr>
                <w:spacing w:val="-7"/>
              </w:rPr>
              <w:t xml:space="preserve"> </w:t>
            </w:r>
            <w:r>
              <w:t>del</w:t>
            </w:r>
            <w:r>
              <w:rPr>
                <w:spacing w:val="-6"/>
              </w:rPr>
              <w:t xml:space="preserve"> </w:t>
            </w:r>
            <w:r>
              <w:rPr>
                <w:spacing w:val="-2"/>
              </w:rPr>
              <w:t>capítulo</w:t>
            </w:r>
            <w:r>
              <w:rPr>
                <w:rFonts w:ascii="Times New Roman" w:hAnsi="Times New Roman"/>
              </w:rPr>
              <w:tab/>
            </w:r>
            <w:r>
              <w:rPr>
                <w:spacing w:val="-5"/>
              </w:rPr>
              <w:t>100</w:t>
            </w:r>
          </w:hyperlink>
        </w:p>
        <w:p w:rsidR="009B4BB4" w:rsidRDefault="00C44001">
          <w:pPr>
            <w:pStyle w:val="TDC1"/>
          </w:pPr>
          <w:hyperlink w:anchor="h.cnxlemvrf75s" w:history="1">
            <w:r>
              <w:t>Capítulo</w:t>
            </w:r>
            <w:r>
              <w:rPr>
                <w:spacing w:val="-8"/>
              </w:rPr>
              <w:t xml:space="preserve"> </w:t>
            </w:r>
            <w:r>
              <w:rPr>
                <w:spacing w:val="-10"/>
              </w:rPr>
              <w:t>5</w:t>
            </w:r>
          </w:hyperlink>
        </w:p>
        <w:p w:rsidR="009B4BB4" w:rsidRDefault="00C44001">
          <w:pPr>
            <w:pStyle w:val="TDC1"/>
            <w:tabs>
              <w:tab w:val="right" w:leader="dot" w:pos="9190"/>
            </w:tabs>
            <w:spacing w:before="0"/>
          </w:pPr>
          <w:hyperlink w:anchor="h.cnxlemvrf75s" w:history="1">
            <w:r>
              <w:t>Plan</w:t>
            </w:r>
            <w:r>
              <w:rPr>
                <w:spacing w:val="-6"/>
              </w:rPr>
              <w:t xml:space="preserve"> </w:t>
            </w:r>
            <w:r>
              <w:t>de</w:t>
            </w:r>
            <w:r>
              <w:rPr>
                <w:spacing w:val="-5"/>
              </w:rPr>
              <w:t xml:space="preserve"> </w:t>
            </w:r>
            <w:r>
              <w:t>Marketing</w:t>
            </w:r>
            <w:r>
              <w:rPr>
                <w:spacing w:val="-5"/>
              </w:rPr>
              <w:t xml:space="preserve"> </w:t>
            </w:r>
            <w:r>
              <w:t>y</w:t>
            </w:r>
            <w:r>
              <w:rPr>
                <w:spacing w:val="-5"/>
              </w:rPr>
              <w:t xml:space="preserve"> </w:t>
            </w:r>
            <w:r>
              <w:t>Estrategia</w:t>
            </w:r>
            <w:r>
              <w:rPr>
                <w:spacing w:val="-5"/>
              </w:rPr>
              <w:t xml:space="preserve"> </w:t>
            </w:r>
            <w:r>
              <w:rPr>
                <w:spacing w:val="-2"/>
              </w:rPr>
              <w:t>Comercial</w:t>
            </w:r>
            <w:r>
              <w:rPr>
                <w:rFonts w:ascii="Times New Roman"/>
                <w:b w:val="0"/>
              </w:rPr>
              <w:tab/>
            </w:r>
            <w:r>
              <w:rPr>
                <w:spacing w:val="-5"/>
              </w:rPr>
              <w:t>101</w:t>
            </w:r>
          </w:hyperlink>
        </w:p>
        <w:p w:rsidR="009B4BB4" w:rsidRDefault="00C44001" w:rsidP="00C44001">
          <w:pPr>
            <w:pStyle w:val="TDC3"/>
            <w:numPr>
              <w:ilvl w:val="1"/>
              <w:numId w:val="76"/>
            </w:numPr>
            <w:tabs>
              <w:tab w:val="left" w:pos="1148"/>
              <w:tab w:val="right" w:leader="dot" w:pos="9190"/>
            </w:tabs>
            <w:ind w:left="1148" w:hanging="363"/>
            <w:jc w:val="left"/>
          </w:pPr>
          <w:hyperlink w:anchor="h.8q6hy8fhbh99" w:history="1">
            <w:r>
              <w:t>Introducción</w:t>
            </w:r>
            <w:r>
              <w:rPr>
                <w:spacing w:val="-7"/>
              </w:rPr>
              <w:t xml:space="preserve"> </w:t>
            </w:r>
            <w:r>
              <w:t>y</w:t>
            </w:r>
            <w:r>
              <w:rPr>
                <w:spacing w:val="-7"/>
              </w:rPr>
              <w:t xml:space="preserve"> </w:t>
            </w:r>
            <w:r>
              <w:t>Contexto</w:t>
            </w:r>
            <w:r>
              <w:rPr>
                <w:spacing w:val="-7"/>
              </w:rPr>
              <w:t xml:space="preserve"> </w:t>
            </w:r>
            <w:r>
              <w:rPr>
                <w:spacing w:val="-2"/>
              </w:rPr>
              <w:t>Estratégic</w:t>
            </w:r>
            <w:r>
              <w:rPr>
                <w:spacing w:val="-2"/>
              </w:rPr>
              <w:t>o</w:t>
            </w:r>
            <w:r>
              <w:rPr>
                <w:rFonts w:ascii="Times New Roman" w:hAnsi="Times New Roman"/>
              </w:rPr>
              <w:tab/>
            </w:r>
            <w:r>
              <w:rPr>
                <w:spacing w:val="-5"/>
              </w:rPr>
              <w:t>101</w:t>
            </w:r>
          </w:hyperlink>
        </w:p>
        <w:p w:rsidR="009B4BB4" w:rsidRDefault="00C44001" w:rsidP="00C44001">
          <w:pPr>
            <w:pStyle w:val="TDC3"/>
            <w:numPr>
              <w:ilvl w:val="1"/>
              <w:numId w:val="76"/>
            </w:numPr>
            <w:tabs>
              <w:tab w:val="left" w:pos="1148"/>
              <w:tab w:val="right" w:leader="dot" w:pos="9190"/>
            </w:tabs>
            <w:ind w:left="1148" w:hanging="363"/>
            <w:jc w:val="left"/>
          </w:pPr>
          <w:hyperlink w:anchor="h.5z07ckzz9wv" w:history="1">
            <w:r>
              <w:t>Estrategia</w:t>
            </w:r>
            <w:r>
              <w:rPr>
                <w:spacing w:val="-7"/>
              </w:rPr>
              <w:t xml:space="preserve"> </w:t>
            </w:r>
            <w:r>
              <w:t>de</w:t>
            </w:r>
            <w:r>
              <w:rPr>
                <w:spacing w:val="-7"/>
              </w:rPr>
              <w:t xml:space="preserve"> </w:t>
            </w:r>
            <w:r>
              <w:t>segmentación,</w:t>
            </w:r>
            <w:r>
              <w:rPr>
                <w:spacing w:val="-7"/>
              </w:rPr>
              <w:t xml:space="preserve"> </w:t>
            </w:r>
            <w:r>
              <w:t>targeting</w:t>
            </w:r>
            <w:r>
              <w:rPr>
                <w:spacing w:val="-7"/>
              </w:rPr>
              <w:t xml:space="preserve"> </w:t>
            </w:r>
            <w:r>
              <w:t>y</w:t>
            </w:r>
            <w:r>
              <w:rPr>
                <w:spacing w:val="-7"/>
              </w:rPr>
              <w:t xml:space="preserve"> </w:t>
            </w:r>
            <w:r>
              <w:rPr>
                <w:spacing w:val="-2"/>
              </w:rPr>
              <w:t>posicionamiento</w:t>
            </w:r>
            <w:r>
              <w:rPr>
                <w:rFonts w:ascii="Times New Roman" w:hAnsi="Times New Roman"/>
              </w:rPr>
              <w:tab/>
            </w:r>
            <w:r>
              <w:rPr>
                <w:spacing w:val="-5"/>
              </w:rPr>
              <w:t>102</w:t>
            </w:r>
          </w:hyperlink>
        </w:p>
        <w:p w:rsidR="009B4BB4" w:rsidRDefault="00C44001" w:rsidP="00C44001">
          <w:pPr>
            <w:pStyle w:val="TDC4"/>
            <w:numPr>
              <w:ilvl w:val="2"/>
              <w:numId w:val="76"/>
            </w:numPr>
            <w:tabs>
              <w:tab w:val="left" w:pos="1690"/>
              <w:tab w:val="right" w:leader="dot" w:pos="9190"/>
            </w:tabs>
            <w:ind w:left="1690" w:hanging="545"/>
            <w:jc w:val="left"/>
          </w:pPr>
          <w:hyperlink w:anchor="h.xdlufthrj57f" w:history="1">
            <w:r>
              <w:t>Segmentación</w:t>
            </w:r>
            <w:r>
              <w:rPr>
                <w:spacing w:val="-6"/>
              </w:rPr>
              <w:t xml:space="preserve"> </w:t>
            </w:r>
            <w:r>
              <w:t>y</w:t>
            </w:r>
            <w:r>
              <w:rPr>
                <w:spacing w:val="-6"/>
              </w:rPr>
              <w:t xml:space="preserve"> </w:t>
            </w:r>
            <w:r>
              <w:t>mercado</w:t>
            </w:r>
            <w:r>
              <w:rPr>
                <w:spacing w:val="-6"/>
              </w:rPr>
              <w:t xml:space="preserve"> </w:t>
            </w:r>
            <w:r>
              <w:t>meta</w:t>
            </w:r>
            <w:r>
              <w:rPr>
                <w:spacing w:val="-6"/>
              </w:rPr>
              <w:t xml:space="preserve"> </w:t>
            </w:r>
            <w:r>
              <w:rPr>
                <w:spacing w:val="-2"/>
              </w:rPr>
              <w:t>(targeting)</w:t>
            </w:r>
            <w:r>
              <w:rPr>
                <w:rFonts w:ascii="Times New Roman" w:hAnsi="Times New Roman"/>
              </w:rPr>
              <w:tab/>
            </w:r>
            <w:r>
              <w:rPr>
                <w:spacing w:val="-5"/>
              </w:rPr>
              <w:t>102</w:t>
            </w:r>
          </w:hyperlink>
        </w:p>
        <w:p w:rsidR="009B4BB4" w:rsidRDefault="00C44001" w:rsidP="00C44001">
          <w:pPr>
            <w:pStyle w:val="TDC3"/>
            <w:numPr>
              <w:ilvl w:val="2"/>
              <w:numId w:val="76"/>
            </w:numPr>
            <w:tabs>
              <w:tab w:val="left" w:pos="1330"/>
              <w:tab w:val="right" w:leader="dot" w:pos="9190"/>
            </w:tabs>
            <w:ind w:left="1330" w:hanging="545"/>
            <w:jc w:val="left"/>
          </w:pPr>
          <w:hyperlink w:anchor="h.tdtkkbd5abn2" w:history="1">
            <w:r>
              <w:t>Posicionamiento</w:t>
            </w:r>
            <w:r>
              <w:rPr>
                <w:spacing w:val="-6"/>
              </w:rPr>
              <w:t xml:space="preserve"> </w:t>
            </w:r>
            <w:r>
              <w:t>y</w:t>
            </w:r>
            <w:r>
              <w:rPr>
                <w:spacing w:val="-6"/>
              </w:rPr>
              <w:t xml:space="preserve"> </w:t>
            </w:r>
            <w:r>
              <w:t>capital</w:t>
            </w:r>
            <w:r>
              <w:rPr>
                <w:spacing w:val="-6"/>
              </w:rPr>
              <w:t xml:space="preserve"> </w:t>
            </w:r>
            <w:r>
              <w:t>de</w:t>
            </w:r>
            <w:r>
              <w:rPr>
                <w:spacing w:val="-6"/>
              </w:rPr>
              <w:t xml:space="preserve"> </w:t>
            </w:r>
            <w:r>
              <w:t>marca</w:t>
            </w:r>
            <w:r>
              <w:rPr>
                <w:spacing w:val="-6"/>
              </w:rPr>
              <w:t xml:space="preserve"> </w:t>
            </w:r>
            <w:r>
              <w:t>(Brand</w:t>
            </w:r>
            <w:r>
              <w:rPr>
                <w:spacing w:val="-6"/>
              </w:rPr>
              <w:t xml:space="preserve"> </w:t>
            </w:r>
            <w:r>
              <w:rPr>
                <w:spacing w:val="-2"/>
              </w:rPr>
              <w:t>Equity)</w:t>
            </w:r>
            <w:r>
              <w:rPr>
                <w:rFonts w:ascii="Times New Roman"/>
              </w:rPr>
              <w:tab/>
            </w:r>
            <w:r>
              <w:rPr>
                <w:spacing w:val="-5"/>
              </w:rPr>
              <w:t>103</w:t>
            </w:r>
          </w:hyperlink>
        </w:p>
        <w:p w:rsidR="009B4BB4" w:rsidRDefault="00C44001" w:rsidP="00C44001">
          <w:pPr>
            <w:pStyle w:val="TDC4"/>
            <w:numPr>
              <w:ilvl w:val="1"/>
              <w:numId w:val="76"/>
            </w:numPr>
            <w:tabs>
              <w:tab w:val="left" w:pos="1508"/>
              <w:tab w:val="right" w:leader="dot" w:pos="9190"/>
            </w:tabs>
            <w:ind w:left="1508" w:hanging="363"/>
            <w:jc w:val="left"/>
          </w:pPr>
          <w:hyperlink w:anchor="h.15uc3txqadei" w:history="1">
            <w:r>
              <w:t>Estrategia</w:t>
            </w:r>
            <w:r>
              <w:rPr>
                <w:spacing w:val="-7"/>
              </w:rPr>
              <w:t xml:space="preserve"> </w:t>
            </w:r>
            <w:r>
              <w:t>de</w:t>
            </w:r>
            <w:r>
              <w:rPr>
                <w:spacing w:val="-7"/>
              </w:rPr>
              <w:t xml:space="preserve"> </w:t>
            </w:r>
            <w:r>
              <w:t>segmentación,</w:t>
            </w:r>
            <w:r>
              <w:rPr>
                <w:spacing w:val="-7"/>
              </w:rPr>
              <w:t xml:space="preserve"> </w:t>
            </w:r>
            <w:r>
              <w:t>targeting</w:t>
            </w:r>
            <w:r>
              <w:rPr>
                <w:spacing w:val="-7"/>
              </w:rPr>
              <w:t xml:space="preserve"> </w:t>
            </w:r>
            <w:r>
              <w:t>y</w:t>
            </w:r>
            <w:r>
              <w:rPr>
                <w:spacing w:val="-7"/>
              </w:rPr>
              <w:t xml:space="preserve"> </w:t>
            </w:r>
            <w:r>
              <w:rPr>
                <w:spacing w:val="-2"/>
              </w:rPr>
              <w:t>posicionamiento</w:t>
            </w:r>
            <w:r>
              <w:rPr>
                <w:rFonts w:ascii="Times New Roman" w:hAnsi="Times New Roman"/>
              </w:rPr>
              <w:tab/>
            </w:r>
            <w:r>
              <w:rPr>
                <w:spacing w:val="-5"/>
              </w:rPr>
              <w:t>104</w:t>
            </w:r>
          </w:hyperlink>
        </w:p>
        <w:p w:rsidR="009B4BB4" w:rsidRDefault="00C44001" w:rsidP="00C44001">
          <w:pPr>
            <w:pStyle w:val="TDC3"/>
            <w:numPr>
              <w:ilvl w:val="1"/>
              <w:numId w:val="76"/>
            </w:numPr>
            <w:tabs>
              <w:tab w:val="left" w:pos="1148"/>
              <w:tab w:val="right" w:leader="dot" w:pos="9190"/>
            </w:tabs>
            <w:ind w:left="1148" w:hanging="363"/>
            <w:jc w:val="left"/>
          </w:pPr>
          <w:hyperlink w:anchor="h.gvl7cg5dnoa0" w:history="1">
            <w:r>
              <w:t>Propuesta</w:t>
            </w:r>
            <w:r>
              <w:rPr>
                <w:spacing w:val="-5"/>
              </w:rPr>
              <w:t xml:space="preserve"> </w:t>
            </w:r>
            <w:r>
              <w:t>de</w:t>
            </w:r>
            <w:r>
              <w:rPr>
                <w:spacing w:val="-4"/>
              </w:rPr>
              <w:t xml:space="preserve"> </w:t>
            </w:r>
            <w:r>
              <w:t>valor</w:t>
            </w:r>
            <w:r>
              <w:rPr>
                <w:spacing w:val="-4"/>
              </w:rPr>
              <w:t xml:space="preserve"> </w:t>
            </w:r>
            <w:r>
              <w:t>y</w:t>
            </w:r>
            <w:r>
              <w:rPr>
                <w:spacing w:val="-4"/>
              </w:rPr>
              <w:t xml:space="preserve"> </w:t>
            </w:r>
            <w:r>
              <w:rPr>
                <w:spacing w:val="-2"/>
              </w:rPr>
              <w:t>diferenciación</w:t>
            </w:r>
            <w:r>
              <w:rPr>
                <w:rFonts w:ascii="Times New Roman" w:hAnsi="Times New Roman"/>
              </w:rPr>
              <w:tab/>
            </w:r>
            <w:r>
              <w:rPr>
                <w:spacing w:val="-5"/>
              </w:rPr>
              <w:t>106</w:t>
            </w:r>
          </w:hyperlink>
        </w:p>
        <w:p w:rsidR="009B4BB4" w:rsidRDefault="00C44001" w:rsidP="00C44001">
          <w:pPr>
            <w:pStyle w:val="TDC3"/>
            <w:numPr>
              <w:ilvl w:val="1"/>
              <w:numId w:val="76"/>
            </w:numPr>
            <w:tabs>
              <w:tab w:val="left" w:pos="1148"/>
              <w:tab w:val="right" w:leader="dot" w:pos="9190"/>
            </w:tabs>
            <w:ind w:left="1148" w:hanging="363"/>
            <w:jc w:val="left"/>
          </w:pPr>
          <w:hyperlink w:anchor="h.fndc8wdc52ic" w:history="1">
            <w:r>
              <w:t>Marketing</w:t>
            </w:r>
            <w:r>
              <w:rPr>
                <w:spacing w:val="-5"/>
              </w:rPr>
              <w:t xml:space="preserve"> </w:t>
            </w:r>
            <w:r>
              <w:t>Mix</w:t>
            </w:r>
            <w:r>
              <w:rPr>
                <w:spacing w:val="-4"/>
              </w:rPr>
              <w:t xml:space="preserve"> </w:t>
            </w:r>
            <w:r>
              <w:t>(Las</w:t>
            </w:r>
            <w:r>
              <w:rPr>
                <w:spacing w:val="-4"/>
              </w:rPr>
              <w:t xml:space="preserve"> </w:t>
            </w:r>
            <w:r>
              <w:t>4</w:t>
            </w:r>
            <w:r>
              <w:rPr>
                <w:spacing w:val="-4"/>
              </w:rPr>
              <w:t xml:space="preserve"> P’s)</w:t>
            </w:r>
            <w:r>
              <w:rPr>
                <w:rFonts w:ascii="Times New Roman" w:hAnsi="Times New Roman"/>
              </w:rPr>
              <w:tab/>
            </w:r>
            <w:r>
              <w:rPr>
                <w:spacing w:val="-5"/>
              </w:rPr>
              <w:t>107</w:t>
            </w:r>
          </w:hyperlink>
        </w:p>
        <w:p w:rsidR="009B4BB4" w:rsidRDefault="00C44001" w:rsidP="00C44001">
          <w:pPr>
            <w:pStyle w:val="TDC4"/>
            <w:numPr>
              <w:ilvl w:val="2"/>
              <w:numId w:val="76"/>
            </w:numPr>
            <w:tabs>
              <w:tab w:val="left" w:pos="1690"/>
              <w:tab w:val="right" w:leader="dot" w:pos="9190"/>
            </w:tabs>
            <w:ind w:left="1690" w:hanging="545"/>
            <w:jc w:val="left"/>
          </w:pPr>
          <w:hyperlink w:anchor="h.hr7zt2g8y6cl" w:history="1">
            <w:r>
              <w:t>Estrategia</w:t>
            </w:r>
            <w:r>
              <w:rPr>
                <w:spacing w:val="-6"/>
              </w:rPr>
              <w:t xml:space="preserve"> </w:t>
            </w:r>
            <w:r>
              <w:t>de</w:t>
            </w:r>
            <w:r>
              <w:rPr>
                <w:spacing w:val="-6"/>
              </w:rPr>
              <w:t xml:space="preserve"> </w:t>
            </w:r>
            <w:r>
              <w:rPr>
                <w:spacing w:val="-2"/>
              </w:rPr>
              <w:t>producto</w:t>
            </w:r>
            <w:r>
              <w:rPr>
                <w:rFonts w:ascii="Times New Roman"/>
              </w:rPr>
              <w:tab/>
            </w:r>
            <w:r>
              <w:rPr>
                <w:spacing w:val="-5"/>
              </w:rPr>
              <w:t>108</w:t>
            </w:r>
          </w:hyperlink>
        </w:p>
        <w:p w:rsidR="009B4BB4" w:rsidRDefault="00C44001" w:rsidP="00C44001">
          <w:pPr>
            <w:pStyle w:val="TDC4"/>
            <w:numPr>
              <w:ilvl w:val="2"/>
              <w:numId w:val="75"/>
            </w:numPr>
            <w:tabs>
              <w:tab w:val="left" w:pos="1690"/>
              <w:tab w:val="right" w:leader="dot" w:pos="9190"/>
            </w:tabs>
            <w:ind w:left="1690" w:hanging="545"/>
          </w:pPr>
          <w:hyperlink w:anchor="h.u6emu911d8av" w:history="1">
            <w:r>
              <w:t>Estrategia</w:t>
            </w:r>
            <w:r>
              <w:rPr>
                <w:spacing w:val="-6"/>
              </w:rPr>
              <w:t xml:space="preserve"> </w:t>
            </w:r>
            <w:r>
              <w:t>de</w:t>
            </w:r>
            <w:r>
              <w:rPr>
                <w:spacing w:val="-6"/>
              </w:rPr>
              <w:t xml:space="preserve"> </w:t>
            </w:r>
            <w:r>
              <w:rPr>
                <w:spacing w:val="-2"/>
              </w:rPr>
              <w:t>precio</w:t>
            </w:r>
            <w:r>
              <w:rPr>
                <w:rFonts w:ascii="Times New Roman"/>
              </w:rPr>
              <w:tab/>
            </w:r>
            <w:r>
              <w:rPr>
                <w:spacing w:val="-5"/>
              </w:rPr>
              <w:t>110</w:t>
            </w:r>
          </w:hyperlink>
        </w:p>
        <w:p w:rsidR="009B4BB4" w:rsidRDefault="00C44001" w:rsidP="00C44001">
          <w:pPr>
            <w:pStyle w:val="TDC4"/>
            <w:numPr>
              <w:ilvl w:val="2"/>
              <w:numId w:val="75"/>
            </w:numPr>
            <w:tabs>
              <w:tab w:val="left" w:pos="1690"/>
              <w:tab w:val="right" w:leader="dot" w:pos="9190"/>
            </w:tabs>
            <w:ind w:left="1690" w:hanging="545"/>
          </w:pPr>
          <w:hyperlink w:anchor="h.pk1aox350blt" w:history="1">
            <w:r>
              <w:t>Estrategia</w:t>
            </w:r>
            <w:r>
              <w:rPr>
                <w:spacing w:val="-6"/>
              </w:rPr>
              <w:t xml:space="preserve"> </w:t>
            </w:r>
            <w:r>
              <w:t>de</w:t>
            </w:r>
            <w:r>
              <w:rPr>
                <w:spacing w:val="-6"/>
              </w:rPr>
              <w:t xml:space="preserve"> </w:t>
            </w:r>
            <w:r>
              <w:rPr>
                <w:spacing w:val="-2"/>
              </w:rPr>
              <w:t>plaza</w:t>
            </w:r>
            <w:r>
              <w:rPr>
                <w:rFonts w:ascii="Times New Roman"/>
              </w:rPr>
              <w:tab/>
            </w:r>
            <w:r>
              <w:rPr>
                <w:spacing w:val="-5"/>
              </w:rPr>
              <w:t>110</w:t>
            </w:r>
          </w:hyperlink>
        </w:p>
        <w:p w:rsidR="009B4BB4" w:rsidRDefault="00C44001" w:rsidP="00C44001">
          <w:pPr>
            <w:pStyle w:val="TDC4"/>
            <w:numPr>
              <w:ilvl w:val="2"/>
              <w:numId w:val="75"/>
            </w:numPr>
            <w:tabs>
              <w:tab w:val="left" w:pos="1690"/>
              <w:tab w:val="right" w:leader="dot" w:pos="9190"/>
            </w:tabs>
            <w:ind w:left="1690" w:hanging="545"/>
          </w:pPr>
          <w:hyperlink w:anchor="h.6y782rg3pxml" w:history="1">
            <w:r>
              <w:t>Estrategia</w:t>
            </w:r>
            <w:r>
              <w:rPr>
                <w:spacing w:val="-6"/>
              </w:rPr>
              <w:t xml:space="preserve"> </w:t>
            </w:r>
            <w:r>
              <w:t>de</w:t>
            </w:r>
            <w:r>
              <w:rPr>
                <w:spacing w:val="-6"/>
              </w:rPr>
              <w:t xml:space="preserve"> </w:t>
            </w:r>
            <w:r>
              <w:rPr>
                <w:spacing w:val="-2"/>
              </w:rPr>
              <w:t>promoción</w:t>
            </w:r>
            <w:r>
              <w:rPr>
                <w:rFonts w:ascii="Times New Roman" w:hAnsi="Times New Roman"/>
              </w:rPr>
              <w:tab/>
            </w:r>
            <w:r>
              <w:rPr>
                <w:spacing w:val="-5"/>
              </w:rPr>
              <w:t>111</w:t>
            </w:r>
          </w:hyperlink>
        </w:p>
        <w:p w:rsidR="009B4BB4" w:rsidRDefault="00C44001" w:rsidP="00C44001">
          <w:pPr>
            <w:pStyle w:val="TDC3"/>
            <w:numPr>
              <w:ilvl w:val="1"/>
              <w:numId w:val="74"/>
            </w:numPr>
            <w:tabs>
              <w:tab w:val="left" w:pos="1148"/>
              <w:tab w:val="right" w:leader="dot" w:pos="9190"/>
            </w:tabs>
            <w:ind w:left="1148" w:hanging="363"/>
          </w:pPr>
          <w:hyperlink w:anchor="h.nwy1nf3nkgmg" w:history="1">
            <w:r>
              <w:t>Presupuesto</w:t>
            </w:r>
            <w:r>
              <w:rPr>
                <w:spacing w:val="-7"/>
              </w:rPr>
              <w:t xml:space="preserve"> </w:t>
            </w:r>
            <w:r>
              <w:t>de</w:t>
            </w:r>
            <w:r>
              <w:rPr>
                <w:spacing w:val="-6"/>
              </w:rPr>
              <w:t xml:space="preserve"> </w:t>
            </w:r>
            <w:r>
              <w:rPr>
                <w:spacing w:val="-2"/>
              </w:rPr>
              <w:t>marketing</w:t>
            </w:r>
            <w:r>
              <w:rPr>
                <w:rFonts w:ascii="Times New Roman"/>
              </w:rPr>
              <w:tab/>
            </w:r>
            <w:r>
              <w:rPr>
                <w:spacing w:val="-5"/>
              </w:rPr>
              <w:t>112</w:t>
            </w:r>
          </w:hyperlink>
        </w:p>
        <w:p w:rsidR="009B4BB4" w:rsidRDefault="00C44001" w:rsidP="00C44001">
          <w:pPr>
            <w:pStyle w:val="TDC3"/>
            <w:numPr>
              <w:ilvl w:val="1"/>
              <w:numId w:val="74"/>
            </w:numPr>
            <w:tabs>
              <w:tab w:val="left" w:pos="1148"/>
              <w:tab w:val="right" w:leader="dot" w:pos="9190"/>
            </w:tabs>
            <w:ind w:left="1148" w:hanging="363"/>
          </w:pPr>
          <w:hyperlink w:anchor="h.grw1crx7ynm5" w:history="1">
            <w:r>
              <w:t>Cronograma,</w:t>
            </w:r>
            <w:r>
              <w:rPr>
                <w:spacing w:val="-7"/>
              </w:rPr>
              <w:t xml:space="preserve"> </w:t>
            </w:r>
            <w:r>
              <w:t>indicadores</w:t>
            </w:r>
            <w:r>
              <w:rPr>
                <w:spacing w:val="-6"/>
              </w:rPr>
              <w:t xml:space="preserve"> </w:t>
            </w:r>
            <w:r>
              <w:t>y</w:t>
            </w:r>
            <w:r>
              <w:rPr>
                <w:spacing w:val="-6"/>
              </w:rPr>
              <w:t xml:space="preserve"> </w:t>
            </w:r>
            <w:r>
              <w:t>métricas</w:t>
            </w:r>
            <w:r>
              <w:rPr>
                <w:spacing w:val="-7"/>
              </w:rPr>
              <w:t xml:space="preserve"> </w:t>
            </w:r>
            <w:r>
              <w:t>de</w:t>
            </w:r>
            <w:r>
              <w:rPr>
                <w:spacing w:val="-6"/>
              </w:rPr>
              <w:t xml:space="preserve"> </w:t>
            </w:r>
            <w:r>
              <w:t>éxito</w:t>
            </w:r>
            <w:r>
              <w:rPr>
                <w:spacing w:val="-6"/>
              </w:rPr>
              <w:t xml:space="preserve"> </w:t>
            </w:r>
            <w:r>
              <w:rPr>
                <w:spacing w:val="-2"/>
              </w:rPr>
              <w:t>(KPIs)</w:t>
            </w:r>
            <w:r>
              <w:rPr>
                <w:rFonts w:ascii="Times New Roman" w:hAnsi="Times New Roman"/>
              </w:rPr>
              <w:tab/>
            </w:r>
            <w:r>
              <w:rPr>
                <w:spacing w:val="-5"/>
              </w:rPr>
              <w:t>113</w:t>
            </w:r>
          </w:hyperlink>
        </w:p>
        <w:p w:rsidR="009B4BB4" w:rsidRDefault="00C44001" w:rsidP="00C44001">
          <w:pPr>
            <w:pStyle w:val="TDC3"/>
            <w:numPr>
              <w:ilvl w:val="1"/>
              <w:numId w:val="74"/>
            </w:numPr>
            <w:tabs>
              <w:tab w:val="left" w:pos="1148"/>
              <w:tab w:val="right" w:leader="dot" w:pos="9190"/>
            </w:tabs>
            <w:ind w:left="1148" w:hanging="363"/>
          </w:pPr>
          <w:hyperlink w:anchor="h.8afjkoele0q1" w:history="1">
            <w:r>
              <w:rPr>
                <w:spacing w:val="-2"/>
              </w:rPr>
              <w:t>Conclusión</w:t>
            </w:r>
            <w:r>
              <w:rPr>
                <w:rFonts w:ascii="Times New Roman" w:hAnsi="Times New Roman"/>
              </w:rPr>
              <w:tab/>
            </w:r>
            <w:r>
              <w:rPr>
                <w:spacing w:val="-5"/>
              </w:rPr>
              <w:t>115</w:t>
            </w:r>
          </w:hyperlink>
        </w:p>
        <w:p w:rsidR="009B4BB4" w:rsidRDefault="00C44001">
          <w:pPr>
            <w:pStyle w:val="TDC1"/>
          </w:pPr>
          <w:hyperlink w:anchor="h.mxpzy6phhy8b" w:history="1">
            <w:r>
              <w:t>Capítulo</w:t>
            </w:r>
            <w:r>
              <w:rPr>
                <w:spacing w:val="-8"/>
              </w:rPr>
              <w:t xml:space="preserve"> </w:t>
            </w:r>
            <w:r>
              <w:rPr>
                <w:spacing w:val="-10"/>
              </w:rPr>
              <w:t>6</w:t>
            </w:r>
          </w:hyperlink>
        </w:p>
        <w:p w:rsidR="009B4BB4" w:rsidRDefault="00C44001">
          <w:pPr>
            <w:pStyle w:val="TDC1"/>
            <w:tabs>
              <w:tab w:val="right" w:leader="dot" w:pos="9190"/>
            </w:tabs>
            <w:spacing w:before="0"/>
          </w:pPr>
          <w:hyperlink w:anchor="h.mxpzy6phhy8b" w:history="1">
            <w:r>
              <w:t>Plan</w:t>
            </w:r>
            <w:r>
              <w:rPr>
                <w:spacing w:val="-5"/>
              </w:rPr>
              <w:t xml:space="preserve"> </w:t>
            </w:r>
            <w:r>
              <w:t>Operativo</w:t>
            </w:r>
            <w:r>
              <w:rPr>
                <w:spacing w:val="-5"/>
              </w:rPr>
              <w:t xml:space="preserve"> </w:t>
            </w:r>
            <w:r>
              <w:t>y</w:t>
            </w:r>
            <w:r>
              <w:rPr>
                <w:spacing w:val="-4"/>
              </w:rPr>
              <w:t xml:space="preserve"> </w:t>
            </w:r>
            <w:r>
              <w:rPr>
                <w:spacing w:val="-2"/>
              </w:rPr>
              <w:t>Organizativo</w:t>
            </w:r>
            <w:r>
              <w:rPr>
                <w:rFonts w:ascii="Times New Roman"/>
                <w:b w:val="0"/>
              </w:rPr>
              <w:tab/>
            </w:r>
            <w:r>
              <w:rPr>
                <w:spacing w:val="-5"/>
              </w:rPr>
              <w:t>116</w:t>
            </w:r>
          </w:hyperlink>
        </w:p>
        <w:p w:rsidR="009B4BB4" w:rsidRDefault="00C44001" w:rsidP="00C44001">
          <w:pPr>
            <w:pStyle w:val="TDC3"/>
            <w:numPr>
              <w:ilvl w:val="1"/>
              <w:numId w:val="73"/>
            </w:numPr>
            <w:tabs>
              <w:tab w:val="left" w:pos="1148"/>
              <w:tab w:val="right" w:leader="dot" w:pos="9190"/>
            </w:tabs>
            <w:ind w:left="1148" w:hanging="363"/>
          </w:pPr>
          <w:hyperlink w:anchor="h.aksz8pxe14iq" w:history="1">
            <w:r>
              <w:t>Procesos</w:t>
            </w:r>
            <w:r>
              <w:rPr>
                <w:spacing w:val="-7"/>
              </w:rPr>
              <w:t xml:space="preserve"> </w:t>
            </w:r>
            <w:r>
              <w:t>de</w:t>
            </w:r>
            <w:r>
              <w:rPr>
                <w:spacing w:val="-5"/>
              </w:rPr>
              <w:t xml:space="preserve"> </w:t>
            </w:r>
            <w:r>
              <w:t>producción</w:t>
            </w:r>
            <w:r>
              <w:rPr>
                <w:spacing w:val="-5"/>
              </w:rPr>
              <w:t xml:space="preserve"> </w:t>
            </w:r>
            <w:r>
              <w:t>y</w:t>
            </w:r>
            <w:r>
              <w:rPr>
                <w:spacing w:val="-5"/>
              </w:rPr>
              <w:t xml:space="preserve"> </w:t>
            </w:r>
            <w:r>
              <w:t>control</w:t>
            </w:r>
            <w:r>
              <w:rPr>
                <w:spacing w:val="-5"/>
              </w:rPr>
              <w:t xml:space="preserve"> </w:t>
            </w:r>
            <w:r>
              <w:t>de</w:t>
            </w:r>
            <w:r>
              <w:rPr>
                <w:spacing w:val="-5"/>
              </w:rPr>
              <w:t xml:space="preserve"> </w:t>
            </w:r>
            <w:r>
              <w:rPr>
                <w:spacing w:val="-2"/>
              </w:rPr>
              <w:t>calidad</w:t>
            </w:r>
            <w:r>
              <w:rPr>
                <w:rFonts w:ascii="Times New Roman" w:hAnsi="Times New Roman"/>
              </w:rPr>
              <w:tab/>
            </w:r>
            <w:r>
              <w:rPr>
                <w:spacing w:val="-5"/>
              </w:rPr>
              <w:t>116</w:t>
            </w:r>
          </w:hyperlink>
        </w:p>
        <w:p w:rsidR="009B4BB4" w:rsidRDefault="00C44001" w:rsidP="00C44001">
          <w:pPr>
            <w:pStyle w:val="TDC3"/>
            <w:numPr>
              <w:ilvl w:val="1"/>
              <w:numId w:val="73"/>
            </w:numPr>
            <w:tabs>
              <w:tab w:val="left" w:pos="1148"/>
              <w:tab w:val="right" w:leader="dot" w:pos="9190"/>
            </w:tabs>
            <w:ind w:left="1148" w:hanging="363"/>
          </w:pPr>
          <w:hyperlink w:anchor="h.gf3stgkvisty" w:history="1">
            <w:r>
              <w:t>Infraestructura</w:t>
            </w:r>
            <w:r>
              <w:rPr>
                <w:spacing w:val="-8"/>
              </w:rPr>
              <w:t xml:space="preserve"> </w:t>
            </w:r>
            <w:r>
              <w:t>y</w:t>
            </w:r>
            <w:r>
              <w:rPr>
                <w:spacing w:val="-8"/>
              </w:rPr>
              <w:t xml:space="preserve"> </w:t>
            </w:r>
            <w:r>
              <w:rPr>
                <w:spacing w:val="-2"/>
              </w:rPr>
              <w:t>logística</w:t>
            </w:r>
            <w:r>
              <w:rPr>
                <w:rFonts w:ascii="Times New Roman" w:hAnsi="Times New Roman"/>
              </w:rPr>
              <w:tab/>
            </w:r>
            <w:r>
              <w:rPr>
                <w:spacing w:val="-5"/>
              </w:rPr>
              <w:t>117</w:t>
            </w:r>
          </w:hyperlink>
        </w:p>
        <w:p w:rsidR="009B4BB4" w:rsidRDefault="00C44001" w:rsidP="00C44001">
          <w:pPr>
            <w:pStyle w:val="TDC4"/>
            <w:numPr>
              <w:ilvl w:val="2"/>
              <w:numId w:val="73"/>
            </w:numPr>
            <w:tabs>
              <w:tab w:val="left" w:pos="1690"/>
              <w:tab w:val="right" w:leader="dot" w:pos="9190"/>
            </w:tabs>
            <w:spacing w:after="66"/>
            <w:ind w:left="1690" w:hanging="545"/>
          </w:pPr>
          <w:hyperlink w:anchor="h.io4eijpl1auz" w:history="1">
            <w:r>
              <w:t>Infraestructura</w:t>
            </w:r>
            <w:r>
              <w:rPr>
                <w:spacing w:val="-15"/>
              </w:rPr>
              <w:t xml:space="preserve"> </w:t>
            </w:r>
            <w:r>
              <w:rPr>
                <w:spacing w:val="-2"/>
              </w:rPr>
              <w:t>Operativa</w:t>
            </w:r>
            <w:r>
              <w:rPr>
                <w:rFonts w:ascii="Times New Roman"/>
              </w:rPr>
              <w:tab/>
            </w:r>
            <w:r>
              <w:rPr>
                <w:spacing w:val="-5"/>
              </w:rPr>
              <w:t>117</w:t>
            </w:r>
          </w:hyperlink>
        </w:p>
        <w:p w:rsidR="009B4BB4" w:rsidRDefault="00C44001" w:rsidP="00C44001">
          <w:pPr>
            <w:pStyle w:val="TDC4"/>
            <w:numPr>
              <w:ilvl w:val="2"/>
              <w:numId w:val="73"/>
            </w:numPr>
            <w:tabs>
              <w:tab w:val="left" w:pos="1690"/>
              <w:tab w:val="right" w:leader="dot" w:pos="9190"/>
            </w:tabs>
            <w:spacing w:before="79"/>
            <w:ind w:left="1690" w:hanging="545"/>
          </w:pPr>
          <w:hyperlink w:anchor="h.m97nbr7lexad" w:history="1">
            <w:r>
              <w:t>Logística</w:t>
            </w:r>
            <w:r>
              <w:rPr>
                <w:spacing w:val="-5"/>
              </w:rPr>
              <w:t xml:space="preserve"> </w:t>
            </w:r>
            <w:r>
              <w:t>y</w:t>
            </w:r>
            <w:r>
              <w:rPr>
                <w:spacing w:val="-5"/>
              </w:rPr>
              <w:t xml:space="preserve"> </w:t>
            </w:r>
            <w:r>
              <w:rPr>
                <w:spacing w:val="-2"/>
              </w:rPr>
              <w:t>distribución</w:t>
            </w:r>
            <w:r>
              <w:rPr>
                <w:rFonts w:ascii="Times New Roman" w:hAnsi="Times New Roman"/>
              </w:rPr>
              <w:tab/>
            </w:r>
            <w:r>
              <w:rPr>
                <w:spacing w:val="-5"/>
              </w:rPr>
              <w:t>118</w:t>
            </w:r>
          </w:hyperlink>
        </w:p>
        <w:p w:rsidR="009B4BB4" w:rsidRDefault="00C44001" w:rsidP="00C44001">
          <w:pPr>
            <w:pStyle w:val="TDC3"/>
            <w:numPr>
              <w:ilvl w:val="1"/>
              <w:numId w:val="73"/>
            </w:numPr>
            <w:tabs>
              <w:tab w:val="left" w:pos="1148"/>
              <w:tab w:val="right" w:leader="dot" w:pos="9190"/>
            </w:tabs>
            <w:ind w:left="1148" w:hanging="363"/>
          </w:pPr>
          <w:hyperlink w:anchor="h.4n27fdimmgvg" w:history="1">
            <w:r>
              <w:t>Estructura</w:t>
            </w:r>
            <w:r>
              <w:rPr>
                <w:spacing w:val="-8"/>
              </w:rPr>
              <w:t xml:space="preserve"> </w:t>
            </w:r>
            <w:r>
              <w:t>organizativa</w:t>
            </w:r>
            <w:r>
              <w:rPr>
                <w:spacing w:val="-8"/>
              </w:rPr>
              <w:t xml:space="preserve"> </w:t>
            </w:r>
            <w:r>
              <w:t>y</w:t>
            </w:r>
            <w:r>
              <w:rPr>
                <w:spacing w:val="-7"/>
              </w:rPr>
              <w:t xml:space="preserve"> </w:t>
            </w:r>
            <w:r>
              <w:rPr>
                <w:spacing w:val="-2"/>
              </w:rPr>
              <w:t>Equipo</w:t>
            </w:r>
            <w:r>
              <w:rPr>
                <w:rFonts w:ascii="Times New Roman"/>
              </w:rPr>
              <w:tab/>
            </w:r>
            <w:r>
              <w:rPr>
                <w:spacing w:val="-5"/>
              </w:rPr>
              <w:t>118</w:t>
            </w:r>
          </w:hyperlink>
        </w:p>
        <w:p w:rsidR="009B4BB4" w:rsidRDefault="00C44001" w:rsidP="00C44001">
          <w:pPr>
            <w:pStyle w:val="TDC3"/>
            <w:numPr>
              <w:ilvl w:val="1"/>
              <w:numId w:val="73"/>
            </w:numPr>
            <w:tabs>
              <w:tab w:val="left" w:pos="1148"/>
              <w:tab w:val="right" w:leader="dot" w:pos="9190"/>
            </w:tabs>
            <w:ind w:left="1148" w:hanging="363"/>
          </w:pPr>
          <w:hyperlink w:anchor="h.1o7i13ir17jh" w:history="1">
            <w:r>
              <w:t>Escalabilidad</w:t>
            </w:r>
            <w:r>
              <w:rPr>
                <w:spacing w:val="-8"/>
              </w:rPr>
              <w:t xml:space="preserve"> </w:t>
            </w:r>
            <w:r>
              <w:t>del</w:t>
            </w:r>
            <w:r>
              <w:rPr>
                <w:spacing w:val="-8"/>
              </w:rPr>
              <w:t xml:space="preserve"> </w:t>
            </w:r>
            <w:r>
              <w:rPr>
                <w:spacing w:val="-2"/>
              </w:rPr>
              <w:t>Proyecto</w:t>
            </w:r>
            <w:r>
              <w:rPr>
                <w:rFonts w:ascii="Times New Roman"/>
              </w:rPr>
              <w:tab/>
            </w:r>
            <w:r>
              <w:rPr>
                <w:spacing w:val="-5"/>
              </w:rPr>
              <w:t>119</w:t>
            </w:r>
          </w:hyperlink>
        </w:p>
        <w:p w:rsidR="009B4BB4" w:rsidRDefault="00C44001" w:rsidP="00C44001">
          <w:pPr>
            <w:pStyle w:val="TDC3"/>
            <w:numPr>
              <w:ilvl w:val="1"/>
              <w:numId w:val="73"/>
            </w:numPr>
            <w:tabs>
              <w:tab w:val="left" w:pos="1148"/>
              <w:tab w:val="right" w:leader="dot" w:pos="9190"/>
            </w:tabs>
            <w:ind w:left="1148" w:hanging="363"/>
          </w:pPr>
          <w:hyperlink w:anchor="h.1is6b9t9tg42" w:history="1">
            <w:r>
              <w:t>Sostenibi</w:t>
            </w:r>
            <w:r>
              <w:t>lidad</w:t>
            </w:r>
            <w:r>
              <w:rPr>
                <w:spacing w:val="-12"/>
              </w:rPr>
              <w:t xml:space="preserve"> </w:t>
            </w:r>
            <w:r>
              <w:t>y</w:t>
            </w:r>
            <w:r>
              <w:rPr>
                <w:spacing w:val="-11"/>
              </w:rPr>
              <w:t xml:space="preserve"> </w:t>
            </w:r>
            <w:r>
              <w:t>Certificaciones</w:t>
            </w:r>
            <w:r>
              <w:rPr>
                <w:spacing w:val="-11"/>
              </w:rPr>
              <w:t xml:space="preserve"> </w:t>
            </w:r>
            <w:r>
              <w:t>(Triple</w:t>
            </w:r>
            <w:r>
              <w:rPr>
                <w:spacing w:val="-11"/>
              </w:rPr>
              <w:t xml:space="preserve"> </w:t>
            </w:r>
            <w:r>
              <w:rPr>
                <w:spacing w:val="-2"/>
              </w:rPr>
              <w:t>Impacto)</w:t>
            </w:r>
            <w:r>
              <w:rPr>
                <w:rFonts w:ascii="Times New Roman"/>
              </w:rPr>
              <w:tab/>
            </w:r>
            <w:r>
              <w:rPr>
                <w:spacing w:val="-5"/>
              </w:rPr>
              <w:t>119</w:t>
            </w:r>
          </w:hyperlink>
        </w:p>
        <w:p w:rsidR="009B4BB4" w:rsidRDefault="00C44001" w:rsidP="00C44001">
          <w:pPr>
            <w:pStyle w:val="TDC3"/>
            <w:numPr>
              <w:ilvl w:val="1"/>
              <w:numId w:val="73"/>
            </w:numPr>
            <w:tabs>
              <w:tab w:val="left" w:pos="1148"/>
              <w:tab w:val="right" w:leader="dot" w:pos="9190"/>
            </w:tabs>
            <w:ind w:left="1148" w:hanging="363"/>
          </w:pPr>
          <w:hyperlink w:anchor="h.762ufrv2lruu" w:history="1">
            <w:r>
              <w:t>Alianzas</w:t>
            </w:r>
            <w:r>
              <w:rPr>
                <w:spacing w:val="-8"/>
              </w:rPr>
              <w:t xml:space="preserve"> </w:t>
            </w:r>
            <w:r>
              <w:rPr>
                <w:spacing w:val="-2"/>
              </w:rPr>
              <w:t>estratégicas</w:t>
            </w:r>
            <w:r>
              <w:rPr>
                <w:rFonts w:ascii="Times New Roman" w:hAnsi="Times New Roman"/>
              </w:rPr>
              <w:tab/>
            </w:r>
            <w:r>
              <w:rPr>
                <w:spacing w:val="-5"/>
              </w:rPr>
              <w:t>121</w:t>
            </w:r>
          </w:hyperlink>
        </w:p>
        <w:p w:rsidR="009B4BB4" w:rsidRDefault="00C44001" w:rsidP="00C44001">
          <w:pPr>
            <w:pStyle w:val="TDC3"/>
            <w:numPr>
              <w:ilvl w:val="1"/>
              <w:numId w:val="73"/>
            </w:numPr>
            <w:tabs>
              <w:tab w:val="left" w:pos="1148"/>
              <w:tab w:val="right" w:leader="dot" w:pos="9190"/>
            </w:tabs>
            <w:ind w:left="1148" w:hanging="363"/>
          </w:pPr>
          <w:hyperlink w:anchor="h.46ev1k4ge6yt" w:history="1">
            <w:r>
              <w:t>Gestión</w:t>
            </w:r>
            <w:r>
              <w:rPr>
                <w:spacing w:val="-6"/>
              </w:rPr>
              <w:t xml:space="preserve"> </w:t>
            </w:r>
            <w:r>
              <w:t>de</w:t>
            </w:r>
            <w:r>
              <w:rPr>
                <w:spacing w:val="-5"/>
              </w:rPr>
              <w:t xml:space="preserve"> </w:t>
            </w:r>
            <w:r>
              <w:t>riesgos</w:t>
            </w:r>
            <w:r>
              <w:rPr>
                <w:spacing w:val="-5"/>
              </w:rPr>
              <w:t xml:space="preserve"> </w:t>
            </w:r>
            <w:r>
              <w:rPr>
                <w:spacing w:val="-2"/>
              </w:rPr>
              <w:t>operativos</w:t>
            </w:r>
            <w:r>
              <w:rPr>
                <w:rFonts w:ascii="Times New Roman" w:hAnsi="Times New Roman"/>
              </w:rPr>
              <w:tab/>
            </w:r>
            <w:r>
              <w:rPr>
                <w:spacing w:val="-5"/>
              </w:rPr>
              <w:t>122</w:t>
            </w:r>
          </w:hyperlink>
        </w:p>
        <w:p w:rsidR="009B4BB4" w:rsidRDefault="00C44001" w:rsidP="00C44001">
          <w:pPr>
            <w:pStyle w:val="TDC3"/>
            <w:numPr>
              <w:ilvl w:val="1"/>
              <w:numId w:val="73"/>
            </w:numPr>
            <w:tabs>
              <w:tab w:val="left" w:pos="1148"/>
              <w:tab w:val="right" w:leader="dot" w:pos="9190"/>
            </w:tabs>
            <w:ind w:left="1148" w:hanging="363"/>
          </w:pPr>
          <w:hyperlink w:anchor="h.z9jj08ka35zo" w:history="1">
            <w:r>
              <w:t>Conclusión</w:t>
            </w:r>
            <w:r>
              <w:rPr>
                <w:spacing w:val="-7"/>
              </w:rPr>
              <w:t xml:space="preserve"> </w:t>
            </w:r>
            <w:r>
              <w:t>del</w:t>
            </w:r>
            <w:r>
              <w:rPr>
                <w:spacing w:val="-6"/>
              </w:rPr>
              <w:t xml:space="preserve"> </w:t>
            </w:r>
            <w:r>
              <w:rPr>
                <w:spacing w:val="-2"/>
              </w:rPr>
              <w:t>capítulo</w:t>
            </w:r>
            <w:r>
              <w:rPr>
                <w:rFonts w:ascii="Times New Roman" w:hAnsi="Times New Roman"/>
              </w:rPr>
              <w:tab/>
            </w:r>
            <w:r>
              <w:rPr>
                <w:spacing w:val="-5"/>
              </w:rPr>
              <w:t>124</w:t>
            </w:r>
          </w:hyperlink>
        </w:p>
        <w:p w:rsidR="009B4BB4" w:rsidRDefault="00C44001">
          <w:pPr>
            <w:pStyle w:val="TDC1"/>
          </w:pPr>
          <w:hyperlink w:anchor="h.2d0zltnvbw0" w:history="1">
            <w:r>
              <w:t>Capítulo</w:t>
            </w:r>
            <w:r>
              <w:rPr>
                <w:spacing w:val="-8"/>
              </w:rPr>
              <w:t xml:space="preserve"> </w:t>
            </w:r>
            <w:r>
              <w:rPr>
                <w:spacing w:val="-10"/>
              </w:rPr>
              <w:t>7</w:t>
            </w:r>
          </w:hyperlink>
        </w:p>
        <w:p w:rsidR="009B4BB4" w:rsidRDefault="00C44001">
          <w:pPr>
            <w:pStyle w:val="TDC2"/>
            <w:tabs>
              <w:tab w:val="right" w:leader="dot" w:pos="9190"/>
            </w:tabs>
          </w:pPr>
          <w:hyperlink w:anchor="h.2d0zltnvbw0" w:history="1">
            <w:r>
              <w:t>Plan</w:t>
            </w:r>
            <w:r>
              <w:rPr>
                <w:spacing w:val="-5"/>
              </w:rPr>
              <w:t xml:space="preserve"> </w:t>
            </w:r>
            <w:r>
              <w:t>Económico</w:t>
            </w:r>
            <w:r>
              <w:rPr>
                <w:spacing w:val="-5"/>
              </w:rPr>
              <w:t xml:space="preserve"> </w:t>
            </w:r>
            <w:r>
              <w:t>y</w:t>
            </w:r>
            <w:r>
              <w:rPr>
                <w:spacing w:val="-4"/>
              </w:rPr>
              <w:t xml:space="preserve"> </w:t>
            </w:r>
            <w:r>
              <w:rPr>
                <w:spacing w:val="-2"/>
              </w:rPr>
              <w:t>Financiero</w:t>
            </w:r>
            <w:r>
              <w:rPr>
                <w:rFonts w:ascii="Times New Roman" w:hAnsi="Times New Roman"/>
                <w:b w:val="0"/>
              </w:rPr>
              <w:tab/>
            </w:r>
            <w:r>
              <w:rPr>
                <w:spacing w:val="-5"/>
              </w:rPr>
              <w:t>125</w:t>
            </w:r>
          </w:hyperlink>
        </w:p>
        <w:p w:rsidR="009B4BB4" w:rsidRDefault="00C44001" w:rsidP="00C44001">
          <w:pPr>
            <w:pStyle w:val="TDC3"/>
            <w:numPr>
              <w:ilvl w:val="1"/>
              <w:numId w:val="72"/>
            </w:numPr>
            <w:tabs>
              <w:tab w:val="left" w:pos="1148"/>
              <w:tab w:val="right" w:leader="dot" w:pos="9190"/>
            </w:tabs>
            <w:ind w:left="1148" w:hanging="363"/>
          </w:pPr>
          <w:hyperlink w:anchor="h.al13w5rv22bz" w:history="1">
            <w:r>
              <w:t>Inversión</w:t>
            </w:r>
            <w:r>
              <w:rPr>
                <w:spacing w:val="-6"/>
              </w:rPr>
              <w:t xml:space="preserve"> </w:t>
            </w:r>
            <w:r>
              <w:t>inicial</w:t>
            </w:r>
            <w:r>
              <w:rPr>
                <w:spacing w:val="-6"/>
              </w:rPr>
              <w:t xml:space="preserve"> </w:t>
            </w:r>
            <w:r>
              <w:t>y</w:t>
            </w:r>
            <w:r>
              <w:rPr>
                <w:spacing w:val="-5"/>
              </w:rPr>
              <w:t xml:space="preserve"> </w:t>
            </w:r>
            <w:r>
              <w:rPr>
                <w:spacing w:val="-2"/>
              </w:rPr>
              <w:t>financiamiento</w:t>
            </w:r>
            <w:r>
              <w:rPr>
                <w:rFonts w:ascii="Times New Roman" w:hAnsi="Times New Roman"/>
              </w:rPr>
              <w:tab/>
            </w:r>
            <w:r>
              <w:rPr>
                <w:spacing w:val="-5"/>
              </w:rPr>
              <w:t>125</w:t>
            </w:r>
          </w:hyperlink>
        </w:p>
        <w:p w:rsidR="009B4BB4" w:rsidRDefault="00C44001" w:rsidP="00C44001">
          <w:pPr>
            <w:pStyle w:val="TDC4"/>
            <w:numPr>
              <w:ilvl w:val="2"/>
              <w:numId w:val="72"/>
            </w:numPr>
            <w:tabs>
              <w:tab w:val="left" w:pos="1690"/>
              <w:tab w:val="right" w:leader="dot" w:pos="9190"/>
            </w:tabs>
            <w:ind w:left="1690" w:hanging="545"/>
          </w:pPr>
          <w:hyperlink w:anchor="h.yfdblawjvwhi" w:history="1">
            <w:r>
              <w:t>Fuentes</w:t>
            </w:r>
            <w:r>
              <w:rPr>
                <w:spacing w:val="-4"/>
              </w:rPr>
              <w:t xml:space="preserve"> </w:t>
            </w:r>
            <w:r>
              <w:t>y</w:t>
            </w:r>
            <w:r>
              <w:rPr>
                <w:spacing w:val="-3"/>
              </w:rPr>
              <w:t xml:space="preserve"> </w:t>
            </w:r>
            <w:r>
              <w:t>usos</w:t>
            </w:r>
            <w:r>
              <w:rPr>
                <w:spacing w:val="-4"/>
              </w:rPr>
              <w:t xml:space="preserve"> </w:t>
            </w:r>
            <w:r>
              <w:t>de</w:t>
            </w:r>
            <w:r>
              <w:rPr>
                <w:spacing w:val="-3"/>
              </w:rPr>
              <w:t xml:space="preserve"> </w:t>
            </w:r>
            <w:r>
              <w:rPr>
                <w:spacing w:val="-2"/>
              </w:rPr>
              <w:t>Fondos</w:t>
            </w:r>
            <w:r>
              <w:rPr>
                <w:rFonts w:ascii="Times New Roman"/>
              </w:rPr>
              <w:tab/>
            </w:r>
            <w:r>
              <w:rPr>
                <w:spacing w:val="-5"/>
              </w:rPr>
              <w:t>126</w:t>
            </w:r>
          </w:hyperlink>
        </w:p>
        <w:p w:rsidR="009B4BB4" w:rsidRDefault="00C44001" w:rsidP="00C44001">
          <w:pPr>
            <w:pStyle w:val="TDC4"/>
            <w:numPr>
              <w:ilvl w:val="2"/>
              <w:numId w:val="72"/>
            </w:numPr>
            <w:tabs>
              <w:tab w:val="left" w:pos="1690"/>
              <w:tab w:val="right" w:leader="dot" w:pos="9190"/>
            </w:tabs>
            <w:ind w:left="1690" w:hanging="545"/>
          </w:pPr>
          <w:hyperlink w:anchor="h.e0x8q8w2l4iu" w:history="1">
            <w:r>
              <w:t>Costo</w:t>
            </w:r>
            <w:r>
              <w:rPr>
                <w:spacing w:val="-4"/>
              </w:rPr>
              <w:t xml:space="preserve"> </w:t>
            </w:r>
            <w:r>
              <w:t>de</w:t>
            </w:r>
            <w:r>
              <w:rPr>
                <w:spacing w:val="-3"/>
              </w:rPr>
              <w:t xml:space="preserve"> </w:t>
            </w:r>
            <w:r>
              <w:rPr>
                <w:spacing w:val="-2"/>
              </w:rPr>
              <w:t>Capital</w:t>
            </w:r>
            <w:r>
              <w:rPr>
                <w:rFonts w:ascii="Times New Roman"/>
              </w:rPr>
              <w:tab/>
            </w:r>
            <w:r>
              <w:rPr>
                <w:spacing w:val="-5"/>
              </w:rPr>
              <w:t>127</w:t>
            </w:r>
          </w:hyperlink>
        </w:p>
        <w:p w:rsidR="009B4BB4" w:rsidRDefault="00C44001" w:rsidP="00C44001">
          <w:pPr>
            <w:pStyle w:val="TDC4"/>
            <w:numPr>
              <w:ilvl w:val="2"/>
              <w:numId w:val="72"/>
            </w:numPr>
            <w:tabs>
              <w:tab w:val="left" w:pos="1690"/>
              <w:tab w:val="right" w:leader="dot" w:pos="9190"/>
            </w:tabs>
            <w:ind w:left="1690" w:hanging="545"/>
          </w:pPr>
          <w:hyperlink w:anchor="h.5gdq7fifpifb" w:history="1">
            <w:r>
              <w:t>Coherencia</w:t>
            </w:r>
            <w:r>
              <w:rPr>
                <w:spacing w:val="-6"/>
              </w:rPr>
              <w:t xml:space="preserve"> </w:t>
            </w:r>
            <w:r>
              <w:t>social</w:t>
            </w:r>
            <w:r>
              <w:rPr>
                <w:spacing w:val="-6"/>
              </w:rPr>
              <w:t xml:space="preserve"> </w:t>
            </w:r>
            <w:r>
              <w:t>y</w:t>
            </w:r>
            <w:r>
              <w:rPr>
                <w:spacing w:val="-6"/>
              </w:rPr>
              <w:t xml:space="preserve"> </w:t>
            </w:r>
            <w:r>
              <w:t>Blended</w:t>
            </w:r>
            <w:r>
              <w:rPr>
                <w:spacing w:val="-6"/>
              </w:rPr>
              <w:t xml:space="preserve"> </w:t>
            </w:r>
            <w:r>
              <w:rPr>
                <w:spacing w:val="-2"/>
              </w:rPr>
              <w:t>Value</w:t>
            </w:r>
            <w:r>
              <w:rPr>
                <w:rFonts w:ascii="Times New Roman"/>
              </w:rPr>
              <w:tab/>
            </w:r>
            <w:r>
              <w:rPr>
                <w:spacing w:val="-5"/>
              </w:rPr>
              <w:t>128</w:t>
            </w:r>
          </w:hyperlink>
        </w:p>
        <w:p w:rsidR="009B4BB4" w:rsidRDefault="00C44001" w:rsidP="00C44001">
          <w:pPr>
            <w:pStyle w:val="TDC3"/>
            <w:numPr>
              <w:ilvl w:val="1"/>
              <w:numId w:val="72"/>
            </w:numPr>
            <w:tabs>
              <w:tab w:val="left" w:pos="1148"/>
              <w:tab w:val="right" w:leader="dot" w:pos="9190"/>
            </w:tabs>
            <w:ind w:left="1148" w:hanging="363"/>
          </w:pPr>
          <w:hyperlink w:anchor="h.9kqdj0fmts01" w:history="1">
            <w:r>
              <w:t>Proyección</w:t>
            </w:r>
            <w:r>
              <w:rPr>
                <w:spacing w:val="-6"/>
              </w:rPr>
              <w:t xml:space="preserve"> </w:t>
            </w:r>
            <w:r>
              <w:t>de</w:t>
            </w:r>
            <w:r>
              <w:rPr>
                <w:spacing w:val="-5"/>
              </w:rPr>
              <w:t xml:space="preserve"> </w:t>
            </w:r>
            <w:r>
              <w:t>ingresos</w:t>
            </w:r>
            <w:r>
              <w:rPr>
                <w:spacing w:val="-5"/>
              </w:rPr>
              <w:t xml:space="preserve"> </w:t>
            </w:r>
            <w:r>
              <w:t>y</w:t>
            </w:r>
            <w:r>
              <w:rPr>
                <w:spacing w:val="-5"/>
              </w:rPr>
              <w:t xml:space="preserve"> </w:t>
            </w:r>
            <w:r>
              <w:rPr>
                <w:spacing w:val="-2"/>
              </w:rPr>
              <w:t>egresos</w:t>
            </w:r>
            <w:r>
              <w:rPr>
                <w:rFonts w:ascii="Times New Roman" w:hAnsi="Times New Roman"/>
              </w:rPr>
              <w:tab/>
            </w:r>
            <w:r>
              <w:rPr>
                <w:spacing w:val="-5"/>
              </w:rPr>
              <w:t>128</w:t>
            </w:r>
          </w:hyperlink>
        </w:p>
        <w:p w:rsidR="009B4BB4" w:rsidRDefault="00C44001" w:rsidP="00C44001">
          <w:pPr>
            <w:pStyle w:val="TDC4"/>
            <w:numPr>
              <w:ilvl w:val="2"/>
              <w:numId w:val="71"/>
            </w:numPr>
            <w:tabs>
              <w:tab w:val="left" w:pos="1690"/>
              <w:tab w:val="right" w:leader="dot" w:pos="9190"/>
            </w:tabs>
            <w:ind w:left="1690" w:hanging="545"/>
          </w:pPr>
          <w:hyperlink w:anchor="h.tfnwf4qmn3n" w:history="1">
            <w:r>
              <w:t>Resultados</w:t>
            </w:r>
            <w:r>
              <w:rPr>
                <w:spacing w:val="-9"/>
              </w:rPr>
              <w:t xml:space="preserve"> </w:t>
            </w:r>
            <w:r>
              <w:t>proyectados</w:t>
            </w:r>
            <w:r>
              <w:rPr>
                <w:spacing w:val="-7"/>
              </w:rPr>
              <w:t xml:space="preserve"> </w:t>
            </w:r>
            <w:r>
              <w:t>del</w:t>
            </w:r>
            <w:r>
              <w:rPr>
                <w:spacing w:val="-7"/>
              </w:rPr>
              <w:t xml:space="preserve"> </w:t>
            </w:r>
            <w:r>
              <w:t>lote</w:t>
            </w:r>
            <w:r>
              <w:rPr>
                <w:spacing w:val="-7"/>
              </w:rPr>
              <w:t xml:space="preserve"> </w:t>
            </w:r>
            <w:r>
              <w:rPr>
                <w:spacing w:val="-2"/>
              </w:rPr>
              <w:t>piloto</w:t>
            </w:r>
            <w:r>
              <w:rPr>
                <w:rFonts w:ascii="Times New Roman"/>
              </w:rPr>
              <w:tab/>
            </w:r>
            <w:r>
              <w:rPr>
                <w:spacing w:val="-5"/>
              </w:rPr>
              <w:t>128</w:t>
            </w:r>
          </w:hyperlink>
        </w:p>
        <w:p w:rsidR="009B4BB4" w:rsidRDefault="00C44001" w:rsidP="00C44001">
          <w:pPr>
            <w:pStyle w:val="TDC4"/>
            <w:numPr>
              <w:ilvl w:val="2"/>
              <w:numId w:val="71"/>
            </w:numPr>
            <w:tabs>
              <w:tab w:val="left" w:pos="1690"/>
              <w:tab w:val="right" w:leader="dot" w:pos="9190"/>
            </w:tabs>
            <w:ind w:left="1690" w:hanging="545"/>
          </w:pPr>
          <w:hyperlink w:anchor="h.qibcqgg75d6u" w:history="1">
            <w:r>
              <w:t>Capacidad</w:t>
            </w:r>
            <w:r>
              <w:rPr>
                <w:spacing w:val="-7"/>
              </w:rPr>
              <w:t xml:space="preserve"> </w:t>
            </w:r>
            <w:r>
              <w:t>productiva</w:t>
            </w:r>
            <w:r>
              <w:rPr>
                <w:spacing w:val="-7"/>
              </w:rPr>
              <w:t xml:space="preserve"> </w:t>
            </w:r>
            <w:r>
              <w:t>y</w:t>
            </w:r>
            <w:r>
              <w:rPr>
                <w:spacing w:val="-7"/>
              </w:rPr>
              <w:t xml:space="preserve"> </w:t>
            </w:r>
            <w:r>
              <w:t>factibilidad</w:t>
            </w:r>
            <w:r>
              <w:rPr>
                <w:spacing w:val="-7"/>
              </w:rPr>
              <w:t xml:space="preserve"> </w:t>
            </w:r>
            <w:r>
              <w:t>de</w:t>
            </w:r>
            <w:r>
              <w:rPr>
                <w:spacing w:val="-6"/>
              </w:rPr>
              <w:t xml:space="preserve"> </w:t>
            </w:r>
            <w:r>
              <w:rPr>
                <w:spacing w:val="-2"/>
              </w:rPr>
              <w:t>suministros</w:t>
            </w:r>
            <w:r>
              <w:rPr>
                <w:rFonts w:ascii="Times New Roman"/>
              </w:rPr>
              <w:tab/>
            </w:r>
            <w:r>
              <w:rPr>
                <w:spacing w:val="-5"/>
              </w:rPr>
              <w:t>131</w:t>
            </w:r>
          </w:hyperlink>
        </w:p>
        <w:p w:rsidR="009B4BB4" w:rsidRDefault="00C44001" w:rsidP="00C44001">
          <w:pPr>
            <w:pStyle w:val="TDC4"/>
            <w:numPr>
              <w:ilvl w:val="2"/>
              <w:numId w:val="71"/>
            </w:numPr>
            <w:tabs>
              <w:tab w:val="left" w:pos="1690"/>
              <w:tab w:val="right" w:leader="dot" w:pos="9190"/>
            </w:tabs>
            <w:ind w:left="1690" w:hanging="545"/>
          </w:pPr>
          <w:hyperlink w:anchor="h.jx7pew215um6" w:history="1">
            <w:r>
              <w:t>Proyección</w:t>
            </w:r>
            <w:r>
              <w:rPr>
                <w:spacing w:val="-4"/>
              </w:rPr>
              <w:t xml:space="preserve"> </w:t>
            </w:r>
            <w:r>
              <w:t>a</w:t>
            </w:r>
            <w:r>
              <w:rPr>
                <w:spacing w:val="-4"/>
              </w:rPr>
              <w:t xml:space="preserve"> </w:t>
            </w:r>
            <w:r>
              <w:t>5</w:t>
            </w:r>
            <w:r>
              <w:rPr>
                <w:spacing w:val="-4"/>
              </w:rPr>
              <w:t xml:space="preserve"> años</w:t>
            </w:r>
            <w:r>
              <w:rPr>
                <w:rFonts w:ascii="Times New Roman" w:hAnsi="Times New Roman"/>
              </w:rPr>
              <w:tab/>
            </w:r>
            <w:r>
              <w:rPr>
                <w:spacing w:val="-5"/>
              </w:rPr>
              <w:t>133</w:t>
            </w:r>
          </w:hyperlink>
        </w:p>
        <w:p w:rsidR="009B4BB4" w:rsidRDefault="00C44001" w:rsidP="00C44001">
          <w:pPr>
            <w:pStyle w:val="TDC4"/>
            <w:numPr>
              <w:ilvl w:val="1"/>
              <w:numId w:val="70"/>
            </w:numPr>
            <w:tabs>
              <w:tab w:val="left" w:pos="1508"/>
              <w:tab w:val="right" w:leader="dot" w:pos="9190"/>
            </w:tabs>
            <w:ind w:left="1508" w:hanging="363"/>
          </w:pPr>
          <w:hyperlink w:anchor="h.40x6kpwfowqp" w:history="1">
            <w:r>
              <w:t>Flujos</w:t>
            </w:r>
            <w:r>
              <w:rPr>
                <w:spacing w:val="-4"/>
              </w:rPr>
              <w:t xml:space="preserve"> </w:t>
            </w:r>
            <w:r>
              <w:t>de</w:t>
            </w:r>
            <w:r>
              <w:rPr>
                <w:spacing w:val="-4"/>
              </w:rPr>
              <w:t xml:space="preserve"> </w:t>
            </w:r>
            <w:r>
              <w:rPr>
                <w:spacing w:val="-2"/>
              </w:rPr>
              <w:t>fondos</w:t>
            </w:r>
            <w:r>
              <w:rPr>
                <w:rFonts w:ascii="Times New Roman"/>
              </w:rPr>
              <w:tab/>
            </w:r>
            <w:r>
              <w:rPr>
                <w:spacing w:val="-5"/>
              </w:rPr>
              <w:t>137</w:t>
            </w:r>
          </w:hyperlink>
        </w:p>
        <w:p w:rsidR="009B4BB4" w:rsidRDefault="00C44001" w:rsidP="00C44001">
          <w:pPr>
            <w:pStyle w:val="TDC4"/>
            <w:numPr>
              <w:ilvl w:val="2"/>
              <w:numId w:val="70"/>
            </w:numPr>
            <w:tabs>
              <w:tab w:val="left" w:pos="1690"/>
              <w:tab w:val="right" w:leader="dot" w:pos="9190"/>
            </w:tabs>
            <w:ind w:left="1690" w:hanging="545"/>
          </w:pPr>
          <w:hyperlink w:anchor="h.3k0j9sko0dd8" w:history="1">
            <w:r>
              <w:t>Resultados</w:t>
            </w:r>
            <w:r>
              <w:rPr>
                <w:spacing w:val="-6"/>
              </w:rPr>
              <w:t xml:space="preserve"> </w:t>
            </w:r>
            <w:r>
              <w:t>anuales</w:t>
            </w:r>
            <w:r>
              <w:rPr>
                <w:spacing w:val="-6"/>
              </w:rPr>
              <w:t xml:space="preserve"> </w:t>
            </w:r>
            <w:r>
              <w:t>y</w:t>
            </w:r>
            <w:r>
              <w:rPr>
                <w:spacing w:val="-6"/>
              </w:rPr>
              <w:t xml:space="preserve"> </w:t>
            </w:r>
            <w:r>
              <w:rPr>
                <w:spacing w:val="-2"/>
              </w:rPr>
              <w:t>acumulados</w:t>
            </w:r>
            <w:r>
              <w:rPr>
                <w:rFonts w:ascii="Times New Roman"/>
              </w:rPr>
              <w:tab/>
            </w:r>
            <w:r>
              <w:rPr>
                <w:spacing w:val="-5"/>
              </w:rPr>
              <w:t>140</w:t>
            </w:r>
          </w:hyperlink>
        </w:p>
        <w:p w:rsidR="009B4BB4" w:rsidRDefault="00C44001" w:rsidP="00C44001">
          <w:pPr>
            <w:pStyle w:val="TDC3"/>
            <w:numPr>
              <w:ilvl w:val="1"/>
              <w:numId w:val="69"/>
            </w:numPr>
            <w:tabs>
              <w:tab w:val="left" w:pos="1148"/>
              <w:tab w:val="right" w:leader="dot" w:pos="9190"/>
            </w:tabs>
            <w:ind w:left="1148" w:hanging="363"/>
          </w:pPr>
          <w:hyperlink w:anchor="h.xnr4zwu5rcqx" w:history="1">
            <w:r>
              <w:t>Capital</w:t>
            </w:r>
            <w:r>
              <w:rPr>
                <w:spacing w:val="-5"/>
              </w:rPr>
              <w:t xml:space="preserve"> </w:t>
            </w:r>
            <w:r>
              <w:t>de</w:t>
            </w:r>
            <w:r>
              <w:rPr>
                <w:spacing w:val="-4"/>
              </w:rPr>
              <w:t xml:space="preserve"> </w:t>
            </w:r>
            <w:r>
              <w:t>trabajo</w:t>
            </w:r>
            <w:r>
              <w:rPr>
                <w:spacing w:val="-5"/>
              </w:rPr>
              <w:t xml:space="preserve"> </w:t>
            </w:r>
            <w:r>
              <w:t>y</w:t>
            </w:r>
            <w:r>
              <w:rPr>
                <w:spacing w:val="-4"/>
              </w:rPr>
              <w:t xml:space="preserve"> </w:t>
            </w:r>
            <w:r>
              <w:t>ciclo</w:t>
            </w:r>
            <w:r>
              <w:rPr>
                <w:spacing w:val="-5"/>
              </w:rPr>
              <w:t xml:space="preserve"> </w:t>
            </w:r>
            <w:r>
              <w:t>de</w:t>
            </w:r>
            <w:r>
              <w:rPr>
                <w:spacing w:val="-4"/>
              </w:rPr>
              <w:t xml:space="preserve"> </w:t>
            </w:r>
            <w:r>
              <w:t>conversión</w:t>
            </w:r>
            <w:r>
              <w:rPr>
                <w:spacing w:val="-5"/>
              </w:rPr>
              <w:t xml:space="preserve"> </w:t>
            </w:r>
            <w:r>
              <w:t>de</w:t>
            </w:r>
            <w:r>
              <w:rPr>
                <w:spacing w:val="-4"/>
              </w:rPr>
              <w:t xml:space="preserve"> </w:t>
            </w:r>
            <w:r>
              <w:rPr>
                <w:spacing w:val="-2"/>
              </w:rPr>
              <w:t>efectivo</w:t>
            </w:r>
            <w:r>
              <w:rPr>
                <w:rFonts w:ascii="Times New Roman" w:hAnsi="Times New Roman"/>
              </w:rPr>
              <w:tab/>
            </w:r>
            <w:r>
              <w:rPr>
                <w:spacing w:val="-5"/>
              </w:rPr>
              <w:t>143</w:t>
            </w:r>
          </w:hyperlink>
        </w:p>
        <w:p w:rsidR="009B4BB4" w:rsidRDefault="00C44001" w:rsidP="00C44001">
          <w:pPr>
            <w:pStyle w:val="TDC3"/>
            <w:numPr>
              <w:ilvl w:val="1"/>
              <w:numId w:val="69"/>
            </w:numPr>
            <w:tabs>
              <w:tab w:val="left" w:pos="1148"/>
              <w:tab w:val="right" w:leader="dot" w:pos="9190"/>
            </w:tabs>
            <w:ind w:left="1148" w:hanging="363"/>
          </w:pPr>
          <w:hyperlink w:anchor="h.mmm81tureixa" w:history="1">
            <w:r>
              <w:t>Análisis</w:t>
            </w:r>
            <w:r>
              <w:rPr>
                <w:spacing w:val="-5"/>
              </w:rPr>
              <w:t xml:space="preserve"> </w:t>
            </w:r>
            <w:r>
              <w:t>de</w:t>
            </w:r>
            <w:r>
              <w:rPr>
                <w:spacing w:val="-5"/>
              </w:rPr>
              <w:t xml:space="preserve"> </w:t>
            </w:r>
            <w:r>
              <w:rPr>
                <w:spacing w:val="-2"/>
              </w:rPr>
              <w:t>sensibilidad</w:t>
            </w:r>
            <w:r>
              <w:rPr>
                <w:rFonts w:ascii="Times New Roman" w:hAnsi="Times New Roman"/>
              </w:rPr>
              <w:tab/>
            </w:r>
            <w:r>
              <w:rPr>
                <w:spacing w:val="-5"/>
              </w:rPr>
              <w:t>144</w:t>
            </w:r>
          </w:hyperlink>
        </w:p>
        <w:p w:rsidR="009B4BB4" w:rsidRDefault="00C44001" w:rsidP="00C44001">
          <w:pPr>
            <w:pStyle w:val="TDC3"/>
            <w:numPr>
              <w:ilvl w:val="1"/>
              <w:numId w:val="69"/>
            </w:numPr>
            <w:tabs>
              <w:tab w:val="left" w:pos="1148"/>
              <w:tab w:val="right" w:leader="dot" w:pos="9190"/>
            </w:tabs>
            <w:ind w:left="1148" w:hanging="363"/>
          </w:pPr>
          <w:hyperlink w:anchor="h.otr769chkd15" w:history="1">
            <w:r>
              <w:t>Indicadores</w:t>
            </w:r>
            <w:r>
              <w:rPr>
                <w:spacing w:val="-7"/>
              </w:rPr>
              <w:t xml:space="preserve"> </w:t>
            </w:r>
            <w:r>
              <w:t>financieros</w:t>
            </w:r>
            <w:r>
              <w:rPr>
                <w:spacing w:val="-6"/>
              </w:rPr>
              <w:t xml:space="preserve"> </w:t>
            </w:r>
            <w:r>
              <w:t>y</w:t>
            </w:r>
            <w:r>
              <w:rPr>
                <w:spacing w:val="-6"/>
              </w:rPr>
              <w:t xml:space="preserve"> </w:t>
            </w:r>
            <w:r>
              <w:t>de</w:t>
            </w:r>
            <w:r>
              <w:rPr>
                <w:spacing w:val="-6"/>
              </w:rPr>
              <w:t xml:space="preserve"> </w:t>
            </w:r>
            <w:r>
              <w:rPr>
                <w:spacing w:val="-2"/>
              </w:rPr>
              <w:t>ren</w:t>
            </w:r>
            <w:r>
              <w:rPr>
                <w:spacing w:val="-2"/>
              </w:rPr>
              <w:t>tabilidad</w:t>
            </w:r>
            <w:r>
              <w:rPr>
                <w:rFonts w:ascii="Times New Roman"/>
              </w:rPr>
              <w:tab/>
            </w:r>
            <w:r>
              <w:rPr>
                <w:spacing w:val="-5"/>
              </w:rPr>
              <w:t>148</w:t>
            </w:r>
          </w:hyperlink>
        </w:p>
        <w:p w:rsidR="009B4BB4" w:rsidRDefault="00C44001" w:rsidP="00C44001">
          <w:pPr>
            <w:pStyle w:val="TDC4"/>
            <w:numPr>
              <w:ilvl w:val="2"/>
              <w:numId w:val="69"/>
            </w:numPr>
            <w:tabs>
              <w:tab w:val="left" w:pos="1690"/>
              <w:tab w:val="right" w:leader="dot" w:pos="9190"/>
            </w:tabs>
            <w:ind w:left="1690" w:hanging="545"/>
          </w:pPr>
          <w:hyperlink w:anchor="h.siqhcijoa3cy" w:history="1">
            <w:r>
              <w:t>Comparativa</w:t>
            </w:r>
            <w:r>
              <w:rPr>
                <w:spacing w:val="-5"/>
              </w:rPr>
              <w:t xml:space="preserve"> </w:t>
            </w:r>
            <w:r>
              <w:t>con</w:t>
            </w:r>
            <w:r>
              <w:rPr>
                <w:spacing w:val="-5"/>
              </w:rPr>
              <w:t xml:space="preserve"> </w:t>
            </w:r>
            <w:r>
              <w:t>el</w:t>
            </w:r>
            <w:r>
              <w:rPr>
                <w:spacing w:val="-4"/>
              </w:rPr>
              <w:t xml:space="preserve"> </w:t>
            </w:r>
            <w:r>
              <w:t>costo</w:t>
            </w:r>
            <w:r>
              <w:rPr>
                <w:spacing w:val="-5"/>
              </w:rPr>
              <w:t xml:space="preserve"> </w:t>
            </w:r>
            <w:r>
              <w:t>de</w:t>
            </w:r>
            <w:r>
              <w:rPr>
                <w:spacing w:val="-4"/>
              </w:rPr>
              <w:t xml:space="preserve"> </w:t>
            </w:r>
            <w:r>
              <w:rPr>
                <w:spacing w:val="-2"/>
              </w:rPr>
              <w:t>capital</w:t>
            </w:r>
            <w:r>
              <w:rPr>
                <w:rFonts w:ascii="Times New Roman"/>
              </w:rPr>
              <w:tab/>
            </w:r>
            <w:r>
              <w:rPr>
                <w:spacing w:val="-5"/>
              </w:rPr>
              <w:t>149</w:t>
            </w:r>
          </w:hyperlink>
        </w:p>
        <w:p w:rsidR="009B4BB4" w:rsidRDefault="00C44001" w:rsidP="00C44001">
          <w:pPr>
            <w:pStyle w:val="TDC4"/>
            <w:numPr>
              <w:ilvl w:val="2"/>
              <w:numId w:val="69"/>
            </w:numPr>
            <w:tabs>
              <w:tab w:val="left" w:pos="1690"/>
              <w:tab w:val="right" w:leader="dot" w:pos="9190"/>
            </w:tabs>
            <w:ind w:left="1690" w:hanging="545"/>
          </w:pPr>
          <w:hyperlink w:anchor="h.a3fxkcuvzgyk" w:history="1">
            <w:r>
              <w:t>Estrategia</w:t>
            </w:r>
            <w:r>
              <w:rPr>
                <w:spacing w:val="-6"/>
              </w:rPr>
              <w:t xml:space="preserve"> </w:t>
            </w:r>
            <w:r>
              <w:t>de</w:t>
            </w:r>
            <w:r>
              <w:rPr>
                <w:spacing w:val="-5"/>
              </w:rPr>
              <w:t xml:space="preserve"> </w:t>
            </w:r>
            <w:r>
              <w:t>salida</w:t>
            </w:r>
            <w:r>
              <w:rPr>
                <w:spacing w:val="-5"/>
              </w:rPr>
              <w:t xml:space="preserve"> </w:t>
            </w:r>
            <w:r>
              <w:t>y</w:t>
            </w:r>
            <w:r>
              <w:rPr>
                <w:spacing w:val="-6"/>
              </w:rPr>
              <w:t xml:space="preserve"> </w:t>
            </w:r>
            <w:r>
              <w:t>validación</w:t>
            </w:r>
            <w:r>
              <w:rPr>
                <w:spacing w:val="-5"/>
              </w:rPr>
              <w:t xml:space="preserve"> </w:t>
            </w:r>
            <w:r>
              <w:t>del</w:t>
            </w:r>
            <w:r>
              <w:rPr>
                <w:spacing w:val="-5"/>
              </w:rPr>
              <w:t xml:space="preserve"> </w:t>
            </w:r>
            <w:r>
              <w:t>valor</w:t>
            </w:r>
            <w:r>
              <w:rPr>
                <w:spacing w:val="-5"/>
              </w:rPr>
              <w:t xml:space="preserve"> </w:t>
            </w:r>
            <w:r>
              <w:rPr>
                <w:spacing w:val="-2"/>
              </w:rPr>
              <w:t>terminal</w:t>
            </w:r>
            <w:r>
              <w:rPr>
                <w:rFonts w:ascii="Times New Roman" w:hAnsi="Times New Roman"/>
              </w:rPr>
              <w:tab/>
            </w:r>
            <w:r>
              <w:rPr>
                <w:spacing w:val="-5"/>
              </w:rPr>
              <w:t>150</w:t>
            </w:r>
          </w:hyperlink>
        </w:p>
        <w:p w:rsidR="009B4BB4" w:rsidRDefault="00C44001" w:rsidP="00C44001">
          <w:pPr>
            <w:pStyle w:val="TDC4"/>
            <w:numPr>
              <w:ilvl w:val="2"/>
              <w:numId w:val="69"/>
            </w:numPr>
            <w:tabs>
              <w:tab w:val="left" w:pos="1690"/>
              <w:tab w:val="right" w:leader="dot" w:pos="9190"/>
            </w:tabs>
            <w:ind w:left="1690" w:hanging="545"/>
          </w:pPr>
          <w:hyperlink w:anchor="h.1zdl3ejj94i7" w:history="1">
            <w:r>
              <w:t>Validación</w:t>
            </w:r>
            <w:r>
              <w:rPr>
                <w:spacing w:val="-17"/>
              </w:rPr>
              <w:t xml:space="preserve"> </w:t>
            </w:r>
            <w:r>
              <w:t>del</w:t>
            </w:r>
            <w:r>
              <w:rPr>
                <w:spacing w:val="-14"/>
              </w:rPr>
              <w:t xml:space="preserve"> </w:t>
            </w:r>
            <w:r>
              <w:t>Valor</w:t>
            </w:r>
            <w:r>
              <w:rPr>
                <w:spacing w:val="-14"/>
              </w:rPr>
              <w:t xml:space="preserve"> </w:t>
            </w:r>
            <w:r>
              <w:t>Terminal</w:t>
            </w:r>
            <w:r>
              <w:rPr>
                <w:spacing w:val="-15"/>
              </w:rPr>
              <w:t xml:space="preserve"> </w:t>
            </w:r>
            <w:r>
              <w:t>de</w:t>
            </w:r>
            <w:r>
              <w:rPr>
                <w:spacing w:val="-14"/>
              </w:rPr>
              <w:t xml:space="preserve"> </w:t>
            </w:r>
            <w:r>
              <w:t>la</w:t>
            </w:r>
            <w:r>
              <w:rPr>
                <w:spacing w:val="-14"/>
              </w:rPr>
              <w:t xml:space="preserve"> </w:t>
            </w:r>
            <w:r>
              <w:rPr>
                <w:spacing w:val="-2"/>
              </w:rPr>
              <w:t>Empresa</w:t>
            </w:r>
            <w:r>
              <w:rPr>
                <w:rFonts w:ascii="Times New Roman" w:hAnsi="Times New Roman"/>
              </w:rPr>
              <w:tab/>
            </w:r>
            <w:r>
              <w:rPr>
                <w:spacing w:val="-5"/>
              </w:rPr>
              <w:t>152</w:t>
            </w:r>
          </w:hyperlink>
        </w:p>
        <w:p w:rsidR="009B4BB4" w:rsidRDefault="00C44001" w:rsidP="00C44001">
          <w:pPr>
            <w:pStyle w:val="TDC3"/>
            <w:numPr>
              <w:ilvl w:val="1"/>
              <w:numId w:val="69"/>
            </w:numPr>
            <w:tabs>
              <w:tab w:val="left" w:pos="1148"/>
              <w:tab w:val="right" w:leader="dot" w:pos="9190"/>
            </w:tabs>
            <w:ind w:left="1148" w:hanging="363"/>
          </w:pPr>
          <w:hyperlink w:anchor="h.2sgys413bspr" w:history="1">
            <w:r>
              <w:t>Valor</w:t>
            </w:r>
            <w:r>
              <w:rPr>
                <w:spacing w:val="-9"/>
              </w:rPr>
              <w:t xml:space="preserve"> </w:t>
            </w:r>
            <w:r>
              <w:t>de</w:t>
            </w:r>
            <w:r>
              <w:rPr>
                <w:spacing w:val="-7"/>
              </w:rPr>
              <w:t xml:space="preserve"> </w:t>
            </w:r>
            <w:r>
              <w:t>marca</w:t>
            </w:r>
            <w:r>
              <w:rPr>
                <w:spacing w:val="-7"/>
              </w:rPr>
              <w:t xml:space="preserve"> </w:t>
            </w:r>
            <w:r>
              <w:t>y</w:t>
            </w:r>
            <w:r>
              <w:rPr>
                <w:spacing w:val="-7"/>
              </w:rPr>
              <w:t xml:space="preserve"> </w:t>
            </w:r>
            <w:r>
              <w:t>disposición</w:t>
            </w:r>
            <w:r>
              <w:rPr>
                <w:spacing w:val="-7"/>
              </w:rPr>
              <w:t xml:space="preserve"> </w:t>
            </w:r>
            <w:r>
              <w:t>a</w:t>
            </w:r>
            <w:r>
              <w:rPr>
                <w:spacing w:val="-6"/>
              </w:rPr>
              <w:t xml:space="preserve"> </w:t>
            </w:r>
            <w:r>
              <w:rPr>
                <w:spacing w:val="-2"/>
              </w:rPr>
              <w:t>pagar</w:t>
            </w:r>
            <w:r>
              <w:rPr>
                <w:rFonts w:ascii="Times New Roman" w:hAnsi="Times New Roman"/>
              </w:rPr>
              <w:tab/>
            </w:r>
            <w:r>
              <w:rPr>
                <w:spacing w:val="-5"/>
              </w:rPr>
              <w:t>153</w:t>
            </w:r>
          </w:hyperlink>
        </w:p>
        <w:p w:rsidR="009B4BB4" w:rsidRDefault="00C44001" w:rsidP="00C44001">
          <w:pPr>
            <w:pStyle w:val="TDC3"/>
            <w:numPr>
              <w:ilvl w:val="1"/>
              <w:numId w:val="69"/>
            </w:numPr>
            <w:tabs>
              <w:tab w:val="left" w:pos="1148"/>
              <w:tab w:val="right" w:leader="dot" w:pos="9190"/>
            </w:tabs>
            <w:ind w:left="1148" w:hanging="363"/>
          </w:pPr>
          <w:hyperlink w:anchor="h.wh3ct1t797cl" w:history="1">
            <w:r>
              <w:t>Estrategia</w:t>
            </w:r>
            <w:r>
              <w:rPr>
                <w:spacing w:val="-6"/>
              </w:rPr>
              <w:t xml:space="preserve"> </w:t>
            </w:r>
            <w:r>
              <w:t>de</w:t>
            </w:r>
            <w:r>
              <w:rPr>
                <w:spacing w:val="-6"/>
              </w:rPr>
              <w:t xml:space="preserve"> </w:t>
            </w:r>
            <w:r>
              <w:rPr>
                <w:spacing w:val="-2"/>
              </w:rPr>
              <w:t>financiamiento</w:t>
            </w:r>
            <w:r>
              <w:rPr>
                <w:rFonts w:ascii="Times New Roman"/>
              </w:rPr>
              <w:tab/>
            </w:r>
            <w:r>
              <w:rPr>
                <w:spacing w:val="-5"/>
              </w:rPr>
              <w:t>154</w:t>
            </w:r>
          </w:hyperlink>
        </w:p>
        <w:p w:rsidR="009B4BB4" w:rsidRDefault="00C44001" w:rsidP="00C44001">
          <w:pPr>
            <w:pStyle w:val="TDC4"/>
            <w:numPr>
              <w:ilvl w:val="2"/>
              <w:numId w:val="69"/>
            </w:numPr>
            <w:tabs>
              <w:tab w:val="left" w:pos="1690"/>
              <w:tab w:val="right" w:leader="dot" w:pos="9190"/>
            </w:tabs>
            <w:ind w:left="1690" w:hanging="545"/>
          </w:pPr>
          <w:hyperlink w:anchor="h.3l4y9hspe22" w:history="1">
            <w:r>
              <w:t>Escenarios</w:t>
            </w:r>
            <w:r>
              <w:rPr>
                <w:spacing w:val="-6"/>
              </w:rPr>
              <w:t xml:space="preserve"> </w:t>
            </w:r>
            <w:r>
              <w:t>de</w:t>
            </w:r>
            <w:r>
              <w:rPr>
                <w:spacing w:val="-5"/>
              </w:rPr>
              <w:t xml:space="preserve"> </w:t>
            </w:r>
            <w:r>
              <w:t>retorno</w:t>
            </w:r>
            <w:r>
              <w:rPr>
                <w:spacing w:val="-5"/>
              </w:rPr>
              <w:t xml:space="preserve"> </w:t>
            </w:r>
            <w:r>
              <w:t>al</w:t>
            </w:r>
            <w:r>
              <w:rPr>
                <w:spacing w:val="-5"/>
              </w:rPr>
              <w:t xml:space="preserve"> </w:t>
            </w:r>
            <w:r>
              <w:rPr>
                <w:spacing w:val="-2"/>
              </w:rPr>
              <w:t>inversionista</w:t>
            </w:r>
            <w:r>
              <w:rPr>
                <w:rFonts w:ascii="Times New Roman"/>
              </w:rPr>
              <w:tab/>
            </w:r>
            <w:r>
              <w:rPr>
                <w:spacing w:val="-5"/>
              </w:rPr>
              <w:t>155</w:t>
            </w:r>
          </w:hyperlink>
        </w:p>
        <w:p w:rsidR="009B4BB4" w:rsidRDefault="00C44001" w:rsidP="00C44001">
          <w:pPr>
            <w:pStyle w:val="TDC3"/>
            <w:numPr>
              <w:ilvl w:val="1"/>
              <w:numId w:val="69"/>
            </w:numPr>
            <w:tabs>
              <w:tab w:val="left" w:pos="1270"/>
              <w:tab w:val="right" w:leader="dot" w:pos="9190"/>
            </w:tabs>
            <w:ind w:left="1270" w:hanging="485"/>
          </w:pPr>
          <w:hyperlink w:anchor="h.feyqm29b2ocf" w:history="1">
            <w:r>
              <w:t>Riesgos</w:t>
            </w:r>
            <w:r>
              <w:rPr>
                <w:spacing w:val="-7"/>
              </w:rPr>
              <w:t xml:space="preserve"> </w:t>
            </w:r>
            <w:r>
              <w:t>financieros</w:t>
            </w:r>
            <w:r>
              <w:rPr>
                <w:spacing w:val="-6"/>
              </w:rPr>
              <w:t xml:space="preserve"> </w:t>
            </w:r>
            <w:r>
              <w:t>y</w:t>
            </w:r>
            <w:r>
              <w:rPr>
                <w:spacing w:val="-7"/>
              </w:rPr>
              <w:t xml:space="preserve"> </w:t>
            </w:r>
            <w:r>
              <w:t>estrategias</w:t>
            </w:r>
            <w:r>
              <w:rPr>
                <w:spacing w:val="-6"/>
              </w:rPr>
              <w:t xml:space="preserve"> </w:t>
            </w:r>
            <w:r>
              <w:t>de</w:t>
            </w:r>
            <w:r>
              <w:rPr>
                <w:spacing w:val="-6"/>
              </w:rPr>
              <w:t xml:space="preserve"> </w:t>
            </w:r>
            <w:r>
              <w:rPr>
                <w:spacing w:val="-2"/>
              </w:rPr>
              <w:t>blindaje</w:t>
            </w:r>
            <w:r>
              <w:rPr>
                <w:rFonts w:ascii="Times New Roman"/>
              </w:rPr>
              <w:tab/>
            </w:r>
            <w:r>
              <w:rPr>
                <w:spacing w:val="-5"/>
              </w:rPr>
              <w:t>157</w:t>
            </w:r>
          </w:hyperlink>
        </w:p>
        <w:p w:rsidR="009B4BB4" w:rsidRDefault="00C44001" w:rsidP="00C44001">
          <w:pPr>
            <w:pStyle w:val="TDC4"/>
            <w:numPr>
              <w:ilvl w:val="2"/>
              <w:numId w:val="69"/>
            </w:numPr>
            <w:tabs>
              <w:tab w:val="left" w:pos="1811"/>
              <w:tab w:val="right" w:leader="dot" w:pos="9190"/>
            </w:tabs>
            <w:ind w:left="1811" w:hanging="666"/>
          </w:pPr>
          <w:hyperlink w:anchor="h.oowb24e6memd" w:history="1">
            <w:r>
              <w:t>Análisis</w:t>
            </w:r>
            <w:r>
              <w:rPr>
                <w:spacing w:val="-6"/>
              </w:rPr>
              <w:t xml:space="preserve"> </w:t>
            </w:r>
            <w:r>
              <w:t>de</w:t>
            </w:r>
            <w:r>
              <w:rPr>
                <w:spacing w:val="-6"/>
              </w:rPr>
              <w:t xml:space="preserve"> </w:t>
            </w:r>
            <w:r>
              <w:t>riesgos</w:t>
            </w:r>
            <w:r>
              <w:rPr>
                <w:spacing w:val="-5"/>
              </w:rPr>
              <w:t xml:space="preserve"> </w:t>
            </w:r>
            <w:r>
              <w:rPr>
                <w:spacing w:val="-2"/>
              </w:rPr>
              <w:t>críticos</w:t>
            </w:r>
            <w:r>
              <w:rPr>
                <w:rFonts w:ascii="Times New Roman" w:hAnsi="Times New Roman"/>
              </w:rPr>
              <w:tab/>
            </w:r>
            <w:r>
              <w:rPr>
                <w:spacing w:val="-5"/>
              </w:rPr>
              <w:t>158</w:t>
            </w:r>
          </w:hyperlink>
        </w:p>
        <w:p w:rsidR="009B4BB4" w:rsidRDefault="00C44001" w:rsidP="00C44001">
          <w:pPr>
            <w:pStyle w:val="TDC3"/>
            <w:numPr>
              <w:ilvl w:val="1"/>
              <w:numId w:val="69"/>
            </w:numPr>
            <w:tabs>
              <w:tab w:val="left" w:pos="1254"/>
              <w:tab w:val="right" w:leader="dot" w:pos="9190"/>
            </w:tabs>
            <w:ind w:left="1254" w:hanging="469"/>
          </w:pPr>
          <w:hyperlink w:anchor="h.rrwipm518hbs" w:history="1">
            <w:r>
              <w:t>Viabilidad</w:t>
            </w:r>
            <w:r>
              <w:rPr>
                <w:spacing w:val="-7"/>
              </w:rPr>
              <w:t xml:space="preserve"> </w:t>
            </w:r>
            <w:r>
              <w:t>social</w:t>
            </w:r>
            <w:r>
              <w:rPr>
                <w:spacing w:val="-7"/>
              </w:rPr>
              <w:t xml:space="preserve"> </w:t>
            </w:r>
            <w:r>
              <w:t>y</w:t>
            </w:r>
            <w:r>
              <w:rPr>
                <w:spacing w:val="-7"/>
              </w:rPr>
              <w:t xml:space="preserve"> </w:t>
            </w:r>
            <w:r>
              <w:rPr>
                <w:spacing w:val="-2"/>
              </w:rPr>
              <w:t>ambiental</w:t>
            </w:r>
            <w:r>
              <w:rPr>
                <w:rFonts w:ascii="Times New Roman"/>
              </w:rPr>
              <w:tab/>
            </w:r>
            <w:r>
              <w:rPr>
                <w:spacing w:val="-5"/>
              </w:rPr>
              <w:t>159</w:t>
            </w:r>
          </w:hyperlink>
        </w:p>
        <w:p w:rsidR="009B4BB4" w:rsidRDefault="00C44001" w:rsidP="00C44001">
          <w:pPr>
            <w:pStyle w:val="TDC4"/>
            <w:numPr>
              <w:ilvl w:val="2"/>
              <w:numId w:val="69"/>
            </w:numPr>
            <w:tabs>
              <w:tab w:val="left" w:pos="1795"/>
              <w:tab w:val="right" w:leader="dot" w:pos="9190"/>
            </w:tabs>
            <w:ind w:left="1795" w:hanging="650"/>
          </w:pPr>
          <w:hyperlink w:anchor="h.182uf3p5gyku" w:history="1">
            <w:r>
              <w:t>Alineación</w:t>
            </w:r>
            <w:r>
              <w:rPr>
                <w:spacing w:val="-9"/>
              </w:rPr>
              <w:t xml:space="preserve"> </w:t>
            </w:r>
            <w:r>
              <w:t>con</w:t>
            </w:r>
            <w:r>
              <w:rPr>
                <w:spacing w:val="-7"/>
              </w:rPr>
              <w:t xml:space="preserve"> </w:t>
            </w:r>
            <w:r>
              <w:t>los</w:t>
            </w:r>
            <w:r>
              <w:rPr>
                <w:spacing w:val="-7"/>
              </w:rPr>
              <w:t xml:space="preserve"> </w:t>
            </w:r>
            <w:r>
              <w:t>Objetivos</w:t>
            </w:r>
            <w:r>
              <w:rPr>
                <w:spacing w:val="-6"/>
              </w:rPr>
              <w:t xml:space="preserve"> </w:t>
            </w:r>
            <w:r>
              <w:t>de</w:t>
            </w:r>
            <w:r>
              <w:rPr>
                <w:spacing w:val="-7"/>
              </w:rPr>
              <w:t xml:space="preserve"> </w:t>
            </w:r>
            <w:r>
              <w:t>Desarrollo</w:t>
            </w:r>
            <w:r>
              <w:rPr>
                <w:spacing w:val="-7"/>
              </w:rPr>
              <w:t xml:space="preserve"> </w:t>
            </w:r>
            <w:r>
              <w:t>Sostenible</w:t>
            </w:r>
            <w:r>
              <w:rPr>
                <w:spacing w:val="-6"/>
              </w:rPr>
              <w:t xml:space="preserve"> </w:t>
            </w:r>
            <w:r>
              <w:rPr>
                <w:spacing w:val="-2"/>
              </w:rPr>
              <w:t>(ODS)</w:t>
            </w:r>
            <w:r>
              <w:rPr>
                <w:rFonts w:ascii="Times New Roman" w:hAnsi="Times New Roman"/>
              </w:rPr>
              <w:tab/>
            </w:r>
            <w:r>
              <w:rPr>
                <w:spacing w:val="-5"/>
              </w:rPr>
              <w:t>159</w:t>
            </w:r>
          </w:hyperlink>
        </w:p>
        <w:p w:rsidR="009B4BB4" w:rsidRDefault="00C44001" w:rsidP="00C44001">
          <w:pPr>
            <w:pStyle w:val="TDC3"/>
            <w:numPr>
              <w:ilvl w:val="1"/>
              <w:numId w:val="69"/>
            </w:numPr>
            <w:tabs>
              <w:tab w:val="left" w:pos="1270"/>
              <w:tab w:val="right" w:leader="dot" w:pos="9190"/>
            </w:tabs>
            <w:ind w:left="1270" w:hanging="485"/>
          </w:pPr>
          <w:hyperlink w:anchor="h.8lr28trm6awk" w:history="1">
            <w:r>
              <w:t>Dictamen</w:t>
            </w:r>
            <w:r>
              <w:rPr>
                <w:spacing w:val="-6"/>
              </w:rPr>
              <w:t xml:space="preserve"> </w:t>
            </w:r>
            <w:r>
              <w:t>de</w:t>
            </w:r>
            <w:r>
              <w:rPr>
                <w:spacing w:val="-6"/>
              </w:rPr>
              <w:t xml:space="preserve"> </w:t>
            </w:r>
            <w:r>
              <w:t>viabilidad</w:t>
            </w:r>
            <w:r>
              <w:rPr>
                <w:spacing w:val="-6"/>
              </w:rPr>
              <w:t xml:space="preserve"> </w:t>
            </w:r>
            <w:r>
              <w:t>económica</w:t>
            </w:r>
            <w:r>
              <w:rPr>
                <w:spacing w:val="-6"/>
              </w:rPr>
              <w:t xml:space="preserve"> </w:t>
            </w:r>
            <w:r>
              <w:t>y</w:t>
            </w:r>
            <w:r>
              <w:rPr>
                <w:spacing w:val="-6"/>
              </w:rPr>
              <w:t xml:space="preserve"> </w:t>
            </w:r>
            <w:r>
              <w:rPr>
                <w:spacing w:val="-2"/>
              </w:rPr>
              <w:t>financiera</w:t>
            </w:r>
            <w:r>
              <w:rPr>
                <w:rFonts w:ascii="Times New Roman" w:hAnsi="Times New Roman"/>
              </w:rPr>
              <w:tab/>
            </w:r>
            <w:r>
              <w:rPr>
                <w:spacing w:val="-5"/>
              </w:rPr>
              <w:t>161</w:t>
            </w:r>
          </w:hyperlink>
        </w:p>
        <w:p w:rsidR="009B4BB4" w:rsidRDefault="00C44001">
          <w:pPr>
            <w:pStyle w:val="TDC1"/>
          </w:pPr>
          <w:hyperlink w:anchor="h.kerlkngmeyaa" w:history="1">
            <w:r>
              <w:t>Capítulo</w:t>
            </w:r>
            <w:r>
              <w:rPr>
                <w:spacing w:val="-8"/>
              </w:rPr>
              <w:t xml:space="preserve"> </w:t>
            </w:r>
            <w:r>
              <w:rPr>
                <w:spacing w:val="-10"/>
              </w:rPr>
              <w:t>8</w:t>
            </w:r>
          </w:hyperlink>
        </w:p>
        <w:p w:rsidR="009B4BB4" w:rsidRDefault="00C44001">
          <w:pPr>
            <w:pStyle w:val="TDC2"/>
            <w:tabs>
              <w:tab w:val="right" w:leader="dot" w:pos="9190"/>
            </w:tabs>
          </w:pPr>
          <w:hyperlink w:anchor="h.kerlkngmeyaa" w:history="1">
            <w:r>
              <w:rPr>
                <w:spacing w:val="-2"/>
              </w:rPr>
              <w:t>Conclusiones</w:t>
            </w:r>
            <w:r>
              <w:rPr>
                <w:rFonts w:ascii="Times New Roman"/>
                <w:b w:val="0"/>
              </w:rPr>
              <w:tab/>
            </w:r>
            <w:r>
              <w:rPr>
                <w:spacing w:val="-5"/>
              </w:rPr>
              <w:t>163</w:t>
            </w:r>
          </w:hyperlink>
        </w:p>
        <w:p w:rsidR="009B4BB4" w:rsidRDefault="00C44001">
          <w:pPr>
            <w:pStyle w:val="TDC1"/>
            <w:tabs>
              <w:tab w:val="right" w:leader="dot" w:pos="9190"/>
            </w:tabs>
          </w:pPr>
          <w:hyperlink w:anchor="h.ypxfw9qn9lj6" w:history="1">
            <w:r>
              <w:rPr>
                <w:spacing w:val="-2"/>
              </w:rPr>
              <w:t>Bibliografía</w:t>
            </w:r>
            <w:r>
              <w:rPr>
                <w:rFonts w:ascii="Times New Roman" w:hAnsi="Times New Roman"/>
                <w:b w:val="0"/>
              </w:rPr>
              <w:tab/>
            </w:r>
            <w:r>
              <w:rPr>
                <w:spacing w:val="-5"/>
              </w:rPr>
              <w:t>166</w:t>
            </w:r>
          </w:hyperlink>
        </w:p>
        <w:p w:rsidR="009B4BB4" w:rsidRDefault="00C44001">
          <w:pPr>
            <w:pStyle w:val="TDC1"/>
            <w:tabs>
              <w:tab w:val="right" w:leader="dot" w:pos="9190"/>
            </w:tabs>
          </w:pPr>
          <w:hyperlink w:anchor="h.o1uqq1gbsnl3" w:history="1">
            <w:r>
              <w:rPr>
                <w:spacing w:val="-2"/>
              </w:rPr>
              <w:t>Anexos</w:t>
            </w:r>
            <w:r>
              <w:rPr>
                <w:rFonts w:ascii="Times New Roman"/>
                <w:b w:val="0"/>
              </w:rPr>
              <w:tab/>
            </w:r>
            <w:r>
              <w:rPr>
                <w:spacing w:val="-5"/>
              </w:rPr>
              <w:t>172</w:t>
            </w:r>
          </w:hyperlink>
        </w:p>
        <w:p w:rsidR="009B4BB4" w:rsidRDefault="00C44001">
          <w:pPr>
            <w:pStyle w:val="TDC3"/>
            <w:tabs>
              <w:tab w:val="right" w:leader="dot" w:pos="9190"/>
            </w:tabs>
            <w:ind w:left="785" w:firstLine="0"/>
          </w:pPr>
          <w:hyperlink w:anchor="h.w6qwm7om90bw" w:history="1">
            <w:r>
              <w:t>Anexo</w:t>
            </w:r>
            <w:r>
              <w:rPr>
                <w:spacing w:val="-8"/>
              </w:rPr>
              <w:t xml:space="preserve"> </w:t>
            </w:r>
            <w:r>
              <w:t>1:</w:t>
            </w:r>
            <w:r>
              <w:rPr>
                <w:spacing w:val="-7"/>
              </w:rPr>
              <w:t xml:space="preserve"> </w:t>
            </w:r>
            <w:r>
              <w:t>Herramienta</w:t>
            </w:r>
            <w:r>
              <w:rPr>
                <w:spacing w:val="-8"/>
              </w:rPr>
              <w:t xml:space="preserve"> </w:t>
            </w:r>
            <w:r>
              <w:t>de</w:t>
            </w:r>
            <w:r>
              <w:rPr>
                <w:spacing w:val="-7"/>
              </w:rPr>
              <w:t xml:space="preserve"> </w:t>
            </w:r>
            <w:r>
              <w:t>investigación</w:t>
            </w:r>
            <w:r>
              <w:rPr>
                <w:spacing w:val="-8"/>
              </w:rPr>
              <w:t xml:space="preserve"> </w:t>
            </w:r>
            <w:r>
              <w:t>Cuantitativa</w:t>
            </w:r>
            <w:r>
              <w:rPr>
                <w:spacing w:val="-7"/>
              </w:rPr>
              <w:t xml:space="preserve"> </w:t>
            </w:r>
            <w:r>
              <w:rPr>
                <w:spacing w:val="-2"/>
              </w:rPr>
              <w:t>(Encuestas)</w:t>
            </w:r>
            <w:r>
              <w:rPr>
                <w:rFonts w:ascii="Times New Roman" w:hAnsi="Times New Roman"/>
              </w:rPr>
              <w:tab/>
            </w:r>
            <w:r>
              <w:rPr>
                <w:spacing w:val="-5"/>
              </w:rPr>
              <w:t>172</w:t>
            </w:r>
          </w:hyperlink>
        </w:p>
        <w:p w:rsidR="009B4BB4" w:rsidRDefault="00C44001">
          <w:pPr>
            <w:pStyle w:val="TDC3"/>
            <w:tabs>
              <w:tab w:val="right" w:leader="dot" w:pos="9190"/>
            </w:tabs>
            <w:ind w:left="785" w:firstLine="0"/>
          </w:pPr>
          <w:hyperlink w:anchor="h.e2tc39r6d4k9" w:history="1">
            <w:r>
              <w:t>Anexo</w:t>
            </w:r>
            <w:r>
              <w:rPr>
                <w:spacing w:val="-8"/>
              </w:rPr>
              <w:t xml:space="preserve"> </w:t>
            </w:r>
            <w:r>
              <w:t>2:</w:t>
            </w:r>
            <w:r>
              <w:rPr>
                <w:spacing w:val="-7"/>
              </w:rPr>
              <w:t xml:space="preserve"> </w:t>
            </w:r>
            <w:r>
              <w:t>Herramienta</w:t>
            </w:r>
            <w:r>
              <w:rPr>
                <w:spacing w:val="-7"/>
              </w:rPr>
              <w:t xml:space="preserve"> </w:t>
            </w:r>
            <w:r>
              <w:t>de</w:t>
            </w:r>
            <w:r>
              <w:rPr>
                <w:spacing w:val="-8"/>
              </w:rPr>
              <w:t xml:space="preserve"> </w:t>
            </w:r>
            <w:r>
              <w:t>Investigación</w:t>
            </w:r>
            <w:r>
              <w:rPr>
                <w:spacing w:val="-7"/>
              </w:rPr>
              <w:t xml:space="preserve"> </w:t>
            </w:r>
            <w:r>
              <w:t>Cualitativa</w:t>
            </w:r>
            <w:r>
              <w:rPr>
                <w:spacing w:val="-7"/>
              </w:rPr>
              <w:t xml:space="preserve"> </w:t>
            </w:r>
            <w:r>
              <w:rPr>
                <w:spacing w:val="-2"/>
              </w:rPr>
              <w:t>(Entrevis</w:t>
            </w:r>
            <w:r>
              <w:rPr>
                <w:spacing w:val="-2"/>
              </w:rPr>
              <w:t>tas)</w:t>
            </w:r>
            <w:r>
              <w:rPr>
                <w:rFonts w:ascii="Times New Roman" w:hAnsi="Times New Roman"/>
              </w:rPr>
              <w:tab/>
            </w:r>
            <w:r>
              <w:rPr>
                <w:spacing w:val="-5"/>
              </w:rPr>
              <w:t>177</w:t>
            </w:r>
          </w:hyperlink>
        </w:p>
      </w:sdtContent>
    </w:sdt>
    <w:p w:rsidR="009B4BB4" w:rsidRDefault="009B4BB4">
      <w:pPr>
        <w:pStyle w:val="TDC3"/>
        <w:sectPr w:rsidR="009B4BB4">
          <w:type w:val="continuous"/>
          <w:pgSz w:w="11920" w:h="16840"/>
          <w:pgMar w:top="1560" w:right="850" w:bottom="2794" w:left="1275" w:header="0" w:footer="1747" w:gutter="0"/>
          <w:cols w:space="720"/>
        </w:sectPr>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73"/>
      </w:pPr>
    </w:p>
    <w:p w:rsidR="009B4BB4" w:rsidRDefault="00C44001">
      <w:pPr>
        <w:pStyle w:val="Ttulo1"/>
        <w:ind w:left="237" w:right="413"/>
        <w:jc w:val="center"/>
      </w:pPr>
      <w:bookmarkStart w:id="13" w:name="Índice_de_Tablas_"/>
      <w:bookmarkStart w:id="14" w:name="h.eao051m1ossw"/>
      <w:bookmarkEnd w:id="13"/>
      <w:bookmarkEnd w:id="14"/>
      <w:r>
        <w:t>Índice</w:t>
      </w:r>
      <w:r>
        <w:rPr>
          <w:spacing w:val="-4"/>
        </w:rPr>
        <w:t xml:space="preserve"> </w:t>
      </w:r>
      <w:r>
        <w:t>de</w:t>
      </w:r>
      <w:r>
        <w:rPr>
          <w:spacing w:val="-4"/>
        </w:rPr>
        <w:t xml:space="preserve"> </w:t>
      </w:r>
      <w:r>
        <w:rPr>
          <w:spacing w:val="-2"/>
        </w:rPr>
        <w:t>Tablas</w:t>
      </w:r>
    </w:p>
    <w:p w:rsidR="009B4BB4" w:rsidRDefault="009B4BB4">
      <w:pPr>
        <w:pStyle w:val="Textoindependiente"/>
        <w:spacing w:before="83"/>
        <w:rPr>
          <w:rFonts w:ascii="Arial"/>
          <w:b/>
          <w:sz w:val="20"/>
        </w:rPr>
      </w:pPr>
    </w:p>
    <w:tbl>
      <w:tblPr>
        <w:tblStyle w:val="TableNormal"/>
        <w:tblW w:w="0" w:type="auto"/>
        <w:tblInd w:w="428" w:type="dxa"/>
        <w:tblLayout w:type="fixed"/>
        <w:tblLook w:val="01E0" w:firstRow="1" w:lastRow="1" w:firstColumn="1" w:lastColumn="1" w:noHBand="0" w:noVBand="0"/>
      </w:tblPr>
      <w:tblGrid>
        <w:gridCol w:w="596"/>
        <w:gridCol w:w="608"/>
        <w:gridCol w:w="7420"/>
        <w:gridCol w:w="685"/>
      </w:tblGrid>
      <w:tr w:rsidR="009B4BB4">
        <w:trPr>
          <w:trHeight w:val="296"/>
        </w:trPr>
        <w:tc>
          <w:tcPr>
            <w:tcW w:w="596" w:type="dxa"/>
          </w:tcPr>
          <w:p w:rsidR="009B4BB4" w:rsidRDefault="00C44001">
            <w:pPr>
              <w:pStyle w:val="TableParagraph"/>
              <w:spacing w:line="223" w:lineRule="exact"/>
              <w:ind w:right="16"/>
              <w:jc w:val="center"/>
              <w:rPr>
                <w:sz w:val="20"/>
              </w:rPr>
            </w:pPr>
            <w:r>
              <w:rPr>
                <w:spacing w:val="-2"/>
                <w:sz w:val="20"/>
              </w:rPr>
              <w:t>Tabla</w:t>
            </w:r>
          </w:p>
        </w:tc>
        <w:tc>
          <w:tcPr>
            <w:tcW w:w="608" w:type="dxa"/>
          </w:tcPr>
          <w:p w:rsidR="009B4BB4" w:rsidRDefault="00C44001">
            <w:pPr>
              <w:pStyle w:val="TableParagraph"/>
              <w:spacing w:line="223" w:lineRule="exact"/>
              <w:ind w:right="190"/>
              <w:jc w:val="center"/>
              <w:rPr>
                <w:sz w:val="20"/>
              </w:rPr>
            </w:pPr>
            <w:r>
              <w:rPr>
                <w:spacing w:val="-5"/>
                <w:sz w:val="20"/>
              </w:rPr>
              <w:t>1.1</w:t>
            </w:r>
          </w:p>
        </w:tc>
        <w:tc>
          <w:tcPr>
            <w:tcW w:w="7420" w:type="dxa"/>
          </w:tcPr>
          <w:p w:rsidR="009B4BB4" w:rsidRDefault="00C44001">
            <w:pPr>
              <w:pStyle w:val="TableParagraph"/>
              <w:spacing w:line="223" w:lineRule="exact"/>
              <w:ind w:left="151"/>
              <w:rPr>
                <w:sz w:val="20"/>
              </w:rPr>
            </w:pPr>
            <w:r>
              <w:rPr>
                <w:sz w:val="20"/>
              </w:rPr>
              <w:t>Análisis</w:t>
            </w:r>
            <w:r>
              <w:rPr>
                <w:spacing w:val="-5"/>
                <w:sz w:val="20"/>
              </w:rPr>
              <w:t xml:space="preserve"> </w:t>
            </w:r>
            <w:r>
              <w:rPr>
                <w:sz w:val="20"/>
              </w:rPr>
              <w:t>FODA</w:t>
            </w:r>
            <w:r>
              <w:rPr>
                <w:spacing w:val="-5"/>
                <w:sz w:val="20"/>
              </w:rPr>
              <w:t xml:space="preserve"> </w:t>
            </w:r>
            <w:r>
              <w:rPr>
                <w:sz w:val="20"/>
              </w:rPr>
              <w:t>del</w:t>
            </w:r>
            <w:r>
              <w:rPr>
                <w:spacing w:val="-5"/>
                <w:sz w:val="20"/>
              </w:rPr>
              <w:t xml:space="preserve"> </w:t>
            </w:r>
            <w:r>
              <w:rPr>
                <w:sz w:val="20"/>
              </w:rPr>
              <w:t>modelo</w:t>
            </w:r>
            <w:r>
              <w:rPr>
                <w:spacing w:val="-5"/>
                <w:sz w:val="20"/>
              </w:rPr>
              <w:t xml:space="preserve"> </w:t>
            </w:r>
            <w:r>
              <w:rPr>
                <w:sz w:val="20"/>
              </w:rPr>
              <w:t>de</w:t>
            </w:r>
            <w:r>
              <w:rPr>
                <w:spacing w:val="-5"/>
                <w:sz w:val="20"/>
              </w:rPr>
              <w:t xml:space="preserve"> </w:t>
            </w:r>
            <w:r>
              <w:rPr>
                <w:sz w:val="20"/>
              </w:rPr>
              <w:t>negocio</w:t>
            </w:r>
            <w:r>
              <w:rPr>
                <w:spacing w:val="-5"/>
                <w:sz w:val="20"/>
              </w:rPr>
              <w:t xml:space="preserve"> </w:t>
            </w:r>
            <w:r>
              <w:rPr>
                <w:spacing w:val="-2"/>
                <w:sz w:val="20"/>
              </w:rPr>
              <w:t>Guardiana</w:t>
            </w:r>
          </w:p>
        </w:tc>
        <w:tc>
          <w:tcPr>
            <w:tcW w:w="685" w:type="dxa"/>
          </w:tcPr>
          <w:p w:rsidR="009B4BB4" w:rsidRDefault="00C44001">
            <w:pPr>
              <w:pStyle w:val="TableParagraph"/>
              <w:spacing w:line="223" w:lineRule="exact"/>
              <w:ind w:right="46"/>
              <w:jc w:val="right"/>
              <w:rPr>
                <w:sz w:val="20"/>
              </w:rPr>
            </w:pPr>
            <w:r>
              <w:rPr>
                <w:spacing w:val="-5"/>
                <w:sz w:val="20"/>
              </w:rPr>
              <w:t>14</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1.2</w:t>
            </w:r>
          </w:p>
        </w:tc>
        <w:tc>
          <w:tcPr>
            <w:tcW w:w="7420" w:type="dxa"/>
          </w:tcPr>
          <w:p w:rsidR="009B4BB4" w:rsidRDefault="00C44001">
            <w:pPr>
              <w:pStyle w:val="TableParagraph"/>
              <w:spacing w:before="66"/>
              <w:ind w:left="151"/>
              <w:rPr>
                <w:sz w:val="20"/>
              </w:rPr>
            </w:pPr>
            <w:r>
              <w:rPr>
                <w:sz w:val="20"/>
              </w:rPr>
              <w:t>Análisis</w:t>
            </w:r>
            <w:r>
              <w:rPr>
                <w:spacing w:val="-7"/>
                <w:sz w:val="20"/>
              </w:rPr>
              <w:t xml:space="preserve"> </w:t>
            </w:r>
            <w:r>
              <w:rPr>
                <w:sz w:val="20"/>
              </w:rPr>
              <w:t>de</w:t>
            </w:r>
            <w:r>
              <w:rPr>
                <w:spacing w:val="-5"/>
                <w:sz w:val="20"/>
              </w:rPr>
              <w:t xml:space="preserve"> </w:t>
            </w:r>
            <w:r>
              <w:rPr>
                <w:sz w:val="20"/>
              </w:rPr>
              <w:t>las</w:t>
            </w:r>
            <w:r>
              <w:rPr>
                <w:spacing w:val="-5"/>
                <w:sz w:val="20"/>
              </w:rPr>
              <w:t xml:space="preserve"> </w:t>
            </w:r>
            <w:r>
              <w:rPr>
                <w:sz w:val="20"/>
              </w:rPr>
              <w:t>Cinco</w:t>
            </w:r>
            <w:r>
              <w:rPr>
                <w:spacing w:val="-5"/>
                <w:sz w:val="20"/>
              </w:rPr>
              <w:t xml:space="preserve"> </w:t>
            </w:r>
            <w:r>
              <w:rPr>
                <w:sz w:val="20"/>
              </w:rPr>
              <w:t>Fuerzas</w:t>
            </w:r>
            <w:r>
              <w:rPr>
                <w:spacing w:val="-5"/>
                <w:sz w:val="20"/>
              </w:rPr>
              <w:t xml:space="preserve"> </w:t>
            </w:r>
            <w:r>
              <w:rPr>
                <w:sz w:val="20"/>
              </w:rPr>
              <w:t>de</w:t>
            </w:r>
            <w:r>
              <w:rPr>
                <w:spacing w:val="-5"/>
                <w:sz w:val="20"/>
              </w:rPr>
              <w:t xml:space="preserve"> </w:t>
            </w:r>
            <w:r>
              <w:rPr>
                <w:sz w:val="20"/>
              </w:rPr>
              <w:t>Porter</w:t>
            </w:r>
            <w:r>
              <w:rPr>
                <w:spacing w:val="-5"/>
                <w:sz w:val="20"/>
              </w:rPr>
              <w:t xml:space="preserve"> </w:t>
            </w:r>
            <w:r>
              <w:rPr>
                <w:sz w:val="20"/>
              </w:rPr>
              <w:t>aplicado</w:t>
            </w:r>
            <w:r>
              <w:rPr>
                <w:spacing w:val="-5"/>
                <w:sz w:val="20"/>
              </w:rPr>
              <w:t xml:space="preserve"> </w:t>
            </w:r>
            <w:r>
              <w:rPr>
                <w:sz w:val="20"/>
              </w:rPr>
              <w:t>al</w:t>
            </w:r>
            <w:r>
              <w:rPr>
                <w:spacing w:val="-5"/>
                <w:sz w:val="20"/>
              </w:rPr>
              <w:t xml:space="preserve"> </w:t>
            </w:r>
            <w:r>
              <w:rPr>
                <w:sz w:val="20"/>
              </w:rPr>
              <w:t>modelo</w:t>
            </w:r>
            <w:r>
              <w:rPr>
                <w:spacing w:val="-4"/>
                <w:sz w:val="20"/>
              </w:rPr>
              <w:t xml:space="preserve"> </w:t>
            </w:r>
            <w:r>
              <w:rPr>
                <w:spacing w:val="-2"/>
                <w:sz w:val="20"/>
              </w:rPr>
              <w:t>Guardiana</w:t>
            </w:r>
          </w:p>
        </w:tc>
        <w:tc>
          <w:tcPr>
            <w:tcW w:w="685" w:type="dxa"/>
          </w:tcPr>
          <w:p w:rsidR="009B4BB4" w:rsidRDefault="00C44001">
            <w:pPr>
              <w:pStyle w:val="TableParagraph"/>
              <w:spacing w:before="66"/>
              <w:ind w:right="46"/>
              <w:jc w:val="right"/>
              <w:rPr>
                <w:sz w:val="20"/>
              </w:rPr>
            </w:pPr>
            <w:r>
              <w:rPr>
                <w:spacing w:val="-5"/>
                <w:sz w:val="20"/>
              </w:rPr>
              <w:t>16</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1.3</w:t>
            </w:r>
          </w:p>
        </w:tc>
        <w:tc>
          <w:tcPr>
            <w:tcW w:w="7420" w:type="dxa"/>
          </w:tcPr>
          <w:p w:rsidR="009B4BB4" w:rsidRDefault="00C44001">
            <w:pPr>
              <w:pStyle w:val="TableParagraph"/>
              <w:spacing w:before="66"/>
              <w:ind w:left="151"/>
              <w:rPr>
                <w:sz w:val="20"/>
              </w:rPr>
            </w:pPr>
            <w:r>
              <w:rPr>
                <w:sz w:val="20"/>
              </w:rPr>
              <w:t>Traducción</w:t>
            </w:r>
            <w:r>
              <w:rPr>
                <w:spacing w:val="-7"/>
                <w:sz w:val="20"/>
              </w:rPr>
              <w:t xml:space="preserve"> </w:t>
            </w:r>
            <w:r>
              <w:rPr>
                <w:sz w:val="20"/>
              </w:rPr>
              <w:t>operativa</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ODS</w:t>
            </w:r>
            <w:r>
              <w:rPr>
                <w:spacing w:val="-5"/>
                <w:sz w:val="20"/>
              </w:rPr>
              <w:t xml:space="preserve"> </w:t>
            </w:r>
            <w:r>
              <w:rPr>
                <w:sz w:val="20"/>
              </w:rPr>
              <w:t>en</w:t>
            </w:r>
            <w:r>
              <w:rPr>
                <w:spacing w:val="-5"/>
                <w:sz w:val="20"/>
              </w:rPr>
              <w:t xml:space="preserve"> </w:t>
            </w:r>
            <w:r>
              <w:rPr>
                <w:sz w:val="20"/>
              </w:rPr>
              <w:t>el</w:t>
            </w:r>
            <w:r>
              <w:rPr>
                <w:spacing w:val="-5"/>
                <w:sz w:val="20"/>
              </w:rPr>
              <w:t xml:space="preserve"> </w:t>
            </w:r>
            <w:r>
              <w:rPr>
                <w:sz w:val="20"/>
              </w:rPr>
              <w:t>modelo</w:t>
            </w:r>
            <w:r>
              <w:rPr>
                <w:spacing w:val="-5"/>
                <w:sz w:val="20"/>
              </w:rPr>
              <w:t xml:space="preserve"> </w:t>
            </w:r>
            <w:r>
              <w:rPr>
                <w:sz w:val="20"/>
              </w:rPr>
              <w:t>de</w:t>
            </w:r>
            <w:r>
              <w:rPr>
                <w:spacing w:val="-5"/>
                <w:sz w:val="20"/>
              </w:rPr>
              <w:t xml:space="preserve"> </w:t>
            </w:r>
            <w:r>
              <w:rPr>
                <w:sz w:val="20"/>
              </w:rPr>
              <w:t>negocio</w:t>
            </w:r>
            <w:r>
              <w:rPr>
                <w:spacing w:val="-5"/>
                <w:sz w:val="20"/>
              </w:rPr>
              <w:t xml:space="preserve"> </w:t>
            </w:r>
            <w:r>
              <w:rPr>
                <w:sz w:val="20"/>
              </w:rPr>
              <w:t>de</w:t>
            </w:r>
            <w:r>
              <w:rPr>
                <w:spacing w:val="-5"/>
                <w:sz w:val="20"/>
              </w:rPr>
              <w:t xml:space="preserve"> </w:t>
            </w:r>
            <w:r>
              <w:rPr>
                <w:spacing w:val="-2"/>
                <w:sz w:val="20"/>
              </w:rPr>
              <w:t>Guardiana</w:t>
            </w:r>
          </w:p>
        </w:tc>
        <w:tc>
          <w:tcPr>
            <w:tcW w:w="685" w:type="dxa"/>
          </w:tcPr>
          <w:p w:rsidR="009B4BB4" w:rsidRDefault="00C44001">
            <w:pPr>
              <w:pStyle w:val="TableParagraph"/>
              <w:spacing w:before="66"/>
              <w:ind w:right="46"/>
              <w:jc w:val="right"/>
              <w:rPr>
                <w:sz w:val="20"/>
              </w:rPr>
            </w:pPr>
            <w:r>
              <w:rPr>
                <w:spacing w:val="-5"/>
                <w:sz w:val="20"/>
              </w:rPr>
              <w:t>22</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2.1</w:t>
            </w:r>
          </w:p>
        </w:tc>
        <w:tc>
          <w:tcPr>
            <w:tcW w:w="7420" w:type="dxa"/>
          </w:tcPr>
          <w:p w:rsidR="009B4BB4" w:rsidRDefault="00C44001">
            <w:pPr>
              <w:pStyle w:val="TableParagraph"/>
              <w:spacing w:before="66"/>
              <w:ind w:left="151"/>
              <w:rPr>
                <w:sz w:val="20"/>
              </w:rPr>
            </w:pPr>
            <w:r>
              <w:rPr>
                <w:sz w:val="20"/>
              </w:rPr>
              <w:t>Clasificación</w:t>
            </w:r>
            <w:r>
              <w:rPr>
                <w:spacing w:val="-8"/>
                <w:sz w:val="20"/>
              </w:rPr>
              <w:t xml:space="preserve"> </w:t>
            </w:r>
            <w:r>
              <w:rPr>
                <w:sz w:val="20"/>
              </w:rPr>
              <w:t>de</w:t>
            </w:r>
            <w:r>
              <w:rPr>
                <w:spacing w:val="-5"/>
                <w:sz w:val="20"/>
              </w:rPr>
              <w:t xml:space="preserve"> </w:t>
            </w:r>
            <w:r>
              <w:rPr>
                <w:sz w:val="20"/>
              </w:rPr>
              <w:t>competidores</w:t>
            </w:r>
            <w:r>
              <w:rPr>
                <w:spacing w:val="-6"/>
                <w:sz w:val="20"/>
              </w:rPr>
              <w:t xml:space="preserve"> </w:t>
            </w:r>
            <w:r>
              <w:rPr>
                <w:sz w:val="20"/>
              </w:rPr>
              <w:t>en</w:t>
            </w:r>
            <w:r>
              <w:rPr>
                <w:spacing w:val="-5"/>
                <w:sz w:val="20"/>
              </w:rPr>
              <w:t xml:space="preserve"> </w:t>
            </w:r>
            <w:r>
              <w:rPr>
                <w:sz w:val="20"/>
              </w:rPr>
              <w:t>el</w:t>
            </w:r>
            <w:r>
              <w:rPr>
                <w:spacing w:val="-6"/>
                <w:sz w:val="20"/>
              </w:rPr>
              <w:t xml:space="preserve"> </w:t>
            </w:r>
            <w:r>
              <w:rPr>
                <w:sz w:val="20"/>
              </w:rPr>
              <w:t>mercado</w:t>
            </w:r>
            <w:r>
              <w:rPr>
                <w:spacing w:val="-5"/>
                <w:sz w:val="20"/>
              </w:rPr>
              <w:t xml:space="preserve"> </w:t>
            </w:r>
            <w:r>
              <w:rPr>
                <w:sz w:val="20"/>
              </w:rPr>
              <w:t>de</w:t>
            </w:r>
            <w:r>
              <w:rPr>
                <w:spacing w:val="-6"/>
                <w:sz w:val="20"/>
              </w:rPr>
              <w:t xml:space="preserve"> </w:t>
            </w:r>
            <w:r>
              <w:rPr>
                <w:sz w:val="20"/>
              </w:rPr>
              <w:t>miel</w:t>
            </w:r>
            <w:r>
              <w:rPr>
                <w:spacing w:val="-5"/>
                <w:sz w:val="20"/>
              </w:rPr>
              <w:t xml:space="preserve"> </w:t>
            </w:r>
            <w:r>
              <w:rPr>
                <w:spacing w:val="-2"/>
                <w:sz w:val="20"/>
              </w:rPr>
              <w:t>melipona</w:t>
            </w:r>
          </w:p>
        </w:tc>
        <w:tc>
          <w:tcPr>
            <w:tcW w:w="685" w:type="dxa"/>
          </w:tcPr>
          <w:p w:rsidR="009B4BB4" w:rsidRDefault="00C44001">
            <w:pPr>
              <w:pStyle w:val="TableParagraph"/>
              <w:spacing w:before="66"/>
              <w:ind w:right="46"/>
              <w:jc w:val="right"/>
              <w:rPr>
                <w:sz w:val="20"/>
              </w:rPr>
            </w:pPr>
            <w:r>
              <w:rPr>
                <w:spacing w:val="-5"/>
                <w:sz w:val="20"/>
              </w:rPr>
              <w:t>38</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2.2</w:t>
            </w:r>
          </w:p>
        </w:tc>
        <w:tc>
          <w:tcPr>
            <w:tcW w:w="7420" w:type="dxa"/>
          </w:tcPr>
          <w:p w:rsidR="009B4BB4" w:rsidRDefault="00C44001">
            <w:pPr>
              <w:pStyle w:val="TableParagraph"/>
              <w:spacing w:before="66"/>
              <w:ind w:left="151"/>
              <w:rPr>
                <w:sz w:val="20"/>
              </w:rPr>
            </w:pPr>
            <w:r>
              <w:rPr>
                <w:sz w:val="20"/>
              </w:rPr>
              <w:t>Estructura</w:t>
            </w:r>
            <w:r>
              <w:rPr>
                <w:spacing w:val="-6"/>
                <w:sz w:val="20"/>
              </w:rPr>
              <w:t xml:space="preserve"> </w:t>
            </w:r>
            <w:r>
              <w:rPr>
                <w:sz w:val="20"/>
              </w:rPr>
              <w:t>simplificada</w:t>
            </w:r>
            <w:r>
              <w:rPr>
                <w:spacing w:val="-6"/>
                <w:sz w:val="20"/>
              </w:rPr>
              <w:t xml:space="preserve"> </w:t>
            </w:r>
            <w:r>
              <w:rPr>
                <w:sz w:val="20"/>
              </w:rPr>
              <w:t>de</w:t>
            </w:r>
            <w:r>
              <w:rPr>
                <w:spacing w:val="-6"/>
                <w:sz w:val="20"/>
              </w:rPr>
              <w:t xml:space="preserve"> </w:t>
            </w:r>
            <w:r>
              <w:rPr>
                <w:sz w:val="20"/>
              </w:rPr>
              <w:t>unit</w:t>
            </w:r>
            <w:r>
              <w:rPr>
                <w:spacing w:val="-6"/>
                <w:sz w:val="20"/>
              </w:rPr>
              <w:t xml:space="preserve"> </w:t>
            </w:r>
            <w:r>
              <w:rPr>
                <w:sz w:val="20"/>
              </w:rPr>
              <w:t>economics</w:t>
            </w:r>
            <w:r>
              <w:rPr>
                <w:spacing w:val="-6"/>
                <w:sz w:val="20"/>
              </w:rPr>
              <w:t xml:space="preserve"> </w:t>
            </w:r>
            <w:r>
              <w:rPr>
                <w:sz w:val="20"/>
              </w:rPr>
              <w:t>por</w:t>
            </w:r>
            <w:r>
              <w:rPr>
                <w:spacing w:val="-6"/>
                <w:sz w:val="20"/>
              </w:rPr>
              <w:t xml:space="preserve"> </w:t>
            </w:r>
            <w:r>
              <w:rPr>
                <w:sz w:val="20"/>
              </w:rPr>
              <w:t>unidad</w:t>
            </w:r>
            <w:r>
              <w:rPr>
                <w:spacing w:val="-6"/>
                <w:sz w:val="20"/>
              </w:rPr>
              <w:t xml:space="preserve"> </w:t>
            </w:r>
            <w:r>
              <w:rPr>
                <w:sz w:val="20"/>
              </w:rPr>
              <w:t>de</w:t>
            </w:r>
            <w:r>
              <w:rPr>
                <w:spacing w:val="-6"/>
                <w:sz w:val="20"/>
              </w:rPr>
              <w:t xml:space="preserve"> </w:t>
            </w:r>
            <w:r>
              <w:rPr>
                <w:sz w:val="20"/>
              </w:rPr>
              <w:t>producto</w:t>
            </w:r>
            <w:r>
              <w:rPr>
                <w:spacing w:val="-6"/>
                <w:sz w:val="20"/>
              </w:rPr>
              <w:t xml:space="preserve"> </w:t>
            </w:r>
            <w:r>
              <w:rPr>
                <w:sz w:val="20"/>
              </w:rPr>
              <w:t>(100</w:t>
            </w:r>
            <w:r>
              <w:rPr>
                <w:spacing w:val="-6"/>
                <w:sz w:val="20"/>
              </w:rPr>
              <w:t xml:space="preserve"> </w:t>
            </w:r>
            <w:r>
              <w:rPr>
                <w:spacing w:val="-5"/>
                <w:sz w:val="20"/>
              </w:rPr>
              <w:t>g)</w:t>
            </w:r>
          </w:p>
        </w:tc>
        <w:tc>
          <w:tcPr>
            <w:tcW w:w="685" w:type="dxa"/>
          </w:tcPr>
          <w:p w:rsidR="009B4BB4" w:rsidRDefault="00C44001">
            <w:pPr>
              <w:pStyle w:val="TableParagraph"/>
              <w:spacing w:before="66"/>
              <w:ind w:right="46"/>
              <w:jc w:val="right"/>
              <w:rPr>
                <w:sz w:val="20"/>
              </w:rPr>
            </w:pPr>
            <w:r>
              <w:rPr>
                <w:spacing w:val="-5"/>
                <w:sz w:val="20"/>
              </w:rPr>
              <w:t>48</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3.1</w:t>
            </w:r>
          </w:p>
        </w:tc>
        <w:tc>
          <w:tcPr>
            <w:tcW w:w="7420" w:type="dxa"/>
          </w:tcPr>
          <w:p w:rsidR="009B4BB4" w:rsidRDefault="00C44001">
            <w:pPr>
              <w:pStyle w:val="TableParagraph"/>
              <w:spacing w:before="66"/>
              <w:ind w:left="151"/>
              <w:rPr>
                <w:sz w:val="20"/>
              </w:rPr>
            </w:pPr>
            <w:r>
              <w:rPr>
                <w:sz w:val="20"/>
              </w:rPr>
              <w:t>Objetivos</w:t>
            </w:r>
            <w:r>
              <w:rPr>
                <w:spacing w:val="-8"/>
                <w:sz w:val="20"/>
              </w:rPr>
              <w:t xml:space="preserve"> </w:t>
            </w:r>
            <w:r>
              <w:rPr>
                <w:sz w:val="20"/>
              </w:rPr>
              <w:t>específicos</w:t>
            </w:r>
            <w:r>
              <w:rPr>
                <w:spacing w:val="-8"/>
                <w:sz w:val="20"/>
              </w:rPr>
              <w:t xml:space="preserve"> </w:t>
            </w:r>
            <w:r>
              <w:rPr>
                <w:sz w:val="20"/>
              </w:rPr>
              <w:t>y</w:t>
            </w:r>
            <w:r>
              <w:rPr>
                <w:spacing w:val="-8"/>
                <w:sz w:val="20"/>
              </w:rPr>
              <w:t xml:space="preserve"> </w:t>
            </w:r>
            <w:r>
              <w:rPr>
                <w:sz w:val="20"/>
              </w:rPr>
              <w:t>vinculación</w:t>
            </w:r>
            <w:r>
              <w:rPr>
                <w:spacing w:val="-8"/>
                <w:sz w:val="20"/>
              </w:rPr>
              <w:t xml:space="preserve"> </w:t>
            </w:r>
            <w:r>
              <w:rPr>
                <w:sz w:val="20"/>
              </w:rPr>
              <w:t>metodológica</w:t>
            </w:r>
            <w:r>
              <w:rPr>
                <w:spacing w:val="-8"/>
                <w:sz w:val="20"/>
              </w:rPr>
              <w:t xml:space="preserve"> </w:t>
            </w:r>
            <w:r>
              <w:rPr>
                <w:sz w:val="20"/>
              </w:rPr>
              <w:t>del</w:t>
            </w:r>
            <w:r>
              <w:rPr>
                <w:spacing w:val="-8"/>
                <w:sz w:val="20"/>
              </w:rPr>
              <w:t xml:space="preserve"> </w:t>
            </w:r>
            <w:r>
              <w:rPr>
                <w:sz w:val="20"/>
              </w:rPr>
              <w:t>proyecto</w:t>
            </w:r>
            <w:r>
              <w:rPr>
                <w:spacing w:val="-7"/>
                <w:sz w:val="20"/>
              </w:rPr>
              <w:t xml:space="preserve"> </w:t>
            </w:r>
            <w:r>
              <w:rPr>
                <w:spacing w:val="-2"/>
                <w:sz w:val="20"/>
              </w:rPr>
              <w:t>Guardiana</w:t>
            </w:r>
          </w:p>
        </w:tc>
        <w:tc>
          <w:tcPr>
            <w:tcW w:w="685" w:type="dxa"/>
          </w:tcPr>
          <w:p w:rsidR="009B4BB4" w:rsidRDefault="00C44001">
            <w:pPr>
              <w:pStyle w:val="TableParagraph"/>
              <w:spacing w:before="66"/>
              <w:ind w:right="46"/>
              <w:jc w:val="right"/>
              <w:rPr>
                <w:sz w:val="20"/>
              </w:rPr>
            </w:pPr>
            <w:r>
              <w:rPr>
                <w:spacing w:val="-5"/>
                <w:sz w:val="20"/>
              </w:rPr>
              <w:t>62</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7.1</w:t>
            </w:r>
          </w:p>
        </w:tc>
        <w:tc>
          <w:tcPr>
            <w:tcW w:w="7420" w:type="dxa"/>
          </w:tcPr>
          <w:p w:rsidR="009B4BB4" w:rsidRDefault="00C44001">
            <w:pPr>
              <w:pStyle w:val="TableParagraph"/>
              <w:spacing w:before="66"/>
              <w:ind w:left="151"/>
              <w:rPr>
                <w:sz w:val="20"/>
              </w:rPr>
            </w:pPr>
            <w:r>
              <w:rPr>
                <w:sz w:val="20"/>
              </w:rPr>
              <w:t>Inversión</w:t>
            </w:r>
            <w:r>
              <w:rPr>
                <w:spacing w:val="-7"/>
                <w:sz w:val="20"/>
              </w:rPr>
              <w:t xml:space="preserve"> </w:t>
            </w:r>
            <w:r>
              <w:rPr>
                <w:sz w:val="20"/>
              </w:rPr>
              <w:t>inicial</w:t>
            </w:r>
            <w:r>
              <w:rPr>
                <w:spacing w:val="-7"/>
                <w:sz w:val="20"/>
              </w:rPr>
              <w:t xml:space="preserve"> </w:t>
            </w:r>
            <w:r>
              <w:rPr>
                <w:sz w:val="20"/>
              </w:rPr>
              <w:t>estimada</w:t>
            </w:r>
            <w:r>
              <w:rPr>
                <w:spacing w:val="-6"/>
                <w:sz w:val="20"/>
              </w:rPr>
              <w:t xml:space="preserve"> </w:t>
            </w:r>
            <w:r>
              <w:rPr>
                <w:sz w:val="20"/>
              </w:rPr>
              <w:t>del</w:t>
            </w:r>
            <w:r>
              <w:rPr>
                <w:spacing w:val="-7"/>
                <w:sz w:val="20"/>
              </w:rPr>
              <w:t xml:space="preserve"> </w:t>
            </w:r>
            <w:r>
              <w:rPr>
                <w:sz w:val="20"/>
              </w:rPr>
              <w:t>proyecto</w:t>
            </w:r>
            <w:r>
              <w:rPr>
                <w:spacing w:val="-7"/>
                <w:sz w:val="20"/>
              </w:rPr>
              <w:t xml:space="preserve"> </w:t>
            </w:r>
            <w:r>
              <w:rPr>
                <w:sz w:val="20"/>
              </w:rPr>
              <w:t>Guardiana</w:t>
            </w:r>
            <w:r>
              <w:rPr>
                <w:spacing w:val="-6"/>
                <w:sz w:val="20"/>
              </w:rPr>
              <w:t xml:space="preserve"> </w:t>
            </w:r>
            <w:r>
              <w:rPr>
                <w:sz w:val="20"/>
              </w:rPr>
              <w:t>en</w:t>
            </w:r>
            <w:r>
              <w:rPr>
                <w:spacing w:val="-7"/>
                <w:sz w:val="20"/>
              </w:rPr>
              <w:t xml:space="preserve"> </w:t>
            </w:r>
            <w:r>
              <w:rPr>
                <w:sz w:val="20"/>
              </w:rPr>
              <w:t>dólares</w:t>
            </w:r>
            <w:r>
              <w:rPr>
                <w:spacing w:val="-6"/>
                <w:sz w:val="20"/>
              </w:rPr>
              <w:t xml:space="preserve"> </w:t>
            </w:r>
            <w:r>
              <w:rPr>
                <w:spacing w:val="-2"/>
                <w:sz w:val="20"/>
              </w:rPr>
              <w:t>(USD)</w:t>
            </w:r>
          </w:p>
        </w:tc>
        <w:tc>
          <w:tcPr>
            <w:tcW w:w="685" w:type="dxa"/>
          </w:tcPr>
          <w:p w:rsidR="009B4BB4" w:rsidRDefault="00C44001">
            <w:pPr>
              <w:pStyle w:val="TableParagraph"/>
              <w:spacing w:before="66"/>
              <w:ind w:right="46"/>
              <w:jc w:val="right"/>
              <w:rPr>
                <w:sz w:val="20"/>
              </w:rPr>
            </w:pPr>
            <w:r>
              <w:rPr>
                <w:spacing w:val="-5"/>
                <w:sz w:val="20"/>
              </w:rPr>
              <w:t>125</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7.2</w:t>
            </w:r>
          </w:p>
        </w:tc>
        <w:tc>
          <w:tcPr>
            <w:tcW w:w="7420" w:type="dxa"/>
          </w:tcPr>
          <w:p w:rsidR="009B4BB4" w:rsidRDefault="00C44001">
            <w:pPr>
              <w:pStyle w:val="TableParagraph"/>
              <w:spacing w:before="66"/>
              <w:ind w:left="151"/>
              <w:rPr>
                <w:sz w:val="20"/>
              </w:rPr>
            </w:pPr>
            <w:r>
              <w:rPr>
                <w:sz w:val="20"/>
              </w:rPr>
              <w:t>Estructura</w:t>
            </w:r>
            <w:r>
              <w:rPr>
                <w:spacing w:val="-8"/>
                <w:sz w:val="20"/>
              </w:rPr>
              <w:t xml:space="preserve"> </w:t>
            </w:r>
            <w:r>
              <w:rPr>
                <w:sz w:val="20"/>
              </w:rPr>
              <w:t>de</w:t>
            </w:r>
            <w:r>
              <w:rPr>
                <w:spacing w:val="-5"/>
                <w:sz w:val="20"/>
              </w:rPr>
              <w:t xml:space="preserve"> </w:t>
            </w:r>
            <w:r>
              <w:rPr>
                <w:sz w:val="20"/>
              </w:rPr>
              <w:t>financiamiento</w:t>
            </w:r>
            <w:r>
              <w:rPr>
                <w:spacing w:val="-6"/>
                <w:sz w:val="20"/>
              </w:rPr>
              <w:t xml:space="preserve"> </w:t>
            </w:r>
            <w:r>
              <w:rPr>
                <w:sz w:val="20"/>
              </w:rPr>
              <w:t>y</w:t>
            </w:r>
            <w:r>
              <w:rPr>
                <w:spacing w:val="-5"/>
                <w:sz w:val="20"/>
              </w:rPr>
              <w:t xml:space="preserve"> </w:t>
            </w:r>
            <w:r>
              <w:rPr>
                <w:sz w:val="20"/>
              </w:rPr>
              <w:t>usos</w:t>
            </w:r>
            <w:r>
              <w:rPr>
                <w:spacing w:val="-6"/>
                <w:sz w:val="20"/>
              </w:rPr>
              <w:t xml:space="preserve"> </w:t>
            </w:r>
            <w:r>
              <w:rPr>
                <w:sz w:val="20"/>
              </w:rPr>
              <w:t>de</w:t>
            </w:r>
            <w:r>
              <w:rPr>
                <w:spacing w:val="-5"/>
                <w:sz w:val="20"/>
              </w:rPr>
              <w:t xml:space="preserve"> </w:t>
            </w:r>
            <w:r>
              <w:rPr>
                <w:spacing w:val="-2"/>
                <w:sz w:val="20"/>
              </w:rPr>
              <w:t>fondos</w:t>
            </w:r>
          </w:p>
        </w:tc>
        <w:tc>
          <w:tcPr>
            <w:tcW w:w="685" w:type="dxa"/>
          </w:tcPr>
          <w:p w:rsidR="009B4BB4" w:rsidRDefault="00C44001">
            <w:pPr>
              <w:pStyle w:val="TableParagraph"/>
              <w:spacing w:before="66"/>
              <w:ind w:right="46"/>
              <w:jc w:val="right"/>
              <w:rPr>
                <w:sz w:val="20"/>
              </w:rPr>
            </w:pPr>
            <w:r>
              <w:rPr>
                <w:spacing w:val="-5"/>
                <w:sz w:val="20"/>
              </w:rPr>
              <w:t>126</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7.3</w:t>
            </w:r>
          </w:p>
        </w:tc>
        <w:tc>
          <w:tcPr>
            <w:tcW w:w="7420" w:type="dxa"/>
          </w:tcPr>
          <w:p w:rsidR="009B4BB4" w:rsidRDefault="00C44001">
            <w:pPr>
              <w:pStyle w:val="TableParagraph"/>
              <w:spacing w:before="66"/>
              <w:ind w:left="151"/>
              <w:rPr>
                <w:sz w:val="20"/>
              </w:rPr>
            </w:pPr>
            <w:r>
              <w:rPr>
                <w:sz w:val="20"/>
              </w:rPr>
              <w:t>Desglose</w:t>
            </w:r>
            <w:r>
              <w:rPr>
                <w:spacing w:val="-7"/>
                <w:sz w:val="20"/>
              </w:rPr>
              <w:t xml:space="preserve"> </w:t>
            </w:r>
            <w:r>
              <w:rPr>
                <w:sz w:val="20"/>
              </w:rPr>
              <w:t>del</w:t>
            </w:r>
            <w:r>
              <w:rPr>
                <w:spacing w:val="-5"/>
                <w:sz w:val="20"/>
              </w:rPr>
              <w:t xml:space="preserve"> </w:t>
            </w:r>
            <w:r>
              <w:rPr>
                <w:sz w:val="20"/>
              </w:rPr>
              <w:t>costo</w:t>
            </w:r>
            <w:r>
              <w:rPr>
                <w:spacing w:val="-5"/>
                <w:sz w:val="20"/>
              </w:rPr>
              <w:t xml:space="preserve"> </w:t>
            </w:r>
            <w:r>
              <w:rPr>
                <w:sz w:val="20"/>
              </w:rPr>
              <w:t>unitario</w:t>
            </w:r>
            <w:r>
              <w:rPr>
                <w:spacing w:val="-4"/>
                <w:sz w:val="20"/>
              </w:rPr>
              <w:t xml:space="preserve"> </w:t>
            </w:r>
            <w:r>
              <w:rPr>
                <w:sz w:val="20"/>
              </w:rPr>
              <w:t>estimado</w:t>
            </w:r>
            <w:r>
              <w:rPr>
                <w:spacing w:val="-5"/>
                <w:sz w:val="20"/>
              </w:rPr>
              <w:t xml:space="preserve"> </w:t>
            </w:r>
            <w:r>
              <w:rPr>
                <w:sz w:val="20"/>
              </w:rPr>
              <w:t>por</w:t>
            </w:r>
            <w:r>
              <w:rPr>
                <w:spacing w:val="-5"/>
                <w:sz w:val="20"/>
              </w:rPr>
              <w:t xml:space="preserve"> </w:t>
            </w:r>
            <w:r>
              <w:rPr>
                <w:sz w:val="20"/>
              </w:rPr>
              <w:t>frasco</w:t>
            </w:r>
            <w:r>
              <w:rPr>
                <w:spacing w:val="-4"/>
                <w:sz w:val="20"/>
              </w:rPr>
              <w:t xml:space="preserve"> </w:t>
            </w:r>
            <w:r>
              <w:rPr>
                <w:sz w:val="20"/>
              </w:rPr>
              <w:t>de</w:t>
            </w:r>
            <w:r>
              <w:rPr>
                <w:spacing w:val="-5"/>
                <w:sz w:val="20"/>
              </w:rPr>
              <w:t xml:space="preserve"> </w:t>
            </w:r>
            <w:r>
              <w:rPr>
                <w:sz w:val="20"/>
              </w:rPr>
              <w:t>100</w:t>
            </w:r>
            <w:r>
              <w:rPr>
                <w:spacing w:val="-5"/>
                <w:sz w:val="20"/>
              </w:rPr>
              <w:t xml:space="preserve"> </w:t>
            </w:r>
            <w:r>
              <w:rPr>
                <w:sz w:val="20"/>
              </w:rPr>
              <w:t>g</w:t>
            </w:r>
            <w:r>
              <w:rPr>
                <w:spacing w:val="-4"/>
                <w:sz w:val="20"/>
              </w:rPr>
              <w:t xml:space="preserve"> </w:t>
            </w:r>
            <w:r>
              <w:rPr>
                <w:spacing w:val="-2"/>
                <w:sz w:val="20"/>
              </w:rPr>
              <w:t>(USD)</w:t>
            </w:r>
          </w:p>
        </w:tc>
        <w:tc>
          <w:tcPr>
            <w:tcW w:w="685" w:type="dxa"/>
          </w:tcPr>
          <w:p w:rsidR="009B4BB4" w:rsidRDefault="00C44001">
            <w:pPr>
              <w:pStyle w:val="TableParagraph"/>
              <w:spacing w:before="66"/>
              <w:ind w:right="46"/>
              <w:jc w:val="right"/>
              <w:rPr>
                <w:sz w:val="20"/>
              </w:rPr>
            </w:pPr>
            <w:r>
              <w:rPr>
                <w:spacing w:val="-5"/>
                <w:sz w:val="20"/>
              </w:rPr>
              <w:t>129</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7.4</w:t>
            </w:r>
          </w:p>
        </w:tc>
        <w:tc>
          <w:tcPr>
            <w:tcW w:w="7420" w:type="dxa"/>
          </w:tcPr>
          <w:p w:rsidR="009B4BB4" w:rsidRDefault="00C44001">
            <w:pPr>
              <w:pStyle w:val="TableParagraph"/>
              <w:spacing w:before="66"/>
              <w:ind w:left="151"/>
              <w:rPr>
                <w:sz w:val="20"/>
              </w:rPr>
            </w:pPr>
            <w:r>
              <w:rPr>
                <w:sz w:val="20"/>
              </w:rPr>
              <w:t>Proyección</w:t>
            </w:r>
            <w:r>
              <w:rPr>
                <w:spacing w:val="-6"/>
                <w:sz w:val="20"/>
              </w:rPr>
              <w:t xml:space="preserve"> </w:t>
            </w:r>
            <w:r>
              <w:rPr>
                <w:sz w:val="20"/>
              </w:rPr>
              <w:t>de</w:t>
            </w:r>
            <w:r>
              <w:rPr>
                <w:spacing w:val="-5"/>
                <w:sz w:val="20"/>
              </w:rPr>
              <w:t xml:space="preserve"> </w:t>
            </w:r>
            <w:r>
              <w:rPr>
                <w:sz w:val="20"/>
              </w:rPr>
              <w:t>ingresos</w:t>
            </w:r>
            <w:r>
              <w:rPr>
                <w:spacing w:val="-6"/>
                <w:sz w:val="20"/>
              </w:rPr>
              <w:t xml:space="preserve"> </w:t>
            </w:r>
            <w:r>
              <w:rPr>
                <w:sz w:val="20"/>
              </w:rPr>
              <w:t>del</w:t>
            </w:r>
            <w:r>
              <w:rPr>
                <w:spacing w:val="-5"/>
                <w:sz w:val="20"/>
              </w:rPr>
              <w:t xml:space="preserve"> </w:t>
            </w:r>
            <w:r>
              <w:rPr>
                <w:sz w:val="20"/>
              </w:rPr>
              <w:t>lote</w:t>
            </w:r>
            <w:r>
              <w:rPr>
                <w:spacing w:val="-5"/>
                <w:sz w:val="20"/>
              </w:rPr>
              <w:t xml:space="preserve"> </w:t>
            </w:r>
            <w:r>
              <w:rPr>
                <w:spacing w:val="-2"/>
                <w:sz w:val="20"/>
              </w:rPr>
              <w:t>piloto</w:t>
            </w:r>
          </w:p>
        </w:tc>
        <w:tc>
          <w:tcPr>
            <w:tcW w:w="685" w:type="dxa"/>
          </w:tcPr>
          <w:p w:rsidR="009B4BB4" w:rsidRDefault="00C44001">
            <w:pPr>
              <w:pStyle w:val="TableParagraph"/>
              <w:spacing w:before="66"/>
              <w:ind w:right="46"/>
              <w:jc w:val="right"/>
              <w:rPr>
                <w:sz w:val="20"/>
              </w:rPr>
            </w:pPr>
            <w:r>
              <w:rPr>
                <w:spacing w:val="-5"/>
                <w:sz w:val="20"/>
              </w:rPr>
              <w:t>130</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7.5</w:t>
            </w:r>
          </w:p>
        </w:tc>
        <w:tc>
          <w:tcPr>
            <w:tcW w:w="7420" w:type="dxa"/>
          </w:tcPr>
          <w:p w:rsidR="009B4BB4" w:rsidRDefault="00C44001">
            <w:pPr>
              <w:pStyle w:val="TableParagraph"/>
              <w:spacing w:before="66"/>
              <w:ind w:left="151"/>
              <w:rPr>
                <w:sz w:val="20"/>
              </w:rPr>
            </w:pPr>
            <w:r>
              <w:rPr>
                <w:sz w:val="20"/>
              </w:rPr>
              <w:t>Proyección</w:t>
            </w:r>
            <w:r>
              <w:rPr>
                <w:spacing w:val="-6"/>
                <w:sz w:val="20"/>
              </w:rPr>
              <w:t xml:space="preserve"> </w:t>
            </w:r>
            <w:r>
              <w:rPr>
                <w:sz w:val="20"/>
              </w:rPr>
              <w:t>de</w:t>
            </w:r>
            <w:r>
              <w:rPr>
                <w:spacing w:val="-5"/>
                <w:sz w:val="20"/>
              </w:rPr>
              <w:t xml:space="preserve"> </w:t>
            </w:r>
            <w:r>
              <w:rPr>
                <w:sz w:val="20"/>
              </w:rPr>
              <w:t>egresos</w:t>
            </w:r>
            <w:r>
              <w:rPr>
                <w:spacing w:val="-5"/>
                <w:sz w:val="20"/>
              </w:rPr>
              <w:t xml:space="preserve"> </w:t>
            </w:r>
            <w:r>
              <w:rPr>
                <w:sz w:val="20"/>
              </w:rPr>
              <w:t>del</w:t>
            </w:r>
            <w:r>
              <w:rPr>
                <w:spacing w:val="-5"/>
                <w:sz w:val="20"/>
              </w:rPr>
              <w:t xml:space="preserve"> </w:t>
            </w:r>
            <w:r>
              <w:rPr>
                <w:sz w:val="20"/>
              </w:rPr>
              <w:t>lote</w:t>
            </w:r>
            <w:r>
              <w:rPr>
                <w:spacing w:val="-5"/>
                <w:sz w:val="20"/>
              </w:rPr>
              <w:t xml:space="preserve"> </w:t>
            </w:r>
            <w:r>
              <w:rPr>
                <w:spacing w:val="-2"/>
                <w:sz w:val="20"/>
              </w:rPr>
              <w:t>piloto</w:t>
            </w:r>
          </w:p>
        </w:tc>
        <w:tc>
          <w:tcPr>
            <w:tcW w:w="685" w:type="dxa"/>
          </w:tcPr>
          <w:p w:rsidR="009B4BB4" w:rsidRDefault="00C44001">
            <w:pPr>
              <w:pStyle w:val="TableParagraph"/>
              <w:spacing w:before="66"/>
              <w:ind w:right="46"/>
              <w:jc w:val="right"/>
              <w:rPr>
                <w:sz w:val="20"/>
              </w:rPr>
            </w:pPr>
            <w:r>
              <w:rPr>
                <w:spacing w:val="-5"/>
                <w:sz w:val="20"/>
              </w:rPr>
              <w:t>130</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7.6</w:t>
            </w:r>
          </w:p>
        </w:tc>
        <w:tc>
          <w:tcPr>
            <w:tcW w:w="7420" w:type="dxa"/>
          </w:tcPr>
          <w:p w:rsidR="009B4BB4" w:rsidRDefault="00C44001">
            <w:pPr>
              <w:pStyle w:val="TableParagraph"/>
              <w:spacing w:before="66"/>
              <w:ind w:left="151"/>
              <w:rPr>
                <w:sz w:val="20"/>
              </w:rPr>
            </w:pPr>
            <w:r>
              <w:rPr>
                <w:sz w:val="20"/>
              </w:rPr>
              <w:t>Estado</w:t>
            </w:r>
            <w:r>
              <w:rPr>
                <w:spacing w:val="-8"/>
                <w:sz w:val="20"/>
              </w:rPr>
              <w:t xml:space="preserve"> </w:t>
            </w:r>
            <w:r>
              <w:rPr>
                <w:sz w:val="20"/>
              </w:rPr>
              <w:t>de</w:t>
            </w:r>
            <w:r>
              <w:rPr>
                <w:spacing w:val="-6"/>
                <w:sz w:val="20"/>
              </w:rPr>
              <w:t xml:space="preserve"> </w:t>
            </w:r>
            <w:r>
              <w:rPr>
                <w:sz w:val="20"/>
              </w:rPr>
              <w:t>resultados</w:t>
            </w:r>
            <w:r>
              <w:rPr>
                <w:spacing w:val="-6"/>
                <w:sz w:val="20"/>
              </w:rPr>
              <w:t xml:space="preserve"> </w:t>
            </w:r>
            <w:r>
              <w:rPr>
                <w:sz w:val="20"/>
              </w:rPr>
              <w:t>proyectado</w:t>
            </w:r>
            <w:r>
              <w:rPr>
                <w:spacing w:val="-6"/>
                <w:sz w:val="20"/>
              </w:rPr>
              <w:t xml:space="preserve"> </w:t>
            </w:r>
            <w:r>
              <w:rPr>
                <w:sz w:val="20"/>
              </w:rPr>
              <w:t>del</w:t>
            </w:r>
            <w:r>
              <w:rPr>
                <w:spacing w:val="-6"/>
                <w:sz w:val="20"/>
              </w:rPr>
              <w:t xml:space="preserve"> </w:t>
            </w:r>
            <w:r>
              <w:rPr>
                <w:sz w:val="20"/>
              </w:rPr>
              <w:t>lote</w:t>
            </w:r>
            <w:r>
              <w:rPr>
                <w:spacing w:val="-5"/>
                <w:sz w:val="20"/>
              </w:rPr>
              <w:t xml:space="preserve"> </w:t>
            </w:r>
            <w:r>
              <w:rPr>
                <w:spacing w:val="-2"/>
                <w:sz w:val="20"/>
              </w:rPr>
              <w:t>piloto</w:t>
            </w:r>
          </w:p>
        </w:tc>
        <w:tc>
          <w:tcPr>
            <w:tcW w:w="685" w:type="dxa"/>
          </w:tcPr>
          <w:p w:rsidR="009B4BB4" w:rsidRDefault="00C44001">
            <w:pPr>
              <w:pStyle w:val="TableParagraph"/>
              <w:spacing w:before="66"/>
              <w:ind w:right="46"/>
              <w:jc w:val="right"/>
              <w:rPr>
                <w:sz w:val="20"/>
              </w:rPr>
            </w:pPr>
            <w:r>
              <w:rPr>
                <w:spacing w:val="-5"/>
                <w:sz w:val="20"/>
              </w:rPr>
              <w:t>131</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7.7</w:t>
            </w:r>
          </w:p>
        </w:tc>
        <w:tc>
          <w:tcPr>
            <w:tcW w:w="7420" w:type="dxa"/>
          </w:tcPr>
          <w:p w:rsidR="009B4BB4" w:rsidRDefault="00C44001">
            <w:pPr>
              <w:pStyle w:val="TableParagraph"/>
              <w:spacing w:before="66"/>
              <w:ind w:left="151"/>
              <w:rPr>
                <w:sz w:val="20"/>
              </w:rPr>
            </w:pPr>
            <w:r>
              <w:rPr>
                <w:sz w:val="20"/>
              </w:rPr>
              <w:t>Escenarios</w:t>
            </w:r>
            <w:r>
              <w:rPr>
                <w:spacing w:val="-8"/>
                <w:sz w:val="20"/>
              </w:rPr>
              <w:t xml:space="preserve"> </w:t>
            </w:r>
            <w:r>
              <w:rPr>
                <w:sz w:val="20"/>
              </w:rPr>
              <w:t>de</w:t>
            </w:r>
            <w:r>
              <w:rPr>
                <w:spacing w:val="-5"/>
                <w:sz w:val="20"/>
              </w:rPr>
              <w:t xml:space="preserve"> </w:t>
            </w:r>
            <w:r>
              <w:rPr>
                <w:sz w:val="20"/>
              </w:rPr>
              <w:t>colonias</w:t>
            </w:r>
            <w:r>
              <w:rPr>
                <w:spacing w:val="-5"/>
                <w:sz w:val="20"/>
              </w:rPr>
              <w:t xml:space="preserve"> </w:t>
            </w:r>
            <w:r>
              <w:rPr>
                <w:sz w:val="20"/>
              </w:rPr>
              <w:t>requeridas</w:t>
            </w:r>
            <w:r>
              <w:rPr>
                <w:spacing w:val="-6"/>
                <w:sz w:val="20"/>
              </w:rPr>
              <w:t xml:space="preserve"> </w:t>
            </w:r>
            <w:r>
              <w:rPr>
                <w:sz w:val="20"/>
              </w:rPr>
              <w:t>para</w:t>
            </w:r>
            <w:r>
              <w:rPr>
                <w:spacing w:val="-5"/>
                <w:sz w:val="20"/>
              </w:rPr>
              <w:t xml:space="preserve"> </w:t>
            </w:r>
            <w:r>
              <w:rPr>
                <w:sz w:val="20"/>
              </w:rPr>
              <w:t>producir</w:t>
            </w:r>
            <w:r>
              <w:rPr>
                <w:spacing w:val="-5"/>
                <w:sz w:val="20"/>
              </w:rPr>
              <w:t xml:space="preserve"> </w:t>
            </w:r>
            <w:r>
              <w:rPr>
                <w:sz w:val="20"/>
              </w:rPr>
              <w:t>el</w:t>
            </w:r>
            <w:r>
              <w:rPr>
                <w:spacing w:val="-5"/>
                <w:sz w:val="20"/>
              </w:rPr>
              <w:t xml:space="preserve"> </w:t>
            </w:r>
            <w:r>
              <w:rPr>
                <w:sz w:val="20"/>
              </w:rPr>
              <w:t>lote</w:t>
            </w:r>
            <w:r>
              <w:rPr>
                <w:spacing w:val="-6"/>
                <w:sz w:val="20"/>
              </w:rPr>
              <w:t xml:space="preserve"> </w:t>
            </w:r>
            <w:r>
              <w:rPr>
                <w:sz w:val="20"/>
              </w:rPr>
              <w:t>polito</w:t>
            </w:r>
            <w:r>
              <w:rPr>
                <w:spacing w:val="-5"/>
                <w:sz w:val="20"/>
              </w:rPr>
              <w:t xml:space="preserve"> </w:t>
            </w:r>
            <w:r>
              <w:rPr>
                <w:sz w:val="20"/>
              </w:rPr>
              <w:t>de</w:t>
            </w:r>
            <w:r>
              <w:rPr>
                <w:spacing w:val="-5"/>
                <w:sz w:val="20"/>
              </w:rPr>
              <w:t xml:space="preserve"> </w:t>
            </w:r>
            <w:r>
              <w:rPr>
                <w:sz w:val="20"/>
              </w:rPr>
              <w:t>28</w:t>
            </w:r>
            <w:r>
              <w:rPr>
                <w:spacing w:val="-5"/>
                <w:sz w:val="20"/>
              </w:rPr>
              <w:t xml:space="preserve"> </w:t>
            </w:r>
            <w:r>
              <w:rPr>
                <w:spacing w:val="-2"/>
                <w:sz w:val="20"/>
              </w:rPr>
              <w:t>litros</w:t>
            </w:r>
          </w:p>
        </w:tc>
        <w:tc>
          <w:tcPr>
            <w:tcW w:w="685" w:type="dxa"/>
          </w:tcPr>
          <w:p w:rsidR="009B4BB4" w:rsidRDefault="00C44001">
            <w:pPr>
              <w:pStyle w:val="TableParagraph"/>
              <w:spacing w:before="66"/>
              <w:ind w:right="46"/>
              <w:jc w:val="right"/>
              <w:rPr>
                <w:sz w:val="20"/>
              </w:rPr>
            </w:pPr>
            <w:r>
              <w:rPr>
                <w:spacing w:val="-5"/>
                <w:sz w:val="20"/>
              </w:rPr>
              <w:t>132</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7.8</w:t>
            </w:r>
          </w:p>
        </w:tc>
        <w:tc>
          <w:tcPr>
            <w:tcW w:w="7420" w:type="dxa"/>
          </w:tcPr>
          <w:p w:rsidR="009B4BB4" w:rsidRDefault="00C44001">
            <w:pPr>
              <w:pStyle w:val="TableParagraph"/>
              <w:spacing w:before="66"/>
              <w:ind w:left="151"/>
              <w:rPr>
                <w:sz w:val="20"/>
              </w:rPr>
            </w:pPr>
            <w:r>
              <w:rPr>
                <w:sz w:val="20"/>
              </w:rPr>
              <w:t>Cronograma</w:t>
            </w:r>
            <w:r>
              <w:rPr>
                <w:spacing w:val="-8"/>
                <w:sz w:val="20"/>
              </w:rPr>
              <w:t xml:space="preserve"> </w:t>
            </w:r>
            <w:r>
              <w:rPr>
                <w:sz w:val="20"/>
              </w:rPr>
              <w:t>de</w:t>
            </w:r>
            <w:r>
              <w:rPr>
                <w:spacing w:val="-8"/>
                <w:sz w:val="20"/>
              </w:rPr>
              <w:t xml:space="preserve"> </w:t>
            </w:r>
            <w:r>
              <w:rPr>
                <w:sz w:val="20"/>
              </w:rPr>
              <w:t>escalamiento</w:t>
            </w:r>
            <w:r>
              <w:rPr>
                <w:spacing w:val="-7"/>
                <w:sz w:val="20"/>
              </w:rPr>
              <w:t xml:space="preserve"> </w:t>
            </w:r>
            <w:r>
              <w:rPr>
                <w:sz w:val="20"/>
              </w:rPr>
              <w:t>estratégico</w:t>
            </w:r>
            <w:r>
              <w:rPr>
                <w:spacing w:val="-8"/>
                <w:sz w:val="20"/>
              </w:rPr>
              <w:t xml:space="preserve"> </w:t>
            </w:r>
            <w:r>
              <w:rPr>
                <w:sz w:val="20"/>
              </w:rPr>
              <w:t>y</w:t>
            </w:r>
            <w:r>
              <w:rPr>
                <w:spacing w:val="-8"/>
                <w:sz w:val="20"/>
              </w:rPr>
              <w:t xml:space="preserve"> </w:t>
            </w:r>
            <w:r>
              <w:rPr>
                <w:sz w:val="20"/>
              </w:rPr>
              <w:t>etapas</w:t>
            </w:r>
            <w:r>
              <w:rPr>
                <w:spacing w:val="-7"/>
                <w:sz w:val="20"/>
              </w:rPr>
              <w:t xml:space="preserve"> </w:t>
            </w:r>
            <w:r>
              <w:rPr>
                <w:sz w:val="20"/>
              </w:rPr>
              <w:t>de</w:t>
            </w:r>
            <w:r>
              <w:rPr>
                <w:spacing w:val="-8"/>
                <w:sz w:val="20"/>
              </w:rPr>
              <w:t xml:space="preserve"> </w:t>
            </w:r>
            <w:r>
              <w:rPr>
                <w:sz w:val="20"/>
              </w:rPr>
              <w:t>crecimiento</w:t>
            </w:r>
            <w:r>
              <w:rPr>
                <w:spacing w:val="-7"/>
                <w:sz w:val="20"/>
              </w:rPr>
              <w:t xml:space="preserve"> </w:t>
            </w:r>
            <w:r>
              <w:rPr>
                <w:sz w:val="20"/>
              </w:rPr>
              <w:t>(2026-</w:t>
            </w:r>
            <w:r>
              <w:rPr>
                <w:spacing w:val="-2"/>
                <w:sz w:val="20"/>
              </w:rPr>
              <w:t>2030)</w:t>
            </w:r>
          </w:p>
        </w:tc>
        <w:tc>
          <w:tcPr>
            <w:tcW w:w="685" w:type="dxa"/>
          </w:tcPr>
          <w:p w:rsidR="009B4BB4" w:rsidRDefault="00C44001">
            <w:pPr>
              <w:pStyle w:val="TableParagraph"/>
              <w:spacing w:before="66"/>
              <w:ind w:right="46"/>
              <w:jc w:val="right"/>
              <w:rPr>
                <w:sz w:val="20"/>
              </w:rPr>
            </w:pPr>
            <w:r>
              <w:rPr>
                <w:spacing w:val="-5"/>
                <w:sz w:val="20"/>
              </w:rPr>
              <w:t>133</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7.9</w:t>
            </w:r>
          </w:p>
        </w:tc>
        <w:tc>
          <w:tcPr>
            <w:tcW w:w="7420" w:type="dxa"/>
          </w:tcPr>
          <w:p w:rsidR="009B4BB4" w:rsidRDefault="00C44001">
            <w:pPr>
              <w:pStyle w:val="TableParagraph"/>
              <w:spacing w:before="66"/>
              <w:ind w:left="151"/>
              <w:rPr>
                <w:sz w:val="20"/>
              </w:rPr>
            </w:pPr>
            <w:r>
              <w:rPr>
                <w:sz w:val="20"/>
              </w:rPr>
              <w:t>Proyección</w:t>
            </w:r>
            <w:r>
              <w:rPr>
                <w:spacing w:val="-8"/>
                <w:sz w:val="20"/>
              </w:rPr>
              <w:t xml:space="preserve"> </w:t>
            </w:r>
            <w:r>
              <w:rPr>
                <w:sz w:val="20"/>
              </w:rPr>
              <w:t>financiera</w:t>
            </w:r>
            <w:r>
              <w:rPr>
                <w:spacing w:val="-8"/>
                <w:sz w:val="20"/>
              </w:rPr>
              <w:t xml:space="preserve"> </w:t>
            </w:r>
            <w:r>
              <w:rPr>
                <w:sz w:val="20"/>
              </w:rPr>
              <w:t>estratégica</w:t>
            </w:r>
            <w:r>
              <w:rPr>
                <w:spacing w:val="-8"/>
                <w:sz w:val="20"/>
              </w:rPr>
              <w:t xml:space="preserve"> </w:t>
            </w:r>
            <w:r>
              <w:rPr>
                <w:sz w:val="20"/>
              </w:rPr>
              <w:t>a</w:t>
            </w:r>
            <w:r>
              <w:rPr>
                <w:spacing w:val="-8"/>
                <w:sz w:val="20"/>
              </w:rPr>
              <w:t xml:space="preserve"> </w:t>
            </w:r>
            <w:r>
              <w:rPr>
                <w:sz w:val="20"/>
              </w:rPr>
              <w:t>cinco</w:t>
            </w:r>
            <w:r>
              <w:rPr>
                <w:spacing w:val="-8"/>
                <w:sz w:val="20"/>
              </w:rPr>
              <w:t xml:space="preserve"> </w:t>
            </w:r>
            <w:r>
              <w:rPr>
                <w:sz w:val="20"/>
              </w:rPr>
              <w:t>años</w:t>
            </w:r>
            <w:r>
              <w:rPr>
                <w:spacing w:val="-7"/>
                <w:sz w:val="20"/>
              </w:rPr>
              <w:t xml:space="preserve"> </w:t>
            </w:r>
            <w:r>
              <w:rPr>
                <w:sz w:val="20"/>
              </w:rPr>
              <w:t>(2026-</w:t>
            </w:r>
            <w:r>
              <w:rPr>
                <w:spacing w:val="-2"/>
                <w:sz w:val="20"/>
              </w:rPr>
              <w:t>2030)</w:t>
            </w:r>
          </w:p>
        </w:tc>
        <w:tc>
          <w:tcPr>
            <w:tcW w:w="685" w:type="dxa"/>
          </w:tcPr>
          <w:p w:rsidR="009B4BB4" w:rsidRDefault="00C44001">
            <w:pPr>
              <w:pStyle w:val="TableParagraph"/>
              <w:spacing w:before="66"/>
              <w:ind w:right="46"/>
              <w:jc w:val="right"/>
              <w:rPr>
                <w:sz w:val="20"/>
              </w:rPr>
            </w:pPr>
            <w:r>
              <w:rPr>
                <w:spacing w:val="-5"/>
                <w:sz w:val="20"/>
              </w:rPr>
              <w:t>135</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190"/>
              <w:jc w:val="center"/>
              <w:rPr>
                <w:sz w:val="20"/>
              </w:rPr>
            </w:pPr>
            <w:r>
              <w:rPr>
                <w:spacing w:val="-5"/>
                <w:sz w:val="20"/>
              </w:rPr>
              <w:t>7.1</w:t>
            </w:r>
          </w:p>
        </w:tc>
        <w:tc>
          <w:tcPr>
            <w:tcW w:w="7420" w:type="dxa"/>
          </w:tcPr>
          <w:p w:rsidR="009B4BB4" w:rsidRDefault="00C44001">
            <w:pPr>
              <w:pStyle w:val="TableParagraph"/>
              <w:spacing w:before="66"/>
              <w:ind w:left="151"/>
              <w:rPr>
                <w:sz w:val="20"/>
              </w:rPr>
            </w:pPr>
            <w:r>
              <w:rPr>
                <w:sz w:val="20"/>
              </w:rPr>
              <w:t>Proyección</w:t>
            </w:r>
            <w:r>
              <w:rPr>
                <w:spacing w:val="-8"/>
                <w:sz w:val="20"/>
              </w:rPr>
              <w:t xml:space="preserve"> </w:t>
            </w:r>
            <w:r>
              <w:rPr>
                <w:sz w:val="20"/>
              </w:rPr>
              <w:t>de</w:t>
            </w:r>
            <w:r>
              <w:rPr>
                <w:spacing w:val="-5"/>
                <w:sz w:val="20"/>
              </w:rPr>
              <w:t xml:space="preserve"> </w:t>
            </w:r>
            <w:r>
              <w:rPr>
                <w:sz w:val="20"/>
              </w:rPr>
              <w:t>escalamiento</w:t>
            </w:r>
            <w:r>
              <w:rPr>
                <w:spacing w:val="-5"/>
                <w:sz w:val="20"/>
              </w:rPr>
              <w:t xml:space="preserve"> </w:t>
            </w:r>
            <w:r>
              <w:rPr>
                <w:sz w:val="20"/>
              </w:rPr>
              <w:t>de</w:t>
            </w:r>
            <w:r>
              <w:rPr>
                <w:spacing w:val="-6"/>
                <w:sz w:val="20"/>
              </w:rPr>
              <w:t xml:space="preserve"> </w:t>
            </w:r>
            <w:r>
              <w:rPr>
                <w:sz w:val="20"/>
              </w:rPr>
              <w:t>la</w:t>
            </w:r>
            <w:r>
              <w:rPr>
                <w:spacing w:val="-5"/>
                <w:sz w:val="20"/>
              </w:rPr>
              <w:t xml:space="preserve"> </w:t>
            </w:r>
            <w:r>
              <w:rPr>
                <w:sz w:val="20"/>
              </w:rPr>
              <w:t>capacidad</w:t>
            </w:r>
            <w:r>
              <w:rPr>
                <w:spacing w:val="-5"/>
                <w:sz w:val="20"/>
              </w:rPr>
              <w:t xml:space="preserve"> </w:t>
            </w:r>
            <w:r>
              <w:rPr>
                <w:sz w:val="20"/>
              </w:rPr>
              <w:t>productiva</w:t>
            </w:r>
            <w:r>
              <w:rPr>
                <w:spacing w:val="-6"/>
                <w:sz w:val="20"/>
              </w:rPr>
              <w:t xml:space="preserve"> </w:t>
            </w:r>
            <w:r>
              <w:rPr>
                <w:sz w:val="20"/>
              </w:rPr>
              <w:t>y</w:t>
            </w:r>
            <w:r>
              <w:rPr>
                <w:spacing w:val="-5"/>
                <w:sz w:val="20"/>
              </w:rPr>
              <w:t xml:space="preserve"> </w:t>
            </w:r>
            <w:r>
              <w:rPr>
                <w:sz w:val="20"/>
              </w:rPr>
              <w:t>red</w:t>
            </w:r>
            <w:r>
              <w:rPr>
                <w:spacing w:val="-5"/>
                <w:sz w:val="20"/>
              </w:rPr>
              <w:t xml:space="preserve"> </w:t>
            </w:r>
            <w:r>
              <w:rPr>
                <w:sz w:val="20"/>
              </w:rPr>
              <w:t>de</w:t>
            </w:r>
            <w:r>
              <w:rPr>
                <w:spacing w:val="-5"/>
                <w:sz w:val="20"/>
              </w:rPr>
              <w:t xml:space="preserve"> </w:t>
            </w:r>
            <w:r>
              <w:rPr>
                <w:spacing w:val="-2"/>
                <w:sz w:val="20"/>
              </w:rPr>
              <w:t>proveedores</w:t>
            </w:r>
          </w:p>
        </w:tc>
        <w:tc>
          <w:tcPr>
            <w:tcW w:w="685" w:type="dxa"/>
          </w:tcPr>
          <w:p w:rsidR="009B4BB4" w:rsidRDefault="00C44001">
            <w:pPr>
              <w:pStyle w:val="TableParagraph"/>
              <w:spacing w:before="66"/>
              <w:ind w:right="46"/>
              <w:jc w:val="right"/>
              <w:rPr>
                <w:sz w:val="20"/>
              </w:rPr>
            </w:pPr>
            <w:r>
              <w:rPr>
                <w:spacing w:val="-5"/>
                <w:sz w:val="20"/>
              </w:rPr>
              <w:t>136</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right="93"/>
              <w:jc w:val="center"/>
              <w:rPr>
                <w:sz w:val="20"/>
              </w:rPr>
            </w:pPr>
            <w:r>
              <w:rPr>
                <w:spacing w:val="-4"/>
                <w:sz w:val="20"/>
              </w:rPr>
              <w:t>7.11</w:t>
            </w:r>
          </w:p>
        </w:tc>
        <w:tc>
          <w:tcPr>
            <w:tcW w:w="7420" w:type="dxa"/>
          </w:tcPr>
          <w:p w:rsidR="009B4BB4" w:rsidRDefault="00C44001">
            <w:pPr>
              <w:pStyle w:val="TableParagraph"/>
              <w:spacing w:before="66"/>
              <w:ind w:left="151"/>
              <w:rPr>
                <w:sz w:val="20"/>
              </w:rPr>
            </w:pPr>
            <w:r>
              <w:rPr>
                <w:sz w:val="20"/>
              </w:rPr>
              <w:t>Estrategias</w:t>
            </w:r>
            <w:r>
              <w:rPr>
                <w:spacing w:val="-6"/>
                <w:sz w:val="20"/>
              </w:rPr>
              <w:t xml:space="preserve"> </w:t>
            </w:r>
            <w:r>
              <w:rPr>
                <w:sz w:val="20"/>
              </w:rPr>
              <w:t>de</w:t>
            </w:r>
            <w:r>
              <w:rPr>
                <w:spacing w:val="-5"/>
                <w:sz w:val="20"/>
              </w:rPr>
              <w:t xml:space="preserve"> </w:t>
            </w:r>
            <w:r>
              <w:rPr>
                <w:sz w:val="20"/>
              </w:rPr>
              <w:t>gestión</w:t>
            </w:r>
            <w:r>
              <w:rPr>
                <w:spacing w:val="-5"/>
                <w:sz w:val="20"/>
              </w:rPr>
              <w:t xml:space="preserve"> </w:t>
            </w:r>
            <w:r>
              <w:rPr>
                <w:sz w:val="20"/>
              </w:rPr>
              <w:t>de</w:t>
            </w:r>
            <w:r>
              <w:rPr>
                <w:spacing w:val="-5"/>
                <w:sz w:val="20"/>
              </w:rPr>
              <w:t xml:space="preserve"> </w:t>
            </w:r>
            <w:r>
              <w:rPr>
                <w:sz w:val="20"/>
              </w:rPr>
              <w:t>efectivo</w:t>
            </w:r>
            <w:r>
              <w:rPr>
                <w:spacing w:val="-5"/>
                <w:sz w:val="20"/>
              </w:rPr>
              <w:t xml:space="preserve"> </w:t>
            </w:r>
            <w:r>
              <w:rPr>
                <w:sz w:val="20"/>
              </w:rPr>
              <w:t>y</w:t>
            </w:r>
            <w:r>
              <w:rPr>
                <w:spacing w:val="-5"/>
                <w:sz w:val="20"/>
              </w:rPr>
              <w:t xml:space="preserve"> </w:t>
            </w:r>
            <w:r>
              <w:rPr>
                <w:sz w:val="20"/>
              </w:rPr>
              <w:t>flujo</w:t>
            </w:r>
            <w:r>
              <w:rPr>
                <w:spacing w:val="-5"/>
                <w:sz w:val="20"/>
              </w:rPr>
              <w:t xml:space="preserve"> </w:t>
            </w:r>
            <w:r>
              <w:rPr>
                <w:spacing w:val="-2"/>
                <w:sz w:val="20"/>
              </w:rPr>
              <w:t>operativo</w:t>
            </w:r>
          </w:p>
        </w:tc>
        <w:tc>
          <w:tcPr>
            <w:tcW w:w="685" w:type="dxa"/>
          </w:tcPr>
          <w:p w:rsidR="009B4BB4" w:rsidRDefault="00C44001">
            <w:pPr>
              <w:pStyle w:val="TableParagraph"/>
              <w:spacing w:before="66"/>
              <w:ind w:right="46"/>
              <w:jc w:val="right"/>
              <w:rPr>
                <w:sz w:val="20"/>
              </w:rPr>
            </w:pPr>
            <w:r>
              <w:rPr>
                <w:spacing w:val="-5"/>
                <w:sz w:val="20"/>
              </w:rPr>
              <w:t>138</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7.12</w:t>
            </w:r>
          </w:p>
        </w:tc>
        <w:tc>
          <w:tcPr>
            <w:tcW w:w="7420" w:type="dxa"/>
          </w:tcPr>
          <w:p w:rsidR="009B4BB4" w:rsidRDefault="00C44001">
            <w:pPr>
              <w:pStyle w:val="TableParagraph"/>
              <w:spacing w:before="66"/>
              <w:ind w:left="151"/>
              <w:rPr>
                <w:sz w:val="20"/>
              </w:rPr>
            </w:pPr>
            <w:r>
              <w:rPr>
                <w:sz w:val="20"/>
              </w:rPr>
              <w:t>Flujo</w:t>
            </w:r>
            <w:r>
              <w:rPr>
                <w:spacing w:val="-6"/>
                <w:sz w:val="20"/>
              </w:rPr>
              <w:t xml:space="preserve"> </w:t>
            </w:r>
            <w:r>
              <w:rPr>
                <w:sz w:val="20"/>
              </w:rPr>
              <w:t>de</w:t>
            </w:r>
            <w:r>
              <w:rPr>
                <w:spacing w:val="-6"/>
                <w:sz w:val="20"/>
              </w:rPr>
              <w:t xml:space="preserve"> </w:t>
            </w:r>
            <w:r>
              <w:rPr>
                <w:sz w:val="20"/>
              </w:rPr>
              <w:t>caja</w:t>
            </w:r>
            <w:r>
              <w:rPr>
                <w:spacing w:val="-6"/>
                <w:sz w:val="20"/>
              </w:rPr>
              <w:t xml:space="preserve"> </w:t>
            </w:r>
            <w:r>
              <w:rPr>
                <w:sz w:val="20"/>
              </w:rPr>
              <w:t>libre</w:t>
            </w:r>
            <w:r>
              <w:rPr>
                <w:spacing w:val="-6"/>
                <w:sz w:val="20"/>
              </w:rPr>
              <w:t xml:space="preserve"> </w:t>
            </w:r>
            <w:r>
              <w:rPr>
                <w:sz w:val="20"/>
              </w:rPr>
              <w:t>proyectado</w:t>
            </w:r>
            <w:r>
              <w:rPr>
                <w:spacing w:val="-5"/>
                <w:sz w:val="20"/>
              </w:rPr>
              <w:t xml:space="preserve"> </w:t>
            </w:r>
            <w:r>
              <w:rPr>
                <w:sz w:val="20"/>
              </w:rPr>
              <w:t>y</w:t>
            </w:r>
            <w:r>
              <w:rPr>
                <w:spacing w:val="-6"/>
                <w:sz w:val="20"/>
              </w:rPr>
              <w:t xml:space="preserve"> </w:t>
            </w:r>
            <w:r>
              <w:rPr>
                <w:sz w:val="20"/>
              </w:rPr>
              <w:t>recuperación</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inversión</w:t>
            </w:r>
            <w:r>
              <w:rPr>
                <w:spacing w:val="-5"/>
                <w:sz w:val="20"/>
              </w:rPr>
              <w:t xml:space="preserve"> </w:t>
            </w:r>
            <w:r>
              <w:rPr>
                <w:sz w:val="20"/>
              </w:rPr>
              <w:t>(2026-</w:t>
            </w:r>
            <w:r>
              <w:rPr>
                <w:spacing w:val="-2"/>
                <w:sz w:val="20"/>
              </w:rPr>
              <w:t>2030)</w:t>
            </w:r>
          </w:p>
        </w:tc>
        <w:tc>
          <w:tcPr>
            <w:tcW w:w="685" w:type="dxa"/>
          </w:tcPr>
          <w:p w:rsidR="009B4BB4" w:rsidRDefault="00C44001">
            <w:pPr>
              <w:pStyle w:val="TableParagraph"/>
              <w:spacing w:before="66"/>
              <w:ind w:right="46"/>
              <w:jc w:val="right"/>
              <w:rPr>
                <w:sz w:val="20"/>
              </w:rPr>
            </w:pPr>
            <w:r>
              <w:rPr>
                <w:spacing w:val="-5"/>
                <w:sz w:val="20"/>
              </w:rPr>
              <w:t>139</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7.13</w:t>
            </w:r>
          </w:p>
        </w:tc>
        <w:tc>
          <w:tcPr>
            <w:tcW w:w="7420" w:type="dxa"/>
          </w:tcPr>
          <w:p w:rsidR="009B4BB4" w:rsidRDefault="00C44001">
            <w:pPr>
              <w:pStyle w:val="TableParagraph"/>
              <w:spacing w:before="66"/>
              <w:ind w:left="151"/>
              <w:rPr>
                <w:sz w:val="20"/>
              </w:rPr>
            </w:pPr>
            <w:r>
              <w:rPr>
                <w:sz w:val="20"/>
              </w:rPr>
              <w:t>Resumen</w:t>
            </w:r>
            <w:r>
              <w:rPr>
                <w:spacing w:val="-6"/>
                <w:sz w:val="20"/>
              </w:rPr>
              <w:t xml:space="preserve"> </w:t>
            </w:r>
            <w:r>
              <w:rPr>
                <w:sz w:val="20"/>
              </w:rPr>
              <w:t>de</w:t>
            </w:r>
            <w:r>
              <w:rPr>
                <w:spacing w:val="-6"/>
                <w:sz w:val="20"/>
              </w:rPr>
              <w:t xml:space="preserve"> </w:t>
            </w:r>
            <w:r>
              <w:rPr>
                <w:sz w:val="20"/>
              </w:rPr>
              <w:t>indicadores</w:t>
            </w:r>
            <w:r>
              <w:rPr>
                <w:spacing w:val="-5"/>
                <w:sz w:val="20"/>
              </w:rPr>
              <w:t xml:space="preserve"> </w:t>
            </w:r>
            <w:r>
              <w:rPr>
                <w:sz w:val="20"/>
              </w:rPr>
              <w:t>de</w:t>
            </w:r>
            <w:r>
              <w:rPr>
                <w:spacing w:val="-6"/>
                <w:sz w:val="20"/>
              </w:rPr>
              <w:t xml:space="preserve"> </w:t>
            </w:r>
            <w:r>
              <w:rPr>
                <w:sz w:val="20"/>
              </w:rPr>
              <w:t>rentabilidad</w:t>
            </w:r>
            <w:r>
              <w:rPr>
                <w:spacing w:val="-6"/>
                <w:sz w:val="20"/>
              </w:rPr>
              <w:t xml:space="preserve"> </w:t>
            </w:r>
            <w:r>
              <w:rPr>
                <w:sz w:val="20"/>
              </w:rPr>
              <w:t>y</w:t>
            </w:r>
            <w:r>
              <w:rPr>
                <w:spacing w:val="-5"/>
                <w:sz w:val="20"/>
              </w:rPr>
              <w:t xml:space="preserve"> </w:t>
            </w:r>
            <w:r>
              <w:rPr>
                <w:sz w:val="20"/>
              </w:rPr>
              <w:t>creación</w:t>
            </w:r>
            <w:r>
              <w:rPr>
                <w:spacing w:val="-6"/>
                <w:sz w:val="20"/>
              </w:rPr>
              <w:t xml:space="preserve"> </w:t>
            </w:r>
            <w:r>
              <w:rPr>
                <w:sz w:val="20"/>
              </w:rPr>
              <w:t>de</w:t>
            </w:r>
            <w:r>
              <w:rPr>
                <w:spacing w:val="-5"/>
                <w:sz w:val="20"/>
              </w:rPr>
              <w:t xml:space="preserve"> </w:t>
            </w:r>
            <w:r>
              <w:rPr>
                <w:spacing w:val="-2"/>
                <w:sz w:val="20"/>
              </w:rPr>
              <w:t>valor</w:t>
            </w:r>
          </w:p>
        </w:tc>
        <w:tc>
          <w:tcPr>
            <w:tcW w:w="685" w:type="dxa"/>
          </w:tcPr>
          <w:p w:rsidR="009B4BB4" w:rsidRDefault="00C44001">
            <w:pPr>
              <w:pStyle w:val="TableParagraph"/>
              <w:spacing w:before="66"/>
              <w:ind w:right="46"/>
              <w:jc w:val="right"/>
              <w:rPr>
                <w:sz w:val="20"/>
              </w:rPr>
            </w:pPr>
            <w:r>
              <w:rPr>
                <w:spacing w:val="-5"/>
                <w:sz w:val="20"/>
              </w:rPr>
              <w:t>141</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7.14</w:t>
            </w:r>
          </w:p>
        </w:tc>
        <w:tc>
          <w:tcPr>
            <w:tcW w:w="7420" w:type="dxa"/>
          </w:tcPr>
          <w:p w:rsidR="009B4BB4" w:rsidRDefault="00C44001">
            <w:pPr>
              <w:pStyle w:val="TableParagraph"/>
              <w:spacing w:before="66"/>
              <w:ind w:left="151"/>
              <w:rPr>
                <w:sz w:val="20"/>
              </w:rPr>
            </w:pPr>
            <w:r>
              <w:rPr>
                <w:sz w:val="20"/>
              </w:rPr>
              <w:t>Cálculo</w:t>
            </w:r>
            <w:r>
              <w:rPr>
                <w:spacing w:val="-8"/>
                <w:sz w:val="20"/>
              </w:rPr>
              <w:t xml:space="preserve"> </w:t>
            </w:r>
            <w:r>
              <w:rPr>
                <w:sz w:val="20"/>
              </w:rPr>
              <w:t>del</w:t>
            </w:r>
            <w:r>
              <w:rPr>
                <w:spacing w:val="-5"/>
                <w:sz w:val="20"/>
              </w:rPr>
              <w:t xml:space="preserve"> </w:t>
            </w:r>
            <w:r>
              <w:rPr>
                <w:sz w:val="20"/>
              </w:rPr>
              <w:t>punto</w:t>
            </w:r>
            <w:r>
              <w:rPr>
                <w:spacing w:val="-5"/>
                <w:sz w:val="20"/>
              </w:rPr>
              <w:t xml:space="preserve"> </w:t>
            </w:r>
            <w:r>
              <w:rPr>
                <w:sz w:val="20"/>
              </w:rPr>
              <w:t>de</w:t>
            </w:r>
            <w:r>
              <w:rPr>
                <w:spacing w:val="-6"/>
                <w:sz w:val="20"/>
              </w:rPr>
              <w:t xml:space="preserve"> </w:t>
            </w:r>
            <w:r>
              <w:rPr>
                <w:sz w:val="20"/>
              </w:rPr>
              <w:t>equilibrio</w:t>
            </w:r>
            <w:r>
              <w:rPr>
                <w:spacing w:val="-5"/>
                <w:sz w:val="20"/>
              </w:rPr>
              <w:t xml:space="preserve"> </w:t>
            </w:r>
            <w:r>
              <w:rPr>
                <w:sz w:val="20"/>
              </w:rPr>
              <w:t>operativo</w:t>
            </w:r>
            <w:r>
              <w:rPr>
                <w:spacing w:val="-5"/>
                <w:sz w:val="20"/>
              </w:rPr>
              <w:t xml:space="preserve"> </w:t>
            </w:r>
            <w:r>
              <w:rPr>
                <w:sz w:val="20"/>
              </w:rPr>
              <w:t>para</w:t>
            </w:r>
            <w:r>
              <w:rPr>
                <w:spacing w:val="-6"/>
                <w:sz w:val="20"/>
              </w:rPr>
              <w:t xml:space="preserve"> </w:t>
            </w:r>
            <w:r>
              <w:rPr>
                <w:sz w:val="20"/>
              </w:rPr>
              <w:t>el</w:t>
            </w:r>
            <w:r>
              <w:rPr>
                <w:spacing w:val="-5"/>
                <w:sz w:val="20"/>
              </w:rPr>
              <w:t xml:space="preserve"> </w:t>
            </w:r>
            <w:r>
              <w:rPr>
                <w:sz w:val="20"/>
              </w:rPr>
              <w:t>primer</w:t>
            </w:r>
            <w:r>
              <w:rPr>
                <w:spacing w:val="-5"/>
                <w:sz w:val="20"/>
              </w:rPr>
              <w:t xml:space="preserve"> año</w:t>
            </w:r>
          </w:p>
        </w:tc>
        <w:tc>
          <w:tcPr>
            <w:tcW w:w="685" w:type="dxa"/>
          </w:tcPr>
          <w:p w:rsidR="009B4BB4" w:rsidRDefault="00C44001">
            <w:pPr>
              <w:pStyle w:val="TableParagraph"/>
              <w:spacing w:before="66"/>
              <w:ind w:right="46"/>
              <w:jc w:val="right"/>
              <w:rPr>
                <w:sz w:val="20"/>
              </w:rPr>
            </w:pPr>
            <w:r>
              <w:rPr>
                <w:spacing w:val="-5"/>
                <w:sz w:val="20"/>
              </w:rPr>
              <w:t>142</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7.15</w:t>
            </w:r>
          </w:p>
        </w:tc>
        <w:tc>
          <w:tcPr>
            <w:tcW w:w="7420" w:type="dxa"/>
          </w:tcPr>
          <w:p w:rsidR="009B4BB4" w:rsidRDefault="00C44001">
            <w:pPr>
              <w:pStyle w:val="TableParagraph"/>
              <w:spacing w:before="66"/>
              <w:ind w:left="151"/>
              <w:rPr>
                <w:sz w:val="20"/>
              </w:rPr>
            </w:pPr>
            <w:r>
              <w:rPr>
                <w:sz w:val="20"/>
              </w:rPr>
              <w:t>Sensibilidad</w:t>
            </w:r>
            <w:r>
              <w:rPr>
                <w:spacing w:val="-8"/>
                <w:sz w:val="20"/>
              </w:rPr>
              <w:t xml:space="preserve"> </w:t>
            </w:r>
            <w:r>
              <w:rPr>
                <w:sz w:val="20"/>
              </w:rPr>
              <w:t>del</w:t>
            </w:r>
            <w:r>
              <w:rPr>
                <w:spacing w:val="-8"/>
                <w:sz w:val="20"/>
              </w:rPr>
              <w:t xml:space="preserve"> </w:t>
            </w:r>
            <w:r>
              <w:rPr>
                <w:sz w:val="20"/>
              </w:rPr>
              <w:t>VAN</w:t>
            </w:r>
            <w:r>
              <w:rPr>
                <w:spacing w:val="-7"/>
                <w:sz w:val="20"/>
              </w:rPr>
              <w:t xml:space="preserve"> </w:t>
            </w:r>
            <w:r>
              <w:rPr>
                <w:sz w:val="20"/>
              </w:rPr>
              <w:t>ante</w:t>
            </w:r>
            <w:r>
              <w:rPr>
                <w:spacing w:val="-8"/>
                <w:sz w:val="20"/>
              </w:rPr>
              <w:t xml:space="preserve"> </w:t>
            </w:r>
            <w:r>
              <w:rPr>
                <w:sz w:val="20"/>
              </w:rPr>
              <w:t>variaciones</w:t>
            </w:r>
            <w:r>
              <w:rPr>
                <w:spacing w:val="-7"/>
                <w:sz w:val="20"/>
              </w:rPr>
              <w:t xml:space="preserve"> </w:t>
            </w:r>
            <w:r>
              <w:rPr>
                <w:sz w:val="20"/>
              </w:rPr>
              <w:t>del</w:t>
            </w:r>
            <w:r>
              <w:rPr>
                <w:spacing w:val="-8"/>
                <w:sz w:val="20"/>
              </w:rPr>
              <w:t xml:space="preserve"> </w:t>
            </w:r>
            <w:r>
              <w:rPr>
                <w:sz w:val="20"/>
              </w:rPr>
              <w:t>±10%</w:t>
            </w:r>
            <w:r>
              <w:rPr>
                <w:spacing w:val="-7"/>
                <w:sz w:val="20"/>
              </w:rPr>
              <w:t xml:space="preserve"> </w:t>
            </w:r>
            <w:r>
              <w:rPr>
                <w:sz w:val="20"/>
              </w:rPr>
              <w:t>(Base:</w:t>
            </w:r>
            <w:r>
              <w:rPr>
                <w:spacing w:val="-8"/>
                <w:sz w:val="20"/>
              </w:rPr>
              <w:t xml:space="preserve"> </w:t>
            </w:r>
            <w:r>
              <w:rPr>
                <w:sz w:val="20"/>
              </w:rPr>
              <w:t>$145,800</w:t>
            </w:r>
            <w:r>
              <w:rPr>
                <w:spacing w:val="-7"/>
                <w:sz w:val="20"/>
              </w:rPr>
              <w:t xml:space="preserve"> </w:t>
            </w:r>
            <w:r>
              <w:rPr>
                <w:spacing w:val="-4"/>
                <w:sz w:val="20"/>
              </w:rPr>
              <w:t>USD)</w:t>
            </w:r>
          </w:p>
        </w:tc>
        <w:tc>
          <w:tcPr>
            <w:tcW w:w="685" w:type="dxa"/>
          </w:tcPr>
          <w:p w:rsidR="009B4BB4" w:rsidRDefault="00C44001">
            <w:pPr>
              <w:pStyle w:val="TableParagraph"/>
              <w:spacing w:before="66"/>
              <w:ind w:right="46"/>
              <w:jc w:val="right"/>
              <w:rPr>
                <w:sz w:val="20"/>
              </w:rPr>
            </w:pPr>
            <w:r>
              <w:rPr>
                <w:spacing w:val="-5"/>
                <w:sz w:val="20"/>
              </w:rPr>
              <w:t>145</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7.16</w:t>
            </w:r>
          </w:p>
        </w:tc>
        <w:tc>
          <w:tcPr>
            <w:tcW w:w="7420" w:type="dxa"/>
          </w:tcPr>
          <w:p w:rsidR="009B4BB4" w:rsidRDefault="00C44001">
            <w:pPr>
              <w:pStyle w:val="TableParagraph"/>
              <w:spacing w:before="66"/>
              <w:ind w:left="151"/>
              <w:rPr>
                <w:sz w:val="20"/>
              </w:rPr>
            </w:pPr>
            <w:r>
              <w:rPr>
                <w:sz w:val="20"/>
              </w:rPr>
              <w:t>Matriz</w:t>
            </w:r>
            <w:r>
              <w:rPr>
                <w:spacing w:val="-9"/>
                <w:sz w:val="20"/>
              </w:rPr>
              <w:t xml:space="preserve"> </w:t>
            </w:r>
            <w:r>
              <w:rPr>
                <w:sz w:val="20"/>
              </w:rPr>
              <w:t>de</w:t>
            </w:r>
            <w:r>
              <w:rPr>
                <w:spacing w:val="-6"/>
                <w:sz w:val="20"/>
              </w:rPr>
              <w:t xml:space="preserve"> </w:t>
            </w:r>
            <w:r>
              <w:rPr>
                <w:sz w:val="20"/>
              </w:rPr>
              <w:t>escenarios</w:t>
            </w:r>
            <w:r>
              <w:rPr>
                <w:spacing w:val="-6"/>
                <w:sz w:val="20"/>
              </w:rPr>
              <w:t xml:space="preserve"> </w:t>
            </w:r>
            <w:r>
              <w:rPr>
                <w:sz w:val="20"/>
              </w:rPr>
              <w:t>integrados</w:t>
            </w:r>
            <w:r>
              <w:rPr>
                <w:spacing w:val="-6"/>
                <w:sz w:val="20"/>
              </w:rPr>
              <w:t xml:space="preserve"> </w:t>
            </w:r>
            <w:r>
              <w:rPr>
                <w:sz w:val="20"/>
              </w:rPr>
              <w:t>de</w:t>
            </w:r>
            <w:r>
              <w:rPr>
                <w:spacing w:val="-6"/>
                <w:sz w:val="20"/>
              </w:rPr>
              <w:t xml:space="preserve"> </w:t>
            </w:r>
            <w:r>
              <w:rPr>
                <w:sz w:val="20"/>
              </w:rPr>
              <w:t>rentabilidad</w:t>
            </w:r>
            <w:r>
              <w:rPr>
                <w:spacing w:val="-6"/>
                <w:sz w:val="20"/>
              </w:rPr>
              <w:t xml:space="preserve"> </w:t>
            </w:r>
            <w:r>
              <w:rPr>
                <w:sz w:val="20"/>
              </w:rPr>
              <w:t>y</w:t>
            </w:r>
            <w:r>
              <w:rPr>
                <w:spacing w:val="-6"/>
                <w:sz w:val="20"/>
              </w:rPr>
              <w:t xml:space="preserve"> </w:t>
            </w:r>
            <w:r>
              <w:rPr>
                <w:spacing w:val="-2"/>
                <w:sz w:val="20"/>
              </w:rPr>
              <w:t>sensibilidad</w:t>
            </w:r>
          </w:p>
        </w:tc>
        <w:tc>
          <w:tcPr>
            <w:tcW w:w="685" w:type="dxa"/>
          </w:tcPr>
          <w:p w:rsidR="009B4BB4" w:rsidRDefault="00C44001">
            <w:pPr>
              <w:pStyle w:val="TableParagraph"/>
              <w:spacing w:before="66"/>
              <w:ind w:right="46"/>
              <w:jc w:val="right"/>
              <w:rPr>
                <w:sz w:val="20"/>
              </w:rPr>
            </w:pPr>
            <w:r>
              <w:rPr>
                <w:spacing w:val="-5"/>
                <w:sz w:val="20"/>
              </w:rPr>
              <w:t>147</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7.17</w:t>
            </w:r>
          </w:p>
        </w:tc>
        <w:tc>
          <w:tcPr>
            <w:tcW w:w="7420" w:type="dxa"/>
          </w:tcPr>
          <w:p w:rsidR="009B4BB4" w:rsidRDefault="00C44001">
            <w:pPr>
              <w:pStyle w:val="TableParagraph"/>
              <w:spacing w:before="66"/>
              <w:ind w:left="151"/>
              <w:rPr>
                <w:sz w:val="20"/>
              </w:rPr>
            </w:pPr>
            <w:r>
              <w:rPr>
                <w:sz w:val="20"/>
              </w:rPr>
              <w:t>Resumen</w:t>
            </w:r>
            <w:r>
              <w:rPr>
                <w:spacing w:val="-11"/>
                <w:sz w:val="20"/>
              </w:rPr>
              <w:t xml:space="preserve"> </w:t>
            </w:r>
            <w:r>
              <w:rPr>
                <w:sz w:val="20"/>
              </w:rPr>
              <w:t>comparativo</w:t>
            </w:r>
            <w:r>
              <w:rPr>
                <w:spacing w:val="-8"/>
                <w:sz w:val="20"/>
              </w:rPr>
              <w:t xml:space="preserve"> </w:t>
            </w:r>
            <w:r>
              <w:rPr>
                <w:sz w:val="20"/>
              </w:rPr>
              <w:t>de</w:t>
            </w:r>
            <w:r>
              <w:rPr>
                <w:spacing w:val="-8"/>
                <w:sz w:val="20"/>
              </w:rPr>
              <w:t xml:space="preserve"> </w:t>
            </w:r>
            <w:r>
              <w:rPr>
                <w:sz w:val="20"/>
              </w:rPr>
              <w:t>indicadores</w:t>
            </w:r>
            <w:r>
              <w:rPr>
                <w:spacing w:val="-8"/>
                <w:sz w:val="20"/>
              </w:rPr>
              <w:t xml:space="preserve"> </w:t>
            </w:r>
            <w:r>
              <w:rPr>
                <w:sz w:val="20"/>
              </w:rPr>
              <w:t>financieros</w:t>
            </w:r>
            <w:r>
              <w:rPr>
                <w:spacing w:val="-9"/>
                <w:sz w:val="20"/>
              </w:rPr>
              <w:t xml:space="preserve"> </w:t>
            </w:r>
            <w:r>
              <w:rPr>
                <w:sz w:val="20"/>
              </w:rPr>
              <w:t>por</w:t>
            </w:r>
            <w:r>
              <w:rPr>
                <w:spacing w:val="-8"/>
                <w:sz w:val="20"/>
              </w:rPr>
              <w:t xml:space="preserve"> </w:t>
            </w:r>
            <w:r>
              <w:rPr>
                <w:sz w:val="20"/>
              </w:rPr>
              <w:t>escenario</w:t>
            </w:r>
            <w:r>
              <w:rPr>
                <w:spacing w:val="-8"/>
                <w:sz w:val="20"/>
              </w:rPr>
              <w:t xml:space="preserve"> </w:t>
            </w:r>
            <w:r>
              <w:rPr>
                <w:sz w:val="20"/>
              </w:rPr>
              <w:t>(WACC</w:t>
            </w:r>
            <w:r>
              <w:rPr>
                <w:spacing w:val="-8"/>
                <w:sz w:val="20"/>
              </w:rPr>
              <w:t xml:space="preserve"> </w:t>
            </w:r>
            <w:r>
              <w:rPr>
                <w:spacing w:val="-4"/>
                <w:sz w:val="20"/>
              </w:rPr>
              <w:t>12%)</w:t>
            </w:r>
          </w:p>
        </w:tc>
        <w:tc>
          <w:tcPr>
            <w:tcW w:w="685" w:type="dxa"/>
          </w:tcPr>
          <w:p w:rsidR="009B4BB4" w:rsidRDefault="00C44001">
            <w:pPr>
              <w:pStyle w:val="TableParagraph"/>
              <w:spacing w:before="66"/>
              <w:ind w:right="46"/>
              <w:jc w:val="right"/>
              <w:rPr>
                <w:sz w:val="20"/>
              </w:rPr>
            </w:pPr>
            <w:r>
              <w:rPr>
                <w:spacing w:val="-5"/>
                <w:sz w:val="20"/>
              </w:rPr>
              <w:t>148</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7.18</w:t>
            </w:r>
          </w:p>
        </w:tc>
        <w:tc>
          <w:tcPr>
            <w:tcW w:w="7420" w:type="dxa"/>
          </w:tcPr>
          <w:p w:rsidR="009B4BB4" w:rsidRDefault="00C44001">
            <w:pPr>
              <w:pStyle w:val="TableParagraph"/>
              <w:spacing w:before="66"/>
              <w:ind w:left="151"/>
              <w:rPr>
                <w:sz w:val="20"/>
              </w:rPr>
            </w:pPr>
            <w:r>
              <w:rPr>
                <w:sz w:val="20"/>
              </w:rPr>
              <w:t>Resumen</w:t>
            </w:r>
            <w:r>
              <w:rPr>
                <w:spacing w:val="-8"/>
                <w:sz w:val="20"/>
              </w:rPr>
              <w:t xml:space="preserve"> </w:t>
            </w:r>
            <w:r>
              <w:rPr>
                <w:sz w:val="20"/>
              </w:rPr>
              <w:t>de</w:t>
            </w:r>
            <w:r>
              <w:rPr>
                <w:spacing w:val="-5"/>
                <w:sz w:val="20"/>
              </w:rPr>
              <w:t xml:space="preserve"> </w:t>
            </w:r>
            <w:r>
              <w:rPr>
                <w:sz w:val="20"/>
              </w:rPr>
              <w:t>rutas</w:t>
            </w:r>
            <w:r>
              <w:rPr>
                <w:spacing w:val="-5"/>
                <w:sz w:val="20"/>
              </w:rPr>
              <w:t xml:space="preserve"> </w:t>
            </w:r>
            <w:r>
              <w:rPr>
                <w:sz w:val="20"/>
              </w:rPr>
              <w:t>de</w:t>
            </w:r>
            <w:r>
              <w:rPr>
                <w:spacing w:val="-6"/>
                <w:sz w:val="20"/>
              </w:rPr>
              <w:t xml:space="preserve"> </w:t>
            </w:r>
            <w:r>
              <w:rPr>
                <w:sz w:val="20"/>
              </w:rPr>
              <w:t>capitalización</w:t>
            </w:r>
            <w:r>
              <w:rPr>
                <w:spacing w:val="-5"/>
                <w:sz w:val="20"/>
              </w:rPr>
              <w:t xml:space="preserve"> </w:t>
            </w:r>
            <w:r>
              <w:rPr>
                <w:sz w:val="20"/>
              </w:rPr>
              <w:t>y</w:t>
            </w:r>
            <w:r>
              <w:rPr>
                <w:spacing w:val="-5"/>
                <w:sz w:val="20"/>
              </w:rPr>
              <w:t xml:space="preserve"> </w:t>
            </w:r>
            <w:r>
              <w:rPr>
                <w:sz w:val="20"/>
              </w:rPr>
              <w:t>salida</w:t>
            </w:r>
            <w:r>
              <w:rPr>
                <w:spacing w:val="-5"/>
                <w:sz w:val="20"/>
              </w:rPr>
              <w:t xml:space="preserve"> </w:t>
            </w:r>
            <w:r>
              <w:rPr>
                <w:spacing w:val="-2"/>
                <w:sz w:val="20"/>
              </w:rPr>
              <w:t>estratégica</w:t>
            </w:r>
          </w:p>
        </w:tc>
        <w:tc>
          <w:tcPr>
            <w:tcW w:w="685" w:type="dxa"/>
          </w:tcPr>
          <w:p w:rsidR="009B4BB4" w:rsidRDefault="00C44001">
            <w:pPr>
              <w:pStyle w:val="TableParagraph"/>
              <w:spacing w:before="66"/>
              <w:ind w:right="46"/>
              <w:jc w:val="right"/>
              <w:rPr>
                <w:sz w:val="20"/>
              </w:rPr>
            </w:pPr>
            <w:r>
              <w:rPr>
                <w:spacing w:val="-5"/>
                <w:sz w:val="20"/>
              </w:rPr>
              <w:t>152</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7.19</w:t>
            </w:r>
          </w:p>
        </w:tc>
        <w:tc>
          <w:tcPr>
            <w:tcW w:w="7420" w:type="dxa"/>
          </w:tcPr>
          <w:p w:rsidR="009B4BB4" w:rsidRDefault="00C44001">
            <w:pPr>
              <w:pStyle w:val="TableParagraph"/>
              <w:spacing w:before="66"/>
              <w:ind w:left="151"/>
              <w:rPr>
                <w:sz w:val="20"/>
              </w:rPr>
            </w:pPr>
            <w:r>
              <w:rPr>
                <w:sz w:val="20"/>
              </w:rPr>
              <w:t>Estimación</w:t>
            </w:r>
            <w:r>
              <w:rPr>
                <w:spacing w:val="-8"/>
                <w:sz w:val="20"/>
              </w:rPr>
              <w:t xml:space="preserve"> </w:t>
            </w:r>
            <w:r>
              <w:rPr>
                <w:sz w:val="20"/>
              </w:rPr>
              <w:t>del</w:t>
            </w:r>
            <w:r>
              <w:rPr>
                <w:spacing w:val="-5"/>
                <w:sz w:val="20"/>
              </w:rPr>
              <w:t xml:space="preserve"> </w:t>
            </w:r>
            <w:r>
              <w:rPr>
                <w:sz w:val="20"/>
              </w:rPr>
              <w:t>valor</w:t>
            </w:r>
            <w:r>
              <w:rPr>
                <w:spacing w:val="-5"/>
                <w:sz w:val="20"/>
              </w:rPr>
              <w:t xml:space="preserve"> </w:t>
            </w:r>
            <w:r>
              <w:rPr>
                <w:sz w:val="20"/>
              </w:rPr>
              <w:t>de</w:t>
            </w:r>
            <w:r>
              <w:rPr>
                <w:spacing w:val="-5"/>
                <w:sz w:val="20"/>
              </w:rPr>
              <w:t xml:space="preserve"> </w:t>
            </w:r>
            <w:r>
              <w:rPr>
                <w:sz w:val="20"/>
              </w:rPr>
              <w:t>mercado</w:t>
            </w:r>
            <w:r>
              <w:rPr>
                <w:spacing w:val="-6"/>
                <w:sz w:val="20"/>
              </w:rPr>
              <w:t xml:space="preserve"> </w:t>
            </w:r>
            <w:r>
              <w:rPr>
                <w:sz w:val="20"/>
              </w:rPr>
              <w:t>de</w:t>
            </w:r>
            <w:r>
              <w:rPr>
                <w:spacing w:val="-5"/>
                <w:sz w:val="20"/>
              </w:rPr>
              <w:t xml:space="preserve"> </w:t>
            </w:r>
            <w:r>
              <w:rPr>
                <w:sz w:val="20"/>
              </w:rPr>
              <w:t>Guardiana</w:t>
            </w:r>
            <w:r>
              <w:rPr>
                <w:spacing w:val="-5"/>
                <w:sz w:val="20"/>
              </w:rPr>
              <w:t xml:space="preserve"> </w:t>
            </w:r>
            <w:r>
              <w:rPr>
                <w:sz w:val="20"/>
              </w:rPr>
              <w:t>(Año</w:t>
            </w:r>
            <w:r>
              <w:rPr>
                <w:spacing w:val="-5"/>
                <w:sz w:val="20"/>
              </w:rPr>
              <w:t xml:space="preserve"> 5)</w:t>
            </w:r>
          </w:p>
        </w:tc>
        <w:tc>
          <w:tcPr>
            <w:tcW w:w="685" w:type="dxa"/>
          </w:tcPr>
          <w:p w:rsidR="009B4BB4" w:rsidRDefault="00C44001">
            <w:pPr>
              <w:pStyle w:val="TableParagraph"/>
              <w:spacing w:before="66"/>
              <w:ind w:right="46"/>
              <w:jc w:val="right"/>
              <w:rPr>
                <w:sz w:val="20"/>
              </w:rPr>
            </w:pPr>
            <w:r>
              <w:rPr>
                <w:spacing w:val="-5"/>
                <w:sz w:val="20"/>
              </w:rPr>
              <w:t>153</w:t>
            </w:r>
          </w:p>
        </w:tc>
      </w:tr>
      <w:tr w:rsidR="009B4BB4">
        <w:trPr>
          <w:trHeight w:val="296"/>
        </w:trPr>
        <w:tc>
          <w:tcPr>
            <w:tcW w:w="596" w:type="dxa"/>
          </w:tcPr>
          <w:p w:rsidR="009B4BB4" w:rsidRDefault="00C44001">
            <w:pPr>
              <w:pStyle w:val="TableParagraph"/>
              <w:spacing w:before="66" w:line="210" w:lineRule="exact"/>
              <w:ind w:right="16"/>
              <w:jc w:val="center"/>
              <w:rPr>
                <w:sz w:val="20"/>
              </w:rPr>
            </w:pPr>
            <w:r>
              <w:rPr>
                <w:spacing w:val="-2"/>
                <w:sz w:val="20"/>
              </w:rPr>
              <w:t>Tabla</w:t>
            </w:r>
          </w:p>
        </w:tc>
        <w:tc>
          <w:tcPr>
            <w:tcW w:w="608" w:type="dxa"/>
          </w:tcPr>
          <w:p w:rsidR="009B4BB4" w:rsidRDefault="00C44001">
            <w:pPr>
              <w:pStyle w:val="TableParagraph"/>
              <w:spacing w:before="66" w:line="210" w:lineRule="exact"/>
              <w:ind w:left="15" w:right="93"/>
              <w:jc w:val="center"/>
              <w:rPr>
                <w:sz w:val="20"/>
              </w:rPr>
            </w:pPr>
            <w:r>
              <w:rPr>
                <w:spacing w:val="-4"/>
                <w:sz w:val="20"/>
              </w:rPr>
              <w:t>7.20</w:t>
            </w:r>
          </w:p>
        </w:tc>
        <w:tc>
          <w:tcPr>
            <w:tcW w:w="7420" w:type="dxa"/>
          </w:tcPr>
          <w:p w:rsidR="009B4BB4" w:rsidRDefault="00C44001">
            <w:pPr>
              <w:pStyle w:val="TableParagraph"/>
              <w:spacing w:before="66" w:line="210" w:lineRule="exact"/>
              <w:ind w:left="151"/>
              <w:rPr>
                <w:sz w:val="20"/>
              </w:rPr>
            </w:pPr>
            <w:r>
              <w:rPr>
                <w:sz w:val="20"/>
              </w:rPr>
              <w:t>Fuentes</w:t>
            </w:r>
            <w:r>
              <w:rPr>
                <w:spacing w:val="-6"/>
                <w:sz w:val="20"/>
              </w:rPr>
              <w:t xml:space="preserve"> </w:t>
            </w:r>
            <w:r>
              <w:rPr>
                <w:sz w:val="20"/>
              </w:rPr>
              <w:t>y</w:t>
            </w:r>
            <w:r>
              <w:rPr>
                <w:spacing w:val="-4"/>
                <w:sz w:val="20"/>
              </w:rPr>
              <w:t xml:space="preserve"> </w:t>
            </w:r>
            <w:r>
              <w:rPr>
                <w:sz w:val="20"/>
              </w:rPr>
              <w:t>usos</w:t>
            </w:r>
            <w:r>
              <w:rPr>
                <w:spacing w:val="-4"/>
                <w:sz w:val="20"/>
              </w:rPr>
              <w:t xml:space="preserve"> </w:t>
            </w:r>
            <w:r>
              <w:rPr>
                <w:sz w:val="20"/>
              </w:rPr>
              <w:t>de</w:t>
            </w:r>
            <w:r>
              <w:rPr>
                <w:spacing w:val="-4"/>
                <w:sz w:val="20"/>
              </w:rPr>
              <w:t xml:space="preserve"> </w:t>
            </w:r>
            <w:r>
              <w:rPr>
                <w:sz w:val="20"/>
              </w:rPr>
              <w:t>fondos</w:t>
            </w:r>
            <w:r>
              <w:rPr>
                <w:spacing w:val="-4"/>
                <w:sz w:val="20"/>
              </w:rPr>
              <w:t xml:space="preserve"> </w:t>
            </w:r>
            <w:r>
              <w:rPr>
                <w:sz w:val="20"/>
              </w:rPr>
              <w:t>para</w:t>
            </w:r>
            <w:r>
              <w:rPr>
                <w:spacing w:val="-4"/>
                <w:sz w:val="20"/>
              </w:rPr>
              <w:t xml:space="preserve"> </w:t>
            </w:r>
            <w:r>
              <w:rPr>
                <w:sz w:val="20"/>
              </w:rPr>
              <w:t>el</w:t>
            </w:r>
            <w:r>
              <w:rPr>
                <w:spacing w:val="-4"/>
                <w:sz w:val="20"/>
              </w:rPr>
              <w:t xml:space="preserve"> </w:t>
            </w:r>
            <w:r>
              <w:rPr>
                <w:sz w:val="20"/>
              </w:rPr>
              <w:t>arranque</w:t>
            </w:r>
            <w:r>
              <w:rPr>
                <w:spacing w:val="-4"/>
                <w:sz w:val="20"/>
              </w:rPr>
              <w:t xml:space="preserve"> </w:t>
            </w:r>
            <w:r>
              <w:rPr>
                <w:sz w:val="20"/>
              </w:rPr>
              <w:t>de</w:t>
            </w:r>
            <w:r>
              <w:rPr>
                <w:spacing w:val="-4"/>
                <w:sz w:val="20"/>
              </w:rPr>
              <w:t xml:space="preserve"> </w:t>
            </w:r>
            <w:r>
              <w:rPr>
                <w:spacing w:val="-2"/>
                <w:sz w:val="20"/>
              </w:rPr>
              <w:t>operaciones</w:t>
            </w:r>
          </w:p>
        </w:tc>
        <w:tc>
          <w:tcPr>
            <w:tcW w:w="685" w:type="dxa"/>
          </w:tcPr>
          <w:p w:rsidR="009B4BB4" w:rsidRDefault="00C44001">
            <w:pPr>
              <w:pStyle w:val="TableParagraph"/>
              <w:spacing w:before="66" w:line="210" w:lineRule="exact"/>
              <w:ind w:right="46"/>
              <w:jc w:val="right"/>
              <w:rPr>
                <w:sz w:val="20"/>
              </w:rPr>
            </w:pPr>
            <w:r>
              <w:rPr>
                <w:spacing w:val="-5"/>
                <w:sz w:val="20"/>
              </w:rPr>
              <w:t>154</w:t>
            </w:r>
          </w:p>
        </w:tc>
      </w:tr>
    </w:tbl>
    <w:p w:rsidR="009B4BB4" w:rsidRDefault="009B4BB4">
      <w:pPr>
        <w:pStyle w:val="TableParagraph"/>
        <w:spacing w:line="210" w:lineRule="exact"/>
        <w:jc w:val="right"/>
        <w:rPr>
          <w:sz w:val="20"/>
        </w:rPr>
        <w:sectPr w:rsidR="009B4BB4">
          <w:pgSz w:w="11920" w:h="16840"/>
          <w:pgMar w:top="1940" w:right="850" w:bottom="1940" w:left="1275" w:header="0" w:footer="1747" w:gutter="0"/>
          <w:cols w:space="720"/>
        </w:sectPr>
      </w:pPr>
    </w:p>
    <w:p w:rsidR="009B4BB4" w:rsidRDefault="009B4BB4">
      <w:pPr>
        <w:pStyle w:val="Textoindependiente"/>
        <w:spacing w:before="3"/>
        <w:rPr>
          <w:rFonts w:ascii="Arial"/>
          <w:b/>
          <w:sz w:val="2"/>
        </w:rPr>
      </w:pPr>
    </w:p>
    <w:tbl>
      <w:tblPr>
        <w:tblStyle w:val="TableNormal"/>
        <w:tblW w:w="0" w:type="auto"/>
        <w:tblInd w:w="428" w:type="dxa"/>
        <w:tblLayout w:type="fixed"/>
        <w:tblLook w:val="01E0" w:firstRow="1" w:lastRow="1" w:firstColumn="1" w:lastColumn="1" w:noHBand="0" w:noVBand="0"/>
      </w:tblPr>
      <w:tblGrid>
        <w:gridCol w:w="596"/>
        <w:gridCol w:w="608"/>
        <w:gridCol w:w="6798"/>
        <w:gridCol w:w="1308"/>
      </w:tblGrid>
      <w:tr w:rsidR="009B4BB4">
        <w:trPr>
          <w:trHeight w:val="296"/>
        </w:trPr>
        <w:tc>
          <w:tcPr>
            <w:tcW w:w="596" w:type="dxa"/>
          </w:tcPr>
          <w:p w:rsidR="009B4BB4" w:rsidRDefault="00C44001">
            <w:pPr>
              <w:pStyle w:val="TableParagraph"/>
              <w:spacing w:line="223" w:lineRule="exact"/>
              <w:ind w:right="16"/>
              <w:jc w:val="center"/>
              <w:rPr>
                <w:sz w:val="20"/>
              </w:rPr>
            </w:pPr>
            <w:r>
              <w:rPr>
                <w:spacing w:val="-2"/>
                <w:sz w:val="20"/>
              </w:rPr>
              <w:t>Tabla</w:t>
            </w:r>
          </w:p>
        </w:tc>
        <w:tc>
          <w:tcPr>
            <w:tcW w:w="608" w:type="dxa"/>
          </w:tcPr>
          <w:p w:rsidR="009B4BB4" w:rsidRDefault="00C44001">
            <w:pPr>
              <w:pStyle w:val="TableParagraph"/>
              <w:spacing w:line="223" w:lineRule="exact"/>
              <w:ind w:left="15" w:right="93"/>
              <w:jc w:val="center"/>
              <w:rPr>
                <w:sz w:val="20"/>
              </w:rPr>
            </w:pPr>
            <w:r>
              <w:rPr>
                <w:spacing w:val="-4"/>
                <w:sz w:val="20"/>
              </w:rPr>
              <w:t>7.21</w:t>
            </w:r>
          </w:p>
        </w:tc>
        <w:tc>
          <w:tcPr>
            <w:tcW w:w="6798" w:type="dxa"/>
          </w:tcPr>
          <w:p w:rsidR="009B4BB4" w:rsidRDefault="00C44001">
            <w:pPr>
              <w:pStyle w:val="TableParagraph"/>
              <w:spacing w:line="223" w:lineRule="exact"/>
              <w:ind w:left="151"/>
              <w:rPr>
                <w:sz w:val="20"/>
              </w:rPr>
            </w:pPr>
            <w:r>
              <w:rPr>
                <w:sz w:val="20"/>
              </w:rPr>
              <w:t>Análisis</w:t>
            </w:r>
            <w:r>
              <w:rPr>
                <w:spacing w:val="-7"/>
                <w:sz w:val="20"/>
              </w:rPr>
              <w:t xml:space="preserve"> </w:t>
            </w:r>
            <w:r>
              <w:rPr>
                <w:sz w:val="20"/>
              </w:rPr>
              <w:t>comparativo</w:t>
            </w:r>
            <w:r>
              <w:rPr>
                <w:spacing w:val="-6"/>
                <w:sz w:val="20"/>
              </w:rPr>
              <w:t xml:space="preserve"> </w:t>
            </w:r>
            <w:r>
              <w:rPr>
                <w:sz w:val="20"/>
              </w:rPr>
              <w:t>del</w:t>
            </w:r>
            <w:r>
              <w:rPr>
                <w:spacing w:val="-7"/>
                <w:sz w:val="20"/>
              </w:rPr>
              <w:t xml:space="preserve"> </w:t>
            </w:r>
            <w:r>
              <w:rPr>
                <w:sz w:val="20"/>
              </w:rPr>
              <w:t>rendimiento</w:t>
            </w:r>
            <w:r>
              <w:rPr>
                <w:spacing w:val="-6"/>
                <w:sz w:val="20"/>
              </w:rPr>
              <w:t xml:space="preserve"> </w:t>
            </w:r>
            <w:r>
              <w:rPr>
                <w:sz w:val="20"/>
              </w:rPr>
              <w:t>para</w:t>
            </w:r>
            <w:r>
              <w:rPr>
                <w:spacing w:val="-7"/>
                <w:sz w:val="20"/>
              </w:rPr>
              <w:t xml:space="preserve"> </w:t>
            </w:r>
            <w:r>
              <w:rPr>
                <w:sz w:val="20"/>
              </w:rPr>
              <w:t>el</w:t>
            </w:r>
            <w:r>
              <w:rPr>
                <w:spacing w:val="-6"/>
                <w:sz w:val="20"/>
              </w:rPr>
              <w:t xml:space="preserve"> </w:t>
            </w:r>
            <w:r>
              <w:rPr>
                <w:spacing w:val="-2"/>
                <w:sz w:val="20"/>
              </w:rPr>
              <w:t>accionista</w:t>
            </w:r>
          </w:p>
        </w:tc>
        <w:tc>
          <w:tcPr>
            <w:tcW w:w="1308" w:type="dxa"/>
          </w:tcPr>
          <w:p w:rsidR="009B4BB4" w:rsidRDefault="00C44001">
            <w:pPr>
              <w:pStyle w:val="TableParagraph"/>
              <w:spacing w:line="223" w:lineRule="exact"/>
              <w:ind w:right="47"/>
              <w:jc w:val="right"/>
              <w:rPr>
                <w:sz w:val="20"/>
              </w:rPr>
            </w:pPr>
            <w:r>
              <w:rPr>
                <w:spacing w:val="-5"/>
                <w:sz w:val="20"/>
              </w:rPr>
              <w:t>156</w:t>
            </w:r>
          </w:p>
        </w:tc>
      </w:tr>
      <w:tr w:rsidR="009B4BB4">
        <w:trPr>
          <w:trHeight w:val="369"/>
        </w:trPr>
        <w:tc>
          <w:tcPr>
            <w:tcW w:w="596" w:type="dxa"/>
          </w:tcPr>
          <w:p w:rsidR="009B4BB4" w:rsidRDefault="00C44001">
            <w:pPr>
              <w:pStyle w:val="TableParagraph"/>
              <w:spacing w:before="66"/>
              <w:ind w:right="16"/>
              <w:jc w:val="center"/>
              <w:rPr>
                <w:sz w:val="20"/>
              </w:rPr>
            </w:pPr>
            <w:r>
              <w:rPr>
                <w:spacing w:val="-2"/>
                <w:sz w:val="20"/>
              </w:rPr>
              <w:t>Tabla</w:t>
            </w:r>
          </w:p>
        </w:tc>
        <w:tc>
          <w:tcPr>
            <w:tcW w:w="608" w:type="dxa"/>
          </w:tcPr>
          <w:p w:rsidR="009B4BB4" w:rsidRDefault="00C44001">
            <w:pPr>
              <w:pStyle w:val="TableParagraph"/>
              <w:spacing w:before="66"/>
              <w:ind w:left="15" w:right="93"/>
              <w:jc w:val="center"/>
              <w:rPr>
                <w:sz w:val="20"/>
              </w:rPr>
            </w:pPr>
            <w:r>
              <w:rPr>
                <w:spacing w:val="-4"/>
                <w:sz w:val="20"/>
              </w:rPr>
              <w:t>7.22</w:t>
            </w:r>
          </w:p>
        </w:tc>
        <w:tc>
          <w:tcPr>
            <w:tcW w:w="6798" w:type="dxa"/>
          </w:tcPr>
          <w:p w:rsidR="009B4BB4" w:rsidRDefault="00C44001">
            <w:pPr>
              <w:pStyle w:val="TableParagraph"/>
              <w:spacing w:before="66"/>
              <w:ind w:left="151"/>
              <w:rPr>
                <w:sz w:val="20"/>
              </w:rPr>
            </w:pPr>
            <w:r>
              <w:rPr>
                <w:sz w:val="20"/>
              </w:rPr>
              <w:t>Matriz</w:t>
            </w:r>
            <w:r>
              <w:rPr>
                <w:spacing w:val="-8"/>
                <w:sz w:val="20"/>
              </w:rPr>
              <w:t xml:space="preserve"> </w:t>
            </w:r>
            <w:r>
              <w:rPr>
                <w:sz w:val="20"/>
              </w:rPr>
              <w:t>de</w:t>
            </w:r>
            <w:r>
              <w:rPr>
                <w:spacing w:val="-6"/>
                <w:sz w:val="20"/>
              </w:rPr>
              <w:t xml:space="preserve"> </w:t>
            </w:r>
            <w:r>
              <w:rPr>
                <w:sz w:val="20"/>
              </w:rPr>
              <w:t>riesgos</w:t>
            </w:r>
            <w:r>
              <w:rPr>
                <w:spacing w:val="-6"/>
                <w:sz w:val="20"/>
              </w:rPr>
              <w:t xml:space="preserve"> </w:t>
            </w:r>
            <w:r>
              <w:rPr>
                <w:sz w:val="20"/>
              </w:rPr>
              <w:t>financieros</w:t>
            </w:r>
            <w:r>
              <w:rPr>
                <w:spacing w:val="-5"/>
                <w:sz w:val="20"/>
              </w:rPr>
              <w:t xml:space="preserve"> </w:t>
            </w:r>
            <w:r>
              <w:rPr>
                <w:sz w:val="20"/>
              </w:rPr>
              <w:t>y</w:t>
            </w:r>
            <w:r>
              <w:rPr>
                <w:spacing w:val="-6"/>
                <w:sz w:val="20"/>
              </w:rPr>
              <w:t xml:space="preserve"> </w:t>
            </w:r>
            <w:r>
              <w:rPr>
                <w:sz w:val="20"/>
              </w:rPr>
              <w:t>estrategias</w:t>
            </w:r>
            <w:r>
              <w:rPr>
                <w:spacing w:val="-6"/>
                <w:sz w:val="20"/>
              </w:rPr>
              <w:t xml:space="preserve"> </w:t>
            </w:r>
            <w:r>
              <w:rPr>
                <w:sz w:val="20"/>
              </w:rPr>
              <w:t>de</w:t>
            </w:r>
            <w:r>
              <w:rPr>
                <w:spacing w:val="-5"/>
                <w:sz w:val="20"/>
              </w:rPr>
              <w:t xml:space="preserve"> </w:t>
            </w:r>
            <w:r>
              <w:rPr>
                <w:spacing w:val="-2"/>
                <w:sz w:val="20"/>
              </w:rPr>
              <w:t>mitigación</w:t>
            </w:r>
          </w:p>
        </w:tc>
        <w:tc>
          <w:tcPr>
            <w:tcW w:w="1308" w:type="dxa"/>
          </w:tcPr>
          <w:p w:rsidR="009B4BB4" w:rsidRDefault="00C44001">
            <w:pPr>
              <w:pStyle w:val="TableParagraph"/>
              <w:spacing w:before="66"/>
              <w:ind w:right="47"/>
              <w:jc w:val="right"/>
              <w:rPr>
                <w:sz w:val="20"/>
              </w:rPr>
            </w:pPr>
            <w:r>
              <w:rPr>
                <w:spacing w:val="-5"/>
                <w:sz w:val="20"/>
              </w:rPr>
              <w:t>157</w:t>
            </w:r>
          </w:p>
        </w:tc>
      </w:tr>
      <w:tr w:rsidR="009B4BB4">
        <w:trPr>
          <w:trHeight w:val="296"/>
        </w:trPr>
        <w:tc>
          <w:tcPr>
            <w:tcW w:w="596" w:type="dxa"/>
          </w:tcPr>
          <w:p w:rsidR="009B4BB4" w:rsidRDefault="00C44001">
            <w:pPr>
              <w:pStyle w:val="TableParagraph"/>
              <w:spacing w:before="66" w:line="210" w:lineRule="exact"/>
              <w:ind w:right="16"/>
              <w:jc w:val="center"/>
              <w:rPr>
                <w:sz w:val="20"/>
              </w:rPr>
            </w:pPr>
            <w:r>
              <w:rPr>
                <w:spacing w:val="-2"/>
                <w:sz w:val="20"/>
              </w:rPr>
              <w:t>Tabla</w:t>
            </w:r>
          </w:p>
        </w:tc>
        <w:tc>
          <w:tcPr>
            <w:tcW w:w="608" w:type="dxa"/>
          </w:tcPr>
          <w:p w:rsidR="009B4BB4" w:rsidRDefault="00C44001">
            <w:pPr>
              <w:pStyle w:val="TableParagraph"/>
              <w:spacing w:before="66" w:line="210" w:lineRule="exact"/>
              <w:ind w:left="15" w:right="93"/>
              <w:jc w:val="center"/>
              <w:rPr>
                <w:sz w:val="20"/>
              </w:rPr>
            </w:pPr>
            <w:r>
              <w:rPr>
                <w:spacing w:val="-4"/>
                <w:sz w:val="20"/>
              </w:rPr>
              <w:t>7.23</w:t>
            </w:r>
          </w:p>
        </w:tc>
        <w:tc>
          <w:tcPr>
            <w:tcW w:w="6798" w:type="dxa"/>
          </w:tcPr>
          <w:p w:rsidR="009B4BB4" w:rsidRDefault="00C44001">
            <w:pPr>
              <w:pStyle w:val="TableParagraph"/>
              <w:spacing w:before="66" w:line="210" w:lineRule="exact"/>
              <w:ind w:left="151"/>
              <w:rPr>
                <w:sz w:val="20"/>
              </w:rPr>
            </w:pPr>
            <w:r>
              <w:rPr>
                <w:sz w:val="20"/>
              </w:rPr>
              <w:t>Matriz</w:t>
            </w:r>
            <w:r>
              <w:rPr>
                <w:spacing w:val="-9"/>
                <w:sz w:val="20"/>
              </w:rPr>
              <w:t xml:space="preserve"> </w:t>
            </w:r>
            <w:r>
              <w:rPr>
                <w:sz w:val="20"/>
              </w:rPr>
              <w:t>de</w:t>
            </w:r>
            <w:r>
              <w:rPr>
                <w:spacing w:val="-6"/>
                <w:sz w:val="20"/>
              </w:rPr>
              <w:t xml:space="preserve"> </w:t>
            </w:r>
            <w:r>
              <w:rPr>
                <w:sz w:val="20"/>
              </w:rPr>
              <w:t>indicadores</w:t>
            </w:r>
            <w:r>
              <w:rPr>
                <w:spacing w:val="-6"/>
                <w:sz w:val="20"/>
              </w:rPr>
              <w:t xml:space="preserve"> </w:t>
            </w:r>
            <w:r>
              <w:rPr>
                <w:sz w:val="20"/>
              </w:rPr>
              <w:t>de</w:t>
            </w:r>
            <w:r>
              <w:rPr>
                <w:spacing w:val="-6"/>
                <w:sz w:val="20"/>
              </w:rPr>
              <w:t xml:space="preserve"> </w:t>
            </w:r>
            <w:r>
              <w:rPr>
                <w:sz w:val="20"/>
              </w:rPr>
              <w:t>impacto</w:t>
            </w:r>
            <w:r>
              <w:rPr>
                <w:spacing w:val="-7"/>
                <w:sz w:val="20"/>
              </w:rPr>
              <w:t xml:space="preserve"> </w:t>
            </w:r>
            <w:r>
              <w:rPr>
                <w:sz w:val="20"/>
              </w:rPr>
              <w:t>social</w:t>
            </w:r>
            <w:r>
              <w:rPr>
                <w:spacing w:val="-6"/>
                <w:sz w:val="20"/>
              </w:rPr>
              <w:t xml:space="preserve"> </w:t>
            </w:r>
            <w:r>
              <w:rPr>
                <w:sz w:val="20"/>
              </w:rPr>
              <w:t>y</w:t>
            </w:r>
            <w:r>
              <w:rPr>
                <w:spacing w:val="-6"/>
                <w:sz w:val="20"/>
              </w:rPr>
              <w:t xml:space="preserve"> </w:t>
            </w:r>
            <w:r>
              <w:rPr>
                <w:sz w:val="20"/>
              </w:rPr>
              <w:t>ambiental</w:t>
            </w:r>
            <w:r>
              <w:rPr>
                <w:spacing w:val="-6"/>
                <w:sz w:val="20"/>
              </w:rPr>
              <w:t xml:space="preserve"> </w:t>
            </w:r>
            <w:r>
              <w:rPr>
                <w:sz w:val="20"/>
              </w:rPr>
              <w:t>(2026-</w:t>
            </w:r>
            <w:r>
              <w:rPr>
                <w:spacing w:val="-2"/>
                <w:sz w:val="20"/>
              </w:rPr>
              <w:t>2030)</w:t>
            </w:r>
          </w:p>
        </w:tc>
        <w:tc>
          <w:tcPr>
            <w:tcW w:w="1308" w:type="dxa"/>
          </w:tcPr>
          <w:p w:rsidR="009B4BB4" w:rsidRDefault="00C44001">
            <w:pPr>
              <w:pStyle w:val="TableParagraph"/>
              <w:spacing w:before="66" w:line="210" w:lineRule="exact"/>
              <w:ind w:right="47"/>
              <w:jc w:val="right"/>
              <w:rPr>
                <w:sz w:val="20"/>
              </w:rPr>
            </w:pPr>
            <w:r>
              <w:rPr>
                <w:spacing w:val="-5"/>
                <w:sz w:val="20"/>
              </w:rPr>
              <w:t>160</w:t>
            </w:r>
          </w:p>
        </w:tc>
      </w:tr>
    </w:tbl>
    <w:p w:rsidR="009B4BB4" w:rsidRDefault="009B4BB4">
      <w:pPr>
        <w:pStyle w:val="Textoindependiente"/>
        <w:spacing w:before="0"/>
        <w:rPr>
          <w:rFonts w:ascii="Arial"/>
          <w:b/>
        </w:rPr>
      </w:pPr>
    </w:p>
    <w:p w:rsidR="009B4BB4" w:rsidRDefault="009B4BB4">
      <w:pPr>
        <w:pStyle w:val="Textoindependiente"/>
        <w:spacing w:before="0"/>
        <w:rPr>
          <w:rFonts w:ascii="Arial"/>
          <w:b/>
        </w:rPr>
      </w:pPr>
    </w:p>
    <w:p w:rsidR="009B4BB4" w:rsidRDefault="009B4BB4">
      <w:pPr>
        <w:pStyle w:val="Textoindependiente"/>
        <w:spacing w:before="0"/>
        <w:rPr>
          <w:rFonts w:ascii="Arial"/>
          <w:b/>
        </w:rPr>
      </w:pPr>
    </w:p>
    <w:p w:rsidR="009B4BB4" w:rsidRDefault="009B4BB4">
      <w:pPr>
        <w:pStyle w:val="Textoindependiente"/>
        <w:spacing w:before="103"/>
        <w:rPr>
          <w:rFonts w:ascii="Arial"/>
          <w:b/>
        </w:rPr>
      </w:pPr>
    </w:p>
    <w:p w:rsidR="009B4BB4" w:rsidRDefault="00C44001">
      <w:pPr>
        <w:pStyle w:val="Ttulo1"/>
        <w:ind w:left="237" w:right="413"/>
        <w:jc w:val="center"/>
      </w:pPr>
      <w:bookmarkStart w:id="15" w:name="Índice_de_Figuras_"/>
      <w:bookmarkStart w:id="16" w:name="h.4rhkwcexzmqp"/>
      <w:bookmarkEnd w:id="15"/>
      <w:bookmarkEnd w:id="16"/>
      <w:r>
        <w:t>Índice</w:t>
      </w:r>
      <w:r>
        <w:rPr>
          <w:spacing w:val="-4"/>
        </w:rPr>
        <w:t xml:space="preserve"> </w:t>
      </w:r>
      <w:r>
        <w:t>de</w:t>
      </w:r>
      <w:r>
        <w:rPr>
          <w:spacing w:val="-4"/>
        </w:rPr>
        <w:t xml:space="preserve"> </w:t>
      </w:r>
      <w:r>
        <w:rPr>
          <w:spacing w:val="-2"/>
        </w:rPr>
        <w:t>Figuras</w:t>
      </w:r>
    </w:p>
    <w:p w:rsidR="009B4BB4" w:rsidRDefault="009B4BB4">
      <w:pPr>
        <w:pStyle w:val="Textoindependiente"/>
        <w:spacing w:before="3"/>
        <w:rPr>
          <w:rFonts w:ascii="Arial"/>
          <w:b/>
          <w:sz w:val="16"/>
        </w:rPr>
      </w:pPr>
    </w:p>
    <w:tbl>
      <w:tblPr>
        <w:tblStyle w:val="TableNormal"/>
        <w:tblW w:w="0" w:type="auto"/>
        <w:tblInd w:w="278" w:type="dxa"/>
        <w:tblLayout w:type="fixed"/>
        <w:tblLook w:val="01E0" w:firstRow="1" w:lastRow="1" w:firstColumn="1" w:lastColumn="1" w:noHBand="0" w:noVBand="0"/>
      </w:tblPr>
      <w:tblGrid>
        <w:gridCol w:w="716"/>
        <w:gridCol w:w="631"/>
        <w:gridCol w:w="7545"/>
        <w:gridCol w:w="340"/>
      </w:tblGrid>
      <w:tr w:rsidR="009B4BB4">
        <w:trPr>
          <w:trHeight w:val="305"/>
        </w:trPr>
        <w:tc>
          <w:tcPr>
            <w:tcW w:w="716" w:type="dxa"/>
          </w:tcPr>
          <w:p w:rsidR="009B4BB4" w:rsidRDefault="00C44001">
            <w:pPr>
              <w:pStyle w:val="TableParagraph"/>
              <w:spacing w:line="223" w:lineRule="exact"/>
              <w:ind w:right="47"/>
              <w:jc w:val="center"/>
              <w:rPr>
                <w:sz w:val="20"/>
              </w:rPr>
            </w:pPr>
            <w:r>
              <w:rPr>
                <w:spacing w:val="-2"/>
                <w:sz w:val="20"/>
              </w:rPr>
              <w:t>Figura</w:t>
            </w:r>
          </w:p>
        </w:tc>
        <w:tc>
          <w:tcPr>
            <w:tcW w:w="631" w:type="dxa"/>
          </w:tcPr>
          <w:p w:rsidR="009B4BB4" w:rsidRDefault="00C44001">
            <w:pPr>
              <w:pStyle w:val="TableParagraph"/>
              <w:spacing w:line="223" w:lineRule="exact"/>
              <w:ind w:right="153"/>
              <w:jc w:val="center"/>
              <w:rPr>
                <w:sz w:val="20"/>
              </w:rPr>
            </w:pPr>
            <w:r>
              <w:rPr>
                <w:spacing w:val="-5"/>
                <w:sz w:val="20"/>
              </w:rPr>
              <w:t>2.1</w:t>
            </w:r>
          </w:p>
        </w:tc>
        <w:tc>
          <w:tcPr>
            <w:tcW w:w="7545" w:type="dxa"/>
          </w:tcPr>
          <w:p w:rsidR="009B4BB4" w:rsidRDefault="00C44001">
            <w:pPr>
              <w:pStyle w:val="TableParagraph"/>
              <w:spacing w:before="10"/>
              <w:ind w:left="143"/>
              <w:rPr>
                <w:sz w:val="20"/>
              </w:rPr>
            </w:pPr>
            <w:r>
              <w:rPr>
                <w:sz w:val="20"/>
              </w:rPr>
              <w:t>Proyección</w:t>
            </w:r>
            <w:r>
              <w:rPr>
                <w:spacing w:val="-8"/>
                <w:sz w:val="20"/>
              </w:rPr>
              <w:t xml:space="preserve"> </w:t>
            </w:r>
            <w:r>
              <w:rPr>
                <w:sz w:val="20"/>
              </w:rPr>
              <w:t>del</w:t>
            </w:r>
            <w:r>
              <w:rPr>
                <w:spacing w:val="-5"/>
                <w:sz w:val="20"/>
              </w:rPr>
              <w:t xml:space="preserve"> </w:t>
            </w:r>
            <w:r>
              <w:rPr>
                <w:sz w:val="20"/>
              </w:rPr>
              <w:t>tamaño</w:t>
            </w:r>
            <w:r>
              <w:rPr>
                <w:spacing w:val="-6"/>
                <w:sz w:val="20"/>
              </w:rPr>
              <w:t xml:space="preserve"> </w:t>
            </w:r>
            <w:r>
              <w:rPr>
                <w:sz w:val="20"/>
              </w:rPr>
              <w:t>del</w:t>
            </w:r>
            <w:r>
              <w:rPr>
                <w:spacing w:val="-5"/>
                <w:sz w:val="20"/>
              </w:rPr>
              <w:t xml:space="preserve"> </w:t>
            </w:r>
            <w:r>
              <w:rPr>
                <w:sz w:val="20"/>
              </w:rPr>
              <w:t>mercado</w:t>
            </w:r>
            <w:r>
              <w:rPr>
                <w:spacing w:val="-6"/>
                <w:sz w:val="20"/>
              </w:rPr>
              <w:t xml:space="preserve"> </w:t>
            </w:r>
            <w:r>
              <w:rPr>
                <w:sz w:val="20"/>
              </w:rPr>
              <w:t>global</w:t>
            </w:r>
            <w:r>
              <w:rPr>
                <w:spacing w:val="-5"/>
                <w:sz w:val="20"/>
              </w:rPr>
              <w:t xml:space="preserve"> </w:t>
            </w:r>
            <w:r>
              <w:rPr>
                <w:sz w:val="20"/>
              </w:rPr>
              <w:t>de</w:t>
            </w:r>
            <w:r>
              <w:rPr>
                <w:spacing w:val="-6"/>
                <w:sz w:val="20"/>
              </w:rPr>
              <w:t xml:space="preserve"> </w:t>
            </w:r>
            <w:r>
              <w:rPr>
                <w:sz w:val="20"/>
              </w:rPr>
              <w:t>miel,</w:t>
            </w:r>
            <w:r>
              <w:rPr>
                <w:spacing w:val="-5"/>
                <w:sz w:val="20"/>
              </w:rPr>
              <w:t xml:space="preserve"> </w:t>
            </w:r>
            <w:r>
              <w:rPr>
                <w:sz w:val="20"/>
              </w:rPr>
              <w:t>por</w:t>
            </w:r>
            <w:r>
              <w:rPr>
                <w:spacing w:val="-6"/>
                <w:sz w:val="20"/>
              </w:rPr>
              <w:t xml:space="preserve"> </w:t>
            </w:r>
            <w:r>
              <w:rPr>
                <w:sz w:val="20"/>
              </w:rPr>
              <w:t>tipo,</w:t>
            </w:r>
            <w:r>
              <w:rPr>
                <w:spacing w:val="-5"/>
                <w:sz w:val="20"/>
              </w:rPr>
              <w:t xml:space="preserve"> </w:t>
            </w:r>
            <w:r>
              <w:rPr>
                <w:sz w:val="20"/>
              </w:rPr>
              <w:t>2021-</w:t>
            </w:r>
            <w:r>
              <w:rPr>
                <w:spacing w:val="-4"/>
                <w:sz w:val="20"/>
              </w:rPr>
              <w:t>2034</w:t>
            </w:r>
          </w:p>
        </w:tc>
        <w:tc>
          <w:tcPr>
            <w:tcW w:w="340" w:type="dxa"/>
          </w:tcPr>
          <w:p w:rsidR="009B4BB4" w:rsidRDefault="00C44001">
            <w:pPr>
              <w:pStyle w:val="TableParagraph"/>
              <w:spacing w:line="223" w:lineRule="exact"/>
              <w:ind w:left="18"/>
              <w:jc w:val="center"/>
              <w:rPr>
                <w:sz w:val="20"/>
              </w:rPr>
            </w:pPr>
            <w:r>
              <w:rPr>
                <w:spacing w:val="-5"/>
                <w:sz w:val="20"/>
              </w:rPr>
              <w:t>30</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2.2</w:t>
            </w:r>
          </w:p>
        </w:tc>
        <w:tc>
          <w:tcPr>
            <w:tcW w:w="7545" w:type="dxa"/>
          </w:tcPr>
          <w:p w:rsidR="009B4BB4" w:rsidRDefault="00C44001">
            <w:pPr>
              <w:pStyle w:val="TableParagraph"/>
              <w:spacing w:before="75"/>
              <w:ind w:left="143"/>
              <w:rPr>
                <w:sz w:val="20"/>
              </w:rPr>
            </w:pPr>
            <w:r>
              <w:rPr>
                <w:sz w:val="20"/>
              </w:rPr>
              <w:t>Panorama</w:t>
            </w:r>
            <w:r>
              <w:rPr>
                <w:spacing w:val="-8"/>
                <w:sz w:val="20"/>
              </w:rPr>
              <w:t xml:space="preserve"> </w:t>
            </w:r>
            <w:r>
              <w:rPr>
                <w:sz w:val="20"/>
              </w:rPr>
              <w:t>competitivo</w:t>
            </w:r>
            <w:r>
              <w:rPr>
                <w:spacing w:val="-6"/>
                <w:sz w:val="20"/>
              </w:rPr>
              <w:t xml:space="preserve"> </w:t>
            </w:r>
            <w:r>
              <w:rPr>
                <w:sz w:val="20"/>
              </w:rPr>
              <w:t>del</w:t>
            </w:r>
            <w:r>
              <w:rPr>
                <w:spacing w:val="-6"/>
                <w:sz w:val="20"/>
              </w:rPr>
              <w:t xml:space="preserve"> </w:t>
            </w:r>
            <w:r>
              <w:rPr>
                <w:sz w:val="20"/>
              </w:rPr>
              <w:t>mercado</w:t>
            </w:r>
            <w:r>
              <w:rPr>
                <w:spacing w:val="-6"/>
                <w:sz w:val="20"/>
              </w:rPr>
              <w:t xml:space="preserve"> </w:t>
            </w:r>
            <w:r>
              <w:rPr>
                <w:sz w:val="20"/>
              </w:rPr>
              <w:t>digital</w:t>
            </w:r>
            <w:r>
              <w:rPr>
                <w:spacing w:val="-5"/>
                <w:sz w:val="20"/>
              </w:rPr>
              <w:t xml:space="preserve"> </w:t>
            </w:r>
            <w:r>
              <w:rPr>
                <w:sz w:val="20"/>
              </w:rPr>
              <w:t>de</w:t>
            </w:r>
            <w:r>
              <w:rPr>
                <w:spacing w:val="-6"/>
                <w:sz w:val="20"/>
              </w:rPr>
              <w:t xml:space="preserve"> </w:t>
            </w:r>
            <w:r>
              <w:rPr>
                <w:sz w:val="20"/>
              </w:rPr>
              <w:t>miel</w:t>
            </w:r>
            <w:r>
              <w:rPr>
                <w:spacing w:val="-6"/>
                <w:sz w:val="20"/>
              </w:rPr>
              <w:t xml:space="preserve"> </w:t>
            </w:r>
            <w:r>
              <w:rPr>
                <w:sz w:val="20"/>
              </w:rPr>
              <w:t>melipona</w:t>
            </w:r>
            <w:r>
              <w:rPr>
                <w:spacing w:val="-6"/>
                <w:sz w:val="20"/>
              </w:rPr>
              <w:t xml:space="preserve"> </w:t>
            </w:r>
            <w:r>
              <w:rPr>
                <w:sz w:val="20"/>
              </w:rPr>
              <w:t>en</w:t>
            </w:r>
            <w:r>
              <w:rPr>
                <w:spacing w:val="-5"/>
                <w:sz w:val="20"/>
              </w:rPr>
              <w:t xml:space="preserve"> </w:t>
            </w:r>
            <w:r>
              <w:rPr>
                <w:spacing w:val="-2"/>
                <w:sz w:val="20"/>
              </w:rPr>
              <w:t>México</w:t>
            </w:r>
          </w:p>
        </w:tc>
        <w:tc>
          <w:tcPr>
            <w:tcW w:w="340" w:type="dxa"/>
          </w:tcPr>
          <w:p w:rsidR="009B4BB4" w:rsidRDefault="00C44001">
            <w:pPr>
              <w:pStyle w:val="TableParagraph"/>
              <w:spacing w:before="58"/>
              <w:ind w:left="18"/>
              <w:jc w:val="center"/>
              <w:rPr>
                <w:sz w:val="20"/>
              </w:rPr>
            </w:pPr>
            <w:r>
              <w:rPr>
                <w:spacing w:val="-5"/>
                <w:sz w:val="20"/>
              </w:rPr>
              <w:t>43</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2.3</w:t>
            </w:r>
          </w:p>
        </w:tc>
        <w:tc>
          <w:tcPr>
            <w:tcW w:w="7545" w:type="dxa"/>
          </w:tcPr>
          <w:p w:rsidR="009B4BB4" w:rsidRDefault="00C44001">
            <w:pPr>
              <w:pStyle w:val="TableParagraph"/>
              <w:spacing w:before="75"/>
              <w:ind w:left="143"/>
              <w:rPr>
                <w:sz w:val="20"/>
              </w:rPr>
            </w:pPr>
            <w:r>
              <w:rPr>
                <w:sz w:val="20"/>
              </w:rPr>
              <w:t>Disparidad</w:t>
            </w:r>
            <w:r>
              <w:rPr>
                <w:spacing w:val="-7"/>
                <w:sz w:val="20"/>
              </w:rPr>
              <w:t xml:space="preserve"> </w:t>
            </w:r>
            <w:r>
              <w:rPr>
                <w:sz w:val="20"/>
              </w:rPr>
              <w:t>de</w:t>
            </w:r>
            <w:r>
              <w:rPr>
                <w:spacing w:val="-5"/>
                <w:sz w:val="20"/>
              </w:rPr>
              <w:t xml:space="preserve"> </w:t>
            </w:r>
            <w:r>
              <w:rPr>
                <w:sz w:val="20"/>
              </w:rPr>
              <w:t>precios</w:t>
            </w:r>
            <w:r>
              <w:rPr>
                <w:spacing w:val="-5"/>
                <w:sz w:val="20"/>
              </w:rPr>
              <w:t xml:space="preserve"> </w:t>
            </w:r>
            <w:r>
              <w:rPr>
                <w:sz w:val="20"/>
              </w:rPr>
              <w:t>y</w:t>
            </w:r>
            <w:r>
              <w:rPr>
                <w:spacing w:val="-5"/>
                <w:sz w:val="20"/>
              </w:rPr>
              <w:t xml:space="preserve"> </w:t>
            </w:r>
            <w:r>
              <w:rPr>
                <w:sz w:val="20"/>
              </w:rPr>
              <w:t>oportunidad</w:t>
            </w:r>
            <w:r>
              <w:rPr>
                <w:spacing w:val="-5"/>
                <w:sz w:val="20"/>
              </w:rPr>
              <w:t xml:space="preserve"> </w:t>
            </w:r>
            <w:r>
              <w:rPr>
                <w:sz w:val="20"/>
              </w:rPr>
              <w:t>de</w:t>
            </w:r>
            <w:r>
              <w:rPr>
                <w:spacing w:val="-5"/>
                <w:sz w:val="20"/>
              </w:rPr>
              <w:t xml:space="preserve"> </w:t>
            </w:r>
            <w:r>
              <w:rPr>
                <w:sz w:val="20"/>
              </w:rPr>
              <w:t>captura</w:t>
            </w:r>
            <w:r>
              <w:rPr>
                <w:spacing w:val="-5"/>
                <w:sz w:val="20"/>
              </w:rPr>
              <w:t xml:space="preserve"> </w:t>
            </w:r>
            <w:r>
              <w:rPr>
                <w:sz w:val="20"/>
              </w:rPr>
              <w:t>de</w:t>
            </w:r>
            <w:r>
              <w:rPr>
                <w:spacing w:val="-5"/>
                <w:sz w:val="20"/>
              </w:rPr>
              <w:t xml:space="preserve"> </w:t>
            </w:r>
            <w:r>
              <w:rPr>
                <w:sz w:val="20"/>
              </w:rPr>
              <w:t>valor</w:t>
            </w:r>
            <w:r>
              <w:rPr>
                <w:spacing w:val="-5"/>
                <w:sz w:val="20"/>
              </w:rPr>
              <w:t xml:space="preserve"> </w:t>
            </w:r>
            <w:r>
              <w:rPr>
                <w:sz w:val="20"/>
              </w:rPr>
              <w:t>en</w:t>
            </w:r>
            <w:r>
              <w:rPr>
                <w:spacing w:val="-5"/>
                <w:sz w:val="20"/>
              </w:rPr>
              <w:t xml:space="preserve"> </w:t>
            </w:r>
            <w:r>
              <w:rPr>
                <w:sz w:val="20"/>
              </w:rPr>
              <w:t>dólares</w:t>
            </w:r>
            <w:r>
              <w:rPr>
                <w:spacing w:val="-5"/>
                <w:sz w:val="20"/>
              </w:rPr>
              <w:t xml:space="preserve"> </w:t>
            </w:r>
            <w:r>
              <w:rPr>
                <w:sz w:val="20"/>
              </w:rPr>
              <w:t>por</w:t>
            </w:r>
            <w:r>
              <w:rPr>
                <w:spacing w:val="-4"/>
                <w:sz w:val="20"/>
              </w:rPr>
              <w:t xml:space="preserve"> </w:t>
            </w:r>
            <w:r>
              <w:rPr>
                <w:spacing w:val="-2"/>
                <w:sz w:val="20"/>
              </w:rPr>
              <w:t>litro</w:t>
            </w:r>
          </w:p>
        </w:tc>
        <w:tc>
          <w:tcPr>
            <w:tcW w:w="340" w:type="dxa"/>
          </w:tcPr>
          <w:p w:rsidR="009B4BB4" w:rsidRDefault="00C44001">
            <w:pPr>
              <w:pStyle w:val="TableParagraph"/>
              <w:spacing w:before="58"/>
              <w:ind w:left="18"/>
              <w:jc w:val="center"/>
              <w:rPr>
                <w:sz w:val="20"/>
              </w:rPr>
            </w:pPr>
            <w:r>
              <w:rPr>
                <w:spacing w:val="-5"/>
                <w:sz w:val="20"/>
              </w:rPr>
              <w:t>44</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2.4</w:t>
            </w:r>
          </w:p>
        </w:tc>
        <w:tc>
          <w:tcPr>
            <w:tcW w:w="7545" w:type="dxa"/>
          </w:tcPr>
          <w:p w:rsidR="009B4BB4" w:rsidRDefault="00C44001">
            <w:pPr>
              <w:pStyle w:val="TableParagraph"/>
              <w:spacing w:before="75"/>
              <w:ind w:left="143"/>
              <w:rPr>
                <w:sz w:val="20"/>
              </w:rPr>
            </w:pPr>
            <w:r>
              <w:rPr>
                <w:sz w:val="20"/>
              </w:rPr>
              <w:t>Business</w:t>
            </w:r>
            <w:r>
              <w:rPr>
                <w:spacing w:val="-8"/>
                <w:sz w:val="20"/>
              </w:rPr>
              <w:t xml:space="preserve"> </w:t>
            </w:r>
            <w:r>
              <w:rPr>
                <w:sz w:val="20"/>
              </w:rPr>
              <w:t>Model</w:t>
            </w:r>
            <w:r>
              <w:rPr>
                <w:spacing w:val="-8"/>
                <w:sz w:val="20"/>
              </w:rPr>
              <w:t xml:space="preserve"> </w:t>
            </w:r>
            <w:r>
              <w:rPr>
                <w:sz w:val="20"/>
              </w:rPr>
              <w:t>Canvas:</w:t>
            </w:r>
            <w:r>
              <w:rPr>
                <w:spacing w:val="-8"/>
                <w:sz w:val="20"/>
              </w:rPr>
              <w:t xml:space="preserve"> </w:t>
            </w:r>
            <w:r>
              <w:rPr>
                <w:sz w:val="20"/>
              </w:rPr>
              <w:t>Guardiana</w:t>
            </w:r>
            <w:r>
              <w:rPr>
                <w:spacing w:val="-8"/>
                <w:sz w:val="20"/>
              </w:rPr>
              <w:t xml:space="preserve"> </w:t>
            </w:r>
            <w:r>
              <w:rPr>
                <w:sz w:val="20"/>
              </w:rPr>
              <w:t>(Estructura</w:t>
            </w:r>
            <w:r>
              <w:rPr>
                <w:spacing w:val="-8"/>
                <w:sz w:val="20"/>
              </w:rPr>
              <w:t xml:space="preserve"> </w:t>
            </w:r>
            <w:r>
              <w:rPr>
                <w:spacing w:val="-2"/>
                <w:sz w:val="20"/>
              </w:rPr>
              <w:t>Conceptual)</w:t>
            </w:r>
          </w:p>
        </w:tc>
        <w:tc>
          <w:tcPr>
            <w:tcW w:w="340" w:type="dxa"/>
          </w:tcPr>
          <w:p w:rsidR="009B4BB4" w:rsidRDefault="00C44001">
            <w:pPr>
              <w:pStyle w:val="TableParagraph"/>
              <w:spacing w:before="58"/>
              <w:ind w:left="18"/>
              <w:jc w:val="center"/>
              <w:rPr>
                <w:sz w:val="20"/>
              </w:rPr>
            </w:pPr>
            <w:r>
              <w:rPr>
                <w:spacing w:val="-5"/>
                <w:sz w:val="20"/>
              </w:rPr>
              <w:t>49</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2.5</w:t>
            </w:r>
          </w:p>
        </w:tc>
        <w:tc>
          <w:tcPr>
            <w:tcW w:w="7545" w:type="dxa"/>
          </w:tcPr>
          <w:p w:rsidR="009B4BB4" w:rsidRDefault="00C44001">
            <w:pPr>
              <w:pStyle w:val="TableParagraph"/>
              <w:spacing w:before="75"/>
              <w:ind w:left="143"/>
              <w:rPr>
                <w:sz w:val="20"/>
              </w:rPr>
            </w:pPr>
            <w:r>
              <w:rPr>
                <w:sz w:val="20"/>
              </w:rPr>
              <w:t>Prototipo</w:t>
            </w:r>
            <w:r>
              <w:rPr>
                <w:spacing w:val="-7"/>
                <w:sz w:val="20"/>
              </w:rPr>
              <w:t xml:space="preserve"> </w:t>
            </w:r>
            <w:r>
              <w:rPr>
                <w:sz w:val="20"/>
              </w:rPr>
              <w:t>conceptual</w:t>
            </w:r>
            <w:r>
              <w:rPr>
                <w:spacing w:val="-7"/>
                <w:sz w:val="20"/>
              </w:rPr>
              <w:t xml:space="preserve"> </w:t>
            </w:r>
            <w:r>
              <w:rPr>
                <w:sz w:val="20"/>
              </w:rPr>
              <w:t>1:</w:t>
            </w:r>
            <w:r>
              <w:rPr>
                <w:spacing w:val="-7"/>
                <w:sz w:val="20"/>
              </w:rPr>
              <w:t xml:space="preserve"> </w:t>
            </w:r>
            <w:r>
              <w:rPr>
                <w:sz w:val="20"/>
              </w:rPr>
              <w:t>Esencia</w:t>
            </w:r>
            <w:r>
              <w:rPr>
                <w:spacing w:val="-7"/>
                <w:sz w:val="20"/>
              </w:rPr>
              <w:t xml:space="preserve"> </w:t>
            </w:r>
            <w:r>
              <w:rPr>
                <w:spacing w:val="-4"/>
                <w:sz w:val="20"/>
              </w:rPr>
              <w:t>Maya</w:t>
            </w:r>
          </w:p>
        </w:tc>
        <w:tc>
          <w:tcPr>
            <w:tcW w:w="340" w:type="dxa"/>
          </w:tcPr>
          <w:p w:rsidR="009B4BB4" w:rsidRDefault="00C44001">
            <w:pPr>
              <w:pStyle w:val="TableParagraph"/>
              <w:spacing w:before="58"/>
              <w:ind w:left="18"/>
              <w:jc w:val="center"/>
              <w:rPr>
                <w:sz w:val="20"/>
              </w:rPr>
            </w:pPr>
            <w:r>
              <w:rPr>
                <w:spacing w:val="-5"/>
                <w:sz w:val="20"/>
              </w:rPr>
              <w:t>50</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2.6</w:t>
            </w:r>
          </w:p>
        </w:tc>
        <w:tc>
          <w:tcPr>
            <w:tcW w:w="7545" w:type="dxa"/>
          </w:tcPr>
          <w:p w:rsidR="009B4BB4" w:rsidRDefault="00C44001">
            <w:pPr>
              <w:pStyle w:val="TableParagraph"/>
              <w:spacing w:before="75"/>
              <w:ind w:left="143"/>
              <w:rPr>
                <w:sz w:val="20"/>
              </w:rPr>
            </w:pPr>
            <w:r>
              <w:rPr>
                <w:sz w:val="20"/>
              </w:rPr>
              <w:t>Prototipo</w:t>
            </w:r>
            <w:r>
              <w:rPr>
                <w:spacing w:val="-9"/>
                <w:sz w:val="20"/>
              </w:rPr>
              <w:t xml:space="preserve"> </w:t>
            </w:r>
            <w:r>
              <w:rPr>
                <w:sz w:val="20"/>
              </w:rPr>
              <w:t>conceptual</w:t>
            </w:r>
            <w:r>
              <w:rPr>
                <w:spacing w:val="-8"/>
                <w:sz w:val="20"/>
              </w:rPr>
              <w:t xml:space="preserve"> </w:t>
            </w:r>
            <w:r>
              <w:rPr>
                <w:sz w:val="20"/>
              </w:rPr>
              <w:t>2:</w:t>
            </w:r>
            <w:r>
              <w:rPr>
                <w:spacing w:val="-8"/>
                <w:sz w:val="20"/>
              </w:rPr>
              <w:t xml:space="preserve"> </w:t>
            </w:r>
            <w:r>
              <w:rPr>
                <w:sz w:val="20"/>
              </w:rPr>
              <w:t>Vitalidad</w:t>
            </w:r>
            <w:r>
              <w:rPr>
                <w:spacing w:val="-8"/>
                <w:sz w:val="20"/>
              </w:rPr>
              <w:t xml:space="preserve"> </w:t>
            </w:r>
            <w:r>
              <w:rPr>
                <w:spacing w:val="-2"/>
                <w:sz w:val="20"/>
              </w:rPr>
              <w:t>Familiar</w:t>
            </w:r>
          </w:p>
        </w:tc>
        <w:tc>
          <w:tcPr>
            <w:tcW w:w="340" w:type="dxa"/>
          </w:tcPr>
          <w:p w:rsidR="009B4BB4" w:rsidRDefault="00C44001">
            <w:pPr>
              <w:pStyle w:val="TableParagraph"/>
              <w:spacing w:before="58"/>
              <w:ind w:left="18"/>
              <w:jc w:val="center"/>
              <w:rPr>
                <w:sz w:val="20"/>
              </w:rPr>
            </w:pPr>
            <w:r>
              <w:rPr>
                <w:spacing w:val="-5"/>
                <w:sz w:val="20"/>
              </w:rPr>
              <w:t>51</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2.7</w:t>
            </w:r>
          </w:p>
        </w:tc>
        <w:tc>
          <w:tcPr>
            <w:tcW w:w="7545" w:type="dxa"/>
          </w:tcPr>
          <w:p w:rsidR="009B4BB4" w:rsidRDefault="00C44001">
            <w:pPr>
              <w:pStyle w:val="TableParagraph"/>
              <w:spacing w:before="75"/>
              <w:ind w:left="143"/>
              <w:rPr>
                <w:sz w:val="20"/>
              </w:rPr>
            </w:pPr>
            <w:r>
              <w:rPr>
                <w:sz w:val="20"/>
              </w:rPr>
              <w:t>Prototipo</w:t>
            </w:r>
            <w:r>
              <w:rPr>
                <w:spacing w:val="-9"/>
                <w:sz w:val="20"/>
              </w:rPr>
              <w:t xml:space="preserve"> </w:t>
            </w:r>
            <w:r>
              <w:rPr>
                <w:sz w:val="20"/>
              </w:rPr>
              <w:t>conceptual</w:t>
            </w:r>
            <w:r>
              <w:rPr>
                <w:spacing w:val="-7"/>
                <w:sz w:val="20"/>
              </w:rPr>
              <w:t xml:space="preserve"> </w:t>
            </w:r>
            <w:r>
              <w:rPr>
                <w:sz w:val="20"/>
              </w:rPr>
              <w:t>3:</w:t>
            </w:r>
            <w:r>
              <w:rPr>
                <w:spacing w:val="-7"/>
                <w:sz w:val="20"/>
              </w:rPr>
              <w:t xml:space="preserve"> </w:t>
            </w:r>
            <w:r>
              <w:rPr>
                <w:sz w:val="20"/>
              </w:rPr>
              <w:t>Edición</w:t>
            </w:r>
            <w:r>
              <w:rPr>
                <w:spacing w:val="-7"/>
                <w:sz w:val="20"/>
              </w:rPr>
              <w:t xml:space="preserve"> </w:t>
            </w:r>
            <w:r>
              <w:rPr>
                <w:spacing w:val="-2"/>
                <w:sz w:val="20"/>
              </w:rPr>
              <w:t>Colaborativa</w:t>
            </w:r>
          </w:p>
        </w:tc>
        <w:tc>
          <w:tcPr>
            <w:tcW w:w="340" w:type="dxa"/>
          </w:tcPr>
          <w:p w:rsidR="009B4BB4" w:rsidRDefault="00C44001">
            <w:pPr>
              <w:pStyle w:val="TableParagraph"/>
              <w:spacing w:before="58"/>
              <w:ind w:left="18"/>
              <w:jc w:val="center"/>
              <w:rPr>
                <w:sz w:val="20"/>
              </w:rPr>
            </w:pPr>
            <w:r>
              <w:rPr>
                <w:spacing w:val="-5"/>
                <w:sz w:val="20"/>
              </w:rPr>
              <w:t>52</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2.8</w:t>
            </w:r>
          </w:p>
        </w:tc>
        <w:tc>
          <w:tcPr>
            <w:tcW w:w="7545" w:type="dxa"/>
          </w:tcPr>
          <w:p w:rsidR="009B4BB4" w:rsidRDefault="00C44001">
            <w:pPr>
              <w:pStyle w:val="TableParagraph"/>
              <w:spacing w:before="75"/>
              <w:ind w:left="143"/>
              <w:rPr>
                <w:sz w:val="20"/>
              </w:rPr>
            </w:pPr>
            <w:r>
              <w:rPr>
                <w:sz w:val="20"/>
              </w:rPr>
              <w:t>Perfil</w:t>
            </w:r>
            <w:r>
              <w:rPr>
                <w:spacing w:val="-8"/>
                <w:sz w:val="20"/>
              </w:rPr>
              <w:t xml:space="preserve"> </w:t>
            </w:r>
            <w:r>
              <w:rPr>
                <w:sz w:val="20"/>
              </w:rPr>
              <w:t>de</w:t>
            </w:r>
            <w:r>
              <w:rPr>
                <w:spacing w:val="-6"/>
                <w:sz w:val="20"/>
              </w:rPr>
              <w:t xml:space="preserve"> </w:t>
            </w:r>
            <w:r>
              <w:rPr>
                <w:sz w:val="20"/>
              </w:rPr>
              <w:t>intensidad</w:t>
            </w:r>
            <w:r>
              <w:rPr>
                <w:spacing w:val="-5"/>
                <w:sz w:val="20"/>
              </w:rPr>
              <w:t xml:space="preserve"> </w:t>
            </w:r>
            <w:r>
              <w:rPr>
                <w:sz w:val="20"/>
              </w:rPr>
              <w:t>competitiva</w:t>
            </w:r>
            <w:r>
              <w:rPr>
                <w:spacing w:val="-6"/>
                <w:sz w:val="20"/>
              </w:rPr>
              <w:t xml:space="preserve"> </w:t>
            </w:r>
            <w:r>
              <w:rPr>
                <w:sz w:val="20"/>
              </w:rPr>
              <w:t>del</w:t>
            </w:r>
            <w:r>
              <w:rPr>
                <w:spacing w:val="-5"/>
                <w:sz w:val="20"/>
              </w:rPr>
              <w:t xml:space="preserve"> </w:t>
            </w:r>
            <w:r>
              <w:rPr>
                <w:sz w:val="20"/>
              </w:rPr>
              <w:t>sector</w:t>
            </w:r>
            <w:r>
              <w:rPr>
                <w:spacing w:val="-6"/>
                <w:sz w:val="20"/>
              </w:rPr>
              <w:t xml:space="preserve"> </w:t>
            </w:r>
            <w:r>
              <w:rPr>
                <w:sz w:val="20"/>
              </w:rPr>
              <w:t>de</w:t>
            </w:r>
            <w:r>
              <w:rPr>
                <w:spacing w:val="-6"/>
                <w:sz w:val="20"/>
              </w:rPr>
              <w:t xml:space="preserve"> </w:t>
            </w:r>
            <w:r>
              <w:rPr>
                <w:sz w:val="20"/>
              </w:rPr>
              <w:t>miel</w:t>
            </w:r>
            <w:r>
              <w:rPr>
                <w:spacing w:val="-5"/>
                <w:sz w:val="20"/>
              </w:rPr>
              <w:t xml:space="preserve"> </w:t>
            </w:r>
            <w:r>
              <w:rPr>
                <w:sz w:val="20"/>
              </w:rPr>
              <w:t>melipona</w:t>
            </w:r>
            <w:r>
              <w:rPr>
                <w:spacing w:val="-6"/>
                <w:sz w:val="20"/>
              </w:rPr>
              <w:t xml:space="preserve"> </w:t>
            </w:r>
            <w:r>
              <w:rPr>
                <w:sz w:val="20"/>
              </w:rPr>
              <w:t>para</w:t>
            </w:r>
            <w:r>
              <w:rPr>
                <w:spacing w:val="-5"/>
                <w:sz w:val="20"/>
              </w:rPr>
              <w:t xml:space="preserve"> </w:t>
            </w:r>
            <w:r>
              <w:rPr>
                <w:spacing w:val="-2"/>
                <w:sz w:val="20"/>
              </w:rPr>
              <w:t>Guardiana</w:t>
            </w:r>
          </w:p>
        </w:tc>
        <w:tc>
          <w:tcPr>
            <w:tcW w:w="340" w:type="dxa"/>
          </w:tcPr>
          <w:p w:rsidR="009B4BB4" w:rsidRDefault="00C44001">
            <w:pPr>
              <w:pStyle w:val="TableParagraph"/>
              <w:spacing w:before="58"/>
              <w:ind w:left="18"/>
              <w:jc w:val="center"/>
              <w:rPr>
                <w:sz w:val="20"/>
              </w:rPr>
            </w:pPr>
            <w:r>
              <w:rPr>
                <w:spacing w:val="-5"/>
                <w:sz w:val="20"/>
              </w:rPr>
              <w:t>57</w:t>
            </w:r>
          </w:p>
        </w:tc>
      </w:tr>
      <w:tr w:rsidR="009B4BB4">
        <w:trPr>
          <w:trHeight w:val="573"/>
        </w:trPr>
        <w:tc>
          <w:tcPr>
            <w:tcW w:w="716" w:type="dxa"/>
          </w:tcPr>
          <w:p w:rsidR="009B4BB4" w:rsidRDefault="00C44001">
            <w:pPr>
              <w:pStyle w:val="TableParagraph"/>
              <w:spacing w:before="155"/>
              <w:ind w:right="47"/>
              <w:jc w:val="center"/>
              <w:rPr>
                <w:sz w:val="20"/>
              </w:rPr>
            </w:pPr>
            <w:r>
              <w:rPr>
                <w:spacing w:val="-2"/>
                <w:sz w:val="20"/>
              </w:rPr>
              <w:t>Figura</w:t>
            </w:r>
          </w:p>
        </w:tc>
        <w:tc>
          <w:tcPr>
            <w:tcW w:w="631" w:type="dxa"/>
          </w:tcPr>
          <w:p w:rsidR="009B4BB4" w:rsidRDefault="00C44001">
            <w:pPr>
              <w:pStyle w:val="TableParagraph"/>
              <w:spacing w:before="155"/>
              <w:ind w:right="153"/>
              <w:jc w:val="center"/>
              <w:rPr>
                <w:sz w:val="20"/>
              </w:rPr>
            </w:pPr>
            <w:r>
              <w:rPr>
                <w:spacing w:val="-5"/>
                <w:sz w:val="20"/>
              </w:rPr>
              <w:t>4.1</w:t>
            </w:r>
          </w:p>
        </w:tc>
        <w:tc>
          <w:tcPr>
            <w:tcW w:w="7545" w:type="dxa"/>
          </w:tcPr>
          <w:p w:rsidR="009B4BB4" w:rsidRDefault="00C44001">
            <w:pPr>
              <w:pStyle w:val="TableParagraph"/>
              <w:spacing w:before="58"/>
              <w:ind w:left="143" w:right="124"/>
              <w:rPr>
                <w:sz w:val="20"/>
              </w:rPr>
            </w:pPr>
            <w:r>
              <w:rPr>
                <w:sz w:val="20"/>
              </w:rPr>
              <w:t>Composición</w:t>
            </w:r>
            <w:r>
              <w:rPr>
                <w:spacing w:val="-6"/>
                <w:sz w:val="20"/>
              </w:rPr>
              <w:t xml:space="preserve"> </w:t>
            </w:r>
            <w:r>
              <w:rPr>
                <w:sz w:val="20"/>
              </w:rPr>
              <w:t>porcentual</w:t>
            </w:r>
            <w:r>
              <w:rPr>
                <w:spacing w:val="-6"/>
                <w:sz w:val="20"/>
              </w:rPr>
              <w:t xml:space="preserve"> </w:t>
            </w:r>
            <w:r>
              <w:rPr>
                <w:sz w:val="20"/>
              </w:rPr>
              <w:t>del</w:t>
            </w:r>
            <w:r>
              <w:rPr>
                <w:spacing w:val="-6"/>
                <w:sz w:val="20"/>
              </w:rPr>
              <w:t xml:space="preserve"> </w:t>
            </w:r>
            <w:r>
              <w:rPr>
                <w:sz w:val="20"/>
              </w:rPr>
              <w:t>mercado</w:t>
            </w:r>
            <w:r>
              <w:rPr>
                <w:spacing w:val="-6"/>
                <w:sz w:val="20"/>
              </w:rPr>
              <w:t xml:space="preserve"> </w:t>
            </w:r>
            <w:r>
              <w:rPr>
                <w:sz w:val="20"/>
              </w:rPr>
              <w:t>objetivo:</w:t>
            </w:r>
            <w:r>
              <w:rPr>
                <w:spacing w:val="-6"/>
                <w:sz w:val="20"/>
              </w:rPr>
              <w:t xml:space="preserve"> </w:t>
            </w:r>
            <w:r>
              <w:rPr>
                <w:sz w:val="20"/>
              </w:rPr>
              <w:t>Visitantes</w:t>
            </w:r>
            <w:r>
              <w:rPr>
                <w:spacing w:val="-6"/>
                <w:sz w:val="20"/>
              </w:rPr>
              <w:t xml:space="preserve"> </w:t>
            </w:r>
            <w:r>
              <w:rPr>
                <w:sz w:val="20"/>
              </w:rPr>
              <w:t>frente</w:t>
            </w:r>
            <w:r>
              <w:rPr>
                <w:spacing w:val="-6"/>
                <w:sz w:val="20"/>
              </w:rPr>
              <w:t xml:space="preserve"> </w:t>
            </w:r>
            <w:r>
              <w:rPr>
                <w:sz w:val="20"/>
              </w:rPr>
              <w:t>a</w:t>
            </w:r>
            <w:r>
              <w:rPr>
                <w:spacing w:val="-6"/>
                <w:sz w:val="20"/>
              </w:rPr>
              <w:t xml:space="preserve"> </w:t>
            </w:r>
            <w:r>
              <w:rPr>
                <w:sz w:val="20"/>
              </w:rPr>
              <w:t xml:space="preserve">residentes </w:t>
            </w:r>
            <w:r>
              <w:rPr>
                <w:spacing w:val="-2"/>
                <w:sz w:val="20"/>
              </w:rPr>
              <w:t>locales</w:t>
            </w:r>
          </w:p>
        </w:tc>
        <w:tc>
          <w:tcPr>
            <w:tcW w:w="340" w:type="dxa"/>
          </w:tcPr>
          <w:p w:rsidR="009B4BB4" w:rsidRDefault="00C44001">
            <w:pPr>
              <w:pStyle w:val="TableParagraph"/>
              <w:spacing w:before="155"/>
              <w:ind w:left="18"/>
              <w:jc w:val="center"/>
              <w:rPr>
                <w:sz w:val="20"/>
              </w:rPr>
            </w:pPr>
            <w:r>
              <w:rPr>
                <w:spacing w:val="-5"/>
                <w:sz w:val="20"/>
              </w:rPr>
              <w:t>70</w:t>
            </w:r>
          </w:p>
        </w:tc>
      </w:tr>
      <w:tr w:rsidR="009B4BB4">
        <w:trPr>
          <w:trHeight w:val="564"/>
        </w:trPr>
        <w:tc>
          <w:tcPr>
            <w:tcW w:w="716" w:type="dxa"/>
          </w:tcPr>
          <w:p w:rsidR="009B4BB4" w:rsidRDefault="00C44001">
            <w:pPr>
              <w:pStyle w:val="TableParagraph"/>
              <w:spacing w:before="147"/>
              <w:ind w:right="47"/>
              <w:jc w:val="center"/>
              <w:rPr>
                <w:sz w:val="20"/>
              </w:rPr>
            </w:pPr>
            <w:r>
              <w:rPr>
                <w:spacing w:val="-2"/>
                <w:sz w:val="20"/>
              </w:rPr>
              <w:t>Figura</w:t>
            </w:r>
          </w:p>
        </w:tc>
        <w:tc>
          <w:tcPr>
            <w:tcW w:w="631" w:type="dxa"/>
          </w:tcPr>
          <w:p w:rsidR="009B4BB4" w:rsidRDefault="00C44001">
            <w:pPr>
              <w:pStyle w:val="TableParagraph"/>
              <w:spacing w:before="147"/>
              <w:ind w:right="153"/>
              <w:jc w:val="center"/>
              <w:rPr>
                <w:sz w:val="20"/>
              </w:rPr>
            </w:pPr>
            <w:r>
              <w:rPr>
                <w:spacing w:val="-5"/>
                <w:sz w:val="20"/>
              </w:rPr>
              <w:t>4.2</w:t>
            </w:r>
          </w:p>
        </w:tc>
        <w:tc>
          <w:tcPr>
            <w:tcW w:w="7545" w:type="dxa"/>
          </w:tcPr>
          <w:p w:rsidR="009B4BB4" w:rsidRDefault="00C44001">
            <w:pPr>
              <w:pStyle w:val="TableParagraph"/>
              <w:spacing w:before="49"/>
              <w:ind w:left="143"/>
              <w:rPr>
                <w:sz w:val="20"/>
              </w:rPr>
            </w:pPr>
            <w:r>
              <w:rPr>
                <w:sz w:val="20"/>
              </w:rPr>
              <w:t>Dispersión</w:t>
            </w:r>
            <w:r>
              <w:rPr>
                <w:spacing w:val="-5"/>
                <w:sz w:val="20"/>
              </w:rPr>
              <w:t xml:space="preserve"> </w:t>
            </w:r>
            <w:r>
              <w:rPr>
                <w:sz w:val="20"/>
              </w:rPr>
              <w:t>geográfica</w:t>
            </w:r>
            <w:r>
              <w:rPr>
                <w:spacing w:val="-5"/>
                <w:sz w:val="20"/>
              </w:rPr>
              <w:t xml:space="preserve"> </w:t>
            </w:r>
            <w:r>
              <w:rPr>
                <w:sz w:val="20"/>
              </w:rPr>
              <w:t>global</w:t>
            </w:r>
            <w:r>
              <w:rPr>
                <w:spacing w:val="-5"/>
                <w:sz w:val="20"/>
              </w:rPr>
              <w:t xml:space="preserve"> </w:t>
            </w:r>
            <w:r>
              <w:rPr>
                <w:sz w:val="20"/>
              </w:rPr>
              <w:t>del</w:t>
            </w:r>
            <w:r>
              <w:rPr>
                <w:spacing w:val="-5"/>
                <w:sz w:val="20"/>
              </w:rPr>
              <w:t xml:space="preserve"> </w:t>
            </w:r>
            <w:r>
              <w:rPr>
                <w:sz w:val="20"/>
              </w:rPr>
              <w:t>interés</w:t>
            </w:r>
            <w:r>
              <w:rPr>
                <w:spacing w:val="-5"/>
                <w:sz w:val="20"/>
              </w:rPr>
              <w:t xml:space="preserve"> </w:t>
            </w:r>
            <w:r>
              <w:rPr>
                <w:sz w:val="20"/>
              </w:rPr>
              <w:t>potencial</w:t>
            </w:r>
            <w:r>
              <w:rPr>
                <w:spacing w:val="-5"/>
                <w:sz w:val="20"/>
              </w:rPr>
              <w:t xml:space="preserve"> </w:t>
            </w:r>
            <w:r>
              <w:rPr>
                <w:sz w:val="20"/>
              </w:rPr>
              <w:t>por</w:t>
            </w:r>
            <w:r>
              <w:rPr>
                <w:spacing w:val="-5"/>
                <w:sz w:val="20"/>
              </w:rPr>
              <w:t xml:space="preserve"> </w:t>
            </w:r>
            <w:r>
              <w:rPr>
                <w:sz w:val="20"/>
              </w:rPr>
              <w:t>productos</w:t>
            </w:r>
            <w:r>
              <w:rPr>
                <w:spacing w:val="-5"/>
                <w:sz w:val="20"/>
              </w:rPr>
              <w:t xml:space="preserve"> </w:t>
            </w:r>
            <w:r>
              <w:rPr>
                <w:sz w:val="20"/>
              </w:rPr>
              <w:t>naturales</w:t>
            </w:r>
            <w:r>
              <w:rPr>
                <w:spacing w:val="-5"/>
                <w:sz w:val="20"/>
              </w:rPr>
              <w:t xml:space="preserve"> </w:t>
            </w:r>
            <w:r>
              <w:rPr>
                <w:sz w:val="20"/>
              </w:rPr>
              <w:t xml:space="preserve">y </w:t>
            </w:r>
            <w:r>
              <w:rPr>
                <w:spacing w:val="-2"/>
                <w:sz w:val="20"/>
              </w:rPr>
              <w:t>culturales</w:t>
            </w:r>
          </w:p>
        </w:tc>
        <w:tc>
          <w:tcPr>
            <w:tcW w:w="340" w:type="dxa"/>
          </w:tcPr>
          <w:p w:rsidR="009B4BB4" w:rsidRDefault="00C44001">
            <w:pPr>
              <w:pStyle w:val="TableParagraph"/>
              <w:spacing w:before="147"/>
              <w:ind w:left="18"/>
              <w:jc w:val="center"/>
              <w:rPr>
                <w:sz w:val="20"/>
              </w:rPr>
            </w:pPr>
            <w:r>
              <w:rPr>
                <w:spacing w:val="-5"/>
                <w:sz w:val="20"/>
              </w:rPr>
              <w:t>71</w:t>
            </w:r>
          </w:p>
        </w:tc>
      </w:tr>
      <w:tr w:rsidR="009B4BB4">
        <w:trPr>
          <w:trHeight w:val="360"/>
        </w:trPr>
        <w:tc>
          <w:tcPr>
            <w:tcW w:w="716" w:type="dxa"/>
          </w:tcPr>
          <w:p w:rsidR="009B4BB4" w:rsidRDefault="00C44001">
            <w:pPr>
              <w:pStyle w:val="TableParagraph"/>
              <w:spacing w:before="49"/>
              <w:ind w:right="47"/>
              <w:jc w:val="center"/>
              <w:rPr>
                <w:sz w:val="20"/>
              </w:rPr>
            </w:pPr>
            <w:r>
              <w:rPr>
                <w:spacing w:val="-2"/>
                <w:sz w:val="20"/>
              </w:rPr>
              <w:t>Figura</w:t>
            </w:r>
          </w:p>
        </w:tc>
        <w:tc>
          <w:tcPr>
            <w:tcW w:w="631" w:type="dxa"/>
          </w:tcPr>
          <w:p w:rsidR="009B4BB4" w:rsidRDefault="00C44001">
            <w:pPr>
              <w:pStyle w:val="TableParagraph"/>
              <w:spacing w:before="49"/>
              <w:ind w:right="153"/>
              <w:jc w:val="center"/>
              <w:rPr>
                <w:sz w:val="20"/>
              </w:rPr>
            </w:pPr>
            <w:r>
              <w:rPr>
                <w:spacing w:val="-5"/>
                <w:sz w:val="20"/>
              </w:rPr>
              <w:t>4.3</w:t>
            </w:r>
          </w:p>
        </w:tc>
        <w:tc>
          <w:tcPr>
            <w:tcW w:w="7545" w:type="dxa"/>
          </w:tcPr>
          <w:p w:rsidR="009B4BB4" w:rsidRDefault="00C44001">
            <w:pPr>
              <w:pStyle w:val="TableParagraph"/>
              <w:spacing w:before="66"/>
              <w:ind w:left="143"/>
              <w:rPr>
                <w:sz w:val="20"/>
              </w:rPr>
            </w:pPr>
            <w:r>
              <w:rPr>
                <w:sz w:val="20"/>
              </w:rPr>
              <w:t>Perfil</w:t>
            </w:r>
            <w:r>
              <w:rPr>
                <w:spacing w:val="-6"/>
                <w:sz w:val="20"/>
              </w:rPr>
              <w:t xml:space="preserve"> </w:t>
            </w:r>
            <w:r>
              <w:rPr>
                <w:sz w:val="20"/>
              </w:rPr>
              <w:t>sociodemográfico</w:t>
            </w:r>
            <w:r>
              <w:rPr>
                <w:spacing w:val="-6"/>
                <w:sz w:val="20"/>
              </w:rPr>
              <w:t xml:space="preserve"> </w:t>
            </w:r>
            <w:r>
              <w:rPr>
                <w:sz w:val="20"/>
              </w:rPr>
              <w:t>del</w:t>
            </w:r>
            <w:r>
              <w:rPr>
                <w:spacing w:val="-6"/>
                <w:sz w:val="20"/>
              </w:rPr>
              <w:t xml:space="preserve"> </w:t>
            </w:r>
            <w:r>
              <w:rPr>
                <w:sz w:val="20"/>
              </w:rPr>
              <w:t>consumidor</w:t>
            </w:r>
            <w:r>
              <w:rPr>
                <w:spacing w:val="-6"/>
                <w:sz w:val="20"/>
              </w:rPr>
              <w:t xml:space="preserve"> </w:t>
            </w:r>
            <w:r>
              <w:rPr>
                <w:sz w:val="20"/>
              </w:rPr>
              <w:t>potencial</w:t>
            </w:r>
            <w:r>
              <w:rPr>
                <w:spacing w:val="-6"/>
                <w:sz w:val="20"/>
              </w:rPr>
              <w:t xml:space="preserve"> </w:t>
            </w:r>
            <w:r>
              <w:rPr>
                <w:sz w:val="20"/>
              </w:rPr>
              <w:t>por</w:t>
            </w:r>
            <w:r>
              <w:rPr>
                <w:spacing w:val="-6"/>
                <w:sz w:val="20"/>
              </w:rPr>
              <w:t xml:space="preserve"> </w:t>
            </w:r>
            <w:r>
              <w:rPr>
                <w:sz w:val="20"/>
              </w:rPr>
              <w:t>rango</w:t>
            </w:r>
            <w:r>
              <w:rPr>
                <w:spacing w:val="-6"/>
                <w:sz w:val="20"/>
              </w:rPr>
              <w:t xml:space="preserve"> </w:t>
            </w:r>
            <w:r>
              <w:rPr>
                <w:sz w:val="20"/>
              </w:rPr>
              <w:t>de</w:t>
            </w:r>
            <w:r>
              <w:rPr>
                <w:spacing w:val="-6"/>
                <w:sz w:val="20"/>
              </w:rPr>
              <w:t xml:space="preserve"> </w:t>
            </w:r>
            <w:r>
              <w:rPr>
                <w:sz w:val="20"/>
              </w:rPr>
              <w:t>edad</w:t>
            </w:r>
            <w:r>
              <w:rPr>
                <w:spacing w:val="-6"/>
                <w:sz w:val="20"/>
              </w:rPr>
              <w:t xml:space="preserve"> </w:t>
            </w:r>
            <w:r>
              <w:rPr>
                <w:sz w:val="20"/>
              </w:rPr>
              <w:t>y</w:t>
            </w:r>
            <w:r>
              <w:rPr>
                <w:spacing w:val="-5"/>
                <w:sz w:val="20"/>
              </w:rPr>
              <w:t xml:space="preserve"> </w:t>
            </w:r>
            <w:r>
              <w:rPr>
                <w:spacing w:val="-2"/>
                <w:sz w:val="20"/>
              </w:rPr>
              <w:t>género</w:t>
            </w:r>
          </w:p>
        </w:tc>
        <w:tc>
          <w:tcPr>
            <w:tcW w:w="340" w:type="dxa"/>
          </w:tcPr>
          <w:p w:rsidR="009B4BB4" w:rsidRDefault="00C44001">
            <w:pPr>
              <w:pStyle w:val="TableParagraph"/>
              <w:spacing w:before="49"/>
              <w:ind w:left="18"/>
              <w:jc w:val="center"/>
              <w:rPr>
                <w:sz w:val="20"/>
              </w:rPr>
            </w:pPr>
            <w:r>
              <w:rPr>
                <w:spacing w:val="-5"/>
                <w:sz w:val="20"/>
              </w:rPr>
              <w:t>72</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4.4</w:t>
            </w:r>
          </w:p>
        </w:tc>
        <w:tc>
          <w:tcPr>
            <w:tcW w:w="7545" w:type="dxa"/>
          </w:tcPr>
          <w:p w:rsidR="009B4BB4" w:rsidRDefault="00C44001">
            <w:pPr>
              <w:pStyle w:val="TableParagraph"/>
              <w:spacing w:before="75"/>
              <w:ind w:left="143"/>
              <w:rPr>
                <w:sz w:val="20"/>
              </w:rPr>
            </w:pPr>
            <w:r>
              <w:rPr>
                <w:sz w:val="20"/>
              </w:rPr>
              <w:t>Frecuencia</w:t>
            </w:r>
            <w:r>
              <w:rPr>
                <w:spacing w:val="-7"/>
                <w:sz w:val="20"/>
              </w:rPr>
              <w:t xml:space="preserve"> </w:t>
            </w:r>
            <w:r>
              <w:rPr>
                <w:sz w:val="20"/>
              </w:rPr>
              <w:t>de</w:t>
            </w:r>
            <w:r>
              <w:rPr>
                <w:spacing w:val="-5"/>
                <w:sz w:val="20"/>
              </w:rPr>
              <w:t xml:space="preserve"> </w:t>
            </w:r>
            <w:r>
              <w:rPr>
                <w:sz w:val="20"/>
              </w:rPr>
              <w:t>consumo</w:t>
            </w:r>
            <w:r>
              <w:rPr>
                <w:spacing w:val="-5"/>
                <w:sz w:val="20"/>
              </w:rPr>
              <w:t xml:space="preserve"> </w:t>
            </w:r>
            <w:r>
              <w:rPr>
                <w:sz w:val="20"/>
              </w:rPr>
              <w:t>de</w:t>
            </w:r>
            <w:r>
              <w:rPr>
                <w:spacing w:val="-5"/>
                <w:sz w:val="20"/>
              </w:rPr>
              <w:t xml:space="preserve"> </w:t>
            </w:r>
            <w:r>
              <w:rPr>
                <w:sz w:val="20"/>
              </w:rPr>
              <w:t>miel</w:t>
            </w:r>
            <w:r>
              <w:rPr>
                <w:spacing w:val="-5"/>
                <w:sz w:val="20"/>
              </w:rPr>
              <w:t xml:space="preserve"> </w:t>
            </w:r>
            <w:r>
              <w:rPr>
                <w:sz w:val="20"/>
              </w:rPr>
              <w:t>segmentada</w:t>
            </w:r>
            <w:r>
              <w:rPr>
                <w:spacing w:val="-5"/>
                <w:sz w:val="20"/>
              </w:rPr>
              <w:t xml:space="preserve"> </w:t>
            </w:r>
            <w:r>
              <w:rPr>
                <w:sz w:val="20"/>
              </w:rPr>
              <w:t>por</w:t>
            </w:r>
            <w:r>
              <w:rPr>
                <w:spacing w:val="-5"/>
                <w:sz w:val="20"/>
              </w:rPr>
              <w:t xml:space="preserve"> </w:t>
            </w:r>
            <w:r>
              <w:rPr>
                <w:sz w:val="20"/>
              </w:rPr>
              <w:t>rango</w:t>
            </w:r>
            <w:r>
              <w:rPr>
                <w:spacing w:val="-5"/>
                <w:sz w:val="20"/>
              </w:rPr>
              <w:t xml:space="preserve"> </w:t>
            </w:r>
            <w:r>
              <w:rPr>
                <w:sz w:val="20"/>
              </w:rPr>
              <w:t>de</w:t>
            </w:r>
            <w:r>
              <w:rPr>
                <w:spacing w:val="-5"/>
                <w:sz w:val="20"/>
              </w:rPr>
              <w:t xml:space="preserve"> </w:t>
            </w:r>
            <w:r>
              <w:rPr>
                <w:spacing w:val="-4"/>
                <w:sz w:val="20"/>
              </w:rPr>
              <w:t>edad</w:t>
            </w:r>
          </w:p>
        </w:tc>
        <w:tc>
          <w:tcPr>
            <w:tcW w:w="340" w:type="dxa"/>
          </w:tcPr>
          <w:p w:rsidR="009B4BB4" w:rsidRDefault="00C44001">
            <w:pPr>
              <w:pStyle w:val="TableParagraph"/>
              <w:spacing w:before="58"/>
              <w:ind w:left="18"/>
              <w:jc w:val="center"/>
              <w:rPr>
                <w:sz w:val="20"/>
              </w:rPr>
            </w:pPr>
            <w:r>
              <w:rPr>
                <w:spacing w:val="-5"/>
                <w:sz w:val="20"/>
              </w:rPr>
              <w:t>74</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4.5</w:t>
            </w:r>
          </w:p>
        </w:tc>
        <w:tc>
          <w:tcPr>
            <w:tcW w:w="7545" w:type="dxa"/>
          </w:tcPr>
          <w:p w:rsidR="009B4BB4" w:rsidRDefault="00C44001">
            <w:pPr>
              <w:pStyle w:val="TableParagraph"/>
              <w:spacing w:before="75"/>
              <w:ind w:left="143"/>
              <w:rPr>
                <w:sz w:val="20"/>
              </w:rPr>
            </w:pPr>
            <w:r>
              <w:rPr>
                <w:sz w:val="20"/>
              </w:rPr>
              <w:t>Nivel</w:t>
            </w:r>
            <w:r>
              <w:rPr>
                <w:spacing w:val="-9"/>
                <w:sz w:val="20"/>
              </w:rPr>
              <w:t xml:space="preserve"> </w:t>
            </w:r>
            <w:r>
              <w:rPr>
                <w:sz w:val="20"/>
              </w:rPr>
              <w:t>de</w:t>
            </w:r>
            <w:r>
              <w:rPr>
                <w:spacing w:val="-6"/>
                <w:sz w:val="20"/>
              </w:rPr>
              <w:t xml:space="preserve"> </w:t>
            </w:r>
            <w:r>
              <w:rPr>
                <w:sz w:val="20"/>
              </w:rPr>
              <w:t>penetración</w:t>
            </w:r>
            <w:r>
              <w:rPr>
                <w:spacing w:val="-6"/>
                <w:sz w:val="20"/>
              </w:rPr>
              <w:t xml:space="preserve"> </w:t>
            </w:r>
            <w:r>
              <w:rPr>
                <w:sz w:val="20"/>
              </w:rPr>
              <w:t>del</w:t>
            </w:r>
            <w:r>
              <w:rPr>
                <w:spacing w:val="-7"/>
                <w:sz w:val="20"/>
              </w:rPr>
              <w:t xml:space="preserve"> </w:t>
            </w:r>
            <w:r>
              <w:rPr>
                <w:sz w:val="20"/>
              </w:rPr>
              <w:t>producto:</w:t>
            </w:r>
            <w:r>
              <w:rPr>
                <w:spacing w:val="-6"/>
                <w:sz w:val="20"/>
              </w:rPr>
              <w:t xml:space="preserve"> </w:t>
            </w:r>
            <w:r>
              <w:rPr>
                <w:sz w:val="20"/>
              </w:rPr>
              <w:t>Comparativa</w:t>
            </w:r>
            <w:r>
              <w:rPr>
                <w:spacing w:val="-6"/>
                <w:sz w:val="20"/>
              </w:rPr>
              <w:t xml:space="preserve"> </w:t>
            </w:r>
            <w:r>
              <w:rPr>
                <w:sz w:val="20"/>
              </w:rPr>
              <w:t>de</w:t>
            </w:r>
            <w:r>
              <w:rPr>
                <w:spacing w:val="-7"/>
                <w:sz w:val="20"/>
              </w:rPr>
              <w:t xml:space="preserve"> </w:t>
            </w:r>
            <w:r>
              <w:rPr>
                <w:sz w:val="20"/>
              </w:rPr>
              <w:t>experiencia</w:t>
            </w:r>
            <w:r>
              <w:rPr>
                <w:spacing w:val="-6"/>
                <w:sz w:val="20"/>
              </w:rPr>
              <w:t xml:space="preserve"> </w:t>
            </w:r>
            <w:r>
              <w:rPr>
                <w:sz w:val="20"/>
              </w:rPr>
              <w:t>previa</w:t>
            </w:r>
            <w:r>
              <w:rPr>
                <w:spacing w:val="-6"/>
                <w:sz w:val="20"/>
              </w:rPr>
              <w:t xml:space="preserve"> </w:t>
            </w:r>
            <w:r>
              <w:rPr>
                <w:sz w:val="20"/>
              </w:rPr>
              <w:t>por</w:t>
            </w:r>
            <w:r>
              <w:rPr>
                <w:spacing w:val="-6"/>
                <w:sz w:val="20"/>
              </w:rPr>
              <w:t xml:space="preserve"> </w:t>
            </w:r>
            <w:r>
              <w:rPr>
                <w:spacing w:val="-2"/>
                <w:sz w:val="20"/>
              </w:rPr>
              <w:t>género</w:t>
            </w:r>
          </w:p>
        </w:tc>
        <w:tc>
          <w:tcPr>
            <w:tcW w:w="340" w:type="dxa"/>
          </w:tcPr>
          <w:p w:rsidR="009B4BB4" w:rsidRDefault="00C44001">
            <w:pPr>
              <w:pStyle w:val="TableParagraph"/>
              <w:spacing w:before="58"/>
              <w:ind w:left="18"/>
              <w:jc w:val="center"/>
              <w:rPr>
                <w:sz w:val="20"/>
              </w:rPr>
            </w:pPr>
            <w:r>
              <w:rPr>
                <w:spacing w:val="-5"/>
                <w:sz w:val="20"/>
              </w:rPr>
              <w:t>75</w:t>
            </w:r>
          </w:p>
        </w:tc>
      </w:tr>
      <w:tr w:rsidR="009B4BB4">
        <w:trPr>
          <w:trHeight w:val="573"/>
        </w:trPr>
        <w:tc>
          <w:tcPr>
            <w:tcW w:w="716" w:type="dxa"/>
          </w:tcPr>
          <w:p w:rsidR="009B4BB4" w:rsidRDefault="00C44001">
            <w:pPr>
              <w:pStyle w:val="TableParagraph"/>
              <w:spacing w:before="155"/>
              <w:ind w:right="47"/>
              <w:jc w:val="center"/>
              <w:rPr>
                <w:sz w:val="20"/>
              </w:rPr>
            </w:pPr>
            <w:r>
              <w:rPr>
                <w:spacing w:val="-2"/>
                <w:sz w:val="20"/>
              </w:rPr>
              <w:t>Figura</w:t>
            </w:r>
          </w:p>
        </w:tc>
        <w:tc>
          <w:tcPr>
            <w:tcW w:w="631" w:type="dxa"/>
          </w:tcPr>
          <w:p w:rsidR="009B4BB4" w:rsidRDefault="00C44001">
            <w:pPr>
              <w:pStyle w:val="TableParagraph"/>
              <w:spacing w:before="155"/>
              <w:ind w:right="153"/>
              <w:jc w:val="center"/>
              <w:rPr>
                <w:sz w:val="20"/>
              </w:rPr>
            </w:pPr>
            <w:r>
              <w:rPr>
                <w:spacing w:val="-5"/>
                <w:sz w:val="20"/>
              </w:rPr>
              <w:t>4.6</w:t>
            </w:r>
          </w:p>
        </w:tc>
        <w:tc>
          <w:tcPr>
            <w:tcW w:w="7545" w:type="dxa"/>
          </w:tcPr>
          <w:p w:rsidR="009B4BB4" w:rsidRDefault="00C44001">
            <w:pPr>
              <w:pStyle w:val="TableParagraph"/>
              <w:spacing w:before="58"/>
              <w:ind w:left="143"/>
              <w:rPr>
                <w:sz w:val="20"/>
              </w:rPr>
            </w:pPr>
            <w:r>
              <w:rPr>
                <w:sz w:val="20"/>
              </w:rPr>
              <w:t>Nivel</w:t>
            </w:r>
            <w:r>
              <w:rPr>
                <w:spacing w:val="-6"/>
                <w:sz w:val="20"/>
              </w:rPr>
              <w:t xml:space="preserve"> </w:t>
            </w:r>
            <w:r>
              <w:rPr>
                <w:sz w:val="20"/>
              </w:rPr>
              <w:t>de</w:t>
            </w:r>
            <w:r>
              <w:rPr>
                <w:spacing w:val="-4"/>
                <w:sz w:val="20"/>
              </w:rPr>
              <w:t xml:space="preserve"> </w:t>
            </w:r>
            <w:r>
              <w:rPr>
                <w:sz w:val="20"/>
              </w:rPr>
              <w:t>conocimiento</w:t>
            </w:r>
            <w:r>
              <w:rPr>
                <w:spacing w:val="-4"/>
                <w:sz w:val="20"/>
              </w:rPr>
              <w:t xml:space="preserve"> </w:t>
            </w:r>
            <w:r>
              <w:rPr>
                <w:sz w:val="20"/>
              </w:rPr>
              <w:t>sobre</w:t>
            </w:r>
            <w:r>
              <w:rPr>
                <w:spacing w:val="-4"/>
                <w:sz w:val="20"/>
              </w:rPr>
              <w:t xml:space="preserve"> </w:t>
            </w:r>
            <w:r>
              <w:rPr>
                <w:sz w:val="20"/>
              </w:rPr>
              <w:t>propiedades</w:t>
            </w:r>
            <w:r>
              <w:rPr>
                <w:spacing w:val="-4"/>
                <w:sz w:val="20"/>
              </w:rPr>
              <w:t xml:space="preserve"> </w:t>
            </w:r>
            <w:r>
              <w:rPr>
                <w:sz w:val="20"/>
              </w:rPr>
              <w:t>medicinales</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miel</w:t>
            </w:r>
            <w:r>
              <w:rPr>
                <w:spacing w:val="-4"/>
                <w:sz w:val="20"/>
              </w:rPr>
              <w:t xml:space="preserve"> </w:t>
            </w:r>
            <w:r>
              <w:rPr>
                <w:sz w:val="20"/>
              </w:rPr>
              <w:t>melipona</w:t>
            </w:r>
            <w:r>
              <w:rPr>
                <w:spacing w:val="-4"/>
                <w:sz w:val="20"/>
              </w:rPr>
              <w:t xml:space="preserve"> </w:t>
            </w:r>
            <w:r>
              <w:rPr>
                <w:sz w:val="20"/>
              </w:rPr>
              <w:t>por segmento de origen</w:t>
            </w:r>
          </w:p>
        </w:tc>
        <w:tc>
          <w:tcPr>
            <w:tcW w:w="340" w:type="dxa"/>
          </w:tcPr>
          <w:p w:rsidR="009B4BB4" w:rsidRDefault="00C44001">
            <w:pPr>
              <w:pStyle w:val="TableParagraph"/>
              <w:spacing w:before="155"/>
              <w:ind w:left="18"/>
              <w:jc w:val="center"/>
              <w:rPr>
                <w:sz w:val="20"/>
              </w:rPr>
            </w:pPr>
            <w:r>
              <w:rPr>
                <w:spacing w:val="-5"/>
                <w:sz w:val="20"/>
              </w:rPr>
              <w:t>77</w:t>
            </w:r>
          </w:p>
        </w:tc>
      </w:tr>
      <w:tr w:rsidR="009B4BB4">
        <w:trPr>
          <w:trHeight w:val="564"/>
        </w:trPr>
        <w:tc>
          <w:tcPr>
            <w:tcW w:w="716" w:type="dxa"/>
          </w:tcPr>
          <w:p w:rsidR="009B4BB4" w:rsidRDefault="00C44001">
            <w:pPr>
              <w:pStyle w:val="TableParagraph"/>
              <w:spacing w:before="147"/>
              <w:ind w:right="47"/>
              <w:jc w:val="center"/>
              <w:rPr>
                <w:sz w:val="20"/>
              </w:rPr>
            </w:pPr>
            <w:r>
              <w:rPr>
                <w:spacing w:val="-2"/>
                <w:sz w:val="20"/>
              </w:rPr>
              <w:t>Figura</w:t>
            </w:r>
          </w:p>
        </w:tc>
        <w:tc>
          <w:tcPr>
            <w:tcW w:w="631" w:type="dxa"/>
          </w:tcPr>
          <w:p w:rsidR="009B4BB4" w:rsidRDefault="00C44001">
            <w:pPr>
              <w:pStyle w:val="TableParagraph"/>
              <w:spacing w:before="147"/>
              <w:ind w:right="153"/>
              <w:jc w:val="center"/>
              <w:rPr>
                <w:sz w:val="20"/>
              </w:rPr>
            </w:pPr>
            <w:r>
              <w:rPr>
                <w:spacing w:val="-5"/>
                <w:sz w:val="20"/>
              </w:rPr>
              <w:t>4.7</w:t>
            </w:r>
          </w:p>
        </w:tc>
        <w:tc>
          <w:tcPr>
            <w:tcW w:w="7545" w:type="dxa"/>
          </w:tcPr>
          <w:p w:rsidR="009B4BB4" w:rsidRDefault="00C44001">
            <w:pPr>
              <w:pStyle w:val="TableParagraph"/>
              <w:spacing w:before="49"/>
              <w:ind w:left="143"/>
              <w:rPr>
                <w:sz w:val="20"/>
              </w:rPr>
            </w:pPr>
            <w:r>
              <w:rPr>
                <w:sz w:val="20"/>
              </w:rPr>
              <w:t>Nivel</w:t>
            </w:r>
            <w:r>
              <w:rPr>
                <w:spacing w:val="-4"/>
                <w:sz w:val="20"/>
              </w:rPr>
              <w:t xml:space="preserve"> </w:t>
            </w:r>
            <w:r>
              <w:rPr>
                <w:sz w:val="20"/>
              </w:rPr>
              <w:t>de</w:t>
            </w:r>
            <w:r>
              <w:rPr>
                <w:spacing w:val="-4"/>
                <w:sz w:val="20"/>
              </w:rPr>
              <w:t xml:space="preserve"> </w:t>
            </w:r>
            <w:r>
              <w:rPr>
                <w:sz w:val="20"/>
              </w:rPr>
              <w:t>conocimiento</w:t>
            </w:r>
            <w:r>
              <w:rPr>
                <w:spacing w:val="-4"/>
                <w:sz w:val="20"/>
              </w:rPr>
              <w:t xml:space="preserve"> </w:t>
            </w:r>
            <w:r>
              <w:rPr>
                <w:sz w:val="20"/>
              </w:rPr>
              <w:t>sobre</w:t>
            </w:r>
            <w:r>
              <w:rPr>
                <w:spacing w:val="-4"/>
                <w:sz w:val="20"/>
              </w:rPr>
              <w:t xml:space="preserve"> </w:t>
            </w:r>
            <w:r>
              <w:rPr>
                <w:sz w:val="20"/>
              </w:rPr>
              <w:t>las</w:t>
            </w:r>
            <w:r>
              <w:rPr>
                <w:spacing w:val="-4"/>
                <w:sz w:val="20"/>
              </w:rPr>
              <w:t xml:space="preserve"> </w:t>
            </w:r>
            <w:r>
              <w:rPr>
                <w:sz w:val="20"/>
              </w:rPr>
              <w:t>propiedades</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miel</w:t>
            </w:r>
            <w:r>
              <w:rPr>
                <w:spacing w:val="-4"/>
                <w:sz w:val="20"/>
              </w:rPr>
              <w:t xml:space="preserve"> </w:t>
            </w:r>
            <w:r>
              <w:rPr>
                <w:sz w:val="20"/>
              </w:rPr>
              <w:t>melipona</w:t>
            </w:r>
            <w:r>
              <w:rPr>
                <w:spacing w:val="-4"/>
                <w:sz w:val="20"/>
              </w:rPr>
              <w:t xml:space="preserve"> </w:t>
            </w:r>
            <w:r>
              <w:rPr>
                <w:sz w:val="20"/>
              </w:rPr>
              <w:t>segmentado</w:t>
            </w:r>
            <w:r>
              <w:rPr>
                <w:spacing w:val="-4"/>
                <w:sz w:val="20"/>
              </w:rPr>
              <w:t xml:space="preserve"> </w:t>
            </w:r>
            <w:r>
              <w:rPr>
                <w:sz w:val="20"/>
              </w:rPr>
              <w:t>por grupo etario</w:t>
            </w:r>
          </w:p>
        </w:tc>
        <w:tc>
          <w:tcPr>
            <w:tcW w:w="340" w:type="dxa"/>
          </w:tcPr>
          <w:p w:rsidR="009B4BB4" w:rsidRDefault="00C44001">
            <w:pPr>
              <w:pStyle w:val="TableParagraph"/>
              <w:spacing w:before="147"/>
              <w:ind w:left="18"/>
              <w:jc w:val="center"/>
              <w:rPr>
                <w:sz w:val="20"/>
              </w:rPr>
            </w:pPr>
            <w:r>
              <w:rPr>
                <w:spacing w:val="-5"/>
                <w:sz w:val="20"/>
              </w:rPr>
              <w:t>78</w:t>
            </w:r>
          </w:p>
        </w:tc>
      </w:tr>
      <w:tr w:rsidR="009B4BB4">
        <w:trPr>
          <w:trHeight w:val="360"/>
        </w:trPr>
        <w:tc>
          <w:tcPr>
            <w:tcW w:w="716" w:type="dxa"/>
          </w:tcPr>
          <w:p w:rsidR="009B4BB4" w:rsidRDefault="00C44001">
            <w:pPr>
              <w:pStyle w:val="TableParagraph"/>
              <w:spacing w:before="49"/>
              <w:ind w:right="47"/>
              <w:jc w:val="center"/>
              <w:rPr>
                <w:sz w:val="20"/>
              </w:rPr>
            </w:pPr>
            <w:r>
              <w:rPr>
                <w:spacing w:val="-2"/>
                <w:sz w:val="20"/>
              </w:rPr>
              <w:t>Figura</w:t>
            </w:r>
          </w:p>
        </w:tc>
        <w:tc>
          <w:tcPr>
            <w:tcW w:w="631" w:type="dxa"/>
          </w:tcPr>
          <w:p w:rsidR="009B4BB4" w:rsidRDefault="00C44001">
            <w:pPr>
              <w:pStyle w:val="TableParagraph"/>
              <w:spacing w:before="49"/>
              <w:ind w:right="153"/>
              <w:jc w:val="center"/>
              <w:rPr>
                <w:sz w:val="20"/>
              </w:rPr>
            </w:pPr>
            <w:r>
              <w:rPr>
                <w:spacing w:val="-5"/>
                <w:sz w:val="20"/>
              </w:rPr>
              <w:t>4.8</w:t>
            </w:r>
          </w:p>
        </w:tc>
        <w:tc>
          <w:tcPr>
            <w:tcW w:w="7545" w:type="dxa"/>
          </w:tcPr>
          <w:p w:rsidR="009B4BB4" w:rsidRDefault="00C44001">
            <w:pPr>
              <w:pStyle w:val="TableParagraph"/>
              <w:spacing w:before="66"/>
              <w:ind w:left="143"/>
              <w:rPr>
                <w:sz w:val="20"/>
              </w:rPr>
            </w:pPr>
            <w:r>
              <w:rPr>
                <w:sz w:val="20"/>
              </w:rPr>
              <w:t>Arquetipos</w:t>
            </w:r>
            <w:r>
              <w:rPr>
                <w:spacing w:val="-7"/>
                <w:sz w:val="20"/>
              </w:rPr>
              <w:t xml:space="preserve"> </w:t>
            </w:r>
            <w:r>
              <w:rPr>
                <w:sz w:val="20"/>
              </w:rPr>
              <w:t>de</w:t>
            </w:r>
            <w:r>
              <w:rPr>
                <w:spacing w:val="-6"/>
                <w:sz w:val="20"/>
              </w:rPr>
              <w:t xml:space="preserve"> </w:t>
            </w:r>
            <w:r>
              <w:rPr>
                <w:sz w:val="20"/>
              </w:rPr>
              <w:t>consumo</w:t>
            </w:r>
            <w:r>
              <w:rPr>
                <w:spacing w:val="-7"/>
                <w:sz w:val="20"/>
              </w:rPr>
              <w:t xml:space="preserve"> </w:t>
            </w:r>
            <w:r>
              <w:rPr>
                <w:sz w:val="20"/>
              </w:rPr>
              <w:t>declarados</w:t>
            </w:r>
            <w:r>
              <w:rPr>
                <w:spacing w:val="-6"/>
                <w:sz w:val="20"/>
              </w:rPr>
              <w:t xml:space="preserve"> </w:t>
            </w:r>
            <w:r>
              <w:rPr>
                <w:sz w:val="20"/>
              </w:rPr>
              <w:t>segmentados</w:t>
            </w:r>
            <w:r>
              <w:rPr>
                <w:spacing w:val="-7"/>
                <w:sz w:val="20"/>
              </w:rPr>
              <w:t xml:space="preserve"> </w:t>
            </w:r>
            <w:r>
              <w:rPr>
                <w:sz w:val="20"/>
              </w:rPr>
              <w:t>por</w:t>
            </w:r>
            <w:r>
              <w:rPr>
                <w:spacing w:val="-6"/>
                <w:sz w:val="20"/>
              </w:rPr>
              <w:t xml:space="preserve"> </w:t>
            </w:r>
            <w:r>
              <w:rPr>
                <w:sz w:val="20"/>
              </w:rPr>
              <w:t>origen</w:t>
            </w:r>
            <w:r>
              <w:rPr>
                <w:spacing w:val="-7"/>
                <w:sz w:val="20"/>
              </w:rPr>
              <w:t xml:space="preserve"> </w:t>
            </w:r>
            <w:r>
              <w:rPr>
                <w:sz w:val="20"/>
              </w:rPr>
              <w:t>del</w:t>
            </w:r>
            <w:r>
              <w:rPr>
                <w:spacing w:val="-6"/>
                <w:sz w:val="20"/>
              </w:rPr>
              <w:t xml:space="preserve"> </w:t>
            </w:r>
            <w:r>
              <w:rPr>
                <w:spacing w:val="-2"/>
                <w:sz w:val="20"/>
              </w:rPr>
              <w:t>mercado</w:t>
            </w:r>
          </w:p>
        </w:tc>
        <w:tc>
          <w:tcPr>
            <w:tcW w:w="340" w:type="dxa"/>
          </w:tcPr>
          <w:p w:rsidR="009B4BB4" w:rsidRDefault="00C44001">
            <w:pPr>
              <w:pStyle w:val="TableParagraph"/>
              <w:spacing w:before="49"/>
              <w:ind w:left="18"/>
              <w:jc w:val="center"/>
              <w:rPr>
                <w:sz w:val="20"/>
              </w:rPr>
            </w:pPr>
            <w:r>
              <w:rPr>
                <w:spacing w:val="-5"/>
                <w:sz w:val="20"/>
              </w:rPr>
              <w:t>81</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631" w:type="dxa"/>
          </w:tcPr>
          <w:p w:rsidR="009B4BB4" w:rsidRDefault="00C44001">
            <w:pPr>
              <w:pStyle w:val="TableParagraph"/>
              <w:spacing w:before="58"/>
              <w:ind w:right="153"/>
              <w:jc w:val="center"/>
              <w:rPr>
                <w:sz w:val="20"/>
              </w:rPr>
            </w:pPr>
            <w:r>
              <w:rPr>
                <w:spacing w:val="-5"/>
                <w:sz w:val="20"/>
              </w:rPr>
              <w:t>4.9</w:t>
            </w:r>
          </w:p>
        </w:tc>
        <w:tc>
          <w:tcPr>
            <w:tcW w:w="7545" w:type="dxa"/>
          </w:tcPr>
          <w:p w:rsidR="009B4BB4" w:rsidRDefault="00C44001">
            <w:pPr>
              <w:pStyle w:val="TableParagraph"/>
              <w:spacing w:before="75"/>
              <w:ind w:left="143"/>
              <w:rPr>
                <w:sz w:val="20"/>
              </w:rPr>
            </w:pPr>
            <w:r>
              <w:rPr>
                <w:sz w:val="20"/>
              </w:rPr>
              <w:t>Preferencia</w:t>
            </w:r>
            <w:r>
              <w:rPr>
                <w:spacing w:val="-9"/>
                <w:sz w:val="20"/>
              </w:rPr>
              <w:t xml:space="preserve"> </w:t>
            </w:r>
            <w:r>
              <w:rPr>
                <w:sz w:val="20"/>
              </w:rPr>
              <w:t>de</w:t>
            </w:r>
            <w:r>
              <w:rPr>
                <w:spacing w:val="-6"/>
                <w:sz w:val="20"/>
              </w:rPr>
              <w:t xml:space="preserve"> </w:t>
            </w:r>
            <w:r>
              <w:rPr>
                <w:sz w:val="20"/>
              </w:rPr>
              <w:t>concepto</w:t>
            </w:r>
            <w:r>
              <w:rPr>
                <w:spacing w:val="-7"/>
                <w:sz w:val="20"/>
              </w:rPr>
              <w:t xml:space="preserve"> </w:t>
            </w:r>
            <w:r>
              <w:rPr>
                <w:sz w:val="20"/>
              </w:rPr>
              <w:t>de</w:t>
            </w:r>
            <w:r>
              <w:rPr>
                <w:spacing w:val="-6"/>
                <w:sz w:val="20"/>
              </w:rPr>
              <w:t xml:space="preserve"> </w:t>
            </w:r>
            <w:r>
              <w:rPr>
                <w:sz w:val="20"/>
              </w:rPr>
              <w:t>producto</w:t>
            </w:r>
            <w:r>
              <w:rPr>
                <w:spacing w:val="-7"/>
                <w:sz w:val="20"/>
              </w:rPr>
              <w:t xml:space="preserve"> </w:t>
            </w:r>
            <w:r>
              <w:rPr>
                <w:sz w:val="20"/>
              </w:rPr>
              <w:t>segmentada</w:t>
            </w:r>
            <w:r>
              <w:rPr>
                <w:spacing w:val="-6"/>
                <w:sz w:val="20"/>
              </w:rPr>
              <w:t xml:space="preserve"> </w:t>
            </w:r>
            <w:r>
              <w:rPr>
                <w:sz w:val="20"/>
              </w:rPr>
              <w:t>por</w:t>
            </w:r>
            <w:r>
              <w:rPr>
                <w:spacing w:val="-7"/>
                <w:sz w:val="20"/>
              </w:rPr>
              <w:t xml:space="preserve"> </w:t>
            </w:r>
            <w:r>
              <w:rPr>
                <w:sz w:val="20"/>
              </w:rPr>
              <w:t>procedencia</w:t>
            </w:r>
            <w:r>
              <w:rPr>
                <w:spacing w:val="-6"/>
                <w:sz w:val="20"/>
              </w:rPr>
              <w:t xml:space="preserve"> </w:t>
            </w:r>
            <w:r>
              <w:rPr>
                <w:sz w:val="20"/>
              </w:rPr>
              <w:t>del</w:t>
            </w:r>
            <w:r>
              <w:rPr>
                <w:spacing w:val="-6"/>
                <w:sz w:val="20"/>
              </w:rPr>
              <w:t xml:space="preserve"> </w:t>
            </w:r>
            <w:r>
              <w:rPr>
                <w:spacing w:val="-2"/>
                <w:sz w:val="20"/>
              </w:rPr>
              <w:t>mercado</w:t>
            </w:r>
          </w:p>
        </w:tc>
        <w:tc>
          <w:tcPr>
            <w:tcW w:w="340" w:type="dxa"/>
          </w:tcPr>
          <w:p w:rsidR="009B4BB4" w:rsidRDefault="00C44001">
            <w:pPr>
              <w:pStyle w:val="TableParagraph"/>
              <w:spacing w:before="58"/>
              <w:ind w:left="18"/>
              <w:jc w:val="center"/>
              <w:rPr>
                <w:sz w:val="20"/>
              </w:rPr>
            </w:pPr>
            <w:r>
              <w:rPr>
                <w:spacing w:val="-5"/>
                <w:sz w:val="20"/>
              </w:rPr>
              <w:t>83</w:t>
            </w:r>
          </w:p>
        </w:tc>
      </w:tr>
      <w:tr w:rsidR="009B4BB4">
        <w:trPr>
          <w:trHeight w:val="573"/>
        </w:trPr>
        <w:tc>
          <w:tcPr>
            <w:tcW w:w="716" w:type="dxa"/>
          </w:tcPr>
          <w:p w:rsidR="009B4BB4" w:rsidRDefault="00C44001">
            <w:pPr>
              <w:pStyle w:val="TableParagraph"/>
              <w:spacing w:before="155"/>
              <w:ind w:right="47"/>
              <w:jc w:val="center"/>
              <w:rPr>
                <w:sz w:val="20"/>
              </w:rPr>
            </w:pPr>
            <w:r>
              <w:rPr>
                <w:spacing w:val="-2"/>
                <w:sz w:val="20"/>
              </w:rPr>
              <w:t>Figura</w:t>
            </w:r>
          </w:p>
        </w:tc>
        <w:tc>
          <w:tcPr>
            <w:tcW w:w="631" w:type="dxa"/>
          </w:tcPr>
          <w:p w:rsidR="009B4BB4" w:rsidRDefault="00C44001">
            <w:pPr>
              <w:pStyle w:val="TableParagraph"/>
              <w:spacing w:before="155"/>
              <w:ind w:left="15" w:right="56"/>
              <w:jc w:val="center"/>
              <w:rPr>
                <w:sz w:val="20"/>
              </w:rPr>
            </w:pPr>
            <w:r>
              <w:rPr>
                <w:spacing w:val="-4"/>
                <w:sz w:val="20"/>
              </w:rPr>
              <w:t>4.10</w:t>
            </w:r>
          </w:p>
        </w:tc>
        <w:tc>
          <w:tcPr>
            <w:tcW w:w="7545" w:type="dxa"/>
          </w:tcPr>
          <w:p w:rsidR="009B4BB4" w:rsidRDefault="00C44001">
            <w:pPr>
              <w:pStyle w:val="TableParagraph"/>
              <w:spacing w:before="58"/>
              <w:ind w:left="143"/>
              <w:rPr>
                <w:sz w:val="20"/>
              </w:rPr>
            </w:pPr>
            <w:r>
              <w:rPr>
                <w:sz w:val="20"/>
              </w:rPr>
              <w:t>Preferencia</w:t>
            </w:r>
            <w:r>
              <w:rPr>
                <w:spacing w:val="-5"/>
                <w:sz w:val="20"/>
              </w:rPr>
              <w:t xml:space="preserve"> </w:t>
            </w:r>
            <w:r>
              <w:rPr>
                <w:sz w:val="20"/>
              </w:rPr>
              <w:t>de</w:t>
            </w:r>
            <w:r>
              <w:rPr>
                <w:spacing w:val="-5"/>
                <w:sz w:val="20"/>
              </w:rPr>
              <w:t xml:space="preserve"> </w:t>
            </w:r>
            <w:r>
              <w:rPr>
                <w:sz w:val="20"/>
              </w:rPr>
              <w:t>formato</w:t>
            </w:r>
            <w:r>
              <w:rPr>
                <w:spacing w:val="-5"/>
                <w:sz w:val="20"/>
              </w:rPr>
              <w:t xml:space="preserve"> </w:t>
            </w:r>
            <w:r>
              <w:rPr>
                <w:sz w:val="20"/>
              </w:rPr>
              <w:t>de</w:t>
            </w:r>
            <w:r>
              <w:rPr>
                <w:spacing w:val="-5"/>
                <w:sz w:val="20"/>
              </w:rPr>
              <w:t xml:space="preserve"> </w:t>
            </w:r>
            <w:r>
              <w:rPr>
                <w:sz w:val="20"/>
              </w:rPr>
              <w:t>empaque</w:t>
            </w:r>
            <w:r>
              <w:rPr>
                <w:spacing w:val="-5"/>
                <w:sz w:val="20"/>
              </w:rPr>
              <w:t xml:space="preserve"> </w:t>
            </w:r>
            <w:r>
              <w:rPr>
                <w:sz w:val="20"/>
              </w:rPr>
              <w:t>segmentada</w:t>
            </w:r>
            <w:r>
              <w:rPr>
                <w:spacing w:val="-5"/>
                <w:sz w:val="20"/>
              </w:rPr>
              <w:t xml:space="preserve"> </w:t>
            </w:r>
            <w:r>
              <w:rPr>
                <w:sz w:val="20"/>
              </w:rPr>
              <w:t>por</w:t>
            </w:r>
            <w:r>
              <w:rPr>
                <w:spacing w:val="-5"/>
                <w:sz w:val="20"/>
              </w:rPr>
              <w:t xml:space="preserve"> </w:t>
            </w:r>
            <w:r>
              <w:rPr>
                <w:sz w:val="20"/>
              </w:rPr>
              <w:t>concepto</w:t>
            </w:r>
            <w:r>
              <w:rPr>
                <w:spacing w:val="-5"/>
                <w:sz w:val="20"/>
              </w:rPr>
              <w:t xml:space="preserve"> </w:t>
            </w:r>
            <w:r>
              <w:rPr>
                <w:sz w:val="20"/>
              </w:rPr>
              <w:t>de</w:t>
            </w:r>
            <w:r>
              <w:rPr>
                <w:spacing w:val="-5"/>
                <w:sz w:val="20"/>
              </w:rPr>
              <w:t xml:space="preserve"> </w:t>
            </w:r>
            <w:r>
              <w:rPr>
                <w:sz w:val="20"/>
              </w:rPr>
              <w:t xml:space="preserve">producto </w:t>
            </w:r>
            <w:r>
              <w:rPr>
                <w:spacing w:val="-2"/>
                <w:sz w:val="20"/>
              </w:rPr>
              <w:t>esperado</w:t>
            </w:r>
          </w:p>
        </w:tc>
        <w:tc>
          <w:tcPr>
            <w:tcW w:w="340" w:type="dxa"/>
          </w:tcPr>
          <w:p w:rsidR="009B4BB4" w:rsidRDefault="00C44001">
            <w:pPr>
              <w:pStyle w:val="TableParagraph"/>
              <w:spacing w:before="155"/>
              <w:ind w:left="18"/>
              <w:jc w:val="center"/>
              <w:rPr>
                <w:sz w:val="20"/>
              </w:rPr>
            </w:pPr>
            <w:r>
              <w:rPr>
                <w:spacing w:val="-5"/>
                <w:sz w:val="20"/>
              </w:rPr>
              <w:t>85</w:t>
            </w:r>
          </w:p>
        </w:tc>
      </w:tr>
      <w:tr w:rsidR="009B4BB4">
        <w:trPr>
          <w:trHeight w:val="360"/>
        </w:trPr>
        <w:tc>
          <w:tcPr>
            <w:tcW w:w="716" w:type="dxa"/>
          </w:tcPr>
          <w:p w:rsidR="009B4BB4" w:rsidRDefault="00C44001">
            <w:pPr>
              <w:pStyle w:val="TableParagraph"/>
              <w:spacing w:before="49"/>
              <w:ind w:right="47"/>
              <w:jc w:val="center"/>
              <w:rPr>
                <w:sz w:val="20"/>
              </w:rPr>
            </w:pPr>
            <w:r>
              <w:rPr>
                <w:spacing w:val="-2"/>
                <w:sz w:val="20"/>
              </w:rPr>
              <w:t>Figura</w:t>
            </w:r>
          </w:p>
        </w:tc>
        <w:tc>
          <w:tcPr>
            <w:tcW w:w="631" w:type="dxa"/>
          </w:tcPr>
          <w:p w:rsidR="009B4BB4" w:rsidRDefault="00C44001">
            <w:pPr>
              <w:pStyle w:val="TableParagraph"/>
              <w:spacing w:before="49"/>
              <w:ind w:right="56"/>
              <w:jc w:val="center"/>
              <w:rPr>
                <w:sz w:val="20"/>
              </w:rPr>
            </w:pPr>
            <w:r>
              <w:rPr>
                <w:spacing w:val="-4"/>
                <w:sz w:val="20"/>
              </w:rPr>
              <w:t>4.11</w:t>
            </w:r>
          </w:p>
        </w:tc>
        <w:tc>
          <w:tcPr>
            <w:tcW w:w="7545" w:type="dxa"/>
          </w:tcPr>
          <w:p w:rsidR="009B4BB4" w:rsidRDefault="00C44001">
            <w:pPr>
              <w:pStyle w:val="TableParagraph"/>
              <w:spacing w:before="66"/>
              <w:ind w:left="143"/>
              <w:rPr>
                <w:sz w:val="20"/>
              </w:rPr>
            </w:pPr>
            <w:r>
              <w:rPr>
                <w:sz w:val="20"/>
              </w:rPr>
              <w:t>Tasa</w:t>
            </w:r>
            <w:r>
              <w:rPr>
                <w:spacing w:val="-9"/>
                <w:sz w:val="20"/>
              </w:rPr>
              <w:t xml:space="preserve"> </w:t>
            </w:r>
            <w:r>
              <w:rPr>
                <w:sz w:val="20"/>
              </w:rPr>
              <w:t>de</w:t>
            </w:r>
            <w:r>
              <w:rPr>
                <w:spacing w:val="-7"/>
                <w:sz w:val="20"/>
              </w:rPr>
              <w:t xml:space="preserve"> </w:t>
            </w:r>
            <w:r>
              <w:rPr>
                <w:sz w:val="20"/>
              </w:rPr>
              <w:t>alta</w:t>
            </w:r>
            <w:r>
              <w:rPr>
                <w:spacing w:val="-6"/>
                <w:sz w:val="20"/>
              </w:rPr>
              <w:t xml:space="preserve"> </w:t>
            </w:r>
            <w:r>
              <w:rPr>
                <w:sz w:val="20"/>
              </w:rPr>
              <w:t>intención</w:t>
            </w:r>
            <w:r>
              <w:rPr>
                <w:spacing w:val="-7"/>
                <w:sz w:val="20"/>
              </w:rPr>
              <w:t xml:space="preserve"> </w:t>
            </w:r>
            <w:r>
              <w:rPr>
                <w:sz w:val="20"/>
              </w:rPr>
              <w:t>de</w:t>
            </w:r>
            <w:r>
              <w:rPr>
                <w:spacing w:val="-6"/>
                <w:sz w:val="20"/>
              </w:rPr>
              <w:t xml:space="preserve"> </w:t>
            </w:r>
            <w:r>
              <w:rPr>
                <w:sz w:val="20"/>
              </w:rPr>
              <w:t>compra</w:t>
            </w:r>
            <w:r>
              <w:rPr>
                <w:spacing w:val="-7"/>
                <w:sz w:val="20"/>
              </w:rPr>
              <w:t xml:space="preserve"> </w:t>
            </w:r>
            <w:r>
              <w:rPr>
                <w:sz w:val="20"/>
              </w:rPr>
              <w:t>cruzada</w:t>
            </w:r>
            <w:r>
              <w:rPr>
                <w:spacing w:val="-7"/>
                <w:sz w:val="20"/>
              </w:rPr>
              <w:t xml:space="preserve"> </w:t>
            </w:r>
            <w:r>
              <w:rPr>
                <w:sz w:val="20"/>
              </w:rPr>
              <w:t>por</w:t>
            </w:r>
            <w:r>
              <w:rPr>
                <w:spacing w:val="-6"/>
                <w:sz w:val="20"/>
              </w:rPr>
              <w:t xml:space="preserve"> </w:t>
            </w:r>
            <w:r>
              <w:rPr>
                <w:sz w:val="20"/>
              </w:rPr>
              <w:t>el</w:t>
            </w:r>
            <w:r>
              <w:rPr>
                <w:spacing w:val="-7"/>
                <w:sz w:val="20"/>
              </w:rPr>
              <w:t xml:space="preserve"> </w:t>
            </w:r>
            <w:r>
              <w:rPr>
                <w:sz w:val="20"/>
              </w:rPr>
              <w:t>concepto</w:t>
            </w:r>
            <w:r>
              <w:rPr>
                <w:spacing w:val="-6"/>
                <w:sz w:val="20"/>
              </w:rPr>
              <w:t xml:space="preserve"> </w:t>
            </w:r>
            <w:r>
              <w:rPr>
                <w:sz w:val="20"/>
              </w:rPr>
              <w:t>de</w:t>
            </w:r>
            <w:r>
              <w:rPr>
                <w:spacing w:val="-7"/>
                <w:sz w:val="20"/>
              </w:rPr>
              <w:t xml:space="preserve"> </w:t>
            </w:r>
            <w:r>
              <w:rPr>
                <w:sz w:val="20"/>
              </w:rPr>
              <w:t>producto</w:t>
            </w:r>
            <w:r>
              <w:rPr>
                <w:spacing w:val="-6"/>
                <w:sz w:val="20"/>
              </w:rPr>
              <w:t xml:space="preserve"> </w:t>
            </w:r>
            <w:r>
              <w:rPr>
                <w:spacing w:val="-2"/>
                <w:sz w:val="20"/>
              </w:rPr>
              <w:t>preferido</w:t>
            </w:r>
          </w:p>
        </w:tc>
        <w:tc>
          <w:tcPr>
            <w:tcW w:w="340" w:type="dxa"/>
          </w:tcPr>
          <w:p w:rsidR="009B4BB4" w:rsidRDefault="00C44001">
            <w:pPr>
              <w:pStyle w:val="TableParagraph"/>
              <w:spacing w:before="49"/>
              <w:ind w:left="18"/>
              <w:jc w:val="center"/>
              <w:rPr>
                <w:sz w:val="20"/>
              </w:rPr>
            </w:pPr>
            <w:r>
              <w:rPr>
                <w:spacing w:val="-5"/>
                <w:sz w:val="20"/>
              </w:rPr>
              <w:t>87</w:t>
            </w:r>
          </w:p>
        </w:tc>
      </w:tr>
      <w:tr w:rsidR="009B4BB4">
        <w:trPr>
          <w:trHeight w:val="573"/>
        </w:trPr>
        <w:tc>
          <w:tcPr>
            <w:tcW w:w="716" w:type="dxa"/>
          </w:tcPr>
          <w:p w:rsidR="009B4BB4" w:rsidRDefault="00C44001">
            <w:pPr>
              <w:pStyle w:val="TableParagraph"/>
              <w:spacing w:before="155"/>
              <w:ind w:right="47"/>
              <w:jc w:val="center"/>
              <w:rPr>
                <w:sz w:val="20"/>
              </w:rPr>
            </w:pPr>
            <w:r>
              <w:rPr>
                <w:spacing w:val="-2"/>
                <w:sz w:val="20"/>
              </w:rPr>
              <w:t>Figura</w:t>
            </w:r>
          </w:p>
        </w:tc>
        <w:tc>
          <w:tcPr>
            <w:tcW w:w="631" w:type="dxa"/>
          </w:tcPr>
          <w:p w:rsidR="009B4BB4" w:rsidRDefault="00C44001">
            <w:pPr>
              <w:pStyle w:val="TableParagraph"/>
              <w:spacing w:before="155"/>
              <w:ind w:left="15" w:right="56"/>
              <w:jc w:val="center"/>
              <w:rPr>
                <w:sz w:val="20"/>
              </w:rPr>
            </w:pPr>
            <w:r>
              <w:rPr>
                <w:spacing w:val="-4"/>
                <w:sz w:val="20"/>
              </w:rPr>
              <w:t>4.12</w:t>
            </w:r>
          </w:p>
        </w:tc>
        <w:tc>
          <w:tcPr>
            <w:tcW w:w="7545" w:type="dxa"/>
          </w:tcPr>
          <w:p w:rsidR="009B4BB4" w:rsidRDefault="00C44001">
            <w:pPr>
              <w:pStyle w:val="TableParagraph"/>
              <w:spacing w:before="58"/>
              <w:ind w:left="143" w:right="124"/>
              <w:rPr>
                <w:sz w:val="20"/>
              </w:rPr>
            </w:pPr>
            <w:r>
              <w:rPr>
                <w:sz w:val="20"/>
              </w:rPr>
              <w:t>Curva</w:t>
            </w:r>
            <w:r>
              <w:rPr>
                <w:spacing w:val="-4"/>
                <w:sz w:val="20"/>
              </w:rPr>
              <w:t xml:space="preserve"> </w:t>
            </w:r>
            <w:r>
              <w:rPr>
                <w:sz w:val="20"/>
              </w:rPr>
              <w:t>de</w:t>
            </w:r>
            <w:r>
              <w:rPr>
                <w:spacing w:val="-4"/>
                <w:sz w:val="20"/>
              </w:rPr>
              <w:t xml:space="preserve"> </w:t>
            </w:r>
            <w:r>
              <w:rPr>
                <w:sz w:val="20"/>
              </w:rPr>
              <w:t>tolerancia</w:t>
            </w:r>
            <w:r>
              <w:rPr>
                <w:spacing w:val="-4"/>
                <w:sz w:val="20"/>
              </w:rPr>
              <w:t xml:space="preserve"> </w:t>
            </w:r>
            <w:r>
              <w:rPr>
                <w:sz w:val="20"/>
              </w:rPr>
              <w:t>al</w:t>
            </w:r>
            <w:r>
              <w:rPr>
                <w:spacing w:val="-4"/>
                <w:sz w:val="20"/>
              </w:rPr>
              <w:t xml:space="preserve"> </w:t>
            </w:r>
            <w:r>
              <w:rPr>
                <w:sz w:val="20"/>
              </w:rPr>
              <w:t>precio</w:t>
            </w:r>
            <w:r>
              <w:rPr>
                <w:spacing w:val="-4"/>
                <w:sz w:val="20"/>
              </w:rPr>
              <w:t xml:space="preserve"> </w:t>
            </w:r>
            <w:r>
              <w:rPr>
                <w:sz w:val="20"/>
              </w:rPr>
              <w:t>correlacionada</w:t>
            </w:r>
            <w:r>
              <w:rPr>
                <w:spacing w:val="-4"/>
                <w:sz w:val="20"/>
              </w:rPr>
              <w:t xml:space="preserve"> </w:t>
            </w:r>
            <w:r>
              <w:rPr>
                <w:sz w:val="20"/>
              </w:rPr>
              <w:t>con</w:t>
            </w:r>
            <w:r>
              <w:rPr>
                <w:spacing w:val="-4"/>
                <w:sz w:val="20"/>
              </w:rPr>
              <w:t xml:space="preserve"> </w:t>
            </w:r>
            <w:r>
              <w:rPr>
                <w:sz w:val="20"/>
              </w:rPr>
              <w:t>la</w:t>
            </w:r>
            <w:r>
              <w:rPr>
                <w:spacing w:val="-4"/>
                <w:sz w:val="20"/>
              </w:rPr>
              <w:t xml:space="preserve"> </w:t>
            </w:r>
            <w:r>
              <w:rPr>
                <w:sz w:val="20"/>
              </w:rPr>
              <w:t>preferencia</w:t>
            </w:r>
            <w:r>
              <w:rPr>
                <w:spacing w:val="-4"/>
                <w:sz w:val="20"/>
              </w:rPr>
              <w:t xml:space="preserve"> </w:t>
            </w:r>
            <w:r>
              <w:rPr>
                <w:sz w:val="20"/>
              </w:rPr>
              <w:t>por</w:t>
            </w:r>
            <w:r>
              <w:rPr>
                <w:spacing w:val="-4"/>
                <w:sz w:val="20"/>
              </w:rPr>
              <w:t xml:space="preserve"> </w:t>
            </w:r>
            <w:r>
              <w:rPr>
                <w:sz w:val="20"/>
              </w:rPr>
              <w:t>el</w:t>
            </w:r>
            <w:r>
              <w:rPr>
                <w:spacing w:val="-4"/>
                <w:sz w:val="20"/>
              </w:rPr>
              <w:t xml:space="preserve"> </w:t>
            </w:r>
            <w:r>
              <w:rPr>
                <w:sz w:val="20"/>
              </w:rPr>
              <w:t xml:space="preserve">impacto </w:t>
            </w:r>
            <w:r>
              <w:rPr>
                <w:spacing w:val="-2"/>
                <w:sz w:val="20"/>
              </w:rPr>
              <w:t>social</w:t>
            </w:r>
          </w:p>
        </w:tc>
        <w:tc>
          <w:tcPr>
            <w:tcW w:w="340" w:type="dxa"/>
          </w:tcPr>
          <w:p w:rsidR="009B4BB4" w:rsidRDefault="00C44001">
            <w:pPr>
              <w:pStyle w:val="TableParagraph"/>
              <w:spacing w:before="155"/>
              <w:ind w:left="18"/>
              <w:jc w:val="center"/>
              <w:rPr>
                <w:sz w:val="20"/>
              </w:rPr>
            </w:pPr>
            <w:r>
              <w:rPr>
                <w:spacing w:val="-5"/>
                <w:sz w:val="20"/>
              </w:rPr>
              <w:t>89</w:t>
            </w:r>
          </w:p>
        </w:tc>
      </w:tr>
      <w:tr w:rsidR="009B4BB4">
        <w:trPr>
          <w:trHeight w:val="564"/>
        </w:trPr>
        <w:tc>
          <w:tcPr>
            <w:tcW w:w="716" w:type="dxa"/>
          </w:tcPr>
          <w:p w:rsidR="009B4BB4" w:rsidRDefault="00C44001">
            <w:pPr>
              <w:pStyle w:val="TableParagraph"/>
              <w:spacing w:before="147"/>
              <w:ind w:right="47"/>
              <w:jc w:val="center"/>
              <w:rPr>
                <w:sz w:val="20"/>
              </w:rPr>
            </w:pPr>
            <w:r>
              <w:rPr>
                <w:spacing w:val="-2"/>
                <w:sz w:val="20"/>
              </w:rPr>
              <w:t>Figura</w:t>
            </w:r>
          </w:p>
        </w:tc>
        <w:tc>
          <w:tcPr>
            <w:tcW w:w="631" w:type="dxa"/>
          </w:tcPr>
          <w:p w:rsidR="009B4BB4" w:rsidRDefault="00C44001">
            <w:pPr>
              <w:pStyle w:val="TableParagraph"/>
              <w:spacing w:before="147"/>
              <w:ind w:left="15" w:right="56"/>
              <w:jc w:val="center"/>
              <w:rPr>
                <w:sz w:val="20"/>
              </w:rPr>
            </w:pPr>
            <w:r>
              <w:rPr>
                <w:spacing w:val="-4"/>
                <w:sz w:val="20"/>
              </w:rPr>
              <w:t>4.13</w:t>
            </w:r>
          </w:p>
        </w:tc>
        <w:tc>
          <w:tcPr>
            <w:tcW w:w="7545" w:type="dxa"/>
          </w:tcPr>
          <w:p w:rsidR="009B4BB4" w:rsidRDefault="00C44001">
            <w:pPr>
              <w:pStyle w:val="TableParagraph"/>
              <w:spacing w:before="49"/>
              <w:ind w:left="143"/>
              <w:rPr>
                <w:sz w:val="20"/>
              </w:rPr>
            </w:pPr>
            <w:r>
              <w:rPr>
                <w:sz w:val="20"/>
              </w:rPr>
              <w:t>Preferencia</w:t>
            </w:r>
            <w:r>
              <w:rPr>
                <w:spacing w:val="-5"/>
                <w:sz w:val="20"/>
              </w:rPr>
              <w:t xml:space="preserve"> </w:t>
            </w:r>
            <w:r>
              <w:rPr>
                <w:sz w:val="20"/>
              </w:rPr>
              <w:t>de</w:t>
            </w:r>
            <w:r>
              <w:rPr>
                <w:spacing w:val="-5"/>
                <w:sz w:val="20"/>
              </w:rPr>
              <w:t xml:space="preserve"> </w:t>
            </w:r>
            <w:r>
              <w:rPr>
                <w:sz w:val="20"/>
              </w:rPr>
              <w:t>canales</w:t>
            </w:r>
            <w:r>
              <w:rPr>
                <w:spacing w:val="-5"/>
                <w:sz w:val="20"/>
              </w:rPr>
              <w:t xml:space="preserve"> </w:t>
            </w:r>
            <w:r>
              <w:rPr>
                <w:sz w:val="20"/>
              </w:rPr>
              <w:t>de</w:t>
            </w:r>
            <w:r>
              <w:rPr>
                <w:spacing w:val="-5"/>
                <w:sz w:val="20"/>
              </w:rPr>
              <w:t xml:space="preserve"> </w:t>
            </w:r>
            <w:r>
              <w:rPr>
                <w:sz w:val="20"/>
              </w:rPr>
              <w:t>distribución</w:t>
            </w:r>
            <w:r>
              <w:rPr>
                <w:spacing w:val="-5"/>
                <w:sz w:val="20"/>
              </w:rPr>
              <w:t xml:space="preserve"> </w:t>
            </w:r>
            <w:r>
              <w:rPr>
                <w:sz w:val="20"/>
              </w:rPr>
              <w:t>y</w:t>
            </w:r>
            <w:r>
              <w:rPr>
                <w:spacing w:val="-5"/>
                <w:sz w:val="20"/>
              </w:rPr>
              <w:t xml:space="preserve"> </w:t>
            </w:r>
            <w:r>
              <w:rPr>
                <w:sz w:val="20"/>
              </w:rPr>
              <w:t>comercialización</w:t>
            </w:r>
            <w:r>
              <w:rPr>
                <w:spacing w:val="-5"/>
                <w:sz w:val="20"/>
              </w:rPr>
              <w:t xml:space="preserve"> </w:t>
            </w:r>
            <w:r>
              <w:rPr>
                <w:sz w:val="20"/>
              </w:rPr>
              <w:t>segmentados</w:t>
            </w:r>
            <w:r>
              <w:rPr>
                <w:spacing w:val="-5"/>
                <w:sz w:val="20"/>
              </w:rPr>
              <w:t xml:space="preserve"> </w:t>
            </w:r>
            <w:r>
              <w:rPr>
                <w:sz w:val="20"/>
              </w:rPr>
              <w:t>por</w:t>
            </w:r>
            <w:r>
              <w:rPr>
                <w:spacing w:val="-5"/>
                <w:sz w:val="20"/>
              </w:rPr>
              <w:t xml:space="preserve"> </w:t>
            </w:r>
            <w:r>
              <w:rPr>
                <w:sz w:val="20"/>
              </w:rPr>
              <w:t>origen del turismo</w:t>
            </w:r>
          </w:p>
        </w:tc>
        <w:tc>
          <w:tcPr>
            <w:tcW w:w="340" w:type="dxa"/>
          </w:tcPr>
          <w:p w:rsidR="009B4BB4" w:rsidRDefault="00C44001">
            <w:pPr>
              <w:pStyle w:val="TableParagraph"/>
              <w:spacing w:before="147"/>
              <w:ind w:left="18"/>
              <w:jc w:val="center"/>
              <w:rPr>
                <w:sz w:val="20"/>
              </w:rPr>
            </w:pPr>
            <w:r>
              <w:rPr>
                <w:spacing w:val="-5"/>
                <w:sz w:val="20"/>
              </w:rPr>
              <w:t>91</w:t>
            </w:r>
          </w:p>
        </w:tc>
      </w:tr>
      <w:tr w:rsidR="009B4BB4">
        <w:trPr>
          <w:trHeight w:val="360"/>
        </w:trPr>
        <w:tc>
          <w:tcPr>
            <w:tcW w:w="716" w:type="dxa"/>
          </w:tcPr>
          <w:p w:rsidR="009B4BB4" w:rsidRDefault="00C44001">
            <w:pPr>
              <w:pStyle w:val="TableParagraph"/>
              <w:spacing w:before="49"/>
              <w:ind w:right="47"/>
              <w:jc w:val="center"/>
              <w:rPr>
                <w:sz w:val="20"/>
              </w:rPr>
            </w:pPr>
            <w:r>
              <w:rPr>
                <w:spacing w:val="-2"/>
                <w:sz w:val="20"/>
              </w:rPr>
              <w:t>Figura</w:t>
            </w:r>
          </w:p>
        </w:tc>
        <w:tc>
          <w:tcPr>
            <w:tcW w:w="631" w:type="dxa"/>
          </w:tcPr>
          <w:p w:rsidR="009B4BB4" w:rsidRDefault="00C44001">
            <w:pPr>
              <w:pStyle w:val="TableParagraph"/>
              <w:spacing w:before="49"/>
              <w:ind w:left="15" w:right="56"/>
              <w:jc w:val="center"/>
              <w:rPr>
                <w:sz w:val="20"/>
              </w:rPr>
            </w:pPr>
            <w:r>
              <w:rPr>
                <w:spacing w:val="-4"/>
                <w:sz w:val="20"/>
              </w:rPr>
              <w:t>4.14</w:t>
            </w:r>
          </w:p>
        </w:tc>
        <w:tc>
          <w:tcPr>
            <w:tcW w:w="7545" w:type="dxa"/>
          </w:tcPr>
          <w:p w:rsidR="009B4BB4" w:rsidRDefault="00C44001">
            <w:pPr>
              <w:pStyle w:val="TableParagraph"/>
              <w:spacing w:before="66"/>
              <w:ind w:left="143"/>
              <w:rPr>
                <w:sz w:val="20"/>
              </w:rPr>
            </w:pPr>
            <w:r>
              <w:rPr>
                <w:sz w:val="20"/>
              </w:rPr>
              <w:t>Jerarquía</w:t>
            </w:r>
            <w:r>
              <w:rPr>
                <w:spacing w:val="-8"/>
                <w:sz w:val="20"/>
              </w:rPr>
              <w:t xml:space="preserve"> </w:t>
            </w:r>
            <w:r>
              <w:rPr>
                <w:sz w:val="20"/>
              </w:rPr>
              <w:t>de</w:t>
            </w:r>
            <w:r>
              <w:rPr>
                <w:spacing w:val="-6"/>
                <w:sz w:val="20"/>
              </w:rPr>
              <w:t xml:space="preserve"> </w:t>
            </w:r>
            <w:r>
              <w:rPr>
                <w:sz w:val="20"/>
              </w:rPr>
              <w:t>atributos</w:t>
            </w:r>
            <w:r>
              <w:rPr>
                <w:spacing w:val="-6"/>
                <w:sz w:val="20"/>
              </w:rPr>
              <w:t xml:space="preserve"> </w:t>
            </w:r>
            <w:r>
              <w:rPr>
                <w:sz w:val="20"/>
              </w:rPr>
              <w:t>valorados</w:t>
            </w:r>
            <w:r>
              <w:rPr>
                <w:spacing w:val="-5"/>
                <w:sz w:val="20"/>
              </w:rPr>
              <w:t xml:space="preserve"> </w:t>
            </w:r>
            <w:r>
              <w:rPr>
                <w:sz w:val="20"/>
              </w:rPr>
              <w:t>en</w:t>
            </w:r>
            <w:r>
              <w:rPr>
                <w:spacing w:val="-6"/>
                <w:sz w:val="20"/>
              </w:rPr>
              <w:t xml:space="preserve"> </w:t>
            </w:r>
            <w:r>
              <w:rPr>
                <w:sz w:val="20"/>
              </w:rPr>
              <w:t>el</w:t>
            </w:r>
            <w:r>
              <w:rPr>
                <w:spacing w:val="-6"/>
                <w:sz w:val="20"/>
              </w:rPr>
              <w:t xml:space="preserve"> </w:t>
            </w:r>
            <w:r>
              <w:rPr>
                <w:sz w:val="20"/>
              </w:rPr>
              <w:t>producto</w:t>
            </w:r>
            <w:r>
              <w:rPr>
                <w:spacing w:val="-6"/>
                <w:sz w:val="20"/>
              </w:rPr>
              <w:t xml:space="preserve"> </w:t>
            </w:r>
            <w:r>
              <w:rPr>
                <w:sz w:val="20"/>
              </w:rPr>
              <w:t>segmentada</w:t>
            </w:r>
            <w:r>
              <w:rPr>
                <w:spacing w:val="-5"/>
                <w:sz w:val="20"/>
              </w:rPr>
              <w:t xml:space="preserve"> </w:t>
            </w:r>
            <w:r>
              <w:rPr>
                <w:sz w:val="20"/>
              </w:rPr>
              <w:t>por</w:t>
            </w:r>
            <w:r>
              <w:rPr>
                <w:spacing w:val="-6"/>
                <w:sz w:val="20"/>
              </w:rPr>
              <w:t xml:space="preserve"> </w:t>
            </w:r>
            <w:r>
              <w:rPr>
                <w:sz w:val="20"/>
              </w:rPr>
              <w:t>origen</w:t>
            </w:r>
            <w:r>
              <w:rPr>
                <w:spacing w:val="-6"/>
                <w:sz w:val="20"/>
              </w:rPr>
              <w:t xml:space="preserve"> </w:t>
            </w:r>
            <w:r>
              <w:rPr>
                <w:sz w:val="20"/>
              </w:rPr>
              <w:t>del</w:t>
            </w:r>
            <w:r>
              <w:rPr>
                <w:spacing w:val="-5"/>
                <w:sz w:val="20"/>
              </w:rPr>
              <w:t xml:space="preserve"> </w:t>
            </w:r>
            <w:r>
              <w:rPr>
                <w:spacing w:val="-2"/>
                <w:sz w:val="20"/>
              </w:rPr>
              <w:t>turismo</w:t>
            </w:r>
          </w:p>
        </w:tc>
        <w:tc>
          <w:tcPr>
            <w:tcW w:w="340" w:type="dxa"/>
          </w:tcPr>
          <w:p w:rsidR="009B4BB4" w:rsidRDefault="00C44001">
            <w:pPr>
              <w:pStyle w:val="TableParagraph"/>
              <w:spacing w:before="49"/>
              <w:ind w:left="18"/>
              <w:jc w:val="center"/>
              <w:rPr>
                <w:sz w:val="20"/>
              </w:rPr>
            </w:pPr>
            <w:r>
              <w:rPr>
                <w:spacing w:val="-5"/>
                <w:sz w:val="20"/>
              </w:rPr>
              <w:t>93</w:t>
            </w:r>
          </w:p>
        </w:tc>
      </w:tr>
      <w:tr w:rsidR="009B4BB4">
        <w:trPr>
          <w:trHeight w:val="305"/>
        </w:trPr>
        <w:tc>
          <w:tcPr>
            <w:tcW w:w="716" w:type="dxa"/>
          </w:tcPr>
          <w:p w:rsidR="009B4BB4" w:rsidRDefault="00C44001">
            <w:pPr>
              <w:pStyle w:val="TableParagraph"/>
              <w:spacing w:before="58" w:line="227" w:lineRule="exact"/>
              <w:ind w:right="47"/>
              <w:jc w:val="center"/>
              <w:rPr>
                <w:sz w:val="20"/>
              </w:rPr>
            </w:pPr>
            <w:r>
              <w:rPr>
                <w:spacing w:val="-2"/>
                <w:sz w:val="20"/>
              </w:rPr>
              <w:t>Figura</w:t>
            </w:r>
          </w:p>
        </w:tc>
        <w:tc>
          <w:tcPr>
            <w:tcW w:w="631" w:type="dxa"/>
          </w:tcPr>
          <w:p w:rsidR="009B4BB4" w:rsidRDefault="00C44001">
            <w:pPr>
              <w:pStyle w:val="TableParagraph"/>
              <w:spacing w:before="58" w:line="227" w:lineRule="exact"/>
              <w:ind w:left="15" w:right="56"/>
              <w:jc w:val="center"/>
              <w:rPr>
                <w:sz w:val="20"/>
              </w:rPr>
            </w:pPr>
            <w:r>
              <w:rPr>
                <w:spacing w:val="-4"/>
                <w:sz w:val="20"/>
              </w:rPr>
              <w:t>4.15</w:t>
            </w:r>
          </w:p>
        </w:tc>
        <w:tc>
          <w:tcPr>
            <w:tcW w:w="7545" w:type="dxa"/>
          </w:tcPr>
          <w:p w:rsidR="009B4BB4" w:rsidRDefault="00C44001">
            <w:pPr>
              <w:pStyle w:val="TableParagraph"/>
              <w:spacing w:before="75" w:line="210" w:lineRule="exact"/>
              <w:ind w:left="143"/>
              <w:rPr>
                <w:sz w:val="20"/>
              </w:rPr>
            </w:pPr>
            <w:r>
              <w:rPr>
                <w:sz w:val="20"/>
              </w:rPr>
              <w:t>Barreras</w:t>
            </w:r>
            <w:r>
              <w:rPr>
                <w:spacing w:val="-7"/>
                <w:sz w:val="20"/>
              </w:rPr>
              <w:t xml:space="preserve"> </w:t>
            </w:r>
            <w:r>
              <w:rPr>
                <w:sz w:val="20"/>
              </w:rPr>
              <w:t>percibidas</w:t>
            </w:r>
            <w:r>
              <w:rPr>
                <w:spacing w:val="-7"/>
                <w:sz w:val="20"/>
              </w:rPr>
              <w:t xml:space="preserve"> </w:t>
            </w:r>
            <w:r>
              <w:rPr>
                <w:sz w:val="20"/>
              </w:rPr>
              <w:t>para</w:t>
            </w:r>
            <w:r>
              <w:rPr>
                <w:spacing w:val="-6"/>
                <w:sz w:val="20"/>
              </w:rPr>
              <w:t xml:space="preserve"> </w:t>
            </w:r>
            <w:r>
              <w:rPr>
                <w:sz w:val="20"/>
              </w:rPr>
              <w:t>la</w:t>
            </w:r>
            <w:r>
              <w:rPr>
                <w:spacing w:val="-7"/>
                <w:sz w:val="20"/>
              </w:rPr>
              <w:t xml:space="preserve"> </w:t>
            </w:r>
            <w:r>
              <w:rPr>
                <w:sz w:val="20"/>
              </w:rPr>
              <w:t>adquisición</w:t>
            </w:r>
            <w:r>
              <w:rPr>
                <w:spacing w:val="-6"/>
                <w:sz w:val="20"/>
              </w:rPr>
              <w:t xml:space="preserve"> </w:t>
            </w:r>
            <w:r>
              <w:rPr>
                <w:sz w:val="20"/>
              </w:rPr>
              <w:t>del</w:t>
            </w:r>
            <w:r>
              <w:rPr>
                <w:spacing w:val="-7"/>
                <w:sz w:val="20"/>
              </w:rPr>
              <w:t xml:space="preserve"> </w:t>
            </w:r>
            <w:r>
              <w:rPr>
                <w:sz w:val="20"/>
              </w:rPr>
              <w:t>producto</w:t>
            </w:r>
            <w:r>
              <w:rPr>
                <w:spacing w:val="-7"/>
                <w:sz w:val="20"/>
              </w:rPr>
              <w:t xml:space="preserve"> </w:t>
            </w:r>
            <w:r>
              <w:rPr>
                <w:sz w:val="20"/>
              </w:rPr>
              <w:t>segmentadas</w:t>
            </w:r>
            <w:r>
              <w:rPr>
                <w:spacing w:val="-6"/>
                <w:sz w:val="20"/>
              </w:rPr>
              <w:t xml:space="preserve"> </w:t>
            </w:r>
            <w:r>
              <w:rPr>
                <w:sz w:val="20"/>
              </w:rPr>
              <w:t>por</w:t>
            </w:r>
            <w:r>
              <w:rPr>
                <w:spacing w:val="-7"/>
                <w:sz w:val="20"/>
              </w:rPr>
              <w:t xml:space="preserve"> </w:t>
            </w:r>
            <w:r>
              <w:rPr>
                <w:sz w:val="20"/>
              </w:rPr>
              <w:t>origen</w:t>
            </w:r>
            <w:r>
              <w:rPr>
                <w:spacing w:val="-6"/>
                <w:sz w:val="20"/>
              </w:rPr>
              <w:t xml:space="preserve"> </w:t>
            </w:r>
            <w:r>
              <w:rPr>
                <w:spacing w:val="-5"/>
                <w:sz w:val="20"/>
              </w:rPr>
              <w:t>del</w:t>
            </w:r>
          </w:p>
        </w:tc>
        <w:tc>
          <w:tcPr>
            <w:tcW w:w="340" w:type="dxa"/>
          </w:tcPr>
          <w:p w:rsidR="009B4BB4" w:rsidRDefault="00C44001">
            <w:pPr>
              <w:pStyle w:val="TableParagraph"/>
              <w:spacing w:before="58" w:line="227" w:lineRule="exact"/>
              <w:ind w:left="18"/>
              <w:jc w:val="center"/>
              <w:rPr>
                <w:sz w:val="20"/>
              </w:rPr>
            </w:pPr>
            <w:r>
              <w:rPr>
                <w:spacing w:val="-5"/>
                <w:sz w:val="20"/>
              </w:rPr>
              <w:t>95</w:t>
            </w:r>
          </w:p>
        </w:tc>
      </w:tr>
    </w:tbl>
    <w:p w:rsidR="009B4BB4" w:rsidRDefault="009B4BB4">
      <w:pPr>
        <w:pStyle w:val="TableParagraph"/>
        <w:spacing w:line="227" w:lineRule="exact"/>
        <w:jc w:val="center"/>
        <w:rPr>
          <w:sz w:val="20"/>
        </w:rPr>
        <w:sectPr w:rsidR="009B4BB4">
          <w:pgSz w:w="11920" w:h="16840"/>
          <w:pgMar w:top="1620" w:right="850" w:bottom="1940" w:left="1275" w:header="0" w:footer="1747" w:gutter="0"/>
          <w:cols w:space="720"/>
        </w:sectPr>
      </w:pPr>
    </w:p>
    <w:p w:rsidR="009B4BB4" w:rsidRDefault="00C44001">
      <w:pPr>
        <w:spacing w:before="79"/>
        <w:ind w:left="1760"/>
        <w:rPr>
          <w:sz w:val="20"/>
        </w:rPr>
      </w:pPr>
      <w:proofErr w:type="gramStart"/>
      <w:r>
        <w:rPr>
          <w:spacing w:val="-2"/>
          <w:sz w:val="20"/>
        </w:rPr>
        <w:lastRenderedPageBreak/>
        <w:t>turismo</w:t>
      </w:r>
      <w:proofErr w:type="gramEnd"/>
    </w:p>
    <w:p w:rsidR="009B4BB4" w:rsidRDefault="009B4BB4">
      <w:pPr>
        <w:pStyle w:val="Textoindependiente"/>
        <w:spacing w:before="8"/>
        <w:rPr>
          <w:sz w:val="9"/>
        </w:rPr>
      </w:pPr>
    </w:p>
    <w:tbl>
      <w:tblPr>
        <w:tblStyle w:val="TableNormal"/>
        <w:tblW w:w="0" w:type="auto"/>
        <w:tblInd w:w="278" w:type="dxa"/>
        <w:tblLayout w:type="fixed"/>
        <w:tblLook w:val="01E0" w:firstRow="1" w:lastRow="1" w:firstColumn="1" w:lastColumn="1" w:noHBand="0" w:noVBand="0"/>
      </w:tblPr>
      <w:tblGrid>
        <w:gridCol w:w="716"/>
        <w:gridCol w:w="576"/>
        <w:gridCol w:w="6790"/>
        <w:gridCol w:w="1262"/>
      </w:tblGrid>
      <w:tr w:rsidR="009B4BB4">
        <w:trPr>
          <w:trHeight w:val="305"/>
        </w:trPr>
        <w:tc>
          <w:tcPr>
            <w:tcW w:w="716" w:type="dxa"/>
          </w:tcPr>
          <w:p w:rsidR="009B4BB4" w:rsidRDefault="00C44001">
            <w:pPr>
              <w:pStyle w:val="TableParagraph"/>
              <w:spacing w:line="223" w:lineRule="exact"/>
              <w:ind w:right="47"/>
              <w:jc w:val="center"/>
              <w:rPr>
                <w:sz w:val="20"/>
              </w:rPr>
            </w:pPr>
            <w:r>
              <w:rPr>
                <w:spacing w:val="-2"/>
                <w:sz w:val="20"/>
              </w:rPr>
              <w:t>Figura</w:t>
            </w:r>
          </w:p>
        </w:tc>
        <w:tc>
          <w:tcPr>
            <w:tcW w:w="576" w:type="dxa"/>
          </w:tcPr>
          <w:p w:rsidR="009B4BB4" w:rsidRDefault="00C44001">
            <w:pPr>
              <w:pStyle w:val="TableParagraph"/>
              <w:spacing w:line="223" w:lineRule="exact"/>
              <w:ind w:right="98"/>
              <w:jc w:val="center"/>
              <w:rPr>
                <w:sz w:val="20"/>
              </w:rPr>
            </w:pPr>
            <w:r>
              <w:rPr>
                <w:spacing w:val="-5"/>
                <w:sz w:val="20"/>
              </w:rPr>
              <w:t>5.1</w:t>
            </w:r>
          </w:p>
        </w:tc>
        <w:tc>
          <w:tcPr>
            <w:tcW w:w="6790" w:type="dxa"/>
          </w:tcPr>
          <w:p w:rsidR="009B4BB4" w:rsidRDefault="00C44001">
            <w:pPr>
              <w:pStyle w:val="TableParagraph"/>
              <w:spacing w:before="10"/>
              <w:ind w:left="198"/>
              <w:rPr>
                <w:sz w:val="20"/>
              </w:rPr>
            </w:pPr>
            <w:r>
              <w:rPr>
                <w:sz w:val="20"/>
              </w:rPr>
              <w:t>Prototipo</w:t>
            </w:r>
            <w:r>
              <w:rPr>
                <w:spacing w:val="-7"/>
                <w:sz w:val="20"/>
              </w:rPr>
              <w:t xml:space="preserve"> </w:t>
            </w:r>
            <w:r>
              <w:rPr>
                <w:sz w:val="20"/>
              </w:rPr>
              <w:t>de</w:t>
            </w:r>
            <w:r>
              <w:rPr>
                <w:spacing w:val="-7"/>
                <w:sz w:val="20"/>
              </w:rPr>
              <w:t xml:space="preserve"> </w:t>
            </w:r>
            <w:r>
              <w:rPr>
                <w:sz w:val="20"/>
              </w:rPr>
              <w:t>producto</w:t>
            </w:r>
            <w:r>
              <w:rPr>
                <w:spacing w:val="-7"/>
                <w:sz w:val="20"/>
              </w:rPr>
              <w:t xml:space="preserve"> </w:t>
            </w:r>
            <w:r>
              <w:rPr>
                <w:sz w:val="20"/>
              </w:rPr>
              <w:t>Guardiana</w:t>
            </w:r>
            <w:r>
              <w:rPr>
                <w:spacing w:val="-7"/>
                <w:sz w:val="20"/>
              </w:rPr>
              <w:t xml:space="preserve"> </w:t>
            </w:r>
            <w:r>
              <w:rPr>
                <w:sz w:val="20"/>
              </w:rPr>
              <w:t>en</w:t>
            </w:r>
            <w:r>
              <w:rPr>
                <w:spacing w:val="-7"/>
                <w:sz w:val="20"/>
              </w:rPr>
              <w:t xml:space="preserve"> </w:t>
            </w:r>
            <w:r>
              <w:rPr>
                <w:sz w:val="20"/>
              </w:rPr>
              <w:t>presentación</w:t>
            </w:r>
            <w:r>
              <w:rPr>
                <w:spacing w:val="-7"/>
                <w:sz w:val="20"/>
              </w:rPr>
              <w:t xml:space="preserve"> </w:t>
            </w:r>
            <w:r>
              <w:rPr>
                <w:spacing w:val="-2"/>
                <w:sz w:val="20"/>
              </w:rPr>
              <w:t>primaria</w:t>
            </w:r>
          </w:p>
        </w:tc>
        <w:tc>
          <w:tcPr>
            <w:tcW w:w="1262" w:type="dxa"/>
          </w:tcPr>
          <w:p w:rsidR="009B4BB4" w:rsidRDefault="00C44001">
            <w:pPr>
              <w:pStyle w:val="TableParagraph"/>
              <w:spacing w:line="223" w:lineRule="exact"/>
              <w:ind w:right="48"/>
              <w:jc w:val="right"/>
              <w:rPr>
                <w:sz w:val="20"/>
              </w:rPr>
            </w:pPr>
            <w:r>
              <w:rPr>
                <w:spacing w:val="-5"/>
                <w:sz w:val="20"/>
              </w:rPr>
              <w:t>108</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576" w:type="dxa"/>
          </w:tcPr>
          <w:p w:rsidR="009B4BB4" w:rsidRDefault="00C44001">
            <w:pPr>
              <w:pStyle w:val="TableParagraph"/>
              <w:spacing w:before="58"/>
              <w:ind w:right="98"/>
              <w:jc w:val="center"/>
              <w:rPr>
                <w:sz w:val="20"/>
              </w:rPr>
            </w:pPr>
            <w:r>
              <w:rPr>
                <w:spacing w:val="-5"/>
                <w:sz w:val="20"/>
              </w:rPr>
              <w:t>5.2</w:t>
            </w:r>
          </w:p>
        </w:tc>
        <w:tc>
          <w:tcPr>
            <w:tcW w:w="6790" w:type="dxa"/>
          </w:tcPr>
          <w:p w:rsidR="009B4BB4" w:rsidRDefault="00C44001">
            <w:pPr>
              <w:pStyle w:val="TableParagraph"/>
              <w:spacing w:before="75"/>
              <w:ind w:left="198"/>
              <w:rPr>
                <w:sz w:val="20"/>
              </w:rPr>
            </w:pPr>
            <w:r>
              <w:rPr>
                <w:sz w:val="20"/>
              </w:rPr>
              <w:t>Prototipo</w:t>
            </w:r>
            <w:r>
              <w:rPr>
                <w:spacing w:val="-8"/>
                <w:sz w:val="20"/>
              </w:rPr>
              <w:t xml:space="preserve"> </w:t>
            </w:r>
            <w:r>
              <w:rPr>
                <w:sz w:val="20"/>
              </w:rPr>
              <w:t>de</w:t>
            </w:r>
            <w:r>
              <w:rPr>
                <w:spacing w:val="-6"/>
                <w:sz w:val="20"/>
              </w:rPr>
              <w:t xml:space="preserve"> </w:t>
            </w:r>
            <w:r>
              <w:rPr>
                <w:sz w:val="20"/>
              </w:rPr>
              <w:t>empaque</w:t>
            </w:r>
            <w:r>
              <w:rPr>
                <w:spacing w:val="-6"/>
                <w:sz w:val="20"/>
              </w:rPr>
              <w:t xml:space="preserve"> </w:t>
            </w:r>
            <w:r>
              <w:rPr>
                <w:sz w:val="20"/>
              </w:rPr>
              <w:t>secundario</w:t>
            </w:r>
            <w:r>
              <w:rPr>
                <w:spacing w:val="-6"/>
                <w:sz w:val="20"/>
              </w:rPr>
              <w:t xml:space="preserve"> </w:t>
            </w:r>
            <w:r>
              <w:rPr>
                <w:sz w:val="20"/>
              </w:rPr>
              <w:t>y</w:t>
            </w:r>
            <w:r>
              <w:rPr>
                <w:spacing w:val="-6"/>
                <w:sz w:val="20"/>
              </w:rPr>
              <w:t xml:space="preserve"> </w:t>
            </w:r>
            <w:r>
              <w:rPr>
                <w:sz w:val="20"/>
              </w:rPr>
              <w:t>experiencia</w:t>
            </w:r>
            <w:r>
              <w:rPr>
                <w:spacing w:val="-6"/>
                <w:sz w:val="20"/>
              </w:rPr>
              <w:t xml:space="preserve"> </w:t>
            </w:r>
            <w:r>
              <w:rPr>
                <w:sz w:val="20"/>
              </w:rPr>
              <w:t>de</w:t>
            </w:r>
            <w:r>
              <w:rPr>
                <w:spacing w:val="-6"/>
                <w:sz w:val="20"/>
              </w:rPr>
              <w:t xml:space="preserve"> </w:t>
            </w:r>
            <w:r>
              <w:rPr>
                <w:spacing w:val="-2"/>
                <w:sz w:val="20"/>
              </w:rPr>
              <w:t>presentación</w:t>
            </w:r>
          </w:p>
        </w:tc>
        <w:tc>
          <w:tcPr>
            <w:tcW w:w="1262" w:type="dxa"/>
          </w:tcPr>
          <w:p w:rsidR="009B4BB4" w:rsidRDefault="00C44001">
            <w:pPr>
              <w:pStyle w:val="TableParagraph"/>
              <w:spacing w:before="58"/>
              <w:ind w:right="48"/>
              <w:jc w:val="right"/>
              <w:rPr>
                <w:sz w:val="20"/>
              </w:rPr>
            </w:pPr>
            <w:r>
              <w:rPr>
                <w:spacing w:val="-5"/>
                <w:sz w:val="20"/>
              </w:rPr>
              <w:t>109</w:t>
            </w:r>
          </w:p>
        </w:tc>
      </w:tr>
      <w:tr w:rsidR="009B4BB4">
        <w:trPr>
          <w:trHeight w:val="369"/>
        </w:trPr>
        <w:tc>
          <w:tcPr>
            <w:tcW w:w="716" w:type="dxa"/>
          </w:tcPr>
          <w:p w:rsidR="009B4BB4" w:rsidRDefault="00C44001">
            <w:pPr>
              <w:pStyle w:val="TableParagraph"/>
              <w:spacing w:before="58"/>
              <w:ind w:right="47"/>
              <w:jc w:val="center"/>
              <w:rPr>
                <w:sz w:val="20"/>
              </w:rPr>
            </w:pPr>
            <w:r>
              <w:rPr>
                <w:spacing w:val="-2"/>
                <w:sz w:val="20"/>
              </w:rPr>
              <w:t>Figura</w:t>
            </w:r>
          </w:p>
        </w:tc>
        <w:tc>
          <w:tcPr>
            <w:tcW w:w="576" w:type="dxa"/>
          </w:tcPr>
          <w:p w:rsidR="009B4BB4" w:rsidRDefault="00C44001">
            <w:pPr>
              <w:pStyle w:val="TableParagraph"/>
              <w:spacing w:before="58"/>
              <w:ind w:right="98"/>
              <w:jc w:val="center"/>
              <w:rPr>
                <w:sz w:val="20"/>
              </w:rPr>
            </w:pPr>
            <w:r>
              <w:rPr>
                <w:spacing w:val="-5"/>
                <w:sz w:val="20"/>
              </w:rPr>
              <w:t>5.3</w:t>
            </w:r>
          </w:p>
        </w:tc>
        <w:tc>
          <w:tcPr>
            <w:tcW w:w="6790" w:type="dxa"/>
          </w:tcPr>
          <w:p w:rsidR="009B4BB4" w:rsidRDefault="00C44001">
            <w:pPr>
              <w:pStyle w:val="TableParagraph"/>
              <w:spacing w:before="75"/>
              <w:ind w:left="198"/>
              <w:rPr>
                <w:sz w:val="20"/>
              </w:rPr>
            </w:pPr>
            <w:r>
              <w:rPr>
                <w:sz w:val="20"/>
              </w:rPr>
              <w:t>Prototipo</w:t>
            </w:r>
            <w:r>
              <w:rPr>
                <w:spacing w:val="-6"/>
                <w:sz w:val="20"/>
              </w:rPr>
              <w:t xml:space="preserve"> </w:t>
            </w:r>
            <w:r>
              <w:rPr>
                <w:sz w:val="20"/>
              </w:rPr>
              <w:t>de</w:t>
            </w:r>
            <w:r>
              <w:rPr>
                <w:spacing w:val="-6"/>
                <w:sz w:val="20"/>
              </w:rPr>
              <w:t xml:space="preserve"> </w:t>
            </w:r>
            <w:r>
              <w:rPr>
                <w:sz w:val="20"/>
              </w:rPr>
              <w:t>línea</w:t>
            </w:r>
            <w:r>
              <w:rPr>
                <w:spacing w:val="-6"/>
                <w:sz w:val="20"/>
              </w:rPr>
              <w:t xml:space="preserve"> </w:t>
            </w:r>
            <w:r>
              <w:rPr>
                <w:sz w:val="20"/>
              </w:rPr>
              <w:t>de</w:t>
            </w:r>
            <w:r>
              <w:rPr>
                <w:spacing w:val="-5"/>
                <w:sz w:val="20"/>
              </w:rPr>
              <w:t xml:space="preserve"> </w:t>
            </w:r>
            <w:r>
              <w:rPr>
                <w:sz w:val="20"/>
              </w:rPr>
              <w:t>producto</w:t>
            </w:r>
            <w:r>
              <w:rPr>
                <w:spacing w:val="-6"/>
                <w:sz w:val="20"/>
              </w:rPr>
              <w:t xml:space="preserve"> </w:t>
            </w:r>
            <w:r>
              <w:rPr>
                <w:sz w:val="20"/>
              </w:rPr>
              <w:t>Guardiana</w:t>
            </w:r>
            <w:r>
              <w:rPr>
                <w:spacing w:val="-6"/>
                <w:sz w:val="20"/>
              </w:rPr>
              <w:t xml:space="preserve"> </w:t>
            </w:r>
            <w:r>
              <w:rPr>
                <w:sz w:val="20"/>
              </w:rPr>
              <w:t>y</w:t>
            </w:r>
            <w:r>
              <w:rPr>
                <w:spacing w:val="-6"/>
                <w:sz w:val="20"/>
              </w:rPr>
              <w:t xml:space="preserve"> </w:t>
            </w:r>
            <w:r>
              <w:rPr>
                <w:sz w:val="20"/>
              </w:rPr>
              <w:t>aplicación</w:t>
            </w:r>
            <w:r>
              <w:rPr>
                <w:spacing w:val="-5"/>
                <w:sz w:val="20"/>
              </w:rPr>
              <w:t xml:space="preserve"> </w:t>
            </w:r>
            <w:r>
              <w:rPr>
                <w:spacing w:val="-2"/>
                <w:sz w:val="20"/>
              </w:rPr>
              <w:t>funcional</w:t>
            </w:r>
          </w:p>
        </w:tc>
        <w:tc>
          <w:tcPr>
            <w:tcW w:w="1262" w:type="dxa"/>
          </w:tcPr>
          <w:p w:rsidR="009B4BB4" w:rsidRDefault="00C44001">
            <w:pPr>
              <w:pStyle w:val="TableParagraph"/>
              <w:spacing w:before="58"/>
              <w:ind w:right="48"/>
              <w:jc w:val="right"/>
              <w:rPr>
                <w:sz w:val="20"/>
              </w:rPr>
            </w:pPr>
            <w:r>
              <w:rPr>
                <w:spacing w:val="-5"/>
                <w:sz w:val="20"/>
              </w:rPr>
              <w:t>109</w:t>
            </w:r>
          </w:p>
        </w:tc>
      </w:tr>
      <w:tr w:rsidR="009B4BB4">
        <w:trPr>
          <w:trHeight w:val="305"/>
        </w:trPr>
        <w:tc>
          <w:tcPr>
            <w:tcW w:w="716" w:type="dxa"/>
          </w:tcPr>
          <w:p w:rsidR="009B4BB4" w:rsidRDefault="00C44001">
            <w:pPr>
              <w:pStyle w:val="TableParagraph"/>
              <w:spacing w:before="58" w:line="227" w:lineRule="exact"/>
              <w:ind w:right="47"/>
              <w:jc w:val="center"/>
              <w:rPr>
                <w:sz w:val="20"/>
              </w:rPr>
            </w:pPr>
            <w:r>
              <w:rPr>
                <w:spacing w:val="-2"/>
                <w:sz w:val="20"/>
              </w:rPr>
              <w:t>Figura</w:t>
            </w:r>
          </w:p>
        </w:tc>
        <w:tc>
          <w:tcPr>
            <w:tcW w:w="576" w:type="dxa"/>
          </w:tcPr>
          <w:p w:rsidR="009B4BB4" w:rsidRDefault="00C44001">
            <w:pPr>
              <w:pStyle w:val="TableParagraph"/>
              <w:spacing w:before="58" w:line="227" w:lineRule="exact"/>
              <w:ind w:right="98"/>
              <w:jc w:val="center"/>
              <w:rPr>
                <w:sz w:val="20"/>
              </w:rPr>
            </w:pPr>
            <w:r>
              <w:rPr>
                <w:spacing w:val="-5"/>
                <w:sz w:val="20"/>
              </w:rPr>
              <w:t>7.1</w:t>
            </w:r>
          </w:p>
        </w:tc>
        <w:tc>
          <w:tcPr>
            <w:tcW w:w="6790" w:type="dxa"/>
          </w:tcPr>
          <w:p w:rsidR="009B4BB4" w:rsidRDefault="00C44001">
            <w:pPr>
              <w:pStyle w:val="TableParagraph"/>
              <w:spacing w:before="75" w:line="210" w:lineRule="exact"/>
              <w:ind w:left="198"/>
              <w:rPr>
                <w:sz w:val="20"/>
              </w:rPr>
            </w:pPr>
            <w:r>
              <w:rPr>
                <w:sz w:val="20"/>
              </w:rPr>
              <w:t>Análisis</w:t>
            </w:r>
            <w:r>
              <w:rPr>
                <w:spacing w:val="-8"/>
                <w:sz w:val="20"/>
              </w:rPr>
              <w:t xml:space="preserve"> </w:t>
            </w:r>
            <w:r>
              <w:rPr>
                <w:sz w:val="20"/>
              </w:rPr>
              <w:t>del</w:t>
            </w:r>
            <w:r>
              <w:rPr>
                <w:spacing w:val="-5"/>
                <w:sz w:val="20"/>
              </w:rPr>
              <w:t xml:space="preserve"> </w:t>
            </w:r>
            <w:r>
              <w:rPr>
                <w:sz w:val="20"/>
              </w:rPr>
              <w:t>punto</w:t>
            </w:r>
            <w:r>
              <w:rPr>
                <w:spacing w:val="-5"/>
                <w:sz w:val="20"/>
              </w:rPr>
              <w:t xml:space="preserve"> </w:t>
            </w:r>
            <w:r>
              <w:rPr>
                <w:sz w:val="20"/>
              </w:rPr>
              <w:t>de</w:t>
            </w:r>
            <w:r>
              <w:rPr>
                <w:spacing w:val="-5"/>
                <w:sz w:val="20"/>
              </w:rPr>
              <w:t xml:space="preserve"> </w:t>
            </w:r>
            <w:r>
              <w:rPr>
                <w:sz w:val="20"/>
              </w:rPr>
              <w:t>equilibrio</w:t>
            </w:r>
            <w:r>
              <w:rPr>
                <w:spacing w:val="-5"/>
                <w:sz w:val="20"/>
              </w:rPr>
              <w:t xml:space="preserve"> </w:t>
            </w:r>
            <w:r>
              <w:rPr>
                <w:sz w:val="20"/>
              </w:rPr>
              <w:t>operativo</w:t>
            </w:r>
            <w:r>
              <w:rPr>
                <w:spacing w:val="-5"/>
                <w:sz w:val="20"/>
              </w:rPr>
              <w:t xml:space="preserve"> </w:t>
            </w:r>
            <w:r>
              <w:rPr>
                <w:sz w:val="20"/>
              </w:rPr>
              <w:t>para</w:t>
            </w:r>
            <w:r>
              <w:rPr>
                <w:spacing w:val="-5"/>
                <w:sz w:val="20"/>
              </w:rPr>
              <w:t xml:space="preserve"> </w:t>
            </w:r>
            <w:r>
              <w:rPr>
                <w:sz w:val="20"/>
              </w:rPr>
              <w:t>el</w:t>
            </w:r>
            <w:r>
              <w:rPr>
                <w:spacing w:val="-5"/>
                <w:sz w:val="20"/>
              </w:rPr>
              <w:t xml:space="preserve"> </w:t>
            </w:r>
            <w:r>
              <w:rPr>
                <w:sz w:val="20"/>
              </w:rPr>
              <w:t>Año</w:t>
            </w:r>
            <w:r>
              <w:rPr>
                <w:spacing w:val="-5"/>
                <w:sz w:val="20"/>
              </w:rPr>
              <w:t xml:space="preserve"> </w:t>
            </w:r>
            <w:r>
              <w:rPr>
                <w:spacing w:val="-10"/>
                <w:sz w:val="20"/>
              </w:rPr>
              <w:t>1</w:t>
            </w:r>
          </w:p>
        </w:tc>
        <w:tc>
          <w:tcPr>
            <w:tcW w:w="1262" w:type="dxa"/>
          </w:tcPr>
          <w:p w:rsidR="009B4BB4" w:rsidRDefault="00C44001">
            <w:pPr>
              <w:pStyle w:val="TableParagraph"/>
              <w:spacing w:before="58" w:line="227" w:lineRule="exact"/>
              <w:ind w:right="48"/>
              <w:jc w:val="right"/>
              <w:rPr>
                <w:sz w:val="20"/>
              </w:rPr>
            </w:pPr>
            <w:r>
              <w:rPr>
                <w:spacing w:val="-5"/>
                <w:sz w:val="20"/>
              </w:rPr>
              <w:t>142</w:t>
            </w:r>
          </w:p>
        </w:tc>
      </w:tr>
    </w:tbl>
    <w:p w:rsidR="009B4BB4" w:rsidRDefault="009B4BB4">
      <w:pPr>
        <w:pStyle w:val="Textoindependiente"/>
        <w:spacing w:before="225"/>
      </w:pPr>
    </w:p>
    <w:p w:rsidR="009B4BB4" w:rsidRDefault="00C44001">
      <w:pPr>
        <w:pStyle w:val="Ttulo1"/>
        <w:spacing w:line="360" w:lineRule="auto"/>
        <w:ind w:left="4065" w:right="4241" w:firstLine="30"/>
        <w:jc w:val="center"/>
      </w:pPr>
      <w:bookmarkStart w:id="17" w:name="Capítulo_1​Marco_Teórico_"/>
      <w:bookmarkStart w:id="18" w:name="h.q2w5svm7c17b"/>
      <w:bookmarkEnd w:id="17"/>
      <w:bookmarkEnd w:id="18"/>
      <w:r>
        <w:t xml:space="preserve">Capítulo 1 </w:t>
      </w:r>
      <w:r>
        <w:rPr>
          <w:spacing w:val="-2"/>
        </w:rPr>
        <w:t>Marco</w:t>
      </w:r>
      <w:r>
        <w:rPr>
          <w:spacing w:val="-14"/>
        </w:rPr>
        <w:t xml:space="preserve"> </w:t>
      </w:r>
      <w:r>
        <w:rPr>
          <w:spacing w:val="-2"/>
        </w:rPr>
        <w:t>Teórico</w:t>
      </w:r>
    </w:p>
    <w:p w:rsidR="009B4BB4" w:rsidRDefault="009B4BB4">
      <w:pPr>
        <w:pStyle w:val="Textoindependiente"/>
        <w:spacing w:before="107"/>
        <w:rPr>
          <w:rFonts w:ascii="Arial"/>
          <w:b/>
        </w:rPr>
      </w:pPr>
    </w:p>
    <w:p w:rsidR="009B4BB4" w:rsidRDefault="00C44001" w:rsidP="00C44001">
      <w:pPr>
        <w:pStyle w:val="Ttulo1"/>
        <w:numPr>
          <w:ilvl w:val="1"/>
          <w:numId w:val="68"/>
        </w:numPr>
        <w:tabs>
          <w:tab w:val="left" w:pos="788"/>
        </w:tabs>
        <w:ind w:left="788" w:hanging="363"/>
      </w:pPr>
      <w:bookmarkStart w:id="19" w:name="1.1_Plan_de_Negocios_"/>
      <w:bookmarkStart w:id="20" w:name="h.4ddppc7z4b61"/>
      <w:bookmarkEnd w:id="19"/>
      <w:bookmarkEnd w:id="20"/>
      <w:r>
        <w:t>Plan</w:t>
      </w:r>
      <w:r>
        <w:rPr>
          <w:spacing w:val="-3"/>
        </w:rPr>
        <w:t xml:space="preserve"> </w:t>
      </w:r>
      <w:r>
        <w:t>de</w:t>
      </w:r>
      <w:r>
        <w:rPr>
          <w:spacing w:val="-3"/>
        </w:rPr>
        <w:t xml:space="preserve"> </w:t>
      </w:r>
      <w:r>
        <w:rPr>
          <w:spacing w:val="-2"/>
        </w:rPr>
        <w:t>Negocios</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El plan de negocios funciona como una arquitectura estratégica que organiza la visión del proyecto y la</w:t>
      </w:r>
      <w:r>
        <w:rPr>
          <w:spacing w:val="-4"/>
        </w:rPr>
        <w:t xml:space="preserve"> </w:t>
      </w:r>
      <w:r>
        <w:t>traduce</w:t>
      </w:r>
      <w:r>
        <w:rPr>
          <w:spacing w:val="-4"/>
        </w:rPr>
        <w:t xml:space="preserve"> </w:t>
      </w:r>
      <w:r>
        <w:t>en</w:t>
      </w:r>
      <w:r>
        <w:rPr>
          <w:spacing w:val="-4"/>
        </w:rPr>
        <w:t xml:space="preserve"> </w:t>
      </w:r>
      <w:r>
        <w:t>acciones</w:t>
      </w:r>
      <w:r>
        <w:rPr>
          <w:spacing w:val="-4"/>
        </w:rPr>
        <w:t xml:space="preserve"> </w:t>
      </w:r>
      <w:r>
        <w:t>concretas.</w:t>
      </w:r>
      <w:r>
        <w:rPr>
          <w:spacing w:val="-4"/>
        </w:rPr>
        <w:t xml:space="preserve"> </w:t>
      </w:r>
      <w:r>
        <w:t>Hisrich,</w:t>
      </w:r>
      <w:r>
        <w:rPr>
          <w:spacing w:val="-4"/>
        </w:rPr>
        <w:t xml:space="preserve"> </w:t>
      </w:r>
      <w:r>
        <w:t>Peters</w:t>
      </w:r>
      <w:r>
        <w:rPr>
          <w:spacing w:val="-4"/>
        </w:rPr>
        <w:t xml:space="preserve"> </w:t>
      </w:r>
      <w:r>
        <w:t>y</w:t>
      </w:r>
      <w:r>
        <w:rPr>
          <w:spacing w:val="-4"/>
        </w:rPr>
        <w:t xml:space="preserve"> </w:t>
      </w:r>
      <w:r>
        <w:t>Shepherd</w:t>
      </w:r>
      <w:r>
        <w:rPr>
          <w:spacing w:val="-4"/>
        </w:rPr>
        <w:t xml:space="preserve"> </w:t>
      </w:r>
      <w:r>
        <w:t>(2017) señalan que su función es integrar recursos, capacidades y mercados dentro de una lógic</w:t>
      </w:r>
      <w:r>
        <w:t>a coherente que permita transformar una idea en una empresa viable.</w:t>
      </w:r>
    </w:p>
    <w:p w:rsidR="009B4BB4" w:rsidRDefault="00C44001">
      <w:pPr>
        <w:pStyle w:val="Textoindependiente"/>
        <w:spacing w:line="360" w:lineRule="auto"/>
        <w:ind w:left="425" w:right="606" w:firstLine="720"/>
        <w:jc w:val="both"/>
      </w:pPr>
      <w:r>
        <w:t>En el caso de Guardiana, el plan cumple dos objetivos esenciales. El primero es interno y se enfoca en estructurar la propuesta de valor</w:t>
      </w:r>
      <w:r>
        <w:rPr>
          <w:spacing w:val="-3"/>
        </w:rPr>
        <w:t xml:space="preserve"> </w:t>
      </w:r>
      <w:r>
        <w:t>basada</w:t>
      </w:r>
      <w:r>
        <w:rPr>
          <w:spacing w:val="-3"/>
        </w:rPr>
        <w:t xml:space="preserve"> </w:t>
      </w:r>
      <w:r>
        <w:t>en</w:t>
      </w:r>
      <w:r>
        <w:rPr>
          <w:spacing w:val="-3"/>
        </w:rPr>
        <w:t xml:space="preserve"> </w:t>
      </w:r>
      <w:r>
        <w:t>miel</w:t>
      </w:r>
      <w:r>
        <w:rPr>
          <w:spacing w:val="-3"/>
        </w:rPr>
        <w:t xml:space="preserve"> </w:t>
      </w:r>
      <w:r>
        <w:t>melipona,</w:t>
      </w:r>
      <w:r>
        <w:rPr>
          <w:spacing w:val="-3"/>
        </w:rPr>
        <w:t xml:space="preserve"> </w:t>
      </w:r>
      <w:r>
        <w:t>definir un modelo operativ</w:t>
      </w:r>
      <w:r>
        <w:t xml:space="preserve">o asset-light orientado a la captura de valor, establecer un posicionamiento </w:t>
      </w:r>
      <w:r>
        <w:rPr>
          <w:rFonts w:ascii="Arial" w:hAnsi="Arial"/>
          <w:i/>
        </w:rPr>
        <w:t xml:space="preserve">premium </w:t>
      </w:r>
      <w:r>
        <w:t>y proyectar la viabilidad financiera del</w:t>
      </w:r>
      <w:r>
        <w:rPr>
          <w:spacing w:val="-4"/>
        </w:rPr>
        <w:t xml:space="preserve"> </w:t>
      </w:r>
      <w:r>
        <w:t>proyecto.</w:t>
      </w:r>
      <w:r>
        <w:rPr>
          <w:spacing w:val="-4"/>
        </w:rPr>
        <w:t xml:space="preserve"> </w:t>
      </w:r>
      <w:r>
        <w:t>El</w:t>
      </w:r>
      <w:r>
        <w:rPr>
          <w:spacing w:val="-4"/>
        </w:rPr>
        <w:t xml:space="preserve"> </w:t>
      </w:r>
      <w:r>
        <w:t>segundo</w:t>
      </w:r>
      <w:r>
        <w:rPr>
          <w:spacing w:val="-4"/>
        </w:rPr>
        <w:t xml:space="preserve"> </w:t>
      </w:r>
      <w:r>
        <w:t>es externo y busca comunicar una propuesta creíble y sustentada a inversionistas, cooperativas, productoras, aliados institucionales y distribuidores.</w:t>
      </w:r>
    </w:p>
    <w:p w:rsidR="009B4BB4" w:rsidRDefault="00C44001">
      <w:pPr>
        <w:pStyle w:val="Textoindependiente"/>
        <w:spacing w:line="360" w:lineRule="auto"/>
        <w:ind w:left="425" w:right="603" w:firstLine="720"/>
        <w:jc w:val="both"/>
      </w:pPr>
      <w:r>
        <w:t xml:space="preserve">Rich y Gumpert (1985) señalan que el plan de negocios es el mecanismo que permite al emprendedor acceder </w:t>
      </w:r>
      <w:r>
        <w:t>al proceso de inversión, por lo que debe estructurarse</w:t>
      </w:r>
      <w:r>
        <w:rPr>
          <w:spacing w:val="40"/>
        </w:rPr>
        <w:t xml:space="preserve"> </w:t>
      </w:r>
      <w:r>
        <w:t>de forma clara, coherente y convincente para generar confianza en los inversionistas.</w:t>
      </w:r>
    </w:p>
    <w:p w:rsidR="009B4BB4" w:rsidRDefault="00C44001">
      <w:pPr>
        <w:pStyle w:val="Textoindependiente"/>
        <w:spacing w:line="360" w:lineRule="auto"/>
        <w:ind w:left="425" w:right="608" w:firstLine="720"/>
        <w:jc w:val="both"/>
      </w:pPr>
      <w:r>
        <w:t xml:space="preserve">Dado el carácter biocultural del proyecto, el plan de negocios cumple una doble función: por un lado, organiza las </w:t>
      </w:r>
      <w:r>
        <w:t>decisiones operativas</w:t>
      </w:r>
      <w:r>
        <w:rPr>
          <w:spacing w:val="-3"/>
        </w:rPr>
        <w:t xml:space="preserve"> </w:t>
      </w:r>
      <w:r>
        <w:t>y</w:t>
      </w:r>
      <w:r>
        <w:rPr>
          <w:spacing w:val="-3"/>
        </w:rPr>
        <w:t xml:space="preserve"> </w:t>
      </w:r>
      <w:r>
        <w:t>financieras;</w:t>
      </w:r>
      <w:r>
        <w:rPr>
          <w:spacing w:val="-3"/>
        </w:rPr>
        <w:t xml:space="preserve"> </w:t>
      </w:r>
      <w:r>
        <w:t>por</w:t>
      </w:r>
      <w:r>
        <w:rPr>
          <w:spacing w:val="-3"/>
        </w:rPr>
        <w:t xml:space="preserve"> </w:t>
      </w:r>
      <w:r>
        <w:t>otro,</w:t>
      </w:r>
      <w:r>
        <w:rPr>
          <w:spacing w:val="-3"/>
        </w:rPr>
        <w:t xml:space="preserve"> </w:t>
      </w:r>
      <w:r>
        <w:t>articula</w:t>
      </w:r>
      <w:r>
        <w:rPr>
          <w:spacing w:val="-3"/>
        </w:rPr>
        <w:t xml:space="preserve"> </w:t>
      </w:r>
      <w:r>
        <w:t>el propósito de Guardiana a lo largo de toda la cadena de valor, desde los productores hasta los inversionistas. Sin este sustento estructurado, la narrativa cultural</w:t>
      </w:r>
      <w:r>
        <w:rPr>
          <w:spacing w:val="-3"/>
        </w:rPr>
        <w:t xml:space="preserve"> </w:t>
      </w:r>
      <w:r>
        <w:t>del</w:t>
      </w:r>
      <w:r>
        <w:rPr>
          <w:spacing w:val="-3"/>
        </w:rPr>
        <w:t xml:space="preserve"> </w:t>
      </w:r>
      <w:r>
        <w:t xml:space="preserve">producto pierde credibilidad </w:t>
      </w:r>
      <w:r>
        <w:t>frente al mercado.</w:t>
      </w:r>
    </w:p>
    <w:p w:rsidR="009B4BB4" w:rsidRDefault="00C44001">
      <w:pPr>
        <w:pStyle w:val="Textoindependiente"/>
        <w:spacing w:line="360" w:lineRule="auto"/>
        <w:ind w:left="425" w:right="602" w:firstLine="720"/>
        <w:jc w:val="both"/>
      </w:pPr>
      <w:r>
        <w:t>La miel melipona produce entre 0.5 y 2 litros por colmena</w:t>
      </w:r>
      <w:r>
        <w:rPr>
          <w:spacing w:val="-2"/>
        </w:rPr>
        <w:t xml:space="preserve"> </w:t>
      </w:r>
      <w:r>
        <w:t>al</w:t>
      </w:r>
      <w:r>
        <w:rPr>
          <w:spacing w:val="-2"/>
        </w:rPr>
        <w:t xml:space="preserve"> </w:t>
      </w:r>
      <w:r>
        <w:t>año.</w:t>
      </w:r>
      <w:r>
        <w:rPr>
          <w:spacing w:val="-2"/>
        </w:rPr>
        <w:t xml:space="preserve"> </w:t>
      </w:r>
      <w:r>
        <w:t>Esta</w:t>
      </w:r>
      <w:r>
        <w:rPr>
          <w:spacing w:val="-2"/>
        </w:rPr>
        <w:t xml:space="preserve"> </w:t>
      </w:r>
      <w:r>
        <w:t>restricción biológica no se plantea como un</w:t>
      </w:r>
      <w:r>
        <w:rPr>
          <w:spacing w:val="-4"/>
        </w:rPr>
        <w:t xml:space="preserve"> </w:t>
      </w:r>
      <w:r>
        <w:t>problema</w:t>
      </w:r>
      <w:r>
        <w:rPr>
          <w:spacing w:val="-4"/>
        </w:rPr>
        <w:t xml:space="preserve"> </w:t>
      </w:r>
      <w:r>
        <w:t>a</w:t>
      </w:r>
      <w:r>
        <w:rPr>
          <w:spacing w:val="-4"/>
        </w:rPr>
        <w:t xml:space="preserve"> </w:t>
      </w:r>
      <w:r>
        <w:t>resolver,</w:t>
      </w:r>
      <w:r>
        <w:rPr>
          <w:spacing w:val="-4"/>
        </w:rPr>
        <w:t xml:space="preserve"> </w:t>
      </w:r>
      <w:r>
        <w:t>sino</w:t>
      </w:r>
      <w:r>
        <w:rPr>
          <w:spacing w:val="-4"/>
        </w:rPr>
        <w:t xml:space="preserve"> </w:t>
      </w:r>
      <w:r>
        <w:t>como</w:t>
      </w:r>
      <w:r>
        <w:rPr>
          <w:spacing w:val="-4"/>
        </w:rPr>
        <w:t xml:space="preserve"> </w:t>
      </w:r>
      <w:r>
        <w:t>el</w:t>
      </w:r>
      <w:r>
        <w:rPr>
          <w:spacing w:val="-4"/>
        </w:rPr>
        <w:t xml:space="preserve"> </w:t>
      </w:r>
      <w:r>
        <w:t>punto</w:t>
      </w:r>
      <w:r>
        <w:rPr>
          <w:spacing w:val="-4"/>
        </w:rPr>
        <w:t xml:space="preserve"> </w:t>
      </w:r>
      <w:r>
        <w:t>de</w:t>
      </w:r>
      <w:r>
        <w:rPr>
          <w:spacing w:val="-4"/>
        </w:rPr>
        <w:t xml:space="preserve"> </w:t>
      </w:r>
      <w:r>
        <w:t>partida</w:t>
      </w:r>
      <w:r>
        <w:rPr>
          <w:spacing w:val="-4"/>
        </w:rPr>
        <w:t xml:space="preserve"> </w:t>
      </w:r>
      <w:r>
        <w:t>de</w:t>
      </w:r>
      <w:r>
        <w:rPr>
          <w:spacing w:val="-4"/>
        </w:rPr>
        <w:t xml:space="preserve"> </w:t>
      </w:r>
      <w:r>
        <w:t>la</w:t>
      </w:r>
    </w:p>
    <w:p w:rsidR="009B4BB4" w:rsidRDefault="009B4BB4">
      <w:pPr>
        <w:pStyle w:val="Textoindependiente"/>
        <w:spacing w:line="360" w:lineRule="auto"/>
        <w:jc w:val="both"/>
        <w:sectPr w:rsidR="009B4BB4">
          <w:pgSz w:w="11920" w:h="16840"/>
          <w:pgMar w:top="1560" w:right="850" w:bottom="1940" w:left="1275" w:header="0" w:footer="1747" w:gutter="0"/>
          <w:cols w:space="720"/>
        </w:sectPr>
      </w:pPr>
    </w:p>
    <w:p w:rsidR="009B4BB4" w:rsidRDefault="00C44001">
      <w:pPr>
        <w:pStyle w:val="Textoindependiente"/>
        <w:spacing w:before="79" w:line="360" w:lineRule="auto"/>
        <w:ind w:left="425" w:right="602"/>
        <w:jc w:val="both"/>
      </w:pPr>
      <w:proofErr w:type="gramStart"/>
      <w:r>
        <w:lastRenderedPageBreak/>
        <w:t>estrategia</w:t>
      </w:r>
      <w:proofErr w:type="gramEnd"/>
      <w:r>
        <w:t xml:space="preserve">: si el volumen no puede escalar, el </w:t>
      </w:r>
      <w:r>
        <w:t>valor por unidad debe ser suficientemente alto para sostener el modelo. El plan de negocios traduce esta lógica en decisiones concretas de precio, empaque, canal y posicionamiento.</w:t>
      </w:r>
    </w:p>
    <w:p w:rsidR="009B4BB4" w:rsidRDefault="00C44001" w:rsidP="00C44001">
      <w:pPr>
        <w:pStyle w:val="Ttulo2"/>
        <w:numPr>
          <w:ilvl w:val="2"/>
          <w:numId w:val="68"/>
        </w:numPr>
        <w:tabs>
          <w:tab w:val="left" w:pos="1526"/>
        </w:tabs>
        <w:ind w:left="1526" w:hanging="606"/>
        <w:jc w:val="left"/>
      </w:pPr>
      <w:bookmarkStart w:id="21" w:name="1.1.1__Herramientas_estratégicas_"/>
      <w:bookmarkStart w:id="22" w:name="h.x6nkflyf9e1a"/>
      <w:bookmarkEnd w:id="21"/>
      <w:bookmarkEnd w:id="22"/>
      <w:r>
        <w:t>Herramientas</w:t>
      </w:r>
      <w:r>
        <w:rPr>
          <w:spacing w:val="-12"/>
        </w:rPr>
        <w:t xml:space="preserve"> </w:t>
      </w:r>
      <w:r>
        <w:rPr>
          <w:spacing w:val="-2"/>
        </w:rPr>
        <w:t>estratégicas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8" w:firstLine="720"/>
        <w:jc w:val="both"/>
      </w:pPr>
      <w:r>
        <w:t>Esta sección presenta las principales herramientas estratégicas utilizadas para estructurar y analizar el modelo de negocio de Guardiana. A través de marcos teóricos reconocidos, se busca construir una base analítica que permita comprender tanto las capaci</w:t>
      </w:r>
      <w:r>
        <w:t>dades internas del proyecto como las condiciones del entorno en el que opera.</w:t>
      </w:r>
    </w:p>
    <w:p w:rsidR="009B4BB4" w:rsidRDefault="00C44001">
      <w:pPr>
        <w:pStyle w:val="Textoindependiente"/>
        <w:spacing w:line="360" w:lineRule="auto"/>
        <w:ind w:left="425" w:right="604" w:firstLine="720"/>
        <w:jc w:val="both"/>
      </w:pPr>
      <w:r>
        <w:t xml:space="preserve">El uso combinado de metodologías como FODA, PESTEL, las Cinco Fuerzas de Porter, VRIO y la cadena de valor permite abordar el proyecto desde una perspectiva integral, conectando </w:t>
      </w:r>
      <w:r>
        <w:t>diagnóstico, estrategia y ejecución. Estas herramientas no solo facilitan la identificación de oportunidades y riesgos, sino que también orientan la definición de una propuesta de valor coherente</w:t>
      </w:r>
      <w:r>
        <w:rPr>
          <w:spacing w:val="-3"/>
        </w:rPr>
        <w:t xml:space="preserve"> </w:t>
      </w:r>
      <w:r>
        <w:t>con</w:t>
      </w:r>
      <w:r>
        <w:rPr>
          <w:spacing w:val="-3"/>
        </w:rPr>
        <w:t xml:space="preserve"> </w:t>
      </w:r>
      <w:r>
        <w:t>las</w:t>
      </w:r>
      <w:r>
        <w:rPr>
          <w:spacing w:val="-3"/>
        </w:rPr>
        <w:t xml:space="preserve"> </w:t>
      </w:r>
      <w:r>
        <w:t>características</w:t>
      </w:r>
      <w:r>
        <w:rPr>
          <w:spacing w:val="-3"/>
        </w:rPr>
        <w:t xml:space="preserve"> </w:t>
      </w:r>
      <w:r>
        <w:t>únicas</w:t>
      </w:r>
      <w:r>
        <w:rPr>
          <w:spacing w:val="-3"/>
        </w:rPr>
        <w:t xml:space="preserve"> </w:t>
      </w:r>
      <w:r>
        <w:t>del</w:t>
      </w:r>
      <w:r>
        <w:rPr>
          <w:spacing w:val="-3"/>
        </w:rPr>
        <w:t xml:space="preserve"> </w:t>
      </w:r>
      <w:r>
        <w:t>recurso biocultural que s</w:t>
      </w:r>
      <w:r>
        <w:t>ustenta el modelo.</w:t>
      </w:r>
    </w:p>
    <w:p w:rsidR="009B4BB4" w:rsidRDefault="00C44001">
      <w:pPr>
        <w:pStyle w:val="Textoindependiente"/>
        <w:spacing w:line="360" w:lineRule="auto"/>
        <w:ind w:left="425" w:right="602" w:firstLine="720"/>
        <w:jc w:val="both"/>
      </w:pPr>
      <w:r>
        <w:t>En conjunto, este análisis proporciona un marco estructurado para la toma de decisiones estratégicas, evidenciando que la competitividad de Guardiana no depende</w:t>
      </w:r>
      <w:r>
        <w:rPr>
          <w:spacing w:val="40"/>
        </w:rPr>
        <w:t xml:space="preserve"> </w:t>
      </w:r>
      <w:r>
        <w:t>del volumen ni del costo, sino de</w:t>
      </w:r>
      <w:r>
        <w:rPr>
          <w:spacing w:val="-2"/>
        </w:rPr>
        <w:t xml:space="preserve"> </w:t>
      </w:r>
      <w:r>
        <w:t>su</w:t>
      </w:r>
      <w:r>
        <w:rPr>
          <w:spacing w:val="-2"/>
        </w:rPr>
        <w:t xml:space="preserve"> </w:t>
      </w:r>
      <w:r>
        <w:t>capacidad</w:t>
      </w:r>
      <w:r>
        <w:rPr>
          <w:spacing w:val="-2"/>
        </w:rPr>
        <w:t xml:space="preserve"> </w:t>
      </w:r>
      <w:r>
        <w:t>para</w:t>
      </w:r>
      <w:r>
        <w:rPr>
          <w:spacing w:val="-2"/>
        </w:rPr>
        <w:t xml:space="preserve"> </w:t>
      </w:r>
      <w:r>
        <w:t>capturar</w:t>
      </w:r>
      <w:r>
        <w:rPr>
          <w:spacing w:val="-2"/>
        </w:rPr>
        <w:t xml:space="preserve"> </w:t>
      </w:r>
      <w:r>
        <w:t>valor</w:t>
      </w:r>
      <w:r>
        <w:rPr>
          <w:spacing w:val="-2"/>
        </w:rPr>
        <w:t xml:space="preserve"> </w:t>
      </w:r>
      <w:r>
        <w:t>a</w:t>
      </w:r>
      <w:r>
        <w:rPr>
          <w:spacing w:val="-2"/>
        </w:rPr>
        <w:t xml:space="preserve"> </w:t>
      </w:r>
      <w:r>
        <w:t>partir</w:t>
      </w:r>
      <w:r>
        <w:rPr>
          <w:spacing w:val="-2"/>
        </w:rPr>
        <w:t xml:space="preserve"> </w:t>
      </w:r>
      <w:r>
        <w:t>de</w:t>
      </w:r>
      <w:r>
        <w:rPr>
          <w:spacing w:val="-2"/>
        </w:rPr>
        <w:t xml:space="preserve"> </w:t>
      </w:r>
      <w:r>
        <w:t>la</w:t>
      </w:r>
      <w:r>
        <w:rPr>
          <w:spacing w:val="-2"/>
        </w:rPr>
        <w:t xml:space="preserve"> </w:t>
      </w:r>
      <w:r>
        <w:t>escasez, la autenticidad y la diferenciación.</w:t>
      </w:r>
    </w:p>
    <w:p w:rsidR="009B4BB4" w:rsidRDefault="00C44001">
      <w:pPr>
        <w:pStyle w:val="Ttulo1"/>
        <w:spacing w:before="240"/>
        <w:ind w:left="425"/>
        <w:jc w:val="both"/>
      </w:pPr>
      <w:r>
        <w:t>Análisis</w:t>
      </w:r>
      <w:r>
        <w:rPr>
          <w:spacing w:val="-8"/>
        </w:rPr>
        <w:t xml:space="preserve"> </w:t>
      </w:r>
      <w:r>
        <w:rPr>
          <w:spacing w:val="-4"/>
        </w:rPr>
        <w:t>FODA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16" w:firstLine="720"/>
        <w:jc w:val="both"/>
      </w:pPr>
      <w:r>
        <w:t>El análisis FODA sintetiza las capacidades</w:t>
      </w:r>
      <w:r>
        <w:rPr>
          <w:spacing w:val="-4"/>
        </w:rPr>
        <w:t xml:space="preserve"> </w:t>
      </w:r>
      <w:r>
        <w:t>internas</w:t>
      </w:r>
      <w:r>
        <w:rPr>
          <w:spacing w:val="-4"/>
        </w:rPr>
        <w:t xml:space="preserve"> </w:t>
      </w:r>
      <w:r>
        <w:t>y</w:t>
      </w:r>
      <w:r>
        <w:rPr>
          <w:spacing w:val="-4"/>
        </w:rPr>
        <w:t xml:space="preserve"> </w:t>
      </w:r>
      <w:r>
        <w:t>los</w:t>
      </w:r>
      <w:r>
        <w:rPr>
          <w:spacing w:val="-4"/>
        </w:rPr>
        <w:t xml:space="preserve"> </w:t>
      </w:r>
      <w:r>
        <w:t>factores</w:t>
      </w:r>
      <w:r>
        <w:rPr>
          <w:spacing w:val="-4"/>
        </w:rPr>
        <w:t xml:space="preserve"> </w:t>
      </w:r>
      <w:r>
        <w:t>del</w:t>
      </w:r>
      <w:r>
        <w:rPr>
          <w:spacing w:val="-4"/>
        </w:rPr>
        <w:t xml:space="preserve"> </w:t>
      </w:r>
      <w:r>
        <w:t>entorno</w:t>
      </w:r>
      <w:r>
        <w:rPr>
          <w:spacing w:val="-4"/>
        </w:rPr>
        <w:t xml:space="preserve"> </w:t>
      </w:r>
      <w:r>
        <w:t>que influyen</w:t>
      </w:r>
      <w:r>
        <w:rPr>
          <w:spacing w:val="-4"/>
        </w:rPr>
        <w:t xml:space="preserve"> </w:t>
      </w:r>
      <w:r>
        <w:t>en</w:t>
      </w:r>
      <w:r>
        <w:rPr>
          <w:spacing w:val="-4"/>
        </w:rPr>
        <w:t xml:space="preserve"> </w:t>
      </w:r>
      <w:r>
        <w:t>el</w:t>
      </w:r>
      <w:r>
        <w:rPr>
          <w:spacing w:val="-4"/>
        </w:rPr>
        <w:t xml:space="preserve"> </w:t>
      </w:r>
      <w:r>
        <w:t>desempeño</w:t>
      </w:r>
      <w:r>
        <w:rPr>
          <w:spacing w:val="-4"/>
        </w:rPr>
        <w:t xml:space="preserve"> </w:t>
      </w:r>
      <w:r>
        <w:t>de</w:t>
      </w:r>
      <w:r>
        <w:rPr>
          <w:spacing w:val="-4"/>
        </w:rPr>
        <w:t xml:space="preserve"> </w:t>
      </w:r>
      <w:r>
        <w:t>un</w:t>
      </w:r>
      <w:r>
        <w:rPr>
          <w:spacing w:val="-4"/>
        </w:rPr>
        <w:t xml:space="preserve"> </w:t>
      </w:r>
      <w:r>
        <w:t>emprendimiento.</w:t>
      </w:r>
      <w:r>
        <w:rPr>
          <w:spacing w:val="-4"/>
        </w:rPr>
        <w:t xml:space="preserve"> </w:t>
      </w:r>
      <w:r>
        <w:t>Según</w:t>
      </w:r>
      <w:r>
        <w:rPr>
          <w:spacing w:val="-4"/>
        </w:rPr>
        <w:t xml:space="preserve"> </w:t>
      </w:r>
      <w:r>
        <w:t>Kotler</w:t>
      </w:r>
      <w:r>
        <w:rPr>
          <w:spacing w:val="-4"/>
        </w:rPr>
        <w:t xml:space="preserve"> </w:t>
      </w:r>
      <w:r>
        <w:t>y</w:t>
      </w:r>
      <w:r>
        <w:rPr>
          <w:spacing w:val="-4"/>
        </w:rPr>
        <w:t xml:space="preserve"> </w:t>
      </w:r>
      <w:r>
        <w:t>Keller</w:t>
      </w:r>
      <w:r>
        <w:rPr>
          <w:spacing w:val="-4"/>
        </w:rPr>
        <w:t xml:space="preserve"> </w:t>
      </w:r>
      <w:r>
        <w:t>(2016),</w:t>
      </w:r>
      <w:r>
        <w:rPr>
          <w:spacing w:val="-4"/>
        </w:rPr>
        <w:t xml:space="preserve"> </w:t>
      </w:r>
      <w:r>
        <w:t>constituye un puente entre el</w:t>
      </w:r>
      <w:r>
        <w:t xml:space="preserve"> diagnóstico y la formulación estratégica.</w:t>
      </w:r>
    </w:p>
    <w:p w:rsidR="009B4BB4" w:rsidRDefault="00C44001">
      <w:pPr>
        <w:pStyle w:val="Textoindependiente"/>
        <w:ind w:left="425"/>
        <w:jc w:val="both"/>
      </w:pPr>
      <w:r>
        <w:t>Para</w:t>
      </w:r>
      <w:r>
        <w:rPr>
          <w:spacing w:val="-5"/>
        </w:rPr>
        <w:t xml:space="preserve"> </w:t>
      </w:r>
      <w:r>
        <w:t>Guardiana,</w:t>
      </w:r>
      <w:r>
        <w:rPr>
          <w:spacing w:val="-5"/>
        </w:rPr>
        <w:t xml:space="preserve"> </w:t>
      </w:r>
      <w:r>
        <w:t>el</w:t>
      </w:r>
      <w:r>
        <w:rPr>
          <w:spacing w:val="-5"/>
        </w:rPr>
        <w:t xml:space="preserve"> </w:t>
      </w:r>
      <w:r>
        <w:t>FODA</w:t>
      </w:r>
      <w:r>
        <w:rPr>
          <w:spacing w:val="-5"/>
        </w:rPr>
        <w:t xml:space="preserve"> </w:t>
      </w:r>
      <w:r>
        <w:rPr>
          <w:spacing w:val="-2"/>
        </w:rPr>
        <w:t>identifica:</w:t>
      </w:r>
    </w:p>
    <w:p w:rsidR="009B4BB4" w:rsidRDefault="009B4BB4">
      <w:pPr>
        <w:pStyle w:val="Textoindependiente"/>
        <w:jc w:val="both"/>
        <w:sectPr w:rsidR="009B4BB4">
          <w:pgSz w:w="11920" w:h="16840"/>
          <w:pgMar w:top="1500" w:right="850" w:bottom="1940" w:left="1275" w:header="0" w:footer="1747" w:gutter="0"/>
          <w:cols w:space="720"/>
        </w:sectPr>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19"/>
      </w:pPr>
    </w:p>
    <w:p w:rsidR="009B4BB4" w:rsidRDefault="00C44001">
      <w:pPr>
        <w:pStyle w:val="Ttulo1"/>
      </w:pPr>
      <w:r>
        <w:rPr>
          <w:spacing w:val="-2"/>
        </w:rPr>
        <w:t>Tabla</w:t>
      </w:r>
      <w:r>
        <w:rPr>
          <w:spacing w:val="-11"/>
        </w:rPr>
        <w:t xml:space="preserve"> </w:t>
      </w:r>
      <w:r>
        <w:rPr>
          <w:spacing w:val="-5"/>
        </w:rPr>
        <w:t>1.1</w:t>
      </w:r>
    </w:p>
    <w:p w:rsidR="009B4BB4" w:rsidRDefault="009B4BB4">
      <w:pPr>
        <w:pStyle w:val="Textoindependiente"/>
        <w:spacing w:before="113"/>
        <w:rPr>
          <w:rFonts w:ascii="Arial"/>
          <w:b/>
        </w:rPr>
      </w:pPr>
    </w:p>
    <w:p w:rsidR="009B4BB4" w:rsidRDefault="00C44001">
      <w:pPr>
        <w:spacing w:before="1"/>
        <w:ind w:left="455"/>
        <w:rPr>
          <w:rFonts w:ascii="Arial" w:hAnsi="Arial"/>
          <w:i/>
        </w:rPr>
      </w:pPr>
      <w:r>
        <w:rPr>
          <w:rFonts w:ascii="Arial" w:hAnsi="Arial"/>
          <w:i/>
        </w:rPr>
        <w:t>Análisis</w:t>
      </w:r>
      <w:r>
        <w:rPr>
          <w:rFonts w:ascii="Arial" w:hAnsi="Arial"/>
          <w:i/>
          <w:spacing w:val="-5"/>
        </w:rPr>
        <w:t xml:space="preserve"> </w:t>
      </w:r>
      <w:r>
        <w:rPr>
          <w:rFonts w:ascii="Arial" w:hAnsi="Arial"/>
          <w:i/>
        </w:rPr>
        <w:t>FODA</w:t>
      </w:r>
      <w:r>
        <w:rPr>
          <w:rFonts w:ascii="Arial" w:hAnsi="Arial"/>
          <w:i/>
          <w:spacing w:val="-5"/>
        </w:rPr>
        <w:t xml:space="preserve"> </w:t>
      </w:r>
      <w:r>
        <w:rPr>
          <w:rFonts w:ascii="Arial" w:hAnsi="Arial"/>
          <w:i/>
        </w:rPr>
        <w:t>del</w:t>
      </w:r>
      <w:r>
        <w:rPr>
          <w:rFonts w:ascii="Arial" w:hAnsi="Arial"/>
          <w:i/>
          <w:spacing w:val="-5"/>
        </w:rPr>
        <w:t xml:space="preserve"> </w:t>
      </w:r>
      <w:r>
        <w:rPr>
          <w:rFonts w:ascii="Arial" w:hAnsi="Arial"/>
          <w:i/>
        </w:rPr>
        <w:t>modelo</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negocio</w:t>
      </w:r>
      <w:r>
        <w:rPr>
          <w:rFonts w:ascii="Arial" w:hAnsi="Arial"/>
          <w:i/>
          <w:spacing w:val="-5"/>
        </w:rPr>
        <w:t xml:space="preserve"> </w:t>
      </w:r>
      <w:r>
        <w:rPr>
          <w:rFonts w:ascii="Arial" w:hAnsi="Arial"/>
          <w:i/>
          <w:spacing w:val="-2"/>
        </w:rPr>
        <w:t>Guardiana</w:t>
      </w:r>
    </w:p>
    <w:p w:rsidR="009B4BB4" w:rsidRDefault="009B4BB4">
      <w:pPr>
        <w:pStyle w:val="Textoindependiente"/>
        <w:spacing w:before="0"/>
        <w:rPr>
          <w:rFonts w:ascii="Arial"/>
          <w:i/>
          <w:sz w:val="20"/>
        </w:rPr>
      </w:pPr>
    </w:p>
    <w:p w:rsidR="009B4BB4" w:rsidRDefault="009B4BB4">
      <w:pPr>
        <w:pStyle w:val="Textoindependiente"/>
        <w:spacing w:before="0"/>
        <w:rPr>
          <w:rFonts w:ascii="Arial"/>
          <w:i/>
          <w:sz w:val="20"/>
        </w:rPr>
      </w:pPr>
    </w:p>
    <w:p w:rsidR="009B4BB4" w:rsidRDefault="009B4BB4">
      <w:pPr>
        <w:pStyle w:val="Textoindependiente"/>
        <w:spacing w:before="159"/>
        <w:rPr>
          <w:rFonts w:ascii="Arial"/>
          <w:i/>
          <w:sz w:val="20"/>
        </w:rPr>
      </w:pPr>
    </w:p>
    <w:tbl>
      <w:tblPr>
        <w:tblStyle w:val="TableNormal"/>
        <w:tblW w:w="0" w:type="auto"/>
        <w:tblInd w:w="432" w:type="dxa"/>
        <w:tblLayout w:type="fixed"/>
        <w:tblLook w:val="01E0" w:firstRow="1" w:lastRow="1" w:firstColumn="1" w:lastColumn="1" w:noHBand="0" w:noVBand="0"/>
      </w:tblPr>
      <w:tblGrid>
        <w:gridCol w:w="4392"/>
        <w:gridCol w:w="4609"/>
      </w:tblGrid>
      <w:tr w:rsidR="009B4BB4">
        <w:trPr>
          <w:trHeight w:val="480"/>
        </w:trPr>
        <w:tc>
          <w:tcPr>
            <w:tcW w:w="9001" w:type="dxa"/>
            <w:gridSpan w:val="2"/>
            <w:tcBorders>
              <w:top w:val="single" w:sz="8" w:space="0" w:color="000000"/>
              <w:bottom w:val="single" w:sz="8" w:space="0" w:color="000000"/>
            </w:tcBorders>
          </w:tcPr>
          <w:p w:rsidR="009B4BB4" w:rsidRDefault="00C44001">
            <w:pPr>
              <w:pStyle w:val="TableParagraph"/>
              <w:spacing w:before="5"/>
              <w:jc w:val="center"/>
            </w:pPr>
            <w:r>
              <w:t>Factores</w:t>
            </w:r>
            <w:r>
              <w:rPr>
                <w:spacing w:val="-8"/>
              </w:rPr>
              <w:t xml:space="preserve"> </w:t>
            </w:r>
            <w:r>
              <w:rPr>
                <w:spacing w:val="-2"/>
              </w:rPr>
              <w:t>Internos</w:t>
            </w:r>
          </w:p>
        </w:tc>
      </w:tr>
      <w:tr w:rsidR="009B4BB4">
        <w:trPr>
          <w:trHeight w:val="320"/>
        </w:trPr>
        <w:tc>
          <w:tcPr>
            <w:tcW w:w="4392" w:type="dxa"/>
            <w:tcBorders>
              <w:top w:val="single" w:sz="8" w:space="0" w:color="000000"/>
            </w:tcBorders>
          </w:tcPr>
          <w:p w:rsidR="009B4BB4" w:rsidRDefault="00C44001">
            <w:pPr>
              <w:pStyle w:val="TableParagraph"/>
              <w:ind w:left="109"/>
              <w:jc w:val="center"/>
            </w:pPr>
            <w:r>
              <w:rPr>
                <w:spacing w:val="-2"/>
              </w:rPr>
              <w:t>Fortalezas</w:t>
            </w:r>
          </w:p>
        </w:tc>
        <w:tc>
          <w:tcPr>
            <w:tcW w:w="4609" w:type="dxa"/>
            <w:tcBorders>
              <w:top w:val="single" w:sz="8" w:space="0" w:color="000000"/>
            </w:tcBorders>
          </w:tcPr>
          <w:p w:rsidR="009B4BB4" w:rsidRDefault="00C44001">
            <w:pPr>
              <w:pStyle w:val="TableParagraph"/>
              <w:ind w:left="108"/>
              <w:jc w:val="center"/>
            </w:pPr>
            <w:r>
              <w:rPr>
                <w:spacing w:val="-2"/>
              </w:rPr>
              <w:t>Debilidades</w:t>
            </w:r>
          </w:p>
        </w:tc>
      </w:tr>
      <w:tr w:rsidR="009B4BB4">
        <w:trPr>
          <w:trHeight w:val="1559"/>
        </w:trPr>
        <w:tc>
          <w:tcPr>
            <w:tcW w:w="4392" w:type="dxa"/>
            <w:tcBorders>
              <w:bottom w:val="single" w:sz="8" w:space="0" w:color="B6B6B6"/>
            </w:tcBorders>
          </w:tcPr>
          <w:p w:rsidR="009B4BB4" w:rsidRDefault="00C44001" w:rsidP="00C44001">
            <w:pPr>
              <w:pStyle w:val="TableParagraph"/>
              <w:numPr>
                <w:ilvl w:val="0"/>
                <w:numId w:val="67"/>
              </w:numPr>
              <w:tabs>
                <w:tab w:val="left" w:pos="720"/>
              </w:tabs>
              <w:spacing w:before="59"/>
            </w:pPr>
            <w:r>
              <w:t>Rareza</w:t>
            </w:r>
            <w:r>
              <w:rPr>
                <w:spacing w:val="-6"/>
              </w:rPr>
              <w:t xml:space="preserve"> </w:t>
            </w:r>
            <w:r>
              <w:rPr>
                <w:spacing w:val="-2"/>
              </w:rPr>
              <w:t>biocultural</w:t>
            </w:r>
          </w:p>
          <w:p w:rsidR="009B4BB4" w:rsidRDefault="00C44001" w:rsidP="00C44001">
            <w:pPr>
              <w:pStyle w:val="TableParagraph"/>
              <w:numPr>
                <w:ilvl w:val="0"/>
                <w:numId w:val="67"/>
              </w:numPr>
              <w:tabs>
                <w:tab w:val="left" w:pos="720"/>
              </w:tabs>
              <w:spacing w:before="127"/>
            </w:pPr>
            <w:r>
              <w:rPr>
                <w:spacing w:val="-2"/>
              </w:rPr>
              <w:t>Valor</w:t>
            </w:r>
            <w:r>
              <w:rPr>
                <w:spacing w:val="-11"/>
              </w:rPr>
              <w:t xml:space="preserve"> </w:t>
            </w:r>
            <w:r>
              <w:rPr>
                <w:spacing w:val="-2"/>
              </w:rPr>
              <w:t>medicinal</w:t>
            </w:r>
          </w:p>
          <w:p w:rsidR="009B4BB4" w:rsidRDefault="00C44001" w:rsidP="00C44001">
            <w:pPr>
              <w:pStyle w:val="TableParagraph"/>
              <w:numPr>
                <w:ilvl w:val="0"/>
                <w:numId w:val="67"/>
              </w:numPr>
              <w:tabs>
                <w:tab w:val="left" w:pos="720"/>
              </w:tabs>
              <w:spacing w:before="126"/>
            </w:pPr>
            <w:r>
              <w:t>Alto</w:t>
            </w:r>
            <w:r>
              <w:rPr>
                <w:spacing w:val="-5"/>
              </w:rPr>
              <w:t xml:space="preserve"> </w:t>
            </w:r>
            <w:r>
              <w:t>valor</w:t>
            </w:r>
            <w:r>
              <w:rPr>
                <w:spacing w:val="-4"/>
              </w:rPr>
              <w:t xml:space="preserve"> </w:t>
            </w:r>
            <w:r>
              <w:rPr>
                <w:spacing w:val="-2"/>
              </w:rPr>
              <w:t>percibido</w:t>
            </w:r>
          </w:p>
        </w:tc>
        <w:tc>
          <w:tcPr>
            <w:tcW w:w="4609" w:type="dxa"/>
            <w:tcBorders>
              <w:bottom w:val="single" w:sz="8" w:space="0" w:color="B6B6B6"/>
            </w:tcBorders>
          </w:tcPr>
          <w:p w:rsidR="009B4BB4" w:rsidRDefault="00C44001" w:rsidP="00C44001">
            <w:pPr>
              <w:pStyle w:val="TableParagraph"/>
              <w:numPr>
                <w:ilvl w:val="0"/>
                <w:numId w:val="66"/>
              </w:numPr>
              <w:tabs>
                <w:tab w:val="left" w:pos="828"/>
              </w:tabs>
              <w:spacing w:before="59"/>
            </w:pPr>
            <w:r>
              <w:t>Baja</w:t>
            </w:r>
            <w:r>
              <w:rPr>
                <w:spacing w:val="-4"/>
              </w:rPr>
              <w:t xml:space="preserve"> </w:t>
            </w:r>
            <w:r>
              <w:rPr>
                <w:spacing w:val="-2"/>
              </w:rPr>
              <w:t>producción</w:t>
            </w:r>
          </w:p>
          <w:p w:rsidR="009B4BB4" w:rsidRDefault="00C44001" w:rsidP="00C44001">
            <w:pPr>
              <w:pStyle w:val="TableParagraph"/>
              <w:numPr>
                <w:ilvl w:val="0"/>
                <w:numId w:val="66"/>
              </w:numPr>
              <w:tabs>
                <w:tab w:val="left" w:pos="828"/>
              </w:tabs>
              <w:spacing w:before="127"/>
            </w:pPr>
            <w:r>
              <w:t>Fragmentación</w:t>
            </w:r>
            <w:r>
              <w:rPr>
                <w:spacing w:val="-6"/>
              </w:rPr>
              <w:t xml:space="preserve"> </w:t>
            </w:r>
            <w:r>
              <w:t>de</w:t>
            </w:r>
            <w:r>
              <w:rPr>
                <w:spacing w:val="-6"/>
              </w:rPr>
              <w:t xml:space="preserve"> </w:t>
            </w:r>
            <w:r>
              <w:t>la</w:t>
            </w:r>
            <w:r>
              <w:rPr>
                <w:spacing w:val="-5"/>
              </w:rPr>
              <w:t xml:space="preserve"> </w:t>
            </w:r>
            <w:r>
              <w:rPr>
                <w:spacing w:val="-2"/>
              </w:rPr>
              <w:t>meliponicultura</w:t>
            </w:r>
          </w:p>
          <w:p w:rsidR="009B4BB4" w:rsidRDefault="00C44001" w:rsidP="00C44001">
            <w:pPr>
              <w:pStyle w:val="TableParagraph"/>
              <w:numPr>
                <w:ilvl w:val="0"/>
                <w:numId w:val="66"/>
              </w:numPr>
              <w:tabs>
                <w:tab w:val="left" w:pos="828"/>
              </w:tabs>
              <w:spacing w:before="126"/>
            </w:pPr>
            <w:r>
              <w:rPr>
                <w:spacing w:val="-2"/>
              </w:rPr>
              <w:t>Vulnerabilidad</w:t>
            </w:r>
            <w:r>
              <w:rPr>
                <w:spacing w:val="6"/>
              </w:rPr>
              <w:t xml:space="preserve"> </w:t>
            </w:r>
            <w:r>
              <w:rPr>
                <w:spacing w:val="-2"/>
              </w:rPr>
              <w:t>ecológica</w:t>
            </w:r>
          </w:p>
        </w:tc>
      </w:tr>
      <w:tr w:rsidR="009B4BB4">
        <w:trPr>
          <w:trHeight w:val="352"/>
        </w:trPr>
        <w:tc>
          <w:tcPr>
            <w:tcW w:w="9001" w:type="dxa"/>
            <w:gridSpan w:val="2"/>
            <w:tcBorders>
              <w:top w:val="single" w:sz="8" w:space="0" w:color="B6B6B6"/>
            </w:tcBorders>
          </w:tcPr>
          <w:p w:rsidR="009B4BB4" w:rsidRDefault="00C44001">
            <w:pPr>
              <w:pStyle w:val="TableParagraph"/>
              <w:spacing w:before="12"/>
              <w:jc w:val="center"/>
            </w:pPr>
            <w:r>
              <w:t>Factores</w:t>
            </w:r>
            <w:r>
              <w:rPr>
                <w:spacing w:val="-8"/>
              </w:rPr>
              <w:t xml:space="preserve"> </w:t>
            </w:r>
            <w:r>
              <w:rPr>
                <w:spacing w:val="-2"/>
              </w:rPr>
              <w:t>Externos</w:t>
            </w:r>
          </w:p>
        </w:tc>
      </w:tr>
      <w:tr w:rsidR="009B4BB4">
        <w:trPr>
          <w:trHeight w:val="420"/>
        </w:trPr>
        <w:tc>
          <w:tcPr>
            <w:tcW w:w="4392" w:type="dxa"/>
          </w:tcPr>
          <w:p w:rsidR="009B4BB4" w:rsidRDefault="00C44001">
            <w:pPr>
              <w:pStyle w:val="TableParagraph"/>
              <w:spacing w:before="80"/>
              <w:ind w:left="109"/>
              <w:jc w:val="center"/>
            </w:pPr>
            <w:r>
              <w:rPr>
                <w:spacing w:val="-2"/>
              </w:rPr>
              <w:t>Oportunidades</w:t>
            </w:r>
          </w:p>
        </w:tc>
        <w:tc>
          <w:tcPr>
            <w:tcW w:w="4609" w:type="dxa"/>
          </w:tcPr>
          <w:p w:rsidR="009B4BB4" w:rsidRDefault="00C44001">
            <w:pPr>
              <w:pStyle w:val="TableParagraph"/>
              <w:spacing w:before="80"/>
              <w:ind w:left="108"/>
              <w:jc w:val="center"/>
            </w:pPr>
            <w:r>
              <w:rPr>
                <w:spacing w:val="-2"/>
              </w:rPr>
              <w:t>Amenazas</w:t>
            </w:r>
          </w:p>
        </w:tc>
      </w:tr>
      <w:tr w:rsidR="009B4BB4">
        <w:trPr>
          <w:trHeight w:val="1471"/>
        </w:trPr>
        <w:tc>
          <w:tcPr>
            <w:tcW w:w="4392" w:type="dxa"/>
          </w:tcPr>
          <w:p w:rsidR="009B4BB4" w:rsidRDefault="00C44001" w:rsidP="00C44001">
            <w:pPr>
              <w:pStyle w:val="TableParagraph"/>
              <w:numPr>
                <w:ilvl w:val="0"/>
                <w:numId w:val="65"/>
              </w:numPr>
              <w:tabs>
                <w:tab w:val="left" w:pos="720"/>
              </w:tabs>
              <w:spacing w:before="80"/>
            </w:pPr>
            <w:r>
              <w:t>Turismo</w:t>
            </w:r>
            <w:r>
              <w:rPr>
                <w:spacing w:val="-15"/>
              </w:rPr>
              <w:t xml:space="preserve"> </w:t>
            </w:r>
            <w:r>
              <w:rPr>
                <w:spacing w:val="-2"/>
              </w:rPr>
              <w:t>sostenible</w:t>
            </w:r>
          </w:p>
          <w:p w:rsidR="009B4BB4" w:rsidRDefault="00C44001" w:rsidP="00C44001">
            <w:pPr>
              <w:pStyle w:val="TableParagraph"/>
              <w:numPr>
                <w:ilvl w:val="0"/>
                <w:numId w:val="65"/>
              </w:numPr>
              <w:tabs>
                <w:tab w:val="left" w:pos="720"/>
              </w:tabs>
              <w:spacing w:before="126"/>
              <w:rPr>
                <w:rFonts w:ascii="Arial" w:hAnsi="Arial"/>
                <w:i/>
              </w:rPr>
            </w:pPr>
            <w:r>
              <w:t>Demanda</w:t>
            </w:r>
            <w:r>
              <w:rPr>
                <w:spacing w:val="-6"/>
              </w:rPr>
              <w:t xml:space="preserve"> </w:t>
            </w:r>
            <w:r>
              <w:t>de</w:t>
            </w:r>
            <w:r>
              <w:rPr>
                <w:spacing w:val="-6"/>
              </w:rPr>
              <w:t xml:space="preserve"> </w:t>
            </w:r>
            <w:r>
              <w:t>productos</w:t>
            </w:r>
            <w:r>
              <w:rPr>
                <w:spacing w:val="-6"/>
              </w:rPr>
              <w:t xml:space="preserve"> </w:t>
            </w:r>
            <w:r>
              <w:rPr>
                <w:rFonts w:ascii="Arial" w:hAnsi="Arial"/>
                <w:i/>
                <w:spacing w:val="-2"/>
              </w:rPr>
              <w:t>premium</w:t>
            </w:r>
          </w:p>
          <w:p w:rsidR="009B4BB4" w:rsidRDefault="00C44001" w:rsidP="00C44001">
            <w:pPr>
              <w:pStyle w:val="TableParagraph"/>
              <w:numPr>
                <w:ilvl w:val="0"/>
                <w:numId w:val="65"/>
              </w:numPr>
              <w:tabs>
                <w:tab w:val="left" w:pos="720"/>
              </w:tabs>
              <w:spacing w:line="380" w:lineRule="atLeast"/>
              <w:ind w:right="894"/>
            </w:pPr>
            <w:r>
              <w:t>Tendencia</w:t>
            </w:r>
            <w:r>
              <w:rPr>
                <w:spacing w:val="-16"/>
              </w:rPr>
              <w:t xml:space="preserve"> </w:t>
            </w:r>
            <w:r>
              <w:t>hacia</w:t>
            </w:r>
            <w:r>
              <w:rPr>
                <w:spacing w:val="-15"/>
              </w:rPr>
              <w:t xml:space="preserve"> </w:t>
            </w:r>
            <w:r>
              <w:t>el</w:t>
            </w:r>
            <w:r>
              <w:rPr>
                <w:spacing w:val="-15"/>
              </w:rPr>
              <w:t xml:space="preserve"> </w:t>
            </w:r>
            <w:r>
              <w:t xml:space="preserve">consumo </w:t>
            </w:r>
            <w:r>
              <w:rPr>
                <w:spacing w:val="-2"/>
              </w:rPr>
              <w:t>consciente</w:t>
            </w:r>
          </w:p>
        </w:tc>
        <w:tc>
          <w:tcPr>
            <w:tcW w:w="4609" w:type="dxa"/>
          </w:tcPr>
          <w:p w:rsidR="009B4BB4" w:rsidRDefault="00C44001" w:rsidP="00C44001">
            <w:pPr>
              <w:pStyle w:val="TableParagraph"/>
              <w:numPr>
                <w:ilvl w:val="0"/>
                <w:numId w:val="64"/>
              </w:numPr>
              <w:tabs>
                <w:tab w:val="left" w:pos="828"/>
              </w:tabs>
              <w:spacing w:before="80"/>
            </w:pPr>
            <w:r>
              <w:t>Informalidad</w:t>
            </w:r>
            <w:r>
              <w:rPr>
                <w:spacing w:val="-8"/>
              </w:rPr>
              <w:t xml:space="preserve"> </w:t>
            </w:r>
            <w:r>
              <w:t>del</w:t>
            </w:r>
            <w:r>
              <w:rPr>
                <w:spacing w:val="-7"/>
              </w:rPr>
              <w:t xml:space="preserve"> </w:t>
            </w:r>
            <w:r>
              <w:rPr>
                <w:spacing w:val="-2"/>
              </w:rPr>
              <w:t>mercado</w:t>
            </w:r>
          </w:p>
          <w:p w:rsidR="009B4BB4" w:rsidRDefault="00C44001" w:rsidP="00C44001">
            <w:pPr>
              <w:pStyle w:val="TableParagraph"/>
              <w:numPr>
                <w:ilvl w:val="0"/>
                <w:numId w:val="64"/>
              </w:numPr>
              <w:tabs>
                <w:tab w:val="left" w:pos="828"/>
              </w:tabs>
              <w:spacing w:before="126"/>
            </w:pPr>
            <w:r>
              <w:rPr>
                <w:spacing w:val="-2"/>
              </w:rPr>
              <w:t>Adulteración</w:t>
            </w:r>
          </w:p>
          <w:p w:rsidR="009B4BB4" w:rsidRDefault="00C44001" w:rsidP="00C44001">
            <w:pPr>
              <w:pStyle w:val="TableParagraph"/>
              <w:numPr>
                <w:ilvl w:val="0"/>
                <w:numId w:val="64"/>
              </w:numPr>
              <w:tabs>
                <w:tab w:val="left" w:pos="828"/>
              </w:tabs>
              <w:spacing w:before="127"/>
            </w:pPr>
            <w:r>
              <w:rPr>
                <w:spacing w:val="-2"/>
              </w:rPr>
              <w:t>Estacionalidad</w:t>
            </w:r>
          </w:p>
          <w:p w:rsidR="009B4BB4" w:rsidRDefault="00C44001" w:rsidP="00C44001">
            <w:pPr>
              <w:pStyle w:val="TableParagraph"/>
              <w:numPr>
                <w:ilvl w:val="0"/>
                <w:numId w:val="64"/>
              </w:numPr>
              <w:tabs>
                <w:tab w:val="left" w:pos="828"/>
              </w:tabs>
              <w:spacing w:before="126" w:line="233" w:lineRule="exact"/>
            </w:pPr>
            <w:r>
              <w:t>Presión</w:t>
            </w:r>
            <w:r>
              <w:rPr>
                <w:spacing w:val="-7"/>
              </w:rPr>
              <w:t xml:space="preserve"> </w:t>
            </w:r>
            <w:r>
              <w:rPr>
                <w:spacing w:val="-2"/>
              </w:rPr>
              <w:t>ambiental</w:t>
            </w:r>
          </w:p>
        </w:tc>
      </w:tr>
    </w:tbl>
    <w:p w:rsidR="009B4BB4" w:rsidRDefault="009B4BB4">
      <w:pPr>
        <w:pStyle w:val="Textoindependiente"/>
        <w:spacing w:before="0"/>
        <w:rPr>
          <w:rFonts w:ascii="Arial"/>
          <w:i/>
          <w:sz w:val="20"/>
        </w:rPr>
      </w:pPr>
    </w:p>
    <w:p w:rsidR="009B4BB4" w:rsidRDefault="00C44001">
      <w:pPr>
        <w:pStyle w:val="Textoindependiente"/>
        <w:spacing w:before="24"/>
        <w:rPr>
          <w:rFonts w:ascii="Arial"/>
          <w:i/>
          <w:sz w:val="20"/>
        </w:rPr>
      </w:pPr>
      <w:r>
        <w:rPr>
          <w:rFonts w:ascii="Arial"/>
          <w:i/>
          <w:noProof/>
          <w:sz w:val="20"/>
          <w:lang w:val="es-AR" w:eastAsia="es-AR"/>
        </w:rPr>
        <mc:AlternateContent>
          <mc:Choice Requires="wps">
            <w:drawing>
              <wp:anchor distT="0" distB="0" distL="0" distR="0" simplePos="0" relativeHeight="487588352" behindDoc="1" locked="0" layoutInCell="1" allowOverlap="1">
                <wp:simplePos x="0" y="0"/>
                <wp:positionH relativeFrom="page">
                  <wp:posOffset>1079500</wp:posOffset>
                </wp:positionH>
                <wp:positionV relativeFrom="paragraph">
                  <wp:posOffset>176542</wp:posOffset>
                </wp:positionV>
                <wp:extent cx="5715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5pt;margin-top:13.900983pt;width:450pt;height:.1pt;mso-position-horizontal-relative:page;mso-position-vertical-relative:paragraph;z-index:-15728128;mso-wrap-distance-left:0;mso-wrap-distance-right:0" id="docshape5" coordorigin="1700,278" coordsize="9000,0" path="m1700,278l10700,278e" filled="false" stroked="true" strokeweight="1.0pt" strokecolor="#000000">
                <v:path arrowok="t"/>
                <v:stroke dashstyle="solid"/>
                <w10:wrap type="topAndBottom"/>
              </v:shape>
            </w:pict>
          </mc:Fallback>
        </mc:AlternateContent>
      </w:r>
    </w:p>
    <w:p w:rsidR="009B4BB4" w:rsidRDefault="00C44001">
      <w:pPr>
        <w:pStyle w:val="Textoindependiente"/>
        <w:spacing w:before="200" w:line="360" w:lineRule="auto"/>
        <w:ind w:left="425" w:right="605"/>
        <w:jc w:val="both"/>
      </w:pPr>
      <w:r>
        <w:rPr>
          <w:rFonts w:ascii="Arial" w:hAnsi="Arial"/>
          <w:i/>
        </w:rPr>
        <w:t xml:space="preserve">Nota. </w:t>
      </w:r>
      <w:r>
        <w:t>La tabla sintetiza factores internos y externos que afectan el modelo Guardiana, destacando la escasez del recurso,</w:t>
      </w:r>
      <w:r>
        <w:rPr>
          <w:spacing w:val="-4"/>
        </w:rPr>
        <w:t xml:space="preserve"> </w:t>
      </w:r>
      <w:r>
        <w:t>el</w:t>
      </w:r>
      <w:r>
        <w:rPr>
          <w:spacing w:val="-4"/>
        </w:rPr>
        <w:t xml:space="preserve"> </w:t>
      </w:r>
      <w:r>
        <w:t>valor</w:t>
      </w:r>
      <w:r>
        <w:rPr>
          <w:spacing w:val="-4"/>
        </w:rPr>
        <w:t xml:space="preserve"> </w:t>
      </w:r>
      <w:r>
        <w:t>percibido</w:t>
      </w:r>
      <w:r>
        <w:rPr>
          <w:spacing w:val="-4"/>
        </w:rPr>
        <w:t xml:space="preserve"> </w:t>
      </w:r>
      <w:r>
        <w:t>en</w:t>
      </w:r>
      <w:r>
        <w:rPr>
          <w:spacing w:val="-4"/>
        </w:rPr>
        <w:t xml:space="preserve"> </w:t>
      </w:r>
      <w:r>
        <w:t>mercados</w:t>
      </w:r>
      <w:r>
        <w:rPr>
          <w:spacing w:val="-4"/>
        </w:rPr>
        <w:t xml:space="preserve"> </w:t>
      </w:r>
      <w:r>
        <w:rPr>
          <w:rFonts w:ascii="Arial" w:hAnsi="Arial"/>
          <w:i/>
        </w:rPr>
        <w:t>premium</w:t>
      </w:r>
      <w:r>
        <w:rPr>
          <w:rFonts w:ascii="Arial" w:hAnsi="Arial"/>
          <w:i/>
          <w:spacing w:val="-4"/>
        </w:rPr>
        <w:t xml:space="preserve"> </w:t>
      </w:r>
      <w:r>
        <w:t>y</w:t>
      </w:r>
      <w:r>
        <w:rPr>
          <w:spacing w:val="-4"/>
        </w:rPr>
        <w:t xml:space="preserve"> </w:t>
      </w:r>
      <w:r>
        <w:t>los</w:t>
      </w:r>
      <w:r>
        <w:rPr>
          <w:spacing w:val="-4"/>
        </w:rPr>
        <w:t xml:space="preserve"> </w:t>
      </w:r>
      <w:r>
        <w:t>riesgos asociados a informalidad, adulteración y vul</w:t>
      </w:r>
      <w:r>
        <w:t xml:space="preserve">nerabilidad ecológica. Elaboración propia </w:t>
      </w:r>
      <w:r>
        <w:rPr>
          <w:spacing w:val="-2"/>
        </w:rPr>
        <w:t>(2025).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pPr>
        <w:pStyle w:val="Textoindependiente"/>
        <w:spacing w:before="0" w:line="360" w:lineRule="auto"/>
        <w:ind w:left="425" w:right="605" w:firstLine="720"/>
        <w:jc w:val="both"/>
      </w:pPr>
      <w:r>
        <w:t>Aplicado a Guardiana, el análisis FODA revela una tensión central: el mismo atributo</w:t>
      </w:r>
      <w:r>
        <w:rPr>
          <w:spacing w:val="-4"/>
        </w:rPr>
        <w:t xml:space="preserve"> </w:t>
      </w:r>
      <w:r>
        <w:t>que</w:t>
      </w:r>
      <w:r>
        <w:rPr>
          <w:spacing w:val="-4"/>
        </w:rPr>
        <w:t xml:space="preserve"> </w:t>
      </w:r>
      <w:r>
        <w:t>otorga</w:t>
      </w:r>
      <w:r>
        <w:rPr>
          <w:spacing w:val="-4"/>
        </w:rPr>
        <w:t xml:space="preserve"> </w:t>
      </w:r>
      <w:r>
        <w:t>valor</w:t>
      </w:r>
      <w:r>
        <w:rPr>
          <w:spacing w:val="-4"/>
        </w:rPr>
        <w:t xml:space="preserve"> </w:t>
      </w:r>
      <w:r>
        <w:t>al</w:t>
      </w:r>
      <w:r>
        <w:rPr>
          <w:spacing w:val="-4"/>
        </w:rPr>
        <w:t xml:space="preserve"> </w:t>
      </w:r>
      <w:r>
        <w:t>producto,</w:t>
      </w:r>
      <w:r>
        <w:rPr>
          <w:spacing w:val="-4"/>
        </w:rPr>
        <w:t xml:space="preserve"> </w:t>
      </w:r>
      <w:r>
        <w:t>su</w:t>
      </w:r>
      <w:r>
        <w:rPr>
          <w:spacing w:val="-4"/>
        </w:rPr>
        <w:t xml:space="preserve"> </w:t>
      </w:r>
      <w:r>
        <w:t>escasez,</w:t>
      </w:r>
      <w:r>
        <w:rPr>
          <w:spacing w:val="-4"/>
        </w:rPr>
        <w:t xml:space="preserve"> </w:t>
      </w:r>
      <w:r>
        <w:t>constituye</w:t>
      </w:r>
      <w:r>
        <w:rPr>
          <w:spacing w:val="-4"/>
        </w:rPr>
        <w:t xml:space="preserve"> </w:t>
      </w:r>
      <w:r>
        <w:t>también</w:t>
      </w:r>
      <w:r>
        <w:rPr>
          <w:spacing w:val="-4"/>
        </w:rPr>
        <w:t xml:space="preserve"> </w:t>
      </w:r>
      <w:r>
        <w:t>su</w:t>
      </w:r>
      <w:r>
        <w:rPr>
          <w:spacing w:val="-4"/>
        </w:rPr>
        <w:t xml:space="preserve"> </w:t>
      </w:r>
      <w:r>
        <w:t>principal</w:t>
      </w:r>
      <w:r>
        <w:rPr>
          <w:spacing w:val="-4"/>
        </w:rPr>
        <w:t xml:space="preserve"> </w:t>
      </w:r>
      <w:r>
        <w:t>limitante operativa.</w:t>
      </w:r>
      <w:r>
        <w:rPr>
          <w:spacing w:val="70"/>
        </w:rPr>
        <w:t xml:space="preserve"> </w:t>
      </w:r>
      <w:r>
        <w:t>Resolver</w:t>
      </w:r>
      <w:r>
        <w:rPr>
          <w:spacing w:val="70"/>
        </w:rPr>
        <w:t xml:space="preserve"> </w:t>
      </w:r>
      <w:r>
        <w:t>esta</w:t>
      </w:r>
      <w:r>
        <w:rPr>
          <w:spacing w:val="70"/>
        </w:rPr>
        <w:t xml:space="preserve"> </w:t>
      </w:r>
      <w:r>
        <w:t>tensión</w:t>
      </w:r>
      <w:r>
        <w:rPr>
          <w:spacing w:val="40"/>
        </w:rPr>
        <w:t xml:space="preserve"> </w:t>
      </w:r>
      <w:r>
        <w:t>mediante</w:t>
      </w:r>
      <w:r>
        <w:rPr>
          <w:spacing w:val="40"/>
        </w:rPr>
        <w:t xml:space="preserve"> </w:t>
      </w:r>
      <w:r>
        <w:t>una</w:t>
      </w:r>
      <w:r>
        <w:rPr>
          <w:spacing w:val="40"/>
        </w:rPr>
        <w:t xml:space="preserve"> </w:t>
      </w:r>
      <w:r>
        <w:t>estrategia</w:t>
      </w:r>
      <w:r>
        <w:rPr>
          <w:spacing w:val="40"/>
        </w:rPr>
        <w:t xml:space="preserve"> </w:t>
      </w:r>
      <w:r>
        <w:t>de</w:t>
      </w:r>
      <w:r>
        <w:rPr>
          <w:spacing w:val="40"/>
        </w:rPr>
        <w:t xml:space="preserve"> </w:t>
      </w:r>
      <w:r>
        <w:t>diferenciación</w:t>
      </w:r>
      <w:r>
        <w:rPr>
          <w:spacing w:val="40"/>
        </w:rPr>
        <w:t xml:space="preserve"> </w:t>
      </w:r>
      <w:r>
        <w:t>y</w:t>
      </w:r>
      <w:r>
        <w:rPr>
          <w:spacing w:val="40"/>
        </w:rPr>
        <w:t xml:space="preserve"> </w:t>
      </w:r>
      <w:r>
        <w:t>precio</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71"/>
      </w:pPr>
      <w:proofErr w:type="gramStart"/>
      <w:r>
        <w:rPr>
          <w:rFonts w:ascii="Arial" w:hAnsi="Arial"/>
          <w:i/>
        </w:rPr>
        <w:lastRenderedPageBreak/>
        <w:t>premium</w:t>
      </w:r>
      <w:proofErr w:type="gramEnd"/>
      <w:r>
        <w:t>,</w:t>
      </w:r>
      <w:r>
        <w:rPr>
          <w:spacing w:val="40"/>
        </w:rPr>
        <w:t xml:space="preserve"> </w:t>
      </w:r>
      <w:r>
        <w:t>en</w:t>
      </w:r>
      <w:r>
        <w:rPr>
          <w:spacing w:val="40"/>
        </w:rPr>
        <w:t xml:space="preserve"> </w:t>
      </w:r>
      <w:r>
        <w:t>lugar</w:t>
      </w:r>
      <w:r>
        <w:rPr>
          <w:spacing w:val="40"/>
        </w:rPr>
        <w:t xml:space="preserve"> </w:t>
      </w:r>
      <w:r>
        <w:t>de</w:t>
      </w:r>
      <w:r>
        <w:rPr>
          <w:spacing w:val="40"/>
        </w:rPr>
        <w:t xml:space="preserve"> </w:t>
      </w:r>
      <w:r>
        <w:t>intentar</w:t>
      </w:r>
      <w:r>
        <w:rPr>
          <w:spacing w:val="40"/>
        </w:rPr>
        <w:t xml:space="preserve"> </w:t>
      </w:r>
      <w:r>
        <w:t>escalar</w:t>
      </w:r>
      <w:r>
        <w:rPr>
          <w:spacing w:val="40"/>
        </w:rPr>
        <w:t xml:space="preserve"> </w:t>
      </w:r>
      <w:r>
        <w:t>la</w:t>
      </w:r>
      <w:r>
        <w:rPr>
          <w:spacing w:val="40"/>
        </w:rPr>
        <w:t xml:space="preserve"> </w:t>
      </w:r>
      <w:r>
        <w:t>producción,</w:t>
      </w:r>
      <w:r>
        <w:rPr>
          <w:spacing w:val="40"/>
        </w:rPr>
        <w:t xml:space="preserve"> </w:t>
      </w:r>
      <w:r>
        <w:t>articula</w:t>
      </w:r>
      <w:r>
        <w:rPr>
          <w:spacing w:val="40"/>
        </w:rPr>
        <w:t xml:space="preserve"> </w:t>
      </w:r>
      <w:r>
        <w:t>el</w:t>
      </w:r>
      <w:r>
        <w:rPr>
          <w:spacing w:val="40"/>
        </w:rPr>
        <w:t xml:space="preserve"> </w:t>
      </w:r>
      <w:r>
        <w:t>resto</w:t>
      </w:r>
      <w:r>
        <w:rPr>
          <w:spacing w:val="40"/>
        </w:rPr>
        <w:t xml:space="preserve"> </w:t>
      </w:r>
      <w:r>
        <w:t>del</w:t>
      </w:r>
      <w:r>
        <w:rPr>
          <w:spacing w:val="40"/>
        </w:rPr>
        <w:t xml:space="preserve"> </w:t>
      </w:r>
      <w:r>
        <w:t>modelo</w:t>
      </w:r>
      <w:r>
        <w:rPr>
          <w:spacing w:val="40"/>
        </w:rPr>
        <w:t xml:space="preserve"> </w:t>
      </w:r>
      <w:r>
        <w:t xml:space="preserve">de </w:t>
      </w:r>
      <w:r>
        <w:rPr>
          <w:spacing w:val="-2"/>
        </w:rPr>
        <w:t>negocio.</w:t>
      </w:r>
    </w:p>
    <w:p w:rsidR="009B4BB4" w:rsidRDefault="00C44001" w:rsidP="00C44001">
      <w:pPr>
        <w:pStyle w:val="Prrafodelista"/>
        <w:numPr>
          <w:ilvl w:val="0"/>
          <w:numId w:val="63"/>
        </w:numPr>
        <w:tabs>
          <w:tab w:val="left" w:pos="1145"/>
        </w:tabs>
        <w:spacing w:line="360" w:lineRule="auto"/>
        <w:ind w:right="602"/>
        <w:jc w:val="both"/>
      </w:pPr>
      <w:r>
        <w:rPr>
          <w:rFonts w:ascii="Arial" w:hAnsi="Arial"/>
          <w:b/>
        </w:rPr>
        <w:t xml:space="preserve">Fortalezas - Oportunidades: </w:t>
      </w:r>
      <w:r>
        <w:t xml:space="preserve">Posicionar la marca en segmentos </w:t>
      </w:r>
      <w:r>
        <w:rPr>
          <w:rFonts w:ascii="Arial" w:hAnsi="Arial"/>
          <w:i/>
        </w:rPr>
        <w:t xml:space="preserve">premium </w:t>
      </w:r>
      <w:r>
        <w:t>aprovechando la rareza b</w:t>
      </w:r>
      <w:r>
        <w:t>iocultural, el valor medicinal percibido y la tendencia hacia el consumo consciente y el turismo sostenible.</w:t>
      </w:r>
    </w:p>
    <w:p w:rsidR="009B4BB4" w:rsidRDefault="00C44001" w:rsidP="00C44001">
      <w:pPr>
        <w:pStyle w:val="Prrafodelista"/>
        <w:numPr>
          <w:ilvl w:val="0"/>
          <w:numId w:val="63"/>
        </w:numPr>
        <w:tabs>
          <w:tab w:val="left" w:pos="1145"/>
        </w:tabs>
        <w:spacing w:line="360" w:lineRule="auto"/>
        <w:ind w:right="609"/>
        <w:jc w:val="both"/>
      </w:pPr>
      <w:r>
        <w:rPr>
          <w:rFonts w:ascii="Arial" w:hAnsi="Arial"/>
          <w:b/>
        </w:rPr>
        <w:t xml:space="preserve">Debilidades - Oportunidades: </w:t>
      </w:r>
      <w:r>
        <w:t>Fortalecer la capacidad productiva mediante alianzas con meliponicultores y cooperativas, integrando esquemas de colab</w:t>
      </w:r>
      <w:r>
        <w:t>oración que reduzcan la fragmentación del sector.</w:t>
      </w:r>
    </w:p>
    <w:p w:rsidR="009B4BB4" w:rsidRDefault="00C44001" w:rsidP="00C44001">
      <w:pPr>
        <w:pStyle w:val="Prrafodelista"/>
        <w:numPr>
          <w:ilvl w:val="0"/>
          <w:numId w:val="63"/>
        </w:numPr>
        <w:tabs>
          <w:tab w:val="left" w:pos="1145"/>
        </w:tabs>
        <w:spacing w:line="360" w:lineRule="auto"/>
        <w:ind w:right="613"/>
        <w:jc w:val="both"/>
      </w:pPr>
      <w:r>
        <w:rPr>
          <w:rFonts w:ascii="Arial" w:hAnsi="Arial"/>
          <w:b/>
        </w:rPr>
        <w:t xml:space="preserve">Fortalezas - Amenazas: </w:t>
      </w:r>
      <w:r>
        <w:t>Implementar mecanismos de trazabilidad y diferenciación para enfrentar la adulteración y la informalidad del mercado, elevando la confianza del consumidor.</w:t>
      </w:r>
    </w:p>
    <w:p w:rsidR="009B4BB4" w:rsidRDefault="00C44001" w:rsidP="00C44001">
      <w:pPr>
        <w:pStyle w:val="Prrafodelista"/>
        <w:numPr>
          <w:ilvl w:val="0"/>
          <w:numId w:val="63"/>
        </w:numPr>
        <w:tabs>
          <w:tab w:val="left" w:pos="1145"/>
        </w:tabs>
        <w:spacing w:line="360" w:lineRule="auto"/>
        <w:ind w:right="609"/>
        <w:jc w:val="both"/>
      </w:pPr>
      <w:r>
        <w:rPr>
          <w:rFonts w:ascii="Arial" w:hAnsi="Arial"/>
          <w:b/>
        </w:rPr>
        <w:t xml:space="preserve">Debilidades - Amenazas: </w:t>
      </w:r>
      <w:r>
        <w:t>Ges</w:t>
      </w:r>
      <w:r>
        <w:t>tionar el riesgo asociado a la baja producción y</w:t>
      </w:r>
      <w:r>
        <w:rPr>
          <w:spacing w:val="-3"/>
        </w:rPr>
        <w:t xml:space="preserve"> </w:t>
      </w:r>
      <w:r>
        <w:t>la vulnerabilidad ecológica mediante la diversificación de proveedores, la planificación de inventarios y el control de suministros.</w:t>
      </w:r>
    </w:p>
    <w:p w:rsidR="009B4BB4" w:rsidRDefault="00C44001">
      <w:pPr>
        <w:pStyle w:val="Ttulo1"/>
        <w:spacing w:before="240"/>
      </w:pPr>
      <w:r>
        <w:t>Análisis</w:t>
      </w:r>
      <w:r>
        <w:rPr>
          <w:spacing w:val="-8"/>
        </w:rPr>
        <w:t xml:space="preserve"> </w:t>
      </w:r>
      <w:r>
        <w:rPr>
          <w:spacing w:val="-2"/>
        </w:rPr>
        <w:t>PESTEL</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9" w:firstLine="720"/>
        <w:jc w:val="both"/>
      </w:pPr>
      <w:r>
        <w:t xml:space="preserve">El análisis PESTEL examina las fuerzas macroeconómicas que afectan a las industrias (Grant, 2019). Comprende seis dimensiones: política, económica, social, tecnológica, ecológica y legal, las cuales permiten anticipar riesgos y oportunidades del </w:t>
      </w:r>
      <w:r>
        <w:rPr>
          <w:spacing w:val="-2"/>
        </w:rPr>
        <w:t>entorno.</w:t>
      </w:r>
    </w:p>
    <w:p w:rsidR="009B4BB4" w:rsidRDefault="00C44001">
      <w:pPr>
        <w:pStyle w:val="Textoindependiente"/>
        <w:ind w:left="1145"/>
      </w:pPr>
      <w:r>
        <w:t>E</w:t>
      </w:r>
      <w:r>
        <w:t>n</w:t>
      </w:r>
      <w:r>
        <w:rPr>
          <w:spacing w:val="-7"/>
        </w:rPr>
        <w:t xml:space="preserve"> </w:t>
      </w:r>
      <w:r>
        <w:t>el</w:t>
      </w:r>
      <w:r>
        <w:rPr>
          <w:spacing w:val="-5"/>
        </w:rPr>
        <w:t xml:space="preserve"> </w:t>
      </w:r>
      <w:r>
        <w:t>caso</w:t>
      </w:r>
      <w:r>
        <w:rPr>
          <w:spacing w:val="-5"/>
        </w:rPr>
        <w:t xml:space="preserve"> </w:t>
      </w:r>
      <w:r>
        <w:t>de</w:t>
      </w:r>
      <w:r>
        <w:rPr>
          <w:spacing w:val="-5"/>
        </w:rPr>
        <w:t xml:space="preserve"> </w:t>
      </w:r>
      <w:r>
        <w:t>Guardiana,</w:t>
      </w:r>
      <w:r>
        <w:rPr>
          <w:spacing w:val="-5"/>
        </w:rPr>
        <w:t xml:space="preserve"> </w:t>
      </w:r>
      <w:r>
        <w:t>este</w:t>
      </w:r>
      <w:r>
        <w:rPr>
          <w:spacing w:val="-5"/>
        </w:rPr>
        <w:t xml:space="preserve"> </w:t>
      </w:r>
      <w:r>
        <w:t>análisis</w:t>
      </w:r>
      <w:r>
        <w:rPr>
          <w:spacing w:val="-5"/>
        </w:rPr>
        <w:t xml:space="preserve"> </w:t>
      </w:r>
      <w:r>
        <w:t>resulta</w:t>
      </w:r>
      <w:r>
        <w:rPr>
          <w:spacing w:val="-5"/>
        </w:rPr>
        <w:t xml:space="preserve"> </w:t>
      </w:r>
      <w:r>
        <w:t>clave</w:t>
      </w:r>
      <w:r>
        <w:rPr>
          <w:spacing w:val="-4"/>
        </w:rPr>
        <w:t xml:space="preserve"> </w:t>
      </w:r>
      <w:r>
        <w:rPr>
          <w:spacing w:val="-2"/>
        </w:rPr>
        <w:t>para:</w:t>
      </w:r>
    </w:p>
    <w:p w:rsidR="009B4BB4" w:rsidRDefault="00C44001" w:rsidP="00C44001">
      <w:pPr>
        <w:pStyle w:val="Prrafodelista"/>
        <w:numPr>
          <w:ilvl w:val="0"/>
          <w:numId w:val="63"/>
        </w:numPr>
        <w:tabs>
          <w:tab w:val="left" w:pos="1145"/>
        </w:tabs>
        <w:spacing w:before="126"/>
      </w:pPr>
      <w:r>
        <w:t>Proyectar</w:t>
      </w:r>
      <w:r>
        <w:rPr>
          <w:spacing w:val="-8"/>
        </w:rPr>
        <w:t xml:space="preserve"> </w:t>
      </w:r>
      <w:r>
        <w:t>los</w:t>
      </w:r>
      <w:r>
        <w:rPr>
          <w:spacing w:val="-5"/>
        </w:rPr>
        <w:t xml:space="preserve"> </w:t>
      </w:r>
      <w:r>
        <w:t>efectos</w:t>
      </w:r>
      <w:r>
        <w:rPr>
          <w:spacing w:val="-5"/>
        </w:rPr>
        <w:t xml:space="preserve"> </w:t>
      </w:r>
      <w:r>
        <w:t>de</w:t>
      </w:r>
      <w:r>
        <w:rPr>
          <w:spacing w:val="-5"/>
        </w:rPr>
        <w:t xml:space="preserve"> </w:t>
      </w:r>
      <w:r>
        <w:t>políticas</w:t>
      </w:r>
      <w:r>
        <w:rPr>
          <w:spacing w:val="-6"/>
        </w:rPr>
        <w:t xml:space="preserve"> </w:t>
      </w:r>
      <w:r>
        <w:t>agrícolas</w:t>
      </w:r>
      <w:r>
        <w:rPr>
          <w:spacing w:val="-5"/>
        </w:rPr>
        <w:t xml:space="preserve"> </w:t>
      </w:r>
      <w:r>
        <w:t>y</w:t>
      </w:r>
      <w:r>
        <w:rPr>
          <w:spacing w:val="-5"/>
        </w:rPr>
        <w:t xml:space="preserve"> </w:t>
      </w:r>
      <w:r>
        <w:t>de</w:t>
      </w:r>
      <w:r>
        <w:rPr>
          <w:spacing w:val="-5"/>
        </w:rPr>
        <w:t xml:space="preserve"> </w:t>
      </w:r>
      <w:r>
        <w:rPr>
          <w:spacing w:val="-2"/>
        </w:rPr>
        <w:t>conservación.</w:t>
      </w:r>
    </w:p>
    <w:p w:rsidR="009B4BB4" w:rsidRDefault="00C44001" w:rsidP="00C44001">
      <w:pPr>
        <w:pStyle w:val="Prrafodelista"/>
        <w:numPr>
          <w:ilvl w:val="0"/>
          <w:numId w:val="63"/>
        </w:numPr>
        <w:tabs>
          <w:tab w:val="left" w:pos="1145"/>
        </w:tabs>
        <w:spacing w:before="127"/>
      </w:pPr>
      <w:r>
        <w:t>Evaluar</w:t>
      </w:r>
      <w:r>
        <w:rPr>
          <w:spacing w:val="-8"/>
        </w:rPr>
        <w:t xml:space="preserve"> </w:t>
      </w:r>
      <w:r>
        <w:t>factores</w:t>
      </w:r>
      <w:r>
        <w:rPr>
          <w:spacing w:val="-5"/>
        </w:rPr>
        <w:t xml:space="preserve"> </w:t>
      </w:r>
      <w:r>
        <w:t>económicos</w:t>
      </w:r>
      <w:r>
        <w:rPr>
          <w:spacing w:val="-5"/>
        </w:rPr>
        <w:t xml:space="preserve"> </w:t>
      </w:r>
      <w:r>
        <w:t>que</w:t>
      </w:r>
      <w:r>
        <w:rPr>
          <w:spacing w:val="-5"/>
        </w:rPr>
        <w:t xml:space="preserve"> </w:t>
      </w:r>
      <w:r>
        <w:t>influyen</w:t>
      </w:r>
      <w:r>
        <w:rPr>
          <w:spacing w:val="-5"/>
        </w:rPr>
        <w:t xml:space="preserve"> </w:t>
      </w:r>
      <w:r>
        <w:t>en</w:t>
      </w:r>
      <w:r>
        <w:rPr>
          <w:spacing w:val="-5"/>
        </w:rPr>
        <w:t xml:space="preserve"> </w:t>
      </w:r>
      <w:r>
        <w:t>el</w:t>
      </w:r>
      <w:r>
        <w:rPr>
          <w:spacing w:val="-5"/>
        </w:rPr>
        <w:t xml:space="preserve"> </w:t>
      </w:r>
      <w:r>
        <w:t>turismo</w:t>
      </w:r>
      <w:r>
        <w:rPr>
          <w:spacing w:val="-5"/>
        </w:rPr>
        <w:t xml:space="preserve"> </w:t>
      </w:r>
      <w:r>
        <w:t>de</w:t>
      </w:r>
      <w:r>
        <w:rPr>
          <w:spacing w:val="-5"/>
        </w:rPr>
        <w:t xml:space="preserve"> </w:t>
      </w:r>
      <w:r>
        <w:t>la</w:t>
      </w:r>
      <w:r>
        <w:rPr>
          <w:spacing w:val="-5"/>
        </w:rPr>
        <w:t xml:space="preserve"> </w:t>
      </w:r>
      <w:r>
        <w:rPr>
          <w:spacing w:val="-2"/>
        </w:rPr>
        <w:t>región.</w:t>
      </w:r>
    </w:p>
    <w:p w:rsidR="009B4BB4" w:rsidRDefault="00C44001" w:rsidP="00C44001">
      <w:pPr>
        <w:pStyle w:val="Prrafodelista"/>
        <w:numPr>
          <w:ilvl w:val="0"/>
          <w:numId w:val="63"/>
        </w:numPr>
        <w:tabs>
          <w:tab w:val="left" w:pos="1145"/>
        </w:tabs>
        <w:spacing w:before="126" w:line="360" w:lineRule="auto"/>
        <w:ind w:right="1693"/>
      </w:pPr>
      <w:r>
        <w:t>Identificar</w:t>
      </w:r>
      <w:r>
        <w:rPr>
          <w:spacing w:val="-6"/>
        </w:rPr>
        <w:t xml:space="preserve"> </w:t>
      </w:r>
      <w:r>
        <w:t>tendencias</w:t>
      </w:r>
      <w:r>
        <w:rPr>
          <w:spacing w:val="-6"/>
        </w:rPr>
        <w:t xml:space="preserve"> </w:t>
      </w:r>
      <w:r>
        <w:t>sociales</w:t>
      </w:r>
      <w:r>
        <w:rPr>
          <w:spacing w:val="-6"/>
        </w:rPr>
        <w:t xml:space="preserve"> </w:t>
      </w:r>
      <w:r>
        <w:t>vinculadas</w:t>
      </w:r>
      <w:r>
        <w:rPr>
          <w:spacing w:val="-6"/>
        </w:rPr>
        <w:t xml:space="preserve"> </w:t>
      </w:r>
      <w:r>
        <w:t>a</w:t>
      </w:r>
      <w:r>
        <w:rPr>
          <w:spacing w:val="-6"/>
        </w:rPr>
        <w:t xml:space="preserve"> </w:t>
      </w:r>
      <w:r>
        <w:t>salud,</w:t>
      </w:r>
      <w:r>
        <w:rPr>
          <w:spacing w:val="-6"/>
        </w:rPr>
        <w:t xml:space="preserve"> </w:t>
      </w:r>
      <w:r>
        <w:t>bienestar</w:t>
      </w:r>
      <w:r>
        <w:rPr>
          <w:spacing w:val="-6"/>
        </w:rPr>
        <w:t xml:space="preserve"> </w:t>
      </w:r>
      <w:r>
        <w:t>y</w:t>
      </w:r>
      <w:r>
        <w:rPr>
          <w:spacing w:val="-6"/>
        </w:rPr>
        <w:t xml:space="preserve"> </w:t>
      </w:r>
      <w:r>
        <w:t xml:space="preserve">consumo </w:t>
      </w:r>
      <w:r>
        <w:rPr>
          <w:spacing w:val="-2"/>
        </w:rPr>
        <w:t>consciente.</w:t>
      </w:r>
    </w:p>
    <w:p w:rsidR="009B4BB4" w:rsidRDefault="00C44001" w:rsidP="00C44001">
      <w:pPr>
        <w:pStyle w:val="Prrafodelista"/>
        <w:numPr>
          <w:ilvl w:val="0"/>
          <w:numId w:val="63"/>
        </w:numPr>
        <w:tabs>
          <w:tab w:val="left" w:pos="1145"/>
        </w:tabs>
        <w:spacing w:before="0"/>
      </w:pPr>
      <w:r>
        <w:t>Reconocer</w:t>
      </w:r>
      <w:r>
        <w:rPr>
          <w:spacing w:val="-9"/>
        </w:rPr>
        <w:t xml:space="preserve"> </w:t>
      </w:r>
      <w:r>
        <w:t>avances</w:t>
      </w:r>
      <w:r>
        <w:rPr>
          <w:spacing w:val="-7"/>
        </w:rPr>
        <w:t xml:space="preserve"> </w:t>
      </w:r>
      <w:r>
        <w:t>tecnológicos</w:t>
      </w:r>
      <w:r>
        <w:rPr>
          <w:spacing w:val="-7"/>
        </w:rPr>
        <w:t xml:space="preserve"> </w:t>
      </w:r>
      <w:r>
        <w:t>aplicados</w:t>
      </w:r>
      <w:r>
        <w:rPr>
          <w:spacing w:val="-7"/>
        </w:rPr>
        <w:t xml:space="preserve"> </w:t>
      </w:r>
      <w:r>
        <w:t>a</w:t>
      </w:r>
      <w:r>
        <w:rPr>
          <w:spacing w:val="-7"/>
        </w:rPr>
        <w:t xml:space="preserve"> </w:t>
      </w:r>
      <w:r>
        <w:t>la</w:t>
      </w:r>
      <w:r>
        <w:rPr>
          <w:spacing w:val="-7"/>
        </w:rPr>
        <w:t xml:space="preserve"> </w:t>
      </w:r>
      <w:r>
        <w:t>trazabilidad</w:t>
      </w:r>
      <w:r>
        <w:rPr>
          <w:spacing w:val="-7"/>
        </w:rPr>
        <w:t xml:space="preserve"> </w:t>
      </w:r>
      <w:r>
        <w:t>del</w:t>
      </w:r>
      <w:r>
        <w:rPr>
          <w:spacing w:val="-6"/>
        </w:rPr>
        <w:t xml:space="preserve"> </w:t>
      </w:r>
      <w:r>
        <w:rPr>
          <w:spacing w:val="-2"/>
        </w:rPr>
        <w:t>producto.</w:t>
      </w:r>
    </w:p>
    <w:p w:rsidR="009B4BB4" w:rsidRDefault="00C44001" w:rsidP="00C44001">
      <w:pPr>
        <w:pStyle w:val="Prrafodelista"/>
        <w:numPr>
          <w:ilvl w:val="0"/>
          <w:numId w:val="63"/>
        </w:numPr>
        <w:tabs>
          <w:tab w:val="left" w:pos="1145"/>
        </w:tabs>
        <w:spacing w:before="127"/>
      </w:pPr>
      <w:r>
        <w:t>Monitorear</w:t>
      </w:r>
      <w:r>
        <w:rPr>
          <w:spacing w:val="-8"/>
        </w:rPr>
        <w:t xml:space="preserve"> </w:t>
      </w:r>
      <w:r>
        <w:t>riesgos</w:t>
      </w:r>
      <w:r>
        <w:rPr>
          <w:spacing w:val="-5"/>
        </w:rPr>
        <w:t xml:space="preserve"> </w:t>
      </w:r>
      <w:r>
        <w:t>ecológicos,</w:t>
      </w:r>
      <w:r>
        <w:rPr>
          <w:spacing w:val="-6"/>
        </w:rPr>
        <w:t xml:space="preserve"> </w:t>
      </w:r>
      <w:r>
        <w:t>como</w:t>
      </w:r>
      <w:r>
        <w:rPr>
          <w:spacing w:val="-5"/>
        </w:rPr>
        <w:t xml:space="preserve"> </w:t>
      </w:r>
      <w:r>
        <w:t>la</w:t>
      </w:r>
      <w:r>
        <w:rPr>
          <w:spacing w:val="-6"/>
        </w:rPr>
        <w:t xml:space="preserve"> </w:t>
      </w:r>
      <w:r>
        <w:t>deforestación</w:t>
      </w:r>
      <w:r>
        <w:rPr>
          <w:spacing w:val="-5"/>
        </w:rPr>
        <w:t xml:space="preserve"> </w:t>
      </w:r>
      <w:r>
        <w:t>y</w:t>
      </w:r>
      <w:r>
        <w:rPr>
          <w:spacing w:val="-6"/>
        </w:rPr>
        <w:t xml:space="preserve"> </w:t>
      </w:r>
      <w:r>
        <w:t>el</w:t>
      </w:r>
      <w:r>
        <w:rPr>
          <w:spacing w:val="-5"/>
        </w:rPr>
        <w:t xml:space="preserve"> </w:t>
      </w:r>
      <w:r>
        <w:t>uso</w:t>
      </w:r>
      <w:r>
        <w:rPr>
          <w:spacing w:val="-6"/>
        </w:rPr>
        <w:t xml:space="preserve"> </w:t>
      </w:r>
      <w:r>
        <w:t>de</w:t>
      </w:r>
      <w:r>
        <w:rPr>
          <w:spacing w:val="-5"/>
        </w:rPr>
        <w:t xml:space="preserve"> </w:t>
      </w:r>
      <w:r>
        <w:rPr>
          <w:spacing w:val="-2"/>
        </w:rPr>
        <w:t>agroquímicos.</w:t>
      </w:r>
    </w:p>
    <w:p w:rsidR="009B4BB4" w:rsidRDefault="00C44001" w:rsidP="00C44001">
      <w:pPr>
        <w:pStyle w:val="Prrafodelista"/>
        <w:numPr>
          <w:ilvl w:val="0"/>
          <w:numId w:val="63"/>
        </w:numPr>
        <w:tabs>
          <w:tab w:val="left" w:pos="1145"/>
        </w:tabs>
        <w:spacing w:before="126"/>
      </w:pPr>
      <w:r>
        <w:t>Prever</w:t>
      </w:r>
      <w:r>
        <w:rPr>
          <w:spacing w:val="-6"/>
        </w:rPr>
        <w:t xml:space="preserve"> </w:t>
      </w:r>
      <w:r>
        <w:t>el</w:t>
      </w:r>
      <w:r>
        <w:rPr>
          <w:spacing w:val="-6"/>
        </w:rPr>
        <w:t xml:space="preserve"> </w:t>
      </w:r>
      <w:r>
        <w:t>marco</w:t>
      </w:r>
      <w:r>
        <w:rPr>
          <w:spacing w:val="-6"/>
        </w:rPr>
        <w:t xml:space="preserve"> </w:t>
      </w:r>
      <w:r>
        <w:t>regulatorio</w:t>
      </w:r>
      <w:r>
        <w:rPr>
          <w:spacing w:val="-6"/>
        </w:rPr>
        <w:t xml:space="preserve"> </w:t>
      </w:r>
      <w:r>
        <w:t>y</w:t>
      </w:r>
      <w:r>
        <w:rPr>
          <w:spacing w:val="-6"/>
        </w:rPr>
        <w:t xml:space="preserve"> </w:t>
      </w:r>
      <w:r>
        <w:t>las</w:t>
      </w:r>
      <w:r>
        <w:rPr>
          <w:spacing w:val="-6"/>
        </w:rPr>
        <w:t xml:space="preserve"> </w:t>
      </w:r>
      <w:r>
        <w:t>normativas</w:t>
      </w:r>
      <w:r>
        <w:rPr>
          <w:spacing w:val="-6"/>
        </w:rPr>
        <w:t xml:space="preserve"> </w:t>
      </w:r>
      <w:r>
        <w:t>sanitarias</w:t>
      </w:r>
      <w:r>
        <w:rPr>
          <w:spacing w:val="-6"/>
        </w:rPr>
        <w:t xml:space="preserve"> </w:t>
      </w:r>
      <w:r>
        <w:rPr>
          <w:spacing w:val="-2"/>
        </w:rPr>
        <w:t>aplicables.</w:t>
      </w:r>
    </w:p>
    <w:p w:rsidR="009B4BB4" w:rsidRDefault="009B4BB4">
      <w:pPr>
        <w:pStyle w:val="Prrafodelista"/>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4" w:firstLine="720"/>
        <w:jc w:val="both"/>
      </w:pPr>
      <w:r>
        <w:lastRenderedPageBreak/>
        <w:t>Como plantean Johnson, Scholes y Whittington (2017), el análisis PESTEL describe el entorno y permite identificar</w:t>
      </w:r>
      <w:r>
        <w:rPr>
          <w:spacing w:val="-3"/>
        </w:rPr>
        <w:t xml:space="preserve"> </w:t>
      </w:r>
      <w:r>
        <w:t>oportunidades</w:t>
      </w:r>
      <w:r>
        <w:rPr>
          <w:spacing w:val="-3"/>
        </w:rPr>
        <w:t xml:space="preserve"> </w:t>
      </w:r>
      <w:r>
        <w:t>y</w:t>
      </w:r>
      <w:r>
        <w:rPr>
          <w:spacing w:val="-3"/>
        </w:rPr>
        <w:t xml:space="preserve"> </w:t>
      </w:r>
      <w:r>
        <w:t>amenazas</w:t>
      </w:r>
      <w:r>
        <w:rPr>
          <w:spacing w:val="-3"/>
        </w:rPr>
        <w:t xml:space="preserve"> </w:t>
      </w:r>
      <w:r>
        <w:t>que</w:t>
      </w:r>
      <w:r>
        <w:rPr>
          <w:spacing w:val="-3"/>
        </w:rPr>
        <w:t xml:space="preserve"> </w:t>
      </w:r>
      <w:r>
        <w:t>deben</w:t>
      </w:r>
      <w:r>
        <w:rPr>
          <w:spacing w:val="-3"/>
        </w:rPr>
        <w:t xml:space="preserve"> </w:t>
      </w:r>
      <w:r>
        <w:t>integrarse en la estrategia. En el caso de Guardiana, este enfoque facilita alinear su propósito biocultu</w:t>
      </w:r>
      <w:r>
        <w:t xml:space="preserve">ral y su posicionamiento </w:t>
      </w:r>
      <w:r>
        <w:rPr>
          <w:rFonts w:ascii="Arial" w:hAnsi="Arial"/>
          <w:i/>
        </w:rPr>
        <w:t xml:space="preserve">premium </w:t>
      </w:r>
      <w:r>
        <w:t>con las dinámicas del entorno.</w:t>
      </w:r>
    </w:p>
    <w:p w:rsidR="009B4BB4" w:rsidRDefault="00C44001">
      <w:pPr>
        <w:pStyle w:val="Ttulo1"/>
        <w:spacing w:before="240"/>
      </w:pPr>
      <w:r>
        <w:t>Las</w:t>
      </w:r>
      <w:r>
        <w:rPr>
          <w:spacing w:val="-5"/>
        </w:rPr>
        <w:t xml:space="preserve"> </w:t>
      </w:r>
      <w:r>
        <w:t>Cinco</w:t>
      </w:r>
      <w:r>
        <w:rPr>
          <w:spacing w:val="-4"/>
        </w:rPr>
        <w:t xml:space="preserve"> </w:t>
      </w:r>
      <w:r>
        <w:t>Fuerzas</w:t>
      </w:r>
      <w:r>
        <w:rPr>
          <w:spacing w:val="-4"/>
        </w:rPr>
        <w:t xml:space="preserve"> </w:t>
      </w:r>
      <w:r>
        <w:t>de</w:t>
      </w:r>
      <w:r>
        <w:rPr>
          <w:spacing w:val="-4"/>
        </w:rPr>
        <w:t xml:space="preserve"> </w:t>
      </w:r>
      <w:r>
        <w:rPr>
          <w:spacing w:val="-2"/>
        </w:rPr>
        <w:t>Porter</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3" w:firstLine="720"/>
        <w:jc w:val="both"/>
      </w:pPr>
      <w:r>
        <w:t>Porter (2008) sostiene que comprender la estructura subyacente de</w:t>
      </w:r>
      <w:r>
        <w:rPr>
          <w:spacing w:val="-4"/>
        </w:rPr>
        <w:t xml:space="preserve"> </w:t>
      </w:r>
      <w:r>
        <w:t>una</w:t>
      </w:r>
      <w:r>
        <w:rPr>
          <w:spacing w:val="-4"/>
        </w:rPr>
        <w:t xml:space="preserve"> </w:t>
      </w:r>
      <w:r>
        <w:t>industria es clave para diseñar estrategias sostenibles. Sus cinco fuerzas permiten analizar la intensidad competitiva y la rentabilidad potencial de un sector.</w:t>
      </w:r>
    </w:p>
    <w:p w:rsidR="009B4BB4" w:rsidRDefault="009B4BB4">
      <w:pPr>
        <w:pStyle w:val="Textoindependiente"/>
        <w:spacing w:before="126"/>
      </w:pPr>
    </w:p>
    <w:p w:rsidR="009B4BB4" w:rsidRDefault="00C44001">
      <w:pPr>
        <w:pStyle w:val="Textoindependiente"/>
        <w:spacing w:before="0"/>
        <w:ind w:left="1145"/>
      </w:pPr>
      <w:r>
        <w:t>Aplicado</w:t>
      </w:r>
      <w:r>
        <w:rPr>
          <w:spacing w:val="-5"/>
        </w:rPr>
        <w:t xml:space="preserve"> </w:t>
      </w:r>
      <w:r>
        <w:t>a</w:t>
      </w:r>
      <w:r>
        <w:rPr>
          <w:spacing w:val="-4"/>
        </w:rPr>
        <w:t xml:space="preserve"> </w:t>
      </w:r>
      <w:r>
        <w:rPr>
          <w:spacing w:val="-2"/>
        </w:rPr>
        <w:t>Guardiana:</w:t>
      </w:r>
    </w:p>
    <w:p w:rsidR="009B4BB4" w:rsidRDefault="009B4BB4">
      <w:pPr>
        <w:pStyle w:val="Textoindependiente"/>
        <w:spacing w:before="0"/>
      </w:pPr>
    </w:p>
    <w:p w:rsidR="009B4BB4" w:rsidRDefault="00C44001">
      <w:pPr>
        <w:pStyle w:val="Ttulo1"/>
        <w:ind w:left="425"/>
      </w:pPr>
      <w:r>
        <w:rPr>
          <w:spacing w:val="-2"/>
        </w:rPr>
        <w:t>Tabla</w:t>
      </w:r>
      <w:r>
        <w:rPr>
          <w:spacing w:val="-11"/>
        </w:rPr>
        <w:t xml:space="preserve"> </w:t>
      </w:r>
      <w:r>
        <w:rPr>
          <w:spacing w:val="-5"/>
        </w:rPr>
        <w:t>1.2</w:t>
      </w:r>
    </w:p>
    <w:p w:rsidR="009B4BB4" w:rsidRDefault="00C44001">
      <w:pPr>
        <w:spacing w:before="127"/>
        <w:ind w:left="425"/>
        <w:rPr>
          <w:rFonts w:ascii="Arial" w:hAnsi="Arial"/>
          <w:i/>
        </w:rPr>
      </w:pPr>
      <w:r>
        <w:rPr>
          <w:rFonts w:ascii="Arial" w:hAnsi="Arial"/>
          <w:i/>
        </w:rPr>
        <w:t>Análisis</w:t>
      </w:r>
      <w:r>
        <w:rPr>
          <w:rFonts w:ascii="Arial" w:hAnsi="Arial"/>
          <w:i/>
          <w:spacing w:val="-7"/>
        </w:rPr>
        <w:t xml:space="preserve"> </w:t>
      </w:r>
      <w:r>
        <w:rPr>
          <w:rFonts w:ascii="Arial" w:hAnsi="Arial"/>
          <w:i/>
        </w:rPr>
        <w:t>de</w:t>
      </w:r>
      <w:r>
        <w:rPr>
          <w:rFonts w:ascii="Arial" w:hAnsi="Arial"/>
          <w:i/>
          <w:spacing w:val="-5"/>
        </w:rPr>
        <w:t xml:space="preserve"> </w:t>
      </w:r>
      <w:r>
        <w:rPr>
          <w:rFonts w:ascii="Arial" w:hAnsi="Arial"/>
          <w:i/>
        </w:rPr>
        <w:t>las</w:t>
      </w:r>
      <w:r>
        <w:rPr>
          <w:rFonts w:ascii="Arial" w:hAnsi="Arial"/>
          <w:i/>
          <w:spacing w:val="-5"/>
        </w:rPr>
        <w:t xml:space="preserve"> </w:t>
      </w:r>
      <w:r>
        <w:rPr>
          <w:rFonts w:ascii="Arial" w:hAnsi="Arial"/>
          <w:i/>
        </w:rPr>
        <w:t>Cinco</w:t>
      </w:r>
      <w:r>
        <w:rPr>
          <w:rFonts w:ascii="Arial" w:hAnsi="Arial"/>
          <w:i/>
          <w:spacing w:val="-5"/>
        </w:rPr>
        <w:t xml:space="preserve"> </w:t>
      </w:r>
      <w:r>
        <w:rPr>
          <w:rFonts w:ascii="Arial" w:hAnsi="Arial"/>
          <w:i/>
        </w:rPr>
        <w:t>Fuerzas</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Porter</w:t>
      </w:r>
      <w:r>
        <w:rPr>
          <w:rFonts w:ascii="Arial" w:hAnsi="Arial"/>
          <w:i/>
          <w:spacing w:val="-5"/>
        </w:rPr>
        <w:t xml:space="preserve"> </w:t>
      </w:r>
      <w:r>
        <w:rPr>
          <w:rFonts w:ascii="Arial" w:hAnsi="Arial"/>
          <w:i/>
        </w:rPr>
        <w:t>aplicado</w:t>
      </w:r>
      <w:r>
        <w:rPr>
          <w:rFonts w:ascii="Arial" w:hAnsi="Arial"/>
          <w:i/>
          <w:spacing w:val="-5"/>
        </w:rPr>
        <w:t xml:space="preserve"> </w:t>
      </w:r>
      <w:r>
        <w:rPr>
          <w:rFonts w:ascii="Arial" w:hAnsi="Arial"/>
          <w:i/>
        </w:rPr>
        <w:t>al</w:t>
      </w:r>
      <w:r>
        <w:rPr>
          <w:rFonts w:ascii="Arial" w:hAnsi="Arial"/>
          <w:i/>
          <w:spacing w:val="-5"/>
        </w:rPr>
        <w:t xml:space="preserve"> </w:t>
      </w:r>
      <w:r>
        <w:rPr>
          <w:rFonts w:ascii="Arial" w:hAnsi="Arial"/>
          <w:i/>
        </w:rPr>
        <w:t>modelo</w:t>
      </w:r>
      <w:r>
        <w:rPr>
          <w:rFonts w:ascii="Arial" w:hAnsi="Arial"/>
          <w:i/>
          <w:spacing w:val="-4"/>
        </w:rPr>
        <w:t xml:space="preserve"> </w:t>
      </w:r>
      <w:r>
        <w:rPr>
          <w:rFonts w:ascii="Arial" w:hAnsi="Arial"/>
          <w:i/>
          <w:spacing w:val="-2"/>
        </w:rPr>
        <w:t>Guardiana</w:t>
      </w:r>
    </w:p>
    <w:p w:rsidR="009B4BB4" w:rsidRDefault="009B4BB4">
      <w:pPr>
        <w:pStyle w:val="Textoindependiente"/>
        <w:spacing w:before="136" w:after="1"/>
        <w:rPr>
          <w:rFonts w:ascii="Arial"/>
          <w:i/>
          <w:sz w:val="20"/>
        </w:rPr>
      </w:pPr>
    </w:p>
    <w:tbl>
      <w:tblPr>
        <w:tblStyle w:val="TableNormal"/>
        <w:tblW w:w="0" w:type="auto"/>
        <w:tblInd w:w="432" w:type="dxa"/>
        <w:tblLayout w:type="fixed"/>
        <w:tblLook w:val="01E0" w:firstRow="1" w:lastRow="1" w:firstColumn="1" w:lastColumn="1" w:noHBand="0" w:noVBand="0"/>
      </w:tblPr>
      <w:tblGrid>
        <w:gridCol w:w="2311"/>
        <w:gridCol w:w="1834"/>
        <w:gridCol w:w="5056"/>
      </w:tblGrid>
      <w:tr w:rsidR="009B4BB4">
        <w:trPr>
          <w:trHeight w:val="740"/>
        </w:trPr>
        <w:tc>
          <w:tcPr>
            <w:tcW w:w="2311" w:type="dxa"/>
            <w:tcBorders>
              <w:top w:val="single" w:sz="8" w:space="0" w:color="000000"/>
              <w:bottom w:val="single" w:sz="8" w:space="0" w:color="000000"/>
            </w:tcBorders>
          </w:tcPr>
          <w:p w:rsidR="009B4BB4" w:rsidRDefault="00C44001">
            <w:pPr>
              <w:pStyle w:val="TableParagraph"/>
              <w:spacing w:before="247"/>
              <w:rPr>
                <w:rFonts w:ascii="Arial"/>
                <w:b/>
              </w:rPr>
            </w:pPr>
            <w:r>
              <w:rPr>
                <w:rFonts w:ascii="Arial"/>
                <w:b/>
                <w:spacing w:val="-2"/>
              </w:rPr>
              <w:t>Poder</w:t>
            </w:r>
          </w:p>
        </w:tc>
        <w:tc>
          <w:tcPr>
            <w:tcW w:w="1834" w:type="dxa"/>
            <w:tcBorders>
              <w:top w:val="single" w:sz="8" w:space="0" w:color="000000"/>
              <w:bottom w:val="single" w:sz="8" w:space="0" w:color="000000"/>
            </w:tcBorders>
          </w:tcPr>
          <w:p w:rsidR="009B4BB4" w:rsidRDefault="00C44001">
            <w:pPr>
              <w:pStyle w:val="TableParagraph"/>
              <w:spacing w:before="247"/>
              <w:ind w:right="353"/>
              <w:jc w:val="right"/>
              <w:rPr>
                <w:rFonts w:ascii="Arial"/>
                <w:b/>
              </w:rPr>
            </w:pPr>
            <w:r>
              <w:rPr>
                <w:rFonts w:ascii="Arial"/>
                <w:b/>
                <w:spacing w:val="-2"/>
              </w:rPr>
              <w:t>Impacto</w:t>
            </w:r>
          </w:p>
        </w:tc>
        <w:tc>
          <w:tcPr>
            <w:tcW w:w="5056" w:type="dxa"/>
            <w:tcBorders>
              <w:top w:val="single" w:sz="8" w:space="0" w:color="000000"/>
              <w:bottom w:val="single" w:sz="8" w:space="0" w:color="000000"/>
            </w:tcBorders>
          </w:tcPr>
          <w:p w:rsidR="009B4BB4" w:rsidRDefault="009B4BB4">
            <w:pPr>
              <w:pStyle w:val="TableParagraph"/>
              <w:rPr>
                <w:rFonts w:ascii="Times New Roman"/>
              </w:rPr>
            </w:pPr>
          </w:p>
        </w:tc>
      </w:tr>
      <w:tr w:rsidR="009B4BB4">
        <w:trPr>
          <w:trHeight w:val="985"/>
        </w:trPr>
        <w:tc>
          <w:tcPr>
            <w:tcW w:w="2311" w:type="dxa"/>
            <w:tcBorders>
              <w:top w:val="single" w:sz="8" w:space="0" w:color="000000"/>
            </w:tcBorders>
          </w:tcPr>
          <w:p w:rsidR="009B4BB4" w:rsidRDefault="009B4BB4">
            <w:pPr>
              <w:pStyle w:val="TableParagraph"/>
              <w:spacing w:before="109"/>
              <w:rPr>
                <w:rFonts w:ascii="Arial"/>
                <w:i/>
              </w:rPr>
            </w:pPr>
          </w:p>
          <w:p w:rsidR="009B4BB4" w:rsidRDefault="00C44001">
            <w:pPr>
              <w:pStyle w:val="TableParagraph"/>
            </w:pPr>
            <w:r>
              <w:rPr>
                <w:spacing w:val="-2"/>
              </w:rPr>
              <w:t>Compradores</w:t>
            </w:r>
          </w:p>
        </w:tc>
        <w:tc>
          <w:tcPr>
            <w:tcW w:w="1834" w:type="dxa"/>
            <w:tcBorders>
              <w:top w:val="single" w:sz="8" w:space="0" w:color="000000"/>
            </w:tcBorders>
          </w:tcPr>
          <w:p w:rsidR="009B4BB4" w:rsidRDefault="009B4BB4">
            <w:pPr>
              <w:pStyle w:val="TableParagraph"/>
              <w:spacing w:before="109"/>
              <w:rPr>
                <w:rFonts w:ascii="Arial"/>
                <w:i/>
              </w:rPr>
            </w:pPr>
          </w:p>
          <w:p w:rsidR="009B4BB4" w:rsidRDefault="00C44001">
            <w:pPr>
              <w:pStyle w:val="TableParagraph"/>
              <w:ind w:right="359"/>
              <w:jc w:val="right"/>
            </w:pPr>
            <w:r>
              <w:rPr>
                <w:spacing w:val="-2"/>
              </w:rPr>
              <w:t>Limitado</w:t>
            </w:r>
          </w:p>
        </w:tc>
        <w:tc>
          <w:tcPr>
            <w:tcW w:w="5056" w:type="dxa"/>
            <w:tcBorders>
              <w:top w:val="single" w:sz="8" w:space="0" w:color="000000"/>
            </w:tcBorders>
          </w:tcPr>
          <w:p w:rsidR="009B4BB4" w:rsidRDefault="00C44001">
            <w:pPr>
              <w:pStyle w:val="TableParagraph"/>
              <w:spacing w:before="235"/>
              <w:ind w:left="280" w:right="76"/>
            </w:pPr>
            <w:r>
              <w:t>El</w:t>
            </w:r>
            <w:r>
              <w:rPr>
                <w:spacing w:val="-6"/>
              </w:rPr>
              <w:t xml:space="preserve"> </w:t>
            </w:r>
            <w:r>
              <w:t>valor</w:t>
            </w:r>
            <w:r>
              <w:rPr>
                <w:spacing w:val="-6"/>
              </w:rPr>
              <w:t xml:space="preserve"> </w:t>
            </w:r>
            <w:r>
              <w:t>percibido</w:t>
            </w:r>
            <w:r>
              <w:rPr>
                <w:spacing w:val="-6"/>
              </w:rPr>
              <w:t xml:space="preserve"> </w:t>
            </w:r>
            <w:r>
              <w:t>supera</w:t>
            </w:r>
            <w:r>
              <w:rPr>
                <w:spacing w:val="-6"/>
              </w:rPr>
              <w:t xml:space="preserve"> </w:t>
            </w:r>
            <w:r>
              <w:t>a</w:t>
            </w:r>
            <w:r>
              <w:rPr>
                <w:spacing w:val="-6"/>
              </w:rPr>
              <w:t xml:space="preserve"> </w:t>
            </w:r>
            <w:r>
              <w:t>la</w:t>
            </w:r>
            <w:r>
              <w:rPr>
                <w:spacing w:val="-6"/>
              </w:rPr>
              <w:t xml:space="preserve"> </w:t>
            </w:r>
            <w:r>
              <w:t>sensibilidad</w:t>
            </w:r>
            <w:r>
              <w:rPr>
                <w:spacing w:val="-6"/>
              </w:rPr>
              <w:t xml:space="preserve"> </w:t>
            </w:r>
            <w:r>
              <w:t>al precio en segmentos gourmet y turístico.</w:t>
            </w:r>
          </w:p>
        </w:tc>
      </w:tr>
      <w:tr w:rsidR="009B4BB4">
        <w:trPr>
          <w:trHeight w:val="1238"/>
        </w:trPr>
        <w:tc>
          <w:tcPr>
            <w:tcW w:w="2311" w:type="dxa"/>
          </w:tcPr>
          <w:p w:rsidR="009B4BB4" w:rsidRDefault="009B4BB4">
            <w:pPr>
              <w:pStyle w:val="TableParagraph"/>
              <w:spacing w:before="236"/>
              <w:rPr>
                <w:rFonts w:ascii="Arial"/>
                <w:i/>
              </w:rPr>
            </w:pPr>
          </w:p>
          <w:p w:rsidR="009B4BB4" w:rsidRDefault="00C44001">
            <w:pPr>
              <w:pStyle w:val="TableParagraph"/>
            </w:pPr>
            <w:r>
              <w:rPr>
                <w:spacing w:val="-2"/>
              </w:rPr>
              <w:t>Proveedores</w:t>
            </w:r>
          </w:p>
        </w:tc>
        <w:tc>
          <w:tcPr>
            <w:tcW w:w="1834" w:type="dxa"/>
          </w:tcPr>
          <w:p w:rsidR="009B4BB4" w:rsidRDefault="009B4BB4">
            <w:pPr>
              <w:pStyle w:val="TableParagraph"/>
              <w:spacing w:before="236"/>
              <w:rPr>
                <w:rFonts w:ascii="Arial"/>
                <w:i/>
              </w:rPr>
            </w:pPr>
          </w:p>
          <w:p w:rsidR="009B4BB4" w:rsidRDefault="00C44001">
            <w:pPr>
              <w:pStyle w:val="TableParagraph"/>
              <w:ind w:left="867"/>
            </w:pPr>
            <w:r>
              <w:rPr>
                <w:spacing w:val="-4"/>
              </w:rPr>
              <w:t>Alto</w:t>
            </w:r>
          </w:p>
        </w:tc>
        <w:tc>
          <w:tcPr>
            <w:tcW w:w="5056" w:type="dxa"/>
          </w:tcPr>
          <w:p w:rsidR="009B4BB4" w:rsidRDefault="00C44001">
            <w:pPr>
              <w:pStyle w:val="TableParagraph"/>
              <w:spacing w:before="236"/>
              <w:ind w:left="280" w:right="76"/>
            </w:pPr>
            <w:r>
              <w:t>La</w:t>
            </w:r>
            <w:r>
              <w:rPr>
                <w:spacing w:val="-10"/>
              </w:rPr>
              <w:t xml:space="preserve"> </w:t>
            </w:r>
            <w:r>
              <w:t>limitada</w:t>
            </w:r>
            <w:r>
              <w:rPr>
                <w:spacing w:val="-11"/>
              </w:rPr>
              <w:t xml:space="preserve"> </w:t>
            </w:r>
            <w:r>
              <w:t>disponibilidad</w:t>
            </w:r>
            <w:r>
              <w:rPr>
                <w:spacing w:val="-10"/>
              </w:rPr>
              <w:t xml:space="preserve"> </w:t>
            </w:r>
            <w:r>
              <w:t>de</w:t>
            </w:r>
            <w:r>
              <w:rPr>
                <w:spacing w:val="-11"/>
              </w:rPr>
              <w:t xml:space="preserve"> </w:t>
            </w:r>
            <w:r>
              <w:t>meliponicultores con conocimiento especializado genera dependencia estructural.</w:t>
            </w:r>
          </w:p>
        </w:tc>
      </w:tr>
      <w:tr w:rsidR="009B4BB4">
        <w:trPr>
          <w:trHeight w:val="985"/>
        </w:trPr>
        <w:tc>
          <w:tcPr>
            <w:tcW w:w="2311" w:type="dxa"/>
          </w:tcPr>
          <w:p w:rsidR="009B4BB4" w:rsidRDefault="009B4BB4">
            <w:pPr>
              <w:pStyle w:val="TableParagraph"/>
              <w:spacing w:before="109"/>
              <w:rPr>
                <w:rFonts w:ascii="Arial"/>
                <w:i/>
              </w:rPr>
            </w:pPr>
          </w:p>
          <w:p w:rsidR="009B4BB4" w:rsidRDefault="00C44001">
            <w:pPr>
              <w:pStyle w:val="TableParagraph"/>
              <w:spacing w:before="1"/>
            </w:pPr>
            <w:r>
              <w:t>Nuevos</w:t>
            </w:r>
            <w:r>
              <w:rPr>
                <w:spacing w:val="-6"/>
              </w:rPr>
              <w:t xml:space="preserve"> </w:t>
            </w:r>
            <w:r>
              <w:rPr>
                <w:spacing w:val="-2"/>
              </w:rPr>
              <w:t>Entrantes</w:t>
            </w:r>
          </w:p>
        </w:tc>
        <w:tc>
          <w:tcPr>
            <w:tcW w:w="1834" w:type="dxa"/>
          </w:tcPr>
          <w:p w:rsidR="009B4BB4" w:rsidRDefault="009B4BB4">
            <w:pPr>
              <w:pStyle w:val="TableParagraph"/>
              <w:spacing w:before="109"/>
              <w:rPr>
                <w:rFonts w:ascii="Arial"/>
                <w:i/>
              </w:rPr>
            </w:pPr>
          </w:p>
          <w:p w:rsidR="009B4BB4" w:rsidRDefault="00C44001">
            <w:pPr>
              <w:pStyle w:val="TableParagraph"/>
              <w:spacing w:before="1"/>
              <w:ind w:left="837"/>
            </w:pPr>
            <w:r>
              <w:rPr>
                <w:spacing w:val="-4"/>
              </w:rPr>
              <w:t>Bajo</w:t>
            </w:r>
          </w:p>
        </w:tc>
        <w:tc>
          <w:tcPr>
            <w:tcW w:w="5056" w:type="dxa"/>
          </w:tcPr>
          <w:p w:rsidR="009B4BB4" w:rsidRDefault="00C44001">
            <w:pPr>
              <w:pStyle w:val="TableParagraph"/>
              <w:spacing w:before="236"/>
              <w:ind w:left="280" w:right="76"/>
            </w:pPr>
            <w:r>
              <w:t>Complejidad</w:t>
            </w:r>
            <w:r>
              <w:rPr>
                <w:spacing w:val="-8"/>
              </w:rPr>
              <w:t xml:space="preserve"> </w:t>
            </w:r>
            <w:r>
              <w:t>técnica</w:t>
            </w:r>
            <w:r>
              <w:rPr>
                <w:spacing w:val="-8"/>
              </w:rPr>
              <w:t xml:space="preserve"> </w:t>
            </w:r>
            <w:r>
              <w:t>y</w:t>
            </w:r>
            <w:r>
              <w:rPr>
                <w:spacing w:val="-8"/>
              </w:rPr>
              <w:t xml:space="preserve"> </w:t>
            </w:r>
            <w:r>
              <w:t>cultural</w:t>
            </w:r>
            <w:r>
              <w:rPr>
                <w:spacing w:val="-8"/>
              </w:rPr>
              <w:t xml:space="preserve"> </w:t>
            </w:r>
            <w:r>
              <w:t>de</w:t>
            </w:r>
            <w:r>
              <w:rPr>
                <w:spacing w:val="-8"/>
              </w:rPr>
              <w:t xml:space="preserve"> </w:t>
            </w:r>
            <w:r>
              <w:t xml:space="preserve">la </w:t>
            </w:r>
            <w:r>
              <w:rPr>
                <w:spacing w:val="-2"/>
              </w:rPr>
              <w:t>meliponicultura.</w:t>
            </w:r>
          </w:p>
        </w:tc>
      </w:tr>
      <w:tr w:rsidR="009B4BB4">
        <w:trPr>
          <w:trHeight w:val="985"/>
        </w:trPr>
        <w:tc>
          <w:tcPr>
            <w:tcW w:w="2311" w:type="dxa"/>
          </w:tcPr>
          <w:p w:rsidR="009B4BB4" w:rsidRDefault="009B4BB4">
            <w:pPr>
              <w:pStyle w:val="TableParagraph"/>
              <w:spacing w:before="109"/>
              <w:rPr>
                <w:rFonts w:ascii="Arial"/>
                <w:i/>
              </w:rPr>
            </w:pPr>
          </w:p>
          <w:p w:rsidR="009B4BB4" w:rsidRDefault="00C44001">
            <w:pPr>
              <w:pStyle w:val="TableParagraph"/>
              <w:spacing w:before="1"/>
            </w:pPr>
            <w:r>
              <w:rPr>
                <w:spacing w:val="-2"/>
              </w:rPr>
              <w:t>Sustituto</w:t>
            </w:r>
          </w:p>
        </w:tc>
        <w:tc>
          <w:tcPr>
            <w:tcW w:w="1834" w:type="dxa"/>
          </w:tcPr>
          <w:p w:rsidR="009B4BB4" w:rsidRDefault="009B4BB4">
            <w:pPr>
              <w:pStyle w:val="TableParagraph"/>
              <w:spacing w:before="109"/>
              <w:rPr>
                <w:rFonts w:ascii="Arial"/>
                <w:i/>
              </w:rPr>
            </w:pPr>
          </w:p>
          <w:p w:rsidR="009B4BB4" w:rsidRDefault="00C44001">
            <w:pPr>
              <w:pStyle w:val="TableParagraph"/>
              <w:spacing w:before="1"/>
              <w:ind w:left="837"/>
            </w:pPr>
            <w:r>
              <w:rPr>
                <w:spacing w:val="-4"/>
              </w:rPr>
              <w:t>Bajo</w:t>
            </w:r>
          </w:p>
        </w:tc>
        <w:tc>
          <w:tcPr>
            <w:tcW w:w="5056" w:type="dxa"/>
          </w:tcPr>
          <w:p w:rsidR="009B4BB4" w:rsidRDefault="00C44001">
            <w:pPr>
              <w:pStyle w:val="TableParagraph"/>
              <w:spacing w:before="236"/>
              <w:ind w:left="280" w:right="76"/>
            </w:pPr>
            <w:r>
              <w:t>No existe un producto con la misma composición</w:t>
            </w:r>
            <w:r>
              <w:rPr>
                <w:spacing w:val="-11"/>
              </w:rPr>
              <w:t xml:space="preserve"> </w:t>
            </w:r>
            <w:r>
              <w:t>bioactiva</w:t>
            </w:r>
            <w:r>
              <w:rPr>
                <w:spacing w:val="-11"/>
              </w:rPr>
              <w:t xml:space="preserve"> </w:t>
            </w:r>
            <w:r>
              <w:t>ni</w:t>
            </w:r>
            <w:r>
              <w:rPr>
                <w:spacing w:val="-11"/>
              </w:rPr>
              <w:t xml:space="preserve"> </w:t>
            </w:r>
            <w:r>
              <w:t>simbología</w:t>
            </w:r>
            <w:r>
              <w:rPr>
                <w:spacing w:val="-11"/>
              </w:rPr>
              <w:t xml:space="preserve"> </w:t>
            </w:r>
            <w:r>
              <w:t>cultural.</w:t>
            </w:r>
          </w:p>
        </w:tc>
      </w:tr>
      <w:tr w:rsidR="009B4BB4">
        <w:trPr>
          <w:trHeight w:val="964"/>
        </w:trPr>
        <w:tc>
          <w:tcPr>
            <w:tcW w:w="2311" w:type="dxa"/>
            <w:tcBorders>
              <w:bottom w:val="single" w:sz="8" w:space="0" w:color="000000"/>
            </w:tcBorders>
          </w:tcPr>
          <w:p w:rsidR="009B4BB4" w:rsidRDefault="009B4BB4">
            <w:pPr>
              <w:pStyle w:val="TableParagraph"/>
              <w:spacing w:before="109"/>
              <w:rPr>
                <w:rFonts w:ascii="Arial"/>
                <w:i/>
              </w:rPr>
            </w:pPr>
          </w:p>
          <w:p w:rsidR="009B4BB4" w:rsidRDefault="00C44001">
            <w:pPr>
              <w:pStyle w:val="TableParagraph"/>
              <w:spacing w:before="1"/>
            </w:pPr>
            <w:r>
              <w:rPr>
                <w:spacing w:val="-2"/>
              </w:rPr>
              <w:t>Rivalidad</w:t>
            </w:r>
          </w:p>
        </w:tc>
        <w:tc>
          <w:tcPr>
            <w:tcW w:w="1834" w:type="dxa"/>
            <w:tcBorders>
              <w:bottom w:val="single" w:sz="8" w:space="0" w:color="000000"/>
            </w:tcBorders>
          </w:tcPr>
          <w:p w:rsidR="009B4BB4" w:rsidRDefault="009B4BB4">
            <w:pPr>
              <w:pStyle w:val="TableParagraph"/>
              <w:spacing w:before="109"/>
              <w:rPr>
                <w:rFonts w:ascii="Arial"/>
                <w:i/>
              </w:rPr>
            </w:pPr>
          </w:p>
          <w:p w:rsidR="009B4BB4" w:rsidRDefault="00C44001">
            <w:pPr>
              <w:pStyle w:val="TableParagraph"/>
              <w:spacing w:before="1"/>
              <w:ind w:right="279"/>
              <w:jc w:val="right"/>
            </w:pPr>
            <w:r>
              <w:rPr>
                <w:spacing w:val="-2"/>
              </w:rPr>
              <w:t>Moderada</w:t>
            </w:r>
          </w:p>
        </w:tc>
        <w:tc>
          <w:tcPr>
            <w:tcW w:w="5056" w:type="dxa"/>
            <w:tcBorders>
              <w:bottom w:val="single" w:sz="8" w:space="0" w:color="000000"/>
            </w:tcBorders>
          </w:tcPr>
          <w:p w:rsidR="009B4BB4" w:rsidRDefault="00C44001">
            <w:pPr>
              <w:pStyle w:val="TableParagraph"/>
              <w:spacing w:before="236"/>
              <w:ind w:left="280" w:right="76"/>
            </w:pPr>
            <w:r>
              <w:t>Marcas artesanales pero con poca estandarización</w:t>
            </w:r>
            <w:r>
              <w:rPr>
                <w:spacing w:val="-10"/>
              </w:rPr>
              <w:t xml:space="preserve"> </w:t>
            </w:r>
            <w:r>
              <w:t>y</w:t>
            </w:r>
            <w:r>
              <w:rPr>
                <w:spacing w:val="-10"/>
              </w:rPr>
              <w:t xml:space="preserve"> </w:t>
            </w:r>
            <w:r>
              <w:t>escasa</w:t>
            </w:r>
            <w:r>
              <w:rPr>
                <w:spacing w:val="-10"/>
              </w:rPr>
              <w:t xml:space="preserve"> </w:t>
            </w:r>
            <w:r>
              <w:t>narrativa</w:t>
            </w:r>
            <w:r>
              <w:rPr>
                <w:spacing w:val="-10"/>
              </w:rPr>
              <w:t xml:space="preserve"> </w:t>
            </w:r>
            <w:r>
              <w:t>cultural.</w:t>
            </w:r>
          </w:p>
        </w:tc>
      </w:tr>
    </w:tbl>
    <w:p w:rsidR="009B4BB4" w:rsidRDefault="009B4BB4">
      <w:pPr>
        <w:pStyle w:val="TableParagraph"/>
        <w:sectPr w:rsidR="009B4BB4">
          <w:pgSz w:w="11920" w:h="16840"/>
          <w:pgMar w:top="1500" w:right="850" w:bottom="1940" w:left="1275" w:header="0" w:footer="1747" w:gutter="0"/>
          <w:cols w:space="720"/>
        </w:sectPr>
      </w:pPr>
    </w:p>
    <w:p w:rsidR="009B4BB4" w:rsidRDefault="00C44001">
      <w:pPr>
        <w:pStyle w:val="Textoindependiente"/>
        <w:spacing w:before="79" w:line="480" w:lineRule="auto"/>
        <w:ind w:left="425" w:right="614"/>
        <w:jc w:val="both"/>
      </w:pPr>
      <w:r>
        <w:rPr>
          <w:rFonts w:ascii="Arial" w:hAnsi="Arial"/>
          <w:i/>
        </w:rPr>
        <w:lastRenderedPageBreak/>
        <w:t xml:space="preserve">Nota. </w:t>
      </w:r>
      <w:r>
        <w:t>La tabla analiza la estructura</w:t>
      </w:r>
      <w:r>
        <w:rPr>
          <w:spacing w:val="-3"/>
        </w:rPr>
        <w:t xml:space="preserve"> </w:t>
      </w:r>
      <w:r>
        <w:t>competitiva</w:t>
      </w:r>
      <w:r>
        <w:rPr>
          <w:spacing w:val="-3"/>
        </w:rPr>
        <w:t xml:space="preserve"> </w:t>
      </w:r>
      <w:r>
        <w:t>del</w:t>
      </w:r>
      <w:r>
        <w:rPr>
          <w:spacing w:val="-3"/>
        </w:rPr>
        <w:t xml:space="preserve"> </w:t>
      </w:r>
      <w:r>
        <w:t>sector</w:t>
      </w:r>
      <w:r>
        <w:rPr>
          <w:spacing w:val="-3"/>
        </w:rPr>
        <w:t xml:space="preserve"> </w:t>
      </w:r>
      <w:r>
        <w:t>mediante</w:t>
      </w:r>
      <w:r>
        <w:rPr>
          <w:spacing w:val="-3"/>
        </w:rPr>
        <w:t xml:space="preserve"> </w:t>
      </w:r>
      <w:r>
        <w:t>las</w:t>
      </w:r>
      <w:r>
        <w:rPr>
          <w:spacing w:val="-3"/>
        </w:rPr>
        <w:t xml:space="preserve"> </w:t>
      </w:r>
      <w:r>
        <w:t>Cinco</w:t>
      </w:r>
      <w:r>
        <w:rPr>
          <w:spacing w:val="-3"/>
        </w:rPr>
        <w:t xml:space="preserve"> </w:t>
      </w:r>
      <w:r>
        <w:t>Fuerzas</w:t>
      </w:r>
      <w:r>
        <w:rPr>
          <w:spacing w:val="-3"/>
        </w:rPr>
        <w:t xml:space="preserve"> </w:t>
      </w:r>
      <w:r>
        <w:t>de Porter (2008), destacando alta dependencia de</w:t>
      </w:r>
      <w:r>
        <w:rPr>
          <w:spacing w:val="-4"/>
        </w:rPr>
        <w:t xml:space="preserve"> </w:t>
      </w:r>
      <w:r>
        <w:t>proveedores,</w:t>
      </w:r>
      <w:r>
        <w:rPr>
          <w:spacing w:val="-4"/>
        </w:rPr>
        <w:t xml:space="preserve"> </w:t>
      </w:r>
      <w:r>
        <w:t>baja</w:t>
      </w:r>
      <w:r>
        <w:rPr>
          <w:spacing w:val="-4"/>
        </w:rPr>
        <w:t xml:space="preserve"> </w:t>
      </w:r>
      <w:r>
        <w:t>amenaza</w:t>
      </w:r>
      <w:r>
        <w:rPr>
          <w:spacing w:val="-4"/>
        </w:rPr>
        <w:t xml:space="preserve"> </w:t>
      </w:r>
      <w:r>
        <w:t>de</w:t>
      </w:r>
      <w:r>
        <w:rPr>
          <w:spacing w:val="-4"/>
        </w:rPr>
        <w:t xml:space="preserve"> </w:t>
      </w:r>
      <w:r>
        <w:t>sustitutos y una estrategia basada en diferenciación. Elaboración propia (2025).</w:t>
      </w:r>
    </w:p>
    <w:p w:rsidR="009B4BB4" w:rsidRDefault="00C44001">
      <w:pPr>
        <w:pStyle w:val="Textoindependiente"/>
        <w:spacing w:line="360" w:lineRule="auto"/>
        <w:ind w:left="425" w:right="616" w:firstLine="720"/>
        <w:jc w:val="both"/>
      </w:pPr>
      <w:r>
        <w:t>Las Cinco Fuerzas permiten anticipar las dinámicas competitivas y sostener una estrategia de dife</w:t>
      </w:r>
      <w:r>
        <w:t xml:space="preserve">renciación basada en precio </w:t>
      </w:r>
      <w:r>
        <w:rPr>
          <w:rFonts w:ascii="Arial" w:hAnsi="Arial"/>
          <w:i/>
        </w:rPr>
        <w:t>premium</w:t>
      </w:r>
      <w:r>
        <w:t>.</w:t>
      </w:r>
    </w:p>
    <w:p w:rsidR="009B4BB4" w:rsidRDefault="00C44001">
      <w:pPr>
        <w:pStyle w:val="Ttulo1"/>
        <w:spacing w:before="240"/>
        <w:jc w:val="both"/>
      </w:pPr>
      <w:r>
        <w:t>Análisis</w:t>
      </w:r>
      <w:r>
        <w:rPr>
          <w:spacing w:val="-8"/>
        </w:rPr>
        <w:t xml:space="preserve"> </w:t>
      </w:r>
      <w:r>
        <w:rPr>
          <w:spacing w:val="-4"/>
        </w:rPr>
        <w:t>VRIO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13" w:firstLine="720"/>
        <w:jc w:val="both"/>
      </w:pPr>
      <w:r>
        <w:t>El análisis VRIO</w:t>
      </w:r>
      <w:r>
        <w:rPr>
          <w:spacing w:val="-5"/>
        </w:rPr>
        <w:t xml:space="preserve"> </w:t>
      </w:r>
      <w:r>
        <w:t>evalúa</w:t>
      </w:r>
      <w:r>
        <w:rPr>
          <w:spacing w:val="-5"/>
        </w:rPr>
        <w:t xml:space="preserve"> </w:t>
      </w:r>
      <w:r>
        <w:t>los</w:t>
      </w:r>
      <w:r>
        <w:rPr>
          <w:spacing w:val="-5"/>
        </w:rPr>
        <w:t xml:space="preserve"> </w:t>
      </w:r>
      <w:r>
        <w:t>recursos</w:t>
      </w:r>
      <w:r>
        <w:rPr>
          <w:spacing w:val="-5"/>
        </w:rPr>
        <w:t xml:space="preserve"> </w:t>
      </w:r>
      <w:r>
        <w:t>de</w:t>
      </w:r>
      <w:r>
        <w:rPr>
          <w:spacing w:val="-5"/>
        </w:rPr>
        <w:t xml:space="preserve"> </w:t>
      </w:r>
      <w:r>
        <w:t>una</w:t>
      </w:r>
      <w:r>
        <w:rPr>
          <w:spacing w:val="-5"/>
        </w:rPr>
        <w:t xml:space="preserve"> </w:t>
      </w:r>
      <w:r>
        <w:t>empresa</w:t>
      </w:r>
      <w:r>
        <w:rPr>
          <w:spacing w:val="-5"/>
        </w:rPr>
        <w:t xml:space="preserve"> </w:t>
      </w:r>
      <w:r>
        <w:t>según</w:t>
      </w:r>
      <w:r>
        <w:rPr>
          <w:spacing w:val="-5"/>
        </w:rPr>
        <w:t xml:space="preserve"> </w:t>
      </w:r>
      <w:r>
        <w:t>cuatro</w:t>
      </w:r>
      <w:r>
        <w:rPr>
          <w:spacing w:val="-5"/>
        </w:rPr>
        <w:t xml:space="preserve"> </w:t>
      </w:r>
      <w:r>
        <w:t>criterios:</w:t>
      </w:r>
      <w:r>
        <w:rPr>
          <w:spacing w:val="-5"/>
        </w:rPr>
        <w:t xml:space="preserve"> </w:t>
      </w:r>
      <w:r>
        <w:t>valor, rareza, inimitabilidad y organización (Barney, 1991; Barney &amp; Hesterly, 2015).</w:t>
      </w:r>
    </w:p>
    <w:p w:rsidR="009B4BB4" w:rsidRDefault="00C44001">
      <w:pPr>
        <w:pStyle w:val="Textoindependiente"/>
        <w:ind w:left="210" w:right="501"/>
        <w:jc w:val="center"/>
      </w:pPr>
      <w:r>
        <w:t>En</w:t>
      </w:r>
      <w:r>
        <w:rPr>
          <w:spacing w:val="-7"/>
        </w:rPr>
        <w:t xml:space="preserve"> </w:t>
      </w:r>
      <w:r>
        <w:t>el</w:t>
      </w:r>
      <w:r>
        <w:rPr>
          <w:spacing w:val="-5"/>
        </w:rPr>
        <w:t xml:space="preserve"> </w:t>
      </w:r>
      <w:r>
        <w:t>caso</w:t>
      </w:r>
      <w:r>
        <w:rPr>
          <w:spacing w:val="-5"/>
        </w:rPr>
        <w:t xml:space="preserve"> </w:t>
      </w:r>
      <w:r>
        <w:t>de</w:t>
      </w:r>
      <w:r>
        <w:rPr>
          <w:spacing w:val="-5"/>
        </w:rPr>
        <w:t xml:space="preserve"> </w:t>
      </w:r>
      <w:r>
        <w:t>Guardiana,</w:t>
      </w:r>
      <w:r>
        <w:rPr>
          <w:spacing w:val="-5"/>
        </w:rPr>
        <w:t xml:space="preserve"> </w:t>
      </w:r>
      <w:r>
        <w:t>varios</w:t>
      </w:r>
      <w:r>
        <w:rPr>
          <w:spacing w:val="-5"/>
        </w:rPr>
        <w:t xml:space="preserve"> </w:t>
      </w:r>
      <w:r>
        <w:t>recursos</w:t>
      </w:r>
      <w:r>
        <w:rPr>
          <w:spacing w:val="-5"/>
        </w:rPr>
        <w:t xml:space="preserve"> </w:t>
      </w:r>
      <w:r>
        <w:t>cumplen</w:t>
      </w:r>
      <w:r>
        <w:rPr>
          <w:spacing w:val="-5"/>
        </w:rPr>
        <w:t xml:space="preserve"> </w:t>
      </w:r>
      <w:r>
        <w:t>con</w:t>
      </w:r>
      <w:r>
        <w:rPr>
          <w:spacing w:val="-5"/>
        </w:rPr>
        <w:t xml:space="preserve"> </w:t>
      </w:r>
      <w:r>
        <w:t>estas</w:t>
      </w:r>
      <w:r>
        <w:rPr>
          <w:spacing w:val="-4"/>
        </w:rPr>
        <w:t xml:space="preserve"> </w:t>
      </w:r>
      <w:r>
        <w:rPr>
          <w:spacing w:val="-2"/>
        </w:rPr>
        <w:t>condiciones:</w:t>
      </w:r>
    </w:p>
    <w:p w:rsidR="009B4BB4" w:rsidRDefault="009B4BB4">
      <w:pPr>
        <w:pStyle w:val="Textoindependiente"/>
        <w:spacing w:before="113"/>
      </w:pPr>
    </w:p>
    <w:p w:rsidR="009B4BB4" w:rsidRDefault="00C44001" w:rsidP="00C44001">
      <w:pPr>
        <w:pStyle w:val="Prrafodelista"/>
        <w:numPr>
          <w:ilvl w:val="0"/>
          <w:numId w:val="63"/>
        </w:numPr>
        <w:tabs>
          <w:tab w:val="left" w:pos="1145"/>
        </w:tabs>
        <w:spacing w:before="0" w:line="360" w:lineRule="auto"/>
        <w:ind w:right="603"/>
      </w:pPr>
      <w:r>
        <w:rPr>
          <w:rFonts w:ascii="Arial" w:hAnsi="Arial"/>
          <w:b/>
        </w:rPr>
        <w:t xml:space="preserve">Valiosos: </w:t>
      </w:r>
      <w:r>
        <w:t>Propiedades</w:t>
      </w:r>
      <w:r>
        <w:rPr>
          <w:spacing w:val="-6"/>
        </w:rPr>
        <w:t xml:space="preserve"> </w:t>
      </w:r>
      <w:r>
        <w:t>funcionales</w:t>
      </w:r>
      <w:r>
        <w:rPr>
          <w:spacing w:val="-6"/>
        </w:rPr>
        <w:t xml:space="preserve"> </w:t>
      </w:r>
      <w:r>
        <w:t>diferenciadas</w:t>
      </w:r>
      <w:r>
        <w:rPr>
          <w:spacing w:val="-6"/>
        </w:rPr>
        <w:t xml:space="preserve"> </w:t>
      </w:r>
      <w:r>
        <w:t>y</w:t>
      </w:r>
      <w:r>
        <w:rPr>
          <w:spacing w:val="-6"/>
        </w:rPr>
        <w:t xml:space="preserve"> </w:t>
      </w:r>
      <w:r>
        <w:t>alto</w:t>
      </w:r>
      <w:r>
        <w:rPr>
          <w:spacing w:val="-6"/>
        </w:rPr>
        <w:t xml:space="preserve"> </w:t>
      </w:r>
      <w:r>
        <w:t>valor</w:t>
      </w:r>
      <w:r>
        <w:rPr>
          <w:spacing w:val="-6"/>
        </w:rPr>
        <w:t xml:space="preserve"> </w:t>
      </w:r>
      <w:r>
        <w:t>simbólico</w:t>
      </w:r>
      <w:r>
        <w:rPr>
          <w:spacing w:val="-6"/>
        </w:rPr>
        <w:t xml:space="preserve"> </w:t>
      </w:r>
      <w:r>
        <w:t>asociado</w:t>
      </w:r>
      <w:r>
        <w:rPr>
          <w:spacing w:val="-6"/>
        </w:rPr>
        <w:t xml:space="preserve"> </w:t>
      </w:r>
      <w:r>
        <w:t>a la herencia biocultural.</w:t>
      </w:r>
    </w:p>
    <w:p w:rsidR="009B4BB4" w:rsidRDefault="00C44001" w:rsidP="00C44001">
      <w:pPr>
        <w:pStyle w:val="Prrafodelista"/>
        <w:numPr>
          <w:ilvl w:val="0"/>
          <w:numId w:val="63"/>
        </w:numPr>
        <w:tabs>
          <w:tab w:val="left" w:pos="1145"/>
        </w:tabs>
        <w:spacing w:line="360" w:lineRule="auto"/>
        <w:ind w:right="614"/>
      </w:pPr>
      <w:r>
        <w:rPr>
          <w:rFonts w:ascii="Arial" w:hAnsi="Arial"/>
          <w:b/>
        </w:rPr>
        <w:t>Raros:</w:t>
      </w:r>
      <w:r>
        <w:rPr>
          <w:rFonts w:ascii="Arial" w:hAnsi="Arial"/>
          <w:b/>
          <w:spacing w:val="40"/>
        </w:rPr>
        <w:t xml:space="preserve"> </w:t>
      </w:r>
      <w:r>
        <w:t>Producción</w:t>
      </w:r>
      <w:r>
        <w:rPr>
          <w:spacing w:val="40"/>
        </w:rPr>
        <w:t xml:space="preserve"> </w:t>
      </w:r>
      <w:r>
        <w:t>limitada</w:t>
      </w:r>
      <w:r>
        <w:rPr>
          <w:spacing w:val="40"/>
        </w:rPr>
        <w:t xml:space="preserve"> </w:t>
      </w:r>
      <w:r>
        <w:t>a</w:t>
      </w:r>
      <w:r>
        <w:rPr>
          <w:spacing w:val="40"/>
        </w:rPr>
        <w:t xml:space="preserve"> </w:t>
      </w:r>
      <w:r>
        <w:t>regiones</w:t>
      </w:r>
      <w:r>
        <w:rPr>
          <w:spacing w:val="40"/>
        </w:rPr>
        <w:t xml:space="preserve"> </w:t>
      </w:r>
      <w:r>
        <w:t>mayas</w:t>
      </w:r>
      <w:r>
        <w:rPr>
          <w:spacing w:val="40"/>
        </w:rPr>
        <w:t xml:space="preserve"> </w:t>
      </w:r>
      <w:r>
        <w:t>y</w:t>
      </w:r>
      <w:r>
        <w:rPr>
          <w:spacing w:val="40"/>
        </w:rPr>
        <w:t xml:space="preserve"> </w:t>
      </w:r>
      <w:r>
        <w:t>en</w:t>
      </w:r>
      <w:r>
        <w:rPr>
          <w:spacing w:val="40"/>
        </w:rPr>
        <w:t xml:space="preserve"> </w:t>
      </w:r>
      <w:r>
        <w:t>volúmenes</w:t>
      </w:r>
      <w:r>
        <w:rPr>
          <w:spacing w:val="40"/>
        </w:rPr>
        <w:t xml:space="preserve"> </w:t>
      </w:r>
      <w:r>
        <w:t xml:space="preserve">naturalmente </w:t>
      </w:r>
      <w:r>
        <w:rPr>
          <w:spacing w:val="-2"/>
        </w:rPr>
        <w:t>restringidos.</w:t>
      </w:r>
    </w:p>
    <w:p w:rsidR="009B4BB4" w:rsidRDefault="00C44001" w:rsidP="00C44001">
      <w:pPr>
        <w:pStyle w:val="Prrafodelista"/>
        <w:numPr>
          <w:ilvl w:val="0"/>
          <w:numId w:val="63"/>
        </w:numPr>
        <w:tabs>
          <w:tab w:val="left" w:pos="1145"/>
        </w:tabs>
        <w:spacing w:line="360" w:lineRule="auto"/>
        <w:ind w:right="610"/>
      </w:pPr>
      <w:r>
        <w:rPr>
          <w:rFonts w:ascii="Arial" w:hAnsi="Arial"/>
          <w:b/>
        </w:rPr>
        <w:t xml:space="preserve">Inimitables: </w:t>
      </w:r>
      <w:r>
        <w:t>Conocimiento ancestral, complejidad</w:t>
      </w:r>
      <w:r>
        <w:rPr>
          <w:spacing w:val="-6"/>
        </w:rPr>
        <w:t xml:space="preserve"> </w:t>
      </w:r>
      <w:r>
        <w:t>social</w:t>
      </w:r>
      <w:r>
        <w:rPr>
          <w:spacing w:val="-6"/>
        </w:rPr>
        <w:t xml:space="preserve"> </w:t>
      </w:r>
      <w:r>
        <w:t>y</w:t>
      </w:r>
      <w:r>
        <w:rPr>
          <w:spacing w:val="-6"/>
        </w:rPr>
        <w:t xml:space="preserve"> </w:t>
      </w:r>
      <w:r>
        <w:t>condiciones</w:t>
      </w:r>
      <w:r>
        <w:rPr>
          <w:spacing w:val="-6"/>
        </w:rPr>
        <w:t xml:space="preserve"> </w:t>
      </w:r>
      <w:r>
        <w:t>ecológicas difíciles de replicar.</w:t>
      </w:r>
    </w:p>
    <w:p w:rsidR="009B4BB4" w:rsidRDefault="00C44001" w:rsidP="00C44001">
      <w:pPr>
        <w:pStyle w:val="Prrafodelista"/>
        <w:numPr>
          <w:ilvl w:val="0"/>
          <w:numId w:val="63"/>
        </w:numPr>
        <w:tabs>
          <w:tab w:val="left" w:pos="1145"/>
        </w:tabs>
        <w:spacing w:line="360" w:lineRule="auto"/>
        <w:ind w:right="607"/>
      </w:pPr>
      <w:r>
        <w:rPr>
          <w:rFonts w:ascii="Arial" w:hAnsi="Arial"/>
          <w:b/>
        </w:rPr>
        <w:t>Organizados:</w:t>
      </w:r>
      <w:r>
        <w:rPr>
          <w:rFonts w:ascii="Arial" w:hAnsi="Arial"/>
          <w:b/>
          <w:spacing w:val="80"/>
        </w:rPr>
        <w:t xml:space="preserve"> </w:t>
      </w:r>
      <w:r>
        <w:t>Alianzas</w:t>
      </w:r>
      <w:r>
        <w:rPr>
          <w:spacing w:val="80"/>
        </w:rPr>
        <w:t xml:space="preserve"> </w:t>
      </w:r>
      <w:r>
        <w:t>con</w:t>
      </w:r>
      <w:r>
        <w:rPr>
          <w:spacing w:val="80"/>
        </w:rPr>
        <w:t xml:space="preserve"> </w:t>
      </w:r>
      <w:r>
        <w:t>cooperativas</w:t>
      </w:r>
      <w:r>
        <w:rPr>
          <w:spacing w:val="80"/>
        </w:rPr>
        <w:t xml:space="preserve"> </w:t>
      </w:r>
      <w:r>
        <w:t>y</w:t>
      </w:r>
      <w:r>
        <w:rPr>
          <w:spacing w:val="80"/>
        </w:rPr>
        <w:t xml:space="preserve"> </w:t>
      </w:r>
      <w:r>
        <w:t>meliponicultores</w:t>
      </w:r>
      <w:r>
        <w:rPr>
          <w:spacing w:val="80"/>
        </w:rPr>
        <w:t xml:space="preserve"> </w:t>
      </w:r>
      <w:r>
        <w:t>que</w:t>
      </w:r>
      <w:r>
        <w:rPr>
          <w:spacing w:val="80"/>
        </w:rPr>
        <w:t xml:space="preserve"> </w:t>
      </w:r>
      <w:r>
        <w:t>permiten</w:t>
      </w:r>
      <w:r>
        <w:rPr>
          <w:spacing w:val="40"/>
        </w:rPr>
        <w:t xml:space="preserve"> </w:t>
      </w:r>
      <w:r>
        <w:t>capturar, proteger y escalar el valor generado.</w:t>
      </w:r>
    </w:p>
    <w:p w:rsidR="009B4BB4" w:rsidRDefault="00C44001">
      <w:pPr>
        <w:pStyle w:val="Textoindependiente"/>
        <w:spacing w:line="360" w:lineRule="auto"/>
        <w:ind w:left="425" w:right="607" w:firstLine="720"/>
        <w:jc w:val="both"/>
      </w:pPr>
      <w:r>
        <w:t>Bajo este marco, se evidencia que Guardiana no</w:t>
      </w:r>
      <w:r>
        <w:t xml:space="preserve"> compite por costo, sino por escasez legítima, autenticidad cultural y una diferenciación estructural.</w:t>
      </w:r>
    </w:p>
    <w:p w:rsidR="009B4BB4" w:rsidRDefault="00C44001">
      <w:pPr>
        <w:pStyle w:val="Ttulo1"/>
        <w:spacing w:before="240"/>
        <w:jc w:val="both"/>
      </w:pPr>
      <w:r>
        <w:t>Cadena</w:t>
      </w:r>
      <w:r>
        <w:rPr>
          <w:spacing w:val="-4"/>
        </w:rPr>
        <w:t xml:space="preserve"> </w:t>
      </w:r>
      <w:r>
        <w:t>de</w:t>
      </w:r>
      <w:r>
        <w:rPr>
          <w:spacing w:val="-4"/>
        </w:rPr>
        <w:t xml:space="preserve"> Valor</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8" w:firstLine="720"/>
        <w:jc w:val="both"/>
      </w:pPr>
      <w:r>
        <w:t>Según Porter (1985), la ventaja competitiva se construye a partir de las actividades que agregan valor al producto final. La cadena de valor permite identificar puntos clave de diferenciación, innovación e integración.</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ind w:left="1145"/>
      </w:pPr>
      <w:r>
        <w:t>En</w:t>
      </w:r>
      <w:r>
        <w:rPr>
          <w:spacing w:val="-8"/>
        </w:rPr>
        <w:t xml:space="preserve"> </w:t>
      </w:r>
      <w:r>
        <w:t>el</w:t>
      </w:r>
      <w:r>
        <w:rPr>
          <w:spacing w:val="-5"/>
        </w:rPr>
        <w:t xml:space="preserve"> </w:t>
      </w:r>
      <w:r>
        <w:t>caso</w:t>
      </w:r>
      <w:r>
        <w:rPr>
          <w:spacing w:val="-5"/>
        </w:rPr>
        <w:t xml:space="preserve"> </w:t>
      </w:r>
      <w:r>
        <w:t>de</w:t>
      </w:r>
      <w:r>
        <w:rPr>
          <w:spacing w:val="-5"/>
        </w:rPr>
        <w:t xml:space="preserve"> </w:t>
      </w:r>
      <w:r>
        <w:t>Guardiana,</w:t>
      </w:r>
      <w:r>
        <w:rPr>
          <w:spacing w:val="-5"/>
        </w:rPr>
        <w:t xml:space="preserve"> </w:t>
      </w:r>
      <w:r>
        <w:t>estas</w:t>
      </w:r>
      <w:r>
        <w:rPr>
          <w:spacing w:val="-5"/>
        </w:rPr>
        <w:t xml:space="preserve"> </w:t>
      </w:r>
      <w:r>
        <w:t>actividades</w:t>
      </w:r>
      <w:r>
        <w:rPr>
          <w:spacing w:val="-6"/>
        </w:rPr>
        <w:t xml:space="preserve"> </w:t>
      </w:r>
      <w:r>
        <w:t>se</w:t>
      </w:r>
      <w:r>
        <w:rPr>
          <w:spacing w:val="-5"/>
        </w:rPr>
        <w:t xml:space="preserve"> </w:t>
      </w:r>
      <w:r>
        <w:t>identifican</w:t>
      </w:r>
      <w:r>
        <w:rPr>
          <w:spacing w:val="-5"/>
        </w:rPr>
        <w:t xml:space="preserve"> </w:t>
      </w:r>
      <w:r>
        <w:t>de</w:t>
      </w:r>
      <w:r>
        <w:rPr>
          <w:spacing w:val="-5"/>
        </w:rPr>
        <w:t xml:space="preserve"> </w:t>
      </w:r>
      <w:r>
        <w:t>la</w:t>
      </w:r>
      <w:r>
        <w:rPr>
          <w:spacing w:val="-5"/>
        </w:rPr>
        <w:t xml:space="preserve"> </w:t>
      </w:r>
      <w:r>
        <w:t>siguiente</w:t>
      </w:r>
      <w:r>
        <w:rPr>
          <w:spacing w:val="-5"/>
        </w:rPr>
        <w:t xml:space="preserve"> </w:t>
      </w:r>
      <w:r>
        <w:rPr>
          <w:spacing w:val="-2"/>
        </w:rPr>
        <w:t>manera:</w:t>
      </w:r>
    </w:p>
    <w:p w:rsidR="009B4BB4" w:rsidRDefault="009B4BB4">
      <w:pPr>
        <w:pStyle w:val="Textoindependiente"/>
        <w:spacing w:before="113"/>
      </w:pPr>
    </w:p>
    <w:p w:rsidR="009B4BB4" w:rsidRDefault="00C44001">
      <w:pPr>
        <w:pStyle w:val="Ttulo1"/>
        <w:ind w:left="425"/>
      </w:pPr>
      <w:r>
        <w:t>Actividades</w:t>
      </w:r>
      <w:r>
        <w:rPr>
          <w:spacing w:val="-11"/>
        </w:rPr>
        <w:t xml:space="preserve"> </w:t>
      </w:r>
      <w:r>
        <w:rPr>
          <w:spacing w:val="-2"/>
        </w:rPr>
        <w:t>primarias:</w:t>
      </w:r>
    </w:p>
    <w:p w:rsidR="009B4BB4" w:rsidRDefault="00C44001" w:rsidP="00C44001">
      <w:pPr>
        <w:pStyle w:val="Prrafodelista"/>
        <w:numPr>
          <w:ilvl w:val="0"/>
          <w:numId w:val="63"/>
        </w:numPr>
        <w:tabs>
          <w:tab w:val="left" w:pos="1145"/>
        </w:tabs>
        <w:spacing w:before="127"/>
      </w:pPr>
      <w:r>
        <w:t>Selección</w:t>
      </w:r>
      <w:r>
        <w:rPr>
          <w:spacing w:val="-6"/>
        </w:rPr>
        <w:t xml:space="preserve"> </w:t>
      </w:r>
      <w:r>
        <w:t>y</w:t>
      </w:r>
      <w:r>
        <w:rPr>
          <w:spacing w:val="-6"/>
        </w:rPr>
        <w:t xml:space="preserve"> </w:t>
      </w:r>
      <w:r>
        <w:t>verificación</w:t>
      </w:r>
      <w:r>
        <w:rPr>
          <w:spacing w:val="-5"/>
        </w:rPr>
        <w:t xml:space="preserve"> </w:t>
      </w:r>
      <w:r>
        <w:t>de</w:t>
      </w:r>
      <w:r>
        <w:rPr>
          <w:spacing w:val="-6"/>
        </w:rPr>
        <w:t xml:space="preserve"> </w:t>
      </w:r>
      <w:r>
        <w:t>miel</w:t>
      </w:r>
      <w:r>
        <w:rPr>
          <w:spacing w:val="-5"/>
        </w:rPr>
        <w:t xml:space="preserve"> </w:t>
      </w:r>
      <w:r>
        <w:rPr>
          <w:spacing w:val="-2"/>
        </w:rPr>
        <w:t>auténtica.</w:t>
      </w:r>
    </w:p>
    <w:p w:rsidR="009B4BB4" w:rsidRDefault="00C44001" w:rsidP="00C44001">
      <w:pPr>
        <w:pStyle w:val="Prrafodelista"/>
        <w:numPr>
          <w:ilvl w:val="0"/>
          <w:numId w:val="63"/>
        </w:numPr>
        <w:tabs>
          <w:tab w:val="left" w:pos="1145"/>
        </w:tabs>
        <w:spacing w:before="126"/>
      </w:pPr>
      <w:r>
        <w:t>Diseño</w:t>
      </w:r>
      <w:r>
        <w:rPr>
          <w:spacing w:val="-6"/>
        </w:rPr>
        <w:t xml:space="preserve"> </w:t>
      </w:r>
      <w:r>
        <w:t>de</w:t>
      </w:r>
      <w:r>
        <w:rPr>
          <w:spacing w:val="-5"/>
        </w:rPr>
        <w:t xml:space="preserve"> </w:t>
      </w:r>
      <w:r>
        <w:t>empaques</w:t>
      </w:r>
      <w:r>
        <w:rPr>
          <w:spacing w:val="-5"/>
        </w:rPr>
        <w:t xml:space="preserve"> </w:t>
      </w:r>
      <w:r>
        <w:rPr>
          <w:rFonts w:ascii="Arial" w:hAnsi="Arial"/>
          <w:i/>
          <w:spacing w:val="-2"/>
        </w:rPr>
        <w:t>premium</w:t>
      </w:r>
      <w:r>
        <w:rPr>
          <w:spacing w:val="-2"/>
        </w:rPr>
        <w:t>.</w:t>
      </w:r>
    </w:p>
    <w:p w:rsidR="009B4BB4" w:rsidRDefault="00C44001" w:rsidP="00C44001">
      <w:pPr>
        <w:pStyle w:val="Prrafodelista"/>
        <w:numPr>
          <w:ilvl w:val="0"/>
          <w:numId w:val="63"/>
        </w:numPr>
        <w:tabs>
          <w:tab w:val="left" w:pos="1145"/>
        </w:tabs>
        <w:spacing w:before="127"/>
      </w:pPr>
      <w:r>
        <w:t>Educación</w:t>
      </w:r>
      <w:r>
        <w:rPr>
          <w:spacing w:val="-6"/>
        </w:rPr>
        <w:t xml:space="preserve"> </w:t>
      </w:r>
      <w:r>
        <w:t>del</w:t>
      </w:r>
      <w:r>
        <w:rPr>
          <w:spacing w:val="-6"/>
        </w:rPr>
        <w:t xml:space="preserve"> </w:t>
      </w:r>
      <w:r>
        <w:rPr>
          <w:spacing w:val="-2"/>
        </w:rPr>
        <w:t>consumidor.</w:t>
      </w:r>
    </w:p>
    <w:p w:rsidR="009B4BB4" w:rsidRDefault="00C44001" w:rsidP="00C44001">
      <w:pPr>
        <w:pStyle w:val="Prrafodelista"/>
        <w:numPr>
          <w:ilvl w:val="0"/>
          <w:numId w:val="63"/>
        </w:numPr>
        <w:tabs>
          <w:tab w:val="left" w:pos="1145"/>
        </w:tabs>
        <w:spacing w:before="126"/>
      </w:pPr>
      <w:r>
        <w:t>Storytelling</w:t>
      </w:r>
      <w:r>
        <w:rPr>
          <w:spacing w:val="-12"/>
        </w:rPr>
        <w:t xml:space="preserve"> </w:t>
      </w:r>
      <w:r>
        <w:rPr>
          <w:spacing w:val="-2"/>
        </w:rPr>
        <w:t>biocultural.</w:t>
      </w:r>
    </w:p>
    <w:p w:rsidR="009B4BB4" w:rsidRDefault="00C44001" w:rsidP="00C44001">
      <w:pPr>
        <w:pStyle w:val="Prrafodelista"/>
        <w:numPr>
          <w:ilvl w:val="0"/>
          <w:numId w:val="63"/>
        </w:numPr>
        <w:tabs>
          <w:tab w:val="left" w:pos="1145"/>
        </w:tabs>
        <w:spacing w:before="127"/>
      </w:pPr>
      <w:r>
        <w:t>Distribución</w:t>
      </w:r>
      <w:r>
        <w:rPr>
          <w:spacing w:val="-8"/>
        </w:rPr>
        <w:t xml:space="preserve"> </w:t>
      </w:r>
      <w:r>
        <w:t>en</w:t>
      </w:r>
      <w:r>
        <w:rPr>
          <w:spacing w:val="-7"/>
        </w:rPr>
        <w:t xml:space="preserve"> </w:t>
      </w:r>
      <w:r>
        <w:t>entornos</w:t>
      </w:r>
      <w:r>
        <w:rPr>
          <w:spacing w:val="-7"/>
        </w:rPr>
        <w:t xml:space="preserve"> </w:t>
      </w:r>
      <w:r>
        <w:rPr>
          <w:spacing w:val="-2"/>
        </w:rPr>
        <w:t>turísticos.</w:t>
      </w:r>
    </w:p>
    <w:p w:rsidR="009B4BB4" w:rsidRDefault="00C44001" w:rsidP="00C44001">
      <w:pPr>
        <w:pStyle w:val="Prrafodelista"/>
        <w:numPr>
          <w:ilvl w:val="0"/>
          <w:numId w:val="63"/>
        </w:numPr>
        <w:tabs>
          <w:tab w:val="left" w:pos="1145"/>
        </w:tabs>
        <w:spacing w:before="126"/>
      </w:pPr>
      <w:r>
        <w:t>Servicios</w:t>
      </w:r>
      <w:r>
        <w:rPr>
          <w:spacing w:val="-9"/>
        </w:rPr>
        <w:t xml:space="preserve"> </w:t>
      </w:r>
      <w:r>
        <w:rPr>
          <w:spacing w:val="-2"/>
        </w:rPr>
        <w:t>postventa.</w:t>
      </w:r>
    </w:p>
    <w:p w:rsidR="009B4BB4" w:rsidRDefault="00C44001">
      <w:pPr>
        <w:pStyle w:val="Ttulo1"/>
        <w:spacing w:before="127"/>
        <w:ind w:left="425"/>
      </w:pPr>
      <w:r>
        <w:t>Actividades</w:t>
      </w:r>
      <w:r>
        <w:rPr>
          <w:spacing w:val="-7"/>
        </w:rPr>
        <w:t xml:space="preserve"> </w:t>
      </w:r>
      <w:r>
        <w:t>de</w:t>
      </w:r>
      <w:r>
        <w:rPr>
          <w:spacing w:val="-6"/>
        </w:rPr>
        <w:t xml:space="preserve"> </w:t>
      </w:r>
      <w:r>
        <w:rPr>
          <w:spacing w:val="-2"/>
        </w:rPr>
        <w:t>apoyo:</w:t>
      </w:r>
    </w:p>
    <w:p w:rsidR="009B4BB4" w:rsidRDefault="00C44001" w:rsidP="00C44001">
      <w:pPr>
        <w:pStyle w:val="Prrafodelista"/>
        <w:numPr>
          <w:ilvl w:val="0"/>
          <w:numId w:val="63"/>
        </w:numPr>
        <w:tabs>
          <w:tab w:val="left" w:pos="1145"/>
        </w:tabs>
        <w:spacing w:before="126"/>
      </w:pPr>
      <w:r>
        <w:t>Alianzas</w:t>
      </w:r>
      <w:r>
        <w:rPr>
          <w:spacing w:val="-6"/>
        </w:rPr>
        <w:t xml:space="preserve"> </w:t>
      </w:r>
      <w:r>
        <w:t>con</w:t>
      </w:r>
      <w:r>
        <w:rPr>
          <w:spacing w:val="-5"/>
        </w:rPr>
        <w:t xml:space="preserve"> </w:t>
      </w:r>
      <w:r>
        <w:rPr>
          <w:spacing w:val="-2"/>
        </w:rPr>
        <w:t>meliponicultores.</w:t>
      </w:r>
    </w:p>
    <w:p w:rsidR="009B4BB4" w:rsidRDefault="00C44001" w:rsidP="00C44001">
      <w:pPr>
        <w:pStyle w:val="Prrafodelista"/>
        <w:numPr>
          <w:ilvl w:val="0"/>
          <w:numId w:val="63"/>
        </w:numPr>
        <w:tabs>
          <w:tab w:val="left" w:pos="1145"/>
        </w:tabs>
        <w:spacing w:before="127"/>
      </w:pPr>
      <w:r>
        <w:t>Inversión</w:t>
      </w:r>
      <w:r>
        <w:rPr>
          <w:spacing w:val="-6"/>
        </w:rPr>
        <w:t xml:space="preserve"> </w:t>
      </w:r>
      <w:r>
        <w:t>en</w:t>
      </w:r>
      <w:r>
        <w:rPr>
          <w:spacing w:val="-5"/>
        </w:rPr>
        <w:t xml:space="preserve"> </w:t>
      </w:r>
      <w:r>
        <w:rPr>
          <w:spacing w:val="-2"/>
        </w:rPr>
        <w:t>trazabilidad.</w:t>
      </w:r>
    </w:p>
    <w:p w:rsidR="009B4BB4" w:rsidRDefault="00C44001" w:rsidP="00C44001">
      <w:pPr>
        <w:pStyle w:val="Prrafodelista"/>
        <w:numPr>
          <w:ilvl w:val="0"/>
          <w:numId w:val="63"/>
        </w:numPr>
        <w:tabs>
          <w:tab w:val="left" w:pos="1145"/>
        </w:tabs>
        <w:spacing w:before="126"/>
      </w:pPr>
      <w:r>
        <w:t>Desarrollo</w:t>
      </w:r>
      <w:r>
        <w:rPr>
          <w:spacing w:val="-10"/>
        </w:rPr>
        <w:t xml:space="preserve"> </w:t>
      </w:r>
      <w:r>
        <w:rPr>
          <w:spacing w:val="-2"/>
        </w:rPr>
        <w:t>tecnológico.</w:t>
      </w:r>
    </w:p>
    <w:p w:rsidR="009B4BB4" w:rsidRDefault="00C44001" w:rsidP="00C44001">
      <w:pPr>
        <w:pStyle w:val="Prrafodelista"/>
        <w:numPr>
          <w:ilvl w:val="0"/>
          <w:numId w:val="63"/>
        </w:numPr>
        <w:tabs>
          <w:tab w:val="left" w:pos="1145"/>
        </w:tabs>
        <w:spacing w:before="127"/>
      </w:pPr>
      <w:r>
        <w:rPr>
          <w:spacing w:val="-2"/>
        </w:rPr>
        <w:t>Certificaciones.</w:t>
      </w:r>
    </w:p>
    <w:p w:rsidR="009B4BB4" w:rsidRDefault="00C44001" w:rsidP="00C44001">
      <w:pPr>
        <w:pStyle w:val="Prrafodelista"/>
        <w:numPr>
          <w:ilvl w:val="0"/>
          <w:numId w:val="63"/>
        </w:numPr>
        <w:tabs>
          <w:tab w:val="left" w:pos="1145"/>
        </w:tabs>
        <w:spacing w:before="126"/>
      </w:pPr>
      <w:r>
        <w:t>Estrategias</w:t>
      </w:r>
      <w:r>
        <w:rPr>
          <w:spacing w:val="-6"/>
        </w:rPr>
        <w:t xml:space="preserve"> </w:t>
      </w:r>
      <w:r>
        <w:t>de</w:t>
      </w:r>
      <w:r>
        <w:rPr>
          <w:spacing w:val="-6"/>
        </w:rPr>
        <w:t xml:space="preserve"> </w:t>
      </w:r>
      <w:r>
        <w:t>marketing</w:t>
      </w:r>
      <w:r>
        <w:rPr>
          <w:spacing w:val="-5"/>
        </w:rPr>
        <w:t xml:space="preserve"> </w:t>
      </w:r>
      <w:r>
        <w:t>con</w:t>
      </w:r>
      <w:r>
        <w:rPr>
          <w:spacing w:val="-6"/>
        </w:rPr>
        <w:t xml:space="preserve"> </w:t>
      </w:r>
      <w:r>
        <w:t>enfoque</w:t>
      </w:r>
      <w:r>
        <w:rPr>
          <w:spacing w:val="-6"/>
        </w:rPr>
        <w:t xml:space="preserve"> </w:t>
      </w:r>
      <w:r>
        <w:t>de</w:t>
      </w:r>
      <w:r>
        <w:rPr>
          <w:spacing w:val="-5"/>
        </w:rPr>
        <w:t xml:space="preserve"> </w:t>
      </w:r>
      <w:r>
        <w:rPr>
          <w:spacing w:val="-2"/>
        </w:rPr>
        <w:t>impacto.</w:t>
      </w:r>
    </w:p>
    <w:p w:rsidR="009B4BB4" w:rsidRDefault="009B4BB4">
      <w:pPr>
        <w:pStyle w:val="Textoindependiente"/>
        <w:spacing w:before="113"/>
      </w:pPr>
    </w:p>
    <w:p w:rsidR="009B4BB4" w:rsidRDefault="00C44001">
      <w:pPr>
        <w:pStyle w:val="Textoindependiente"/>
        <w:spacing w:before="1" w:line="360" w:lineRule="auto"/>
        <w:ind w:left="425" w:right="602" w:firstLine="720"/>
        <w:jc w:val="both"/>
      </w:pPr>
      <w:r>
        <w:t>Este análisis evidencia los puntos en los que Guardiana puede ge</w:t>
      </w:r>
      <w:r>
        <w:t>nerar diferenciación sostenida, así como la forma en que integra impacto social y excelencia operativa dentro de su modelo de negocio.</w:t>
      </w:r>
    </w:p>
    <w:p w:rsidR="009B4BB4" w:rsidRDefault="00C44001" w:rsidP="00C44001">
      <w:pPr>
        <w:pStyle w:val="Ttulo2"/>
        <w:numPr>
          <w:ilvl w:val="2"/>
          <w:numId w:val="68"/>
        </w:numPr>
        <w:tabs>
          <w:tab w:val="left" w:pos="1465"/>
        </w:tabs>
        <w:ind w:left="1465" w:hanging="545"/>
        <w:jc w:val="left"/>
      </w:pPr>
      <w:bookmarkStart w:id="23" w:name="1.1.2_El_modelo_Business_Model_Canvas_"/>
      <w:bookmarkStart w:id="24" w:name="h.vkqz338oug37"/>
      <w:bookmarkEnd w:id="23"/>
      <w:bookmarkEnd w:id="24"/>
      <w:r>
        <w:t>El</w:t>
      </w:r>
      <w:r>
        <w:rPr>
          <w:spacing w:val="-6"/>
        </w:rPr>
        <w:t xml:space="preserve"> </w:t>
      </w:r>
      <w:r>
        <w:t>modelo</w:t>
      </w:r>
      <w:r>
        <w:rPr>
          <w:spacing w:val="-5"/>
        </w:rPr>
        <w:t xml:space="preserve"> </w:t>
      </w:r>
      <w:r>
        <w:t>Business</w:t>
      </w:r>
      <w:r>
        <w:rPr>
          <w:spacing w:val="-5"/>
        </w:rPr>
        <w:t xml:space="preserve"> </w:t>
      </w:r>
      <w:r>
        <w:t>Model</w:t>
      </w:r>
      <w:r>
        <w:rPr>
          <w:spacing w:val="-5"/>
        </w:rPr>
        <w:t xml:space="preserve"> </w:t>
      </w:r>
      <w:r>
        <w:rPr>
          <w:spacing w:val="-2"/>
        </w:rPr>
        <w:t>Canvas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7" w:firstLine="720"/>
        <w:jc w:val="both"/>
      </w:pPr>
      <w:r>
        <w:t>El Business Model Canvas, desarrollado por Osterwalder y Pigneur (2010), constituye una herramienta de gestión estratégica que permite describir, de manera integrada y sistémica, la lógica mediante la cual</w:t>
      </w:r>
      <w:r>
        <w:rPr>
          <w:spacing w:val="-4"/>
        </w:rPr>
        <w:t xml:space="preserve"> </w:t>
      </w:r>
      <w:r>
        <w:t>Guardiana</w:t>
      </w:r>
      <w:r>
        <w:rPr>
          <w:spacing w:val="-4"/>
        </w:rPr>
        <w:t xml:space="preserve"> </w:t>
      </w:r>
      <w:r>
        <w:t>crea,</w:t>
      </w:r>
      <w:r>
        <w:rPr>
          <w:spacing w:val="-4"/>
        </w:rPr>
        <w:t xml:space="preserve"> </w:t>
      </w:r>
      <w:r>
        <w:t>entrega</w:t>
      </w:r>
      <w:r>
        <w:rPr>
          <w:spacing w:val="-4"/>
        </w:rPr>
        <w:t xml:space="preserve"> </w:t>
      </w:r>
      <w:r>
        <w:t>y</w:t>
      </w:r>
      <w:r>
        <w:rPr>
          <w:spacing w:val="-4"/>
        </w:rPr>
        <w:t xml:space="preserve"> </w:t>
      </w:r>
      <w:r>
        <w:t>captura</w:t>
      </w:r>
      <w:r>
        <w:rPr>
          <w:spacing w:val="-4"/>
        </w:rPr>
        <w:t xml:space="preserve"> </w:t>
      </w:r>
      <w:r>
        <w:t xml:space="preserve">valor. A través </w:t>
      </w:r>
      <w:r>
        <w:t>de sus nueve bloques interconectados, este modelo facilita la visualización de las relaciones entre la propuesta de valor, los segmentos de clientes, los canales de distribución y la eficiencia operativa.</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05" w:firstLine="720"/>
        <w:jc w:val="both"/>
      </w:pPr>
      <w:r>
        <w:lastRenderedPageBreak/>
        <w:t>La implementación del modelo Canv</w:t>
      </w:r>
      <w:r>
        <w:t>as resulta clave para este proyecto por tres razones estratégicas:</w:t>
      </w:r>
    </w:p>
    <w:p w:rsidR="009B4BB4" w:rsidRDefault="00C44001" w:rsidP="00C44001">
      <w:pPr>
        <w:pStyle w:val="Prrafodelista"/>
        <w:numPr>
          <w:ilvl w:val="3"/>
          <w:numId w:val="68"/>
        </w:numPr>
        <w:tabs>
          <w:tab w:val="left" w:pos="1865"/>
        </w:tabs>
        <w:spacing w:before="0" w:line="360" w:lineRule="auto"/>
        <w:ind w:right="602" w:hanging="360"/>
        <w:jc w:val="both"/>
      </w:pPr>
      <w:r>
        <w:rPr>
          <w:rFonts w:ascii="Arial" w:hAnsi="Arial"/>
          <w:b/>
        </w:rPr>
        <w:t xml:space="preserve">Identificación de inconsistencias: </w:t>
      </w:r>
      <w:r>
        <w:t>Permite alinear la estructura de</w:t>
      </w:r>
      <w:r>
        <w:rPr>
          <w:spacing w:val="40"/>
        </w:rPr>
        <w:t xml:space="preserve"> </w:t>
      </w:r>
      <w:r>
        <w:t>costos con la exclusividad de la miel melipona, asegurando la viabilidad</w:t>
      </w:r>
      <w:r>
        <w:rPr>
          <w:spacing w:val="40"/>
        </w:rPr>
        <w:t xml:space="preserve"> </w:t>
      </w:r>
      <w:r>
        <w:t>del modelo asset-light.</w:t>
      </w:r>
    </w:p>
    <w:p w:rsidR="009B4BB4" w:rsidRDefault="00C44001" w:rsidP="00C44001">
      <w:pPr>
        <w:pStyle w:val="Prrafodelista"/>
        <w:numPr>
          <w:ilvl w:val="3"/>
          <w:numId w:val="68"/>
        </w:numPr>
        <w:tabs>
          <w:tab w:val="left" w:pos="1865"/>
        </w:tabs>
        <w:spacing w:before="0" w:line="360" w:lineRule="auto"/>
        <w:ind w:right="606" w:hanging="360"/>
        <w:jc w:val="both"/>
      </w:pPr>
      <w:r>
        <w:rPr>
          <w:rFonts w:ascii="Arial" w:hAnsi="Arial"/>
          <w:b/>
        </w:rPr>
        <w:t xml:space="preserve">Optimización de alianzas: </w:t>
      </w:r>
      <w:r>
        <w:t xml:space="preserve">Facilita la integración de los meliponicultores como socios clave dentro de una cadena de valor basada en comercio </w:t>
      </w:r>
      <w:r>
        <w:rPr>
          <w:spacing w:val="-2"/>
        </w:rPr>
        <w:t>justo.</w:t>
      </w:r>
    </w:p>
    <w:p w:rsidR="009B4BB4" w:rsidRDefault="00C44001" w:rsidP="00C44001">
      <w:pPr>
        <w:pStyle w:val="Prrafodelista"/>
        <w:numPr>
          <w:ilvl w:val="3"/>
          <w:numId w:val="68"/>
        </w:numPr>
        <w:tabs>
          <w:tab w:val="left" w:pos="1865"/>
        </w:tabs>
        <w:spacing w:before="0" w:line="360" w:lineRule="auto"/>
        <w:ind w:right="604" w:hanging="360"/>
        <w:jc w:val="both"/>
      </w:pPr>
      <w:r>
        <w:rPr>
          <w:rFonts w:ascii="Arial" w:hAnsi="Arial"/>
          <w:b/>
        </w:rPr>
        <w:t xml:space="preserve">Comunicación de impacto: </w:t>
      </w:r>
      <w:r>
        <w:t>Funciona como un instrumento de síntesis ejecutiva ante inversionistas y aliados in</w:t>
      </w:r>
      <w:r>
        <w:t>stitucionales, permitiendo comprender el</w:t>
      </w:r>
      <w:r>
        <w:rPr>
          <w:spacing w:val="-4"/>
        </w:rPr>
        <w:t xml:space="preserve"> </w:t>
      </w:r>
      <w:r>
        <w:t>flujo</w:t>
      </w:r>
      <w:r>
        <w:rPr>
          <w:spacing w:val="-4"/>
        </w:rPr>
        <w:t xml:space="preserve"> </w:t>
      </w:r>
      <w:r>
        <w:t>de</w:t>
      </w:r>
      <w:r>
        <w:rPr>
          <w:spacing w:val="-4"/>
        </w:rPr>
        <w:t xml:space="preserve"> </w:t>
      </w:r>
      <w:r>
        <w:t>beneficios</w:t>
      </w:r>
      <w:r>
        <w:rPr>
          <w:spacing w:val="-4"/>
        </w:rPr>
        <w:t xml:space="preserve"> </w:t>
      </w:r>
      <w:r>
        <w:t>sociales</w:t>
      </w:r>
      <w:r>
        <w:rPr>
          <w:spacing w:val="-4"/>
        </w:rPr>
        <w:t xml:space="preserve"> </w:t>
      </w:r>
      <w:r>
        <w:t>y</w:t>
      </w:r>
      <w:r>
        <w:rPr>
          <w:spacing w:val="-4"/>
        </w:rPr>
        <w:t xml:space="preserve"> </w:t>
      </w:r>
      <w:r>
        <w:t>económicos</w:t>
      </w:r>
      <w:r>
        <w:rPr>
          <w:spacing w:val="-4"/>
        </w:rPr>
        <w:t xml:space="preserve"> </w:t>
      </w:r>
      <w:r>
        <w:t>de</w:t>
      </w:r>
      <w:r>
        <w:rPr>
          <w:spacing w:val="-4"/>
        </w:rPr>
        <w:t xml:space="preserve"> </w:t>
      </w:r>
      <w:r>
        <w:t>manera</w:t>
      </w:r>
      <w:r>
        <w:rPr>
          <w:spacing w:val="-4"/>
        </w:rPr>
        <w:t xml:space="preserve"> </w:t>
      </w:r>
      <w:r>
        <w:t>clara</w:t>
      </w:r>
      <w:r>
        <w:rPr>
          <w:spacing w:val="-4"/>
        </w:rPr>
        <w:t xml:space="preserve"> </w:t>
      </w:r>
      <w:r>
        <w:t xml:space="preserve">y </w:t>
      </w:r>
      <w:r>
        <w:rPr>
          <w:spacing w:val="-2"/>
        </w:rPr>
        <w:t>estructurada.</w:t>
      </w:r>
    </w:p>
    <w:p w:rsidR="009B4BB4" w:rsidRDefault="00C44001">
      <w:pPr>
        <w:pStyle w:val="Ttulo1"/>
        <w:spacing w:before="240"/>
        <w:ind w:left="425"/>
      </w:pPr>
      <w:r>
        <w:t>Limitaciones</w:t>
      </w:r>
      <w:r>
        <w:rPr>
          <w:spacing w:val="-6"/>
        </w:rPr>
        <w:t xml:space="preserve"> </w:t>
      </w:r>
      <w:r>
        <w:t>del</w:t>
      </w:r>
      <w:r>
        <w:rPr>
          <w:spacing w:val="-6"/>
        </w:rPr>
        <w:t xml:space="preserve"> </w:t>
      </w:r>
      <w:r>
        <w:t>modelo</w:t>
      </w:r>
      <w:r>
        <w:rPr>
          <w:spacing w:val="-6"/>
        </w:rPr>
        <w:t xml:space="preserve"> </w:t>
      </w:r>
      <w:r>
        <w:t>Canvas</w:t>
      </w:r>
      <w:r>
        <w:rPr>
          <w:spacing w:val="-6"/>
        </w:rPr>
        <w:t xml:space="preserve"> </w:t>
      </w:r>
      <w:r>
        <w:t>en</w:t>
      </w:r>
      <w:r>
        <w:rPr>
          <w:spacing w:val="-5"/>
        </w:rPr>
        <w:t xml:space="preserve"> </w:t>
      </w:r>
      <w:r>
        <w:rPr>
          <w:spacing w:val="-2"/>
        </w:rPr>
        <w:t>Guardiana</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7" w:firstLine="720"/>
        <w:jc w:val="both"/>
      </w:pPr>
      <w:r>
        <w:t>Si bien el Business Model Canvas permite estructurar de</w:t>
      </w:r>
      <w:r>
        <w:rPr>
          <w:spacing w:val="-3"/>
        </w:rPr>
        <w:t xml:space="preserve"> </w:t>
      </w:r>
      <w:r>
        <w:t>forma</w:t>
      </w:r>
      <w:r>
        <w:rPr>
          <w:spacing w:val="-3"/>
        </w:rPr>
        <w:t xml:space="preserve"> </w:t>
      </w:r>
      <w:r>
        <w:t>clara</w:t>
      </w:r>
      <w:r>
        <w:rPr>
          <w:spacing w:val="-3"/>
        </w:rPr>
        <w:t xml:space="preserve"> </w:t>
      </w:r>
      <w:r>
        <w:t>la</w:t>
      </w:r>
      <w:r>
        <w:rPr>
          <w:spacing w:val="-3"/>
        </w:rPr>
        <w:t xml:space="preserve"> </w:t>
      </w:r>
      <w:r>
        <w:t>lógica</w:t>
      </w:r>
      <w:r>
        <w:rPr>
          <w:spacing w:val="-3"/>
        </w:rPr>
        <w:t xml:space="preserve"> </w:t>
      </w:r>
      <w:r>
        <w:t>del negocio, prese</w:t>
      </w:r>
      <w:r>
        <w:t>nta ciertas limitaciones al aplicarse a un proyecto como Guardiana. En particular, no refleja de manera explícita la restricción estructural del recurso, ya que la disponibilidad de miel melipona está determinada por factores biológicos y ecológicos</w:t>
      </w:r>
      <w:r>
        <w:rPr>
          <w:spacing w:val="40"/>
        </w:rPr>
        <w:t xml:space="preserve"> </w:t>
      </w:r>
      <w:r>
        <w:t>que no</w:t>
      </w:r>
      <w:r>
        <w:t xml:space="preserve"> pueden escalarse linealmente.</w:t>
      </w:r>
    </w:p>
    <w:p w:rsidR="009B4BB4" w:rsidRDefault="00C44001">
      <w:pPr>
        <w:pStyle w:val="Textoindependiente"/>
        <w:spacing w:line="360" w:lineRule="auto"/>
        <w:ind w:left="425" w:right="603" w:firstLine="720"/>
        <w:jc w:val="both"/>
      </w:pPr>
      <w:r>
        <w:t>Asimismo, el modelo no captura completamente</w:t>
      </w:r>
      <w:r>
        <w:rPr>
          <w:spacing w:val="-4"/>
        </w:rPr>
        <w:t xml:space="preserve"> </w:t>
      </w:r>
      <w:r>
        <w:t>la</w:t>
      </w:r>
      <w:r>
        <w:rPr>
          <w:spacing w:val="-4"/>
        </w:rPr>
        <w:t xml:space="preserve"> </w:t>
      </w:r>
      <w:r>
        <w:t>dependencia</w:t>
      </w:r>
      <w:r>
        <w:rPr>
          <w:spacing w:val="-4"/>
        </w:rPr>
        <w:t xml:space="preserve"> </w:t>
      </w:r>
      <w:r>
        <w:t>del</w:t>
      </w:r>
      <w:r>
        <w:rPr>
          <w:spacing w:val="-4"/>
        </w:rPr>
        <w:t xml:space="preserve"> </w:t>
      </w:r>
      <w:r>
        <w:t>suministro</w:t>
      </w:r>
      <w:r>
        <w:rPr>
          <w:spacing w:val="-4"/>
        </w:rPr>
        <w:t xml:space="preserve"> </w:t>
      </w:r>
      <w:r>
        <w:t>en comunidades específicas ni la complejidad de gestionar relaciones de largo plazo con productores. Tampoco incorpora de forma directa una lógica de crecimiento basada en valor por unidad, a diferencia de modelos tradicionales orientados al volumen.</w:t>
      </w:r>
    </w:p>
    <w:p w:rsidR="009B4BB4" w:rsidRDefault="00C44001">
      <w:pPr>
        <w:pStyle w:val="Textoindependiente"/>
        <w:spacing w:line="360" w:lineRule="auto"/>
        <w:ind w:left="425" w:right="613" w:firstLine="720"/>
        <w:jc w:val="both"/>
      </w:pPr>
      <w:r>
        <w:t>Por e</w:t>
      </w:r>
      <w:r>
        <w:t>llo, en el caso de Guardiana, el Canvas funciona como una herramienta de visualización inicial, pero requiere complementarse con un enfoque estratégico centrado en la escasez, la diferenciación y el control del suministro.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2"/>
          <w:numId w:val="68"/>
        </w:numPr>
        <w:tabs>
          <w:tab w:val="left" w:pos="970"/>
        </w:tabs>
        <w:spacing w:before="79"/>
        <w:ind w:left="970" w:hanging="545"/>
        <w:jc w:val="left"/>
      </w:pPr>
      <w:r>
        <w:lastRenderedPageBreak/>
        <w:t>Técnicas</w:t>
      </w:r>
      <w:r>
        <w:rPr>
          <w:spacing w:val="-6"/>
        </w:rPr>
        <w:t xml:space="preserve"> </w:t>
      </w:r>
      <w:r>
        <w:t>de</w:t>
      </w:r>
      <w:r>
        <w:rPr>
          <w:spacing w:val="-6"/>
        </w:rPr>
        <w:t xml:space="preserve"> </w:t>
      </w:r>
      <w:r>
        <w:t>recolección</w:t>
      </w:r>
      <w:r>
        <w:rPr>
          <w:spacing w:val="-6"/>
        </w:rPr>
        <w:t xml:space="preserve"> </w:t>
      </w:r>
      <w:r>
        <w:t>de</w:t>
      </w:r>
      <w:r>
        <w:rPr>
          <w:spacing w:val="-5"/>
        </w:rPr>
        <w:t xml:space="preserve"> </w:t>
      </w:r>
      <w:r>
        <w:rPr>
          <w:spacing w:val="-2"/>
        </w:rPr>
        <w:t>información</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7" w:firstLine="720"/>
        <w:jc w:val="both"/>
      </w:pPr>
      <w:r>
        <w:t>Para sustentar el diseño de la propuesta de valor y validar las hipótesis del modelo de negocio, se emplea una estrategia de investigación mixta que combina técnicas cuantitativas y cualitativas. En particular, se utilizan encue</w:t>
      </w:r>
      <w:r>
        <w:t>stas estructuradas (Fowler, 2014) y entrevistas en profundidad (Mariampolski, 2001), con el objetivo de obtener una comprensión</w:t>
      </w:r>
      <w:r>
        <w:rPr>
          <w:spacing w:val="-5"/>
        </w:rPr>
        <w:t xml:space="preserve"> </w:t>
      </w:r>
      <w:r>
        <w:t>integral</w:t>
      </w:r>
      <w:r>
        <w:rPr>
          <w:spacing w:val="-5"/>
        </w:rPr>
        <w:t xml:space="preserve"> </w:t>
      </w:r>
      <w:r>
        <w:t>del</w:t>
      </w:r>
      <w:r>
        <w:rPr>
          <w:spacing w:val="-5"/>
        </w:rPr>
        <w:t xml:space="preserve"> </w:t>
      </w:r>
      <w:r>
        <w:t>consumidor,</w:t>
      </w:r>
      <w:r>
        <w:rPr>
          <w:spacing w:val="-5"/>
        </w:rPr>
        <w:t xml:space="preserve"> </w:t>
      </w:r>
      <w:r>
        <w:t>sus</w:t>
      </w:r>
      <w:r>
        <w:rPr>
          <w:spacing w:val="-5"/>
        </w:rPr>
        <w:t xml:space="preserve"> </w:t>
      </w:r>
      <w:r>
        <w:t>motivaciones</w:t>
      </w:r>
      <w:r>
        <w:rPr>
          <w:spacing w:val="-5"/>
        </w:rPr>
        <w:t xml:space="preserve"> </w:t>
      </w:r>
      <w:r>
        <w:t>y</w:t>
      </w:r>
      <w:r>
        <w:rPr>
          <w:spacing w:val="-5"/>
        </w:rPr>
        <w:t xml:space="preserve"> </w:t>
      </w:r>
      <w:r>
        <w:t>su</w:t>
      </w:r>
      <w:r>
        <w:rPr>
          <w:spacing w:val="-5"/>
        </w:rPr>
        <w:t xml:space="preserve"> </w:t>
      </w:r>
      <w:r>
        <w:t>comportamiento de compra.</w:t>
      </w:r>
    </w:p>
    <w:p w:rsidR="009B4BB4" w:rsidRDefault="00C44001">
      <w:pPr>
        <w:pStyle w:val="Textoindependiente"/>
        <w:spacing w:line="360" w:lineRule="auto"/>
        <w:ind w:left="425" w:right="610" w:firstLine="720"/>
        <w:jc w:val="both"/>
      </w:pPr>
      <w:r>
        <w:t>Por un lado, la encuesta estructurada constituye una té</w:t>
      </w:r>
      <w:r>
        <w:t>cnica de recolección de datos cuantitativos basada en cuestionarios con preguntas cerradas y opciones predefinidas. Esta herramienta permite medir variables como hábitos de consumo, nivel de conocimiento del producto, disposición a pagar, canales de compra</w:t>
      </w:r>
      <w:r>
        <w:t xml:space="preserve"> y percepción de valor cultural. Según Fowler (2014), las encuestas bien diseñadas permiten estimar comportamientos poblacionales con precisión, siempre que se apliquen criterios adecuados de muestreo y control de calidad.</w:t>
      </w:r>
    </w:p>
    <w:p w:rsidR="009B4BB4" w:rsidRDefault="00C44001">
      <w:pPr>
        <w:pStyle w:val="Textoindependiente"/>
        <w:spacing w:line="360" w:lineRule="auto"/>
        <w:ind w:left="425" w:right="603" w:firstLine="720"/>
        <w:jc w:val="both"/>
      </w:pPr>
      <w:r>
        <w:t>Por otro lado, la entrevista en p</w:t>
      </w:r>
      <w:r>
        <w:t>rofundidad es una técnica cualitativa orientada a explorar percepciones, creencias, emociones y narrativas del entrevistado en relación</w:t>
      </w:r>
      <w:r>
        <w:rPr>
          <w:spacing w:val="40"/>
        </w:rPr>
        <w:t xml:space="preserve"> </w:t>
      </w:r>
      <w:r>
        <w:t>con un tema específico. De acuerdo con Mariampolski (2001), este tipo de entrevistas permite identificar motivadores sub</w:t>
      </w:r>
      <w:r>
        <w:t>yacentes, valor simbólico y barreras</w:t>
      </w:r>
      <w:r>
        <w:rPr>
          <w:spacing w:val="-4"/>
        </w:rPr>
        <w:t xml:space="preserve"> </w:t>
      </w:r>
      <w:r>
        <w:t>no</w:t>
      </w:r>
      <w:r>
        <w:rPr>
          <w:spacing w:val="-4"/>
        </w:rPr>
        <w:t xml:space="preserve"> </w:t>
      </w:r>
      <w:r>
        <w:t>evidentes</w:t>
      </w:r>
      <w:r>
        <w:rPr>
          <w:spacing w:val="-4"/>
        </w:rPr>
        <w:t xml:space="preserve"> </w:t>
      </w:r>
      <w:r>
        <w:t>que influyen en el comportamiento del consumidor, especialmente en contextos donde intervienen elementos culturales o identitarios.</w:t>
      </w:r>
    </w:p>
    <w:p w:rsidR="009B4BB4" w:rsidRDefault="00C44001">
      <w:pPr>
        <w:pStyle w:val="Textoindependiente"/>
        <w:spacing w:line="360" w:lineRule="auto"/>
        <w:ind w:left="425" w:right="602" w:firstLine="720"/>
        <w:jc w:val="both"/>
      </w:pPr>
      <w:r>
        <w:t>Ambas técnicas se aplican de manera complementaria en el desarrollo del pr</w:t>
      </w:r>
      <w:r>
        <w:t>oyecto. Las encuestas se dirigen a consumidores locales y turistas en espacios como ferias, tiendas de productos orgánicos y zonas de alto flujo turístico, con el fin de cuantificar patrones de consumo y validar rangos de precio aceptables. Por</w:t>
      </w:r>
      <w:r>
        <w:rPr>
          <w:spacing w:val="-3"/>
        </w:rPr>
        <w:t xml:space="preserve"> </w:t>
      </w:r>
      <w:r>
        <w:t>su</w:t>
      </w:r>
      <w:r>
        <w:rPr>
          <w:spacing w:val="-3"/>
        </w:rPr>
        <w:t xml:space="preserve"> </w:t>
      </w:r>
      <w:r>
        <w:t>parte,</w:t>
      </w:r>
      <w:r>
        <w:rPr>
          <w:spacing w:val="-3"/>
        </w:rPr>
        <w:t xml:space="preserve"> </w:t>
      </w:r>
      <w:r>
        <w:t>l</w:t>
      </w:r>
      <w:r>
        <w:t>as entrevistas se realizan a consumidores, productores y actores clave del ecosistema,</w:t>
      </w:r>
      <w:r>
        <w:rPr>
          <w:spacing w:val="-4"/>
        </w:rPr>
        <w:t xml:space="preserve"> </w:t>
      </w:r>
      <w:r>
        <w:t>con el objetivo de comprender el valor simbólico del producto, su</w:t>
      </w:r>
      <w:r>
        <w:rPr>
          <w:spacing w:val="-3"/>
        </w:rPr>
        <w:t xml:space="preserve"> </w:t>
      </w:r>
      <w:r>
        <w:t>vínculo</w:t>
      </w:r>
      <w:r>
        <w:rPr>
          <w:spacing w:val="-3"/>
        </w:rPr>
        <w:t xml:space="preserve"> </w:t>
      </w:r>
      <w:r>
        <w:t>con</w:t>
      </w:r>
      <w:r>
        <w:rPr>
          <w:spacing w:val="-3"/>
        </w:rPr>
        <w:t xml:space="preserve"> </w:t>
      </w:r>
      <w:r>
        <w:t>la</w:t>
      </w:r>
      <w:r>
        <w:rPr>
          <w:spacing w:val="-3"/>
        </w:rPr>
        <w:t xml:space="preserve"> </w:t>
      </w:r>
      <w:r>
        <w:t>cultura</w:t>
      </w:r>
      <w:r>
        <w:rPr>
          <w:spacing w:val="-3"/>
        </w:rPr>
        <w:t xml:space="preserve"> </w:t>
      </w:r>
      <w:r>
        <w:t>maya</w:t>
      </w:r>
      <w:r>
        <w:rPr>
          <w:spacing w:val="40"/>
        </w:rPr>
        <w:t xml:space="preserve"> </w:t>
      </w:r>
      <w:r>
        <w:t>y las percepciones asociadas a la sostenibilidad.</w:t>
      </w:r>
    </w:p>
    <w:p w:rsidR="009B4BB4" w:rsidRDefault="00C44001">
      <w:pPr>
        <w:pStyle w:val="Textoindependiente"/>
        <w:spacing w:line="360" w:lineRule="auto"/>
        <w:ind w:left="425" w:right="603" w:firstLine="720"/>
        <w:jc w:val="both"/>
      </w:pPr>
      <w:r>
        <w:t>La integración</w:t>
      </w:r>
      <w:r>
        <w:rPr>
          <w:spacing w:val="-5"/>
        </w:rPr>
        <w:t xml:space="preserve"> </w:t>
      </w:r>
      <w:r>
        <w:t>de</w:t>
      </w:r>
      <w:r>
        <w:rPr>
          <w:spacing w:val="-5"/>
        </w:rPr>
        <w:t xml:space="preserve"> </w:t>
      </w:r>
      <w:r>
        <w:t>ambas</w:t>
      </w:r>
      <w:r>
        <w:rPr>
          <w:spacing w:val="-5"/>
        </w:rPr>
        <w:t xml:space="preserve"> </w:t>
      </w:r>
      <w:r>
        <w:t>m</w:t>
      </w:r>
      <w:r>
        <w:t>etodologías</w:t>
      </w:r>
      <w:r>
        <w:rPr>
          <w:spacing w:val="-5"/>
        </w:rPr>
        <w:t xml:space="preserve"> </w:t>
      </w:r>
      <w:r>
        <w:t>permite</w:t>
      </w:r>
      <w:r>
        <w:rPr>
          <w:spacing w:val="-5"/>
        </w:rPr>
        <w:t xml:space="preserve"> </w:t>
      </w:r>
      <w:r>
        <w:t>contrastar</w:t>
      </w:r>
      <w:r>
        <w:rPr>
          <w:spacing w:val="-5"/>
        </w:rPr>
        <w:t xml:space="preserve"> </w:t>
      </w:r>
      <w:r>
        <w:t>datos</w:t>
      </w:r>
      <w:r>
        <w:rPr>
          <w:spacing w:val="-5"/>
        </w:rPr>
        <w:t xml:space="preserve"> </w:t>
      </w:r>
      <w:r>
        <w:t>cuantificables</w:t>
      </w:r>
      <w:r>
        <w:rPr>
          <w:spacing w:val="-5"/>
        </w:rPr>
        <w:t xml:space="preserve"> </w:t>
      </w:r>
      <w:r>
        <w:t>con interpretaciones cualitativas, fortaleciendo la validez del análisis y proporcionando una base sólida para la toma de decisiones estratégicas.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68"/>
        </w:numPr>
        <w:tabs>
          <w:tab w:val="left" w:pos="788"/>
        </w:tabs>
        <w:spacing w:before="79"/>
        <w:ind w:left="788" w:hanging="363"/>
      </w:pPr>
      <w:bookmarkStart w:id="25" w:name="1.2_Sostenibilidad,_salud_e_impacto_"/>
      <w:bookmarkStart w:id="26" w:name="h.kb7jtcqd9t0p"/>
      <w:bookmarkEnd w:id="25"/>
      <w:bookmarkEnd w:id="26"/>
      <w:r>
        <w:lastRenderedPageBreak/>
        <w:t>Sostenibilidad,</w:t>
      </w:r>
      <w:r>
        <w:rPr>
          <w:spacing w:val="-7"/>
        </w:rPr>
        <w:t xml:space="preserve"> </w:t>
      </w:r>
      <w:r>
        <w:t>salud</w:t>
      </w:r>
      <w:r>
        <w:rPr>
          <w:spacing w:val="-7"/>
        </w:rPr>
        <w:t xml:space="preserve"> </w:t>
      </w:r>
      <w:r>
        <w:t>e</w:t>
      </w:r>
      <w:r>
        <w:rPr>
          <w:spacing w:val="-7"/>
        </w:rPr>
        <w:t xml:space="preserve"> </w:t>
      </w:r>
      <w:r>
        <w:rPr>
          <w:spacing w:val="-2"/>
        </w:rPr>
        <w:t>impacto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4" w:firstLine="720"/>
        <w:jc w:val="both"/>
      </w:pPr>
      <w:r>
        <w:t>Guardiana</w:t>
      </w:r>
      <w:r>
        <w:rPr>
          <w:spacing w:val="-4"/>
        </w:rPr>
        <w:t xml:space="preserve"> </w:t>
      </w:r>
      <w:r>
        <w:t>nace</w:t>
      </w:r>
      <w:r>
        <w:rPr>
          <w:spacing w:val="-4"/>
        </w:rPr>
        <w:t xml:space="preserve"> </w:t>
      </w:r>
      <w:r>
        <w:t>con</w:t>
      </w:r>
      <w:r>
        <w:rPr>
          <w:spacing w:val="-4"/>
        </w:rPr>
        <w:t xml:space="preserve"> </w:t>
      </w:r>
      <w:r>
        <w:t>una</w:t>
      </w:r>
      <w:r>
        <w:rPr>
          <w:spacing w:val="-4"/>
        </w:rPr>
        <w:t xml:space="preserve"> </w:t>
      </w:r>
      <w:r>
        <w:t>premisa</w:t>
      </w:r>
      <w:r>
        <w:rPr>
          <w:spacing w:val="-4"/>
        </w:rPr>
        <w:t xml:space="preserve"> </w:t>
      </w:r>
      <w:r>
        <w:t>clara:</w:t>
      </w:r>
      <w:r>
        <w:rPr>
          <w:spacing w:val="-4"/>
        </w:rPr>
        <w:t xml:space="preserve"> </w:t>
      </w:r>
      <w:r>
        <w:t>la</w:t>
      </w:r>
      <w:r>
        <w:rPr>
          <w:spacing w:val="-4"/>
        </w:rPr>
        <w:t xml:space="preserve"> </w:t>
      </w:r>
      <w:r>
        <w:t>rentabilidad</w:t>
      </w:r>
      <w:r>
        <w:rPr>
          <w:spacing w:val="-4"/>
        </w:rPr>
        <w:t xml:space="preserve"> </w:t>
      </w:r>
      <w:r>
        <w:t>y</w:t>
      </w:r>
      <w:r>
        <w:rPr>
          <w:spacing w:val="-4"/>
        </w:rPr>
        <w:t xml:space="preserve"> </w:t>
      </w:r>
      <w:r>
        <w:t>el</w:t>
      </w:r>
      <w:r>
        <w:rPr>
          <w:spacing w:val="-4"/>
        </w:rPr>
        <w:t xml:space="preserve"> </w:t>
      </w:r>
      <w:r>
        <w:t>impacto</w:t>
      </w:r>
      <w:r>
        <w:rPr>
          <w:spacing w:val="-4"/>
        </w:rPr>
        <w:t xml:space="preserve"> </w:t>
      </w:r>
      <w:r>
        <w:t>positivo</w:t>
      </w:r>
      <w:r>
        <w:rPr>
          <w:spacing w:val="-4"/>
        </w:rPr>
        <w:t xml:space="preserve"> </w:t>
      </w:r>
      <w:r>
        <w:t>no</w:t>
      </w:r>
      <w:r>
        <w:rPr>
          <w:spacing w:val="-4"/>
        </w:rPr>
        <w:t xml:space="preserve"> </w:t>
      </w:r>
      <w:r>
        <w:t>son objetivos contradictorios. El proyecto integra la sostenibilidad ambiental, el bienestar humano y la inclusión social no como elementos añadidos, sino como condiciones necesarias para su viabilidad. Sin comunidades productoras fortalecidas no hay sumin</w:t>
      </w:r>
      <w:r>
        <w:t>istro; sin ecosistemas conservados no hay abeja; sin una narrativa cultural</w:t>
      </w:r>
      <w:r>
        <w:rPr>
          <w:spacing w:val="40"/>
        </w:rPr>
        <w:t xml:space="preserve"> </w:t>
      </w:r>
      <w:r>
        <w:t>auténtica no hay diferenciación.</w:t>
      </w:r>
    </w:p>
    <w:p w:rsidR="009B4BB4" w:rsidRDefault="00C44001">
      <w:pPr>
        <w:pStyle w:val="Textoindependiente"/>
        <w:spacing w:line="360" w:lineRule="auto"/>
        <w:ind w:left="425" w:right="608" w:firstLine="720"/>
        <w:jc w:val="both"/>
      </w:pPr>
      <w:r>
        <w:t>Como señalan Elkington (1994) y Tabares et al. (2021), los modelos de negocio contemporáneos deben equilibrar la rentabilidad con resultados social</w:t>
      </w:r>
      <w:r>
        <w:t>es y ambientales medibles. Guardiana adopta esta visión para construir una propuesta alineada con las demandas actuales de productos auténticos, éticos y culturalmente significativos</w:t>
      </w:r>
    </w:p>
    <w:p w:rsidR="009B4BB4" w:rsidRDefault="00C44001" w:rsidP="00C44001">
      <w:pPr>
        <w:pStyle w:val="Ttulo2"/>
        <w:numPr>
          <w:ilvl w:val="2"/>
          <w:numId w:val="68"/>
        </w:numPr>
        <w:tabs>
          <w:tab w:val="left" w:pos="970"/>
        </w:tabs>
        <w:ind w:left="970" w:hanging="545"/>
        <w:jc w:val="left"/>
      </w:pPr>
      <w:bookmarkStart w:id="27" w:name="1.2.1_ODS_relevantes_"/>
      <w:bookmarkStart w:id="28" w:name="h.7in6gyz4une8"/>
      <w:bookmarkEnd w:id="27"/>
      <w:bookmarkEnd w:id="28"/>
      <w:r>
        <w:t>ODS</w:t>
      </w:r>
      <w:r>
        <w:rPr>
          <w:spacing w:val="-3"/>
        </w:rPr>
        <w:t xml:space="preserve"> </w:t>
      </w:r>
      <w:r>
        <w:rPr>
          <w:spacing w:val="-2"/>
        </w:rPr>
        <w:t>relevantes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4" w:firstLine="720"/>
        <w:jc w:val="both"/>
      </w:pPr>
      <w:r>
        <w:t xml:space="preserve">El proyecto se alinea con cuatro Objetivos de Desarrollo </w:t>
      </w:r>
      <w:r>
        <w:t>Sostenible establecidos por Naciones Unidas (PNUD, s.f.), los cuales orientan la creación de valor desde una perspectiva sistémica:</w:t>
      </w:r>
    </w:p>
    <w:p w:rsidR="009B4BB4" w:rsidRDefault="00C44001">
      <w:pPr>
        <w:pStyle w:val="Textoindependiente"/>
        <w:spacing w:line="360" w:lineRule="auto"/>
        <w:ind w:left="425" w:right="603"/>
        <w:jc w:val="both"/>
      </w:pPr>
      <w:r>
        <w:rPr>
          <w:rFonts w:ascii="Arial" w:hAnsi="Arial"/>
          <w:b/>
        </w:rPr>
        <w:t xml:space="preserve">ODS 3 - Salud y Bienestar: </w:t>
      </w:r>
      <w:r>
        <w:t>La miel melipona, respaldada por evidencia científica y tradición médica ancestral, presenta prop</w:t>
      </w:r>
      <w:r>
        <w:t>iedades antibacterianas, antioxidantes y antiinflamatorias (Stafford et al., 2014). Guardiana promueve su uso como alternativa de bienestar basada en la biodiversidad local.</w:t>
      </w:r>
    </w:p>
    <w:p w:rsidR="009B4BB4" w:rsidRDefault="00C44001">
      <w:pPr>
        <w:pStyle w:val="Textoindependiente"/>
        <w:spacing w:line="360" w:lineRule="auto"/>
        <w:ind w:left="425" w:right="606"/>
        <w:jc w:val="both"/>
      </w:pPr>
      <w:r>
        <w:rPr>
          <w:rFonts w:ascii="Arial" w:hAnsi="Arial"/>
          <w:b/>
        </w:rPr>
        <w:t xml:space="preserve">ODS 8 - Trabajo decente y crecimiento económico: </w:t>
      </w:r>
      <w:r>
        <w:t>El modelo establece relaciones co</w:t>
      </w:r>
      <w:r>
        <w:t>merciales justas con comunidades meliponicultoras,</w:t>
      </w:r>
      <w:r>
        <w:rPr>
          <w:spacing w:val="-5"/>
        </w:rPr>
        <w:t xml:space="preserve"> </w:t>
      </w:r>
      <w:r>
        <w:t>fortaleciendo</w:t>
      </w:r>
      <w:r>
        <w:rPr>
          <w:spacing w:val="-5"/>
        </w:rPr>
        <w:t xml:space="preserve"> </w:t>
      </w:r>
      <w:r>
        <w:t>las</w:t>
      </w:r>
      <w:r>
        <w:rPr>
          <w:spacing w:val="-5"/>
        </w:rPr>
        <w:t xml:space="preserve"> </w:t>
      </w:r>
      <w:r>
        <w:t>cadenas</w:t>
      </w:r>
      <w:r>
        <w:rPr>
          <w:spacing w:val="-5"/>
        </w:rPr>
        <w:t xml:space="preserve"> </w:t>
      </w:r>
      <w:r>
        <w:t>de</w:t>
      </w:r>
      <w:r>
        <w:rPr>
          <w:spacing w:val="-5"/>
        </w:rPr>
        <w:t xml:space="preserve"> </w:t>
      </w:r>
      <w:r>
        <w:t>valor rurales y generando ingresos dignos para las familias productoras. Esto contribuye a la preservación de oficios tradicionales y a la formalización de actividades económic</w:t>
      </w:r>
      <w:r>
        <w:t xml:space="preserve">as </w:t>
      </w:r>
      <w:r>
        <w:rPr>
          <w:spacing w:val="-2"/>
        </w:rPr>
        <w:t>locales.</w:t>
      </w:r>
    </w:p>
    <w:p w:rsidR="009B4BB4" w:rsidRDefault="00C44001">
      <w:pPr>
        <w:pStyle w:val="Textoindependiente"/>
        <w:spacing w:line="360" w:lineRule="auto"/>
        <w:ind w:left="425" w:right="608"/>
        <w:jc w:val="both"/>
      </w:pPr>
      <w:r>
        <w:rPr>
          <w:rFonts w:ascii="Arial" w:hAnsi="Arial"/>
          <w:b/>
        </w:rPr>
        <w:t xml:space="preserve">ODS 12 - Producción y consumo responsable: </w:t>
      </w:r>
      <w:r>
        <w:t>La meliponicultura</w:t>
      </w:r>
      <w:r>
        <w:rPr>
          <w:spacing w:val="-4"/>
        </w:rPr>
        <w:t xml:space="preserve"> </w:t>
      </w:r>
      <w:r>
        <w:t>es</w:t>
      </w:r>
      <w:r>
        <w:rPr>
          <w:spacing w:val="-4"/>
        </w:rPr>
        <w:t xml:space="preserve"> </w:t>
      </w:r>
      <w:r>
        <w:t>una</w:t>
      </w:r>
      <w:r>
        <w:rPr>
          <w:spacing w:val="-4"/>
        </w:rPr>
        <w:t xml:space="preserve"> </w:t>
      </w:r>
      <w:r>
        <w:t>actividad</w:t>
      </w:r>
      <w:r>
        <w:rPr>
          <w:spacing w:val="-4"/>
        </w:rPr>
        <w:t xml:space="preserve"> </w:t>
      </w:r>
      <w:r>
        <w:t>de bajo impacto, basada en prácticas artesanales y el manejo respetuoso de las colmenas. Guardiana amplía</w:t>
      </w:r>
      <w:r>
        <w:rPr>
          <w:spacing w:val="-4"/>
        </w:rPr>
        <w:t xml:space="preserve"> </w:t>
      </w:r>
      <w:r>
        <w:t>estos</w:t>
      </w:r>
      <w:r>
        <w:rPr>
          <w:spacing w:val="-4"/>
        </w:rPr>
        <w:t xml:space="preserve"> </w:t>
      </w:r>
      <w:r>
        <w:t>principios</w:t>
      </w:r>
      <w:r>
        <w:rPr>
          <w:spacing w:val="-4"/>
        </w:rPr>
        <w:t xml:space="preserve"> </w:t>
      </w:r>
      <w:r>
        <w:t>mediante</w:t>
      </w:r>
      <w:r>
        <w:rPr>
          <w:spacing w:val="-4"/>
        </w:rPr>
        <w:t xml:space="preserve"> </w:t>
      </w:r>
      <w:r>
        <w:t>el</w:t>
      </w:r>
      <w:r>
        <w:rPr>
          <w:spacing w:val="-4"/>
        </w:rPr>
        <w:t xml:space="preserve"> </w:t>
      </w:r>
      <w:r>
        <w:t>uso</w:t>
      </w:r>
      <w:r>
        <w:rPr>
          <w:spacing w:val="-4"/>
        </w:rPr>
        <w:t xml:space="preserve"> </w:t>
      </w:r>
      <w:r>
        <w:t>de</w:t>
      </w:r>
      <w:r>
        <w:rPr>
          <w:spacing w:val="-4"/>
        </w:rPr>
        <w:t xml:space="preserve"> </w:t>
      </w:r>
      <w:r>
        <w:t>empaques</w:t>
      </w:r>
      <w:r>
        <w:rPr>
          <w:spacing w:val="-4"/>
        </w:rPr>
        <w:t xml:space="preserve"> </w:t>
      </w:r>
      <w:r>
        <w:t>sostenibles,</w:t>
      </w:r>
      <w:r>
        <w:rPr>
          <w:spacing w:val="-4"/>
        </w:rPr>
        <w:t xml:space="preserve"> </w:t>
      </w:r>
      <w:r>
        <w:t>t</w:t>
      </w:r>
      <w:r>
        <w:t>razabilidad y una narrativa que promueve decisiones de consumo informadas.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3"/>
        <w:jc w:val="both"/>
      </w:pPr>
      <w:r>
        <w:rPr>
          <w:rFonts w:ascii="Arial" w:hAnsi="Arial"/>
          <w:b/>
        </w:rPr>
        <w:lastRenderedPageBreak/>
        <w:t>ODS 15 -</w:t>
      </w:r>
      <w:r>
        <w:rPr>
          <w:rFonts w:ascii="Arial" w:hAnsi="Arial"/>
          <w:b/>
          <w:spacing w:val="-3"/>
        </w:rPr>
        <w:t xml:space="preserve"> </w:t>
      </w:r>
      <w:r>
        <w:rPr>
          <w:rFonts w:ascii="Arial" w:hAnsi="Arial"/>
          <w:b/>
        </w:rPr>
        <w:t>Vida</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ecosistemas</w:t>
      </w:r>
      <w:r>
        <w:rPr>
          <w:rFonts w:ascii="Arial" w:hAnsi="Arial"/>
          <w:b/>
          <w:spacing w:val="-3"/>
        </w:rPr>
        <w:t xml:space="preserve"> </w:t>
      </w:r>
      <w:r>
        <w:rPr>
          <w:rFonts w:ascii="Arial" w:hAnsi="Arial"/>
          <w:b/>
        </w:rPr>
        <w:t>terrestres:</w:t>
      </w:r>
      <w:r>
        <w:rPr>
          <w:rFonts w:ascii="Arial" w:hAnsi="Arial"/>
          <w:b/>
          <w:spacing w:val="-3"/>
        </w:rPr>
        <w:t xml:space="preserve"> </w:t>
      </w:r>
      <w:r>
        <w:t>La</w:t>
      </w:r>
      <w:r>
        <w:rPr>
          <w:spacing w:val="-3"/>
        </w:rPr>
        <w:t xml:space="preserve"> </w:t>
      </w:r>
      <w:r>
        <w:rPr>
          <w:rFonts w:ascii="Arial" w:hAnsi="Arial"/>
          <w:i/>
        </w:rPr>
        <w:t>Melipona</w:t>
      </w:r>
      <w:r>
        <w:rPr>
          <w:rFonts w:ascii="Arial" w:hAnsi="Arial"/>
          <w:i/>
          <w:spacing w:val="-3"/>
        </w:rPr>
        <w:t xml:space="preserve"> </w:t>
      </w:r>
      <w:r>
        <w:rPr>
          <w:rFonts w:ascii="Arial" w:hAnsi="Arial"/>
          <w:i/>
        </w:rPr>
        <w:t>beecheii</w:t>
      </w:r>
      <w:r>
        <w:rPr>
          <w:rFonts w:ascii="Arial" w:hAnsi="Arial"/>
          <w:i/>
          <w:spacing w:val="-3"/>
        </w:rPr>
        <w:t xml:space="preserve"> </w:t>
      </w:r>
      <w:r>
        <w:t>es</w:t>
      </w:r>
      <w:r>
        <w:rPr>
          <w:spacing w:val="-3"/>
        </w:rPr>
        <w:t xml:space="preserve"> </w:t>
      </w:r>
      <w:r>
        <w:t>un</w:t>
      </w:r>
      <w:r>
        <w:rPr>
          <w:spacing w:val="-3"/>
        </w:rPr>
        <w:t xml:space="preserve"> </w:t>
      </w:r>
      <w:r>
        <w:t>polinizador</w:t>
      </w:r>
      <w:r>
        <w:rPr>
          <w:spacing w:val="-3"/>
        </w:rPr>
        <w:t xml:space="preserve"> </w:t>
      </w:r>
      <w:r>
        <w:t>clave en la Península de Yucatán, cuya conservación contribuye al equilibrio de los ecosistemas tropicales. Al generar demanda por miel auténtica e incentivar económicamente a las comunidades, Guardiana impulsa</w:t>
      </w:r>
      <w:r>
        <w:rPr>
          <w:spacing w:val="-5"/>
        </w:rPr>
        <w:t xml:space="preserve"> </w:t>
      </w:r>
      <w:r>
        <w:t>un</w:t>
      </w:r>
      <w:r>
        <w:rPr>
          <w:spacing w:val="-5"/>
        </w:rPr>
        <w:t xml:space="preserve"> </w:t>
      </w:r>
      <w:r>
        <w:t>mecanismo</w:t>
      </w:r>
      <w:r>
        <w:rPr>
          <w:spacing w:val="-5"/>
        </w:rPr>
        <w:t xml:space="preserve"> </w:t>
      </w:r>
      <w:r>
        <w:t>de</w:t>
      </w:r>
      <w:r>
        <w:rPr>
          <w:spacing w:val="-5"/>
        </w:rPr>
        <w:t xml:space="preserve"> </w:t>
      </w:r>
      <w:r>
        <w:t>conservación activa del hábit</w:t>
      </w:r>
      <w:r>
        <w:t>at y la biodiversidad.</w:t>
      </w:r>
    </w:p>
    <w:p w:rsidR="009B4BB4" w:rsidRDefault="00C44001">
      <w:pPr>
        <w:pStyle w:val="Textoindependiente"/>
        <w:spacing w:line="360" w:lineRule="auto"/>
        <w:ind w:left="425" w:right="606" w:firstLine="720"/>
        <w:jc w:val="both"/>
      </w:pPr>
      <w:r>
        <w:t>En</w:t>
      </w:r>
      <w:r>
        <w:rPr>
          <w:spacing w:val="-4"/>
        </w:rPr>
        <w:t xml:space="preserve"> </w:t>
      </w:r>
      <w:r>
        <w:t>conjunto,</w:t>
      </w:r>
      <w:r>
        <w:rPr>
          <w:spacing w:val="-4"/>
        </w:rPr>
        <w:t xml:space="preserve"> </w:t>
      </w:r>
      <w:r>
        <w:t>estos</w:t>
      </w:r>
      <w:r>
        <w:rPr>
          <w:spacing w:val="-4"/>
        </w:rPr>
        <w:t xml:space="preserve"> </w:t>
      </w:r>
      <w:r>
        <w:t>cuatro</w:t>
      </w:r>
      <w:r>
        <w:rPr>
          <w:spacing w:val="-4"/>
        </w:rPr>
        <w:t xml:space="preserve"> </w:t>
      </w:r>
      <w:r>
        <w:t>ODS</w:t>
      </w:r>
      <w:r>
        <w:rPr>
          <w:spacing w:val="-4"/>
        </w:rPr>
        <w:t xml:space="preserve"> </w:t>
      </w:r>
      <w:r>
        <w:t>constituyen</w:t>
      </w:r>
      <w:r>
        <w:rPr>
          <w:spacing w:val="-4"/>
        </w:rPr>
        <w:t xml:space="preserve"> </w:t>
      </w:r>
      <w:r>
        <w:t>el</w:t>
      </w:r>
      <w:r>
        <w:rPr>
          <w:spacing w:val="-4"/>
        </w:rPr>
        <w:t xml:space="preserve"> </w:t>
      </w:r>
      <w:r>
        <w:t>marco</w:t>
      </w:r>
      <w:r>
        <w:rPr>
          <w:spacing w:val="-4"/>
        </w:rPr>
        <w:t xml:space="preserve"> </w:t>
      </w:r>
      <w:r>
        <w:t>ético</w:t>
      </w:r>
      <w:r>
        <w:rPr>
          <w:spacing w:val="-4"/>
        </w:rPr>
        <w:t xml:space="preserve"> </w:t>
      </w:r>
      <w:r>
        <w:t>que</w:t>
      </w:r>
      <w:r>
        <w:rPr>
          <w:spacing w:val="-4"/>
        </w:rPr>
        <w:t xml:space="preserve"> </w:t>
      </w:r>
      <w:r>
        <w:t>orienta</w:t>
      </w:r>
      <w:r>
        <w:rPr>
          <w:spacing w:val="-4"/>
        </w:rPr>
        <w:t xml:space="preserve"> </w:t>
      </w:r>
      <w:r>
        <w:t>la</w:t>
      </w:r>
      <w:r>
        <w:rPr>
          <w:spacing w:val="-4"/>
        </w:rPr>
        <w:t xml:space="preserve"> </w:t>
      </w:r>
      <w:r>
        <w:t>estrategia del emprendimiento y fortalecer su posicionamiento como una alternativa regenerativa y de alto valor cultural.</w:t>
      </w:r>
    </w:p>
    <w:p w:rsidR="009B4BB4" w:rsidRDefault="00C44001">
      <w:pPr>
        <w:pStyle w:val="Textoindependiente"/>
        <w:spacing w:line="360" w:lineRule="auto"/>
        <w:ind w:left="425" w:right="606" w:firstLine="720"/>
        <w:jc w:val="both"/>
      </w:pPr>
      <w:r>
        <w:t>Para asegurar la coherencia entre el pr</w:t>
      </w:r>
      <w:r>
        <w:t>opósito y su ejecución, estos objetivos se traducen en acciones concretas y métricas de seguimiento que permiten evaluar el impacto de Guardiana de manera tangible:</w:t>
      </w:r>
    </w:p>
    <w:p w:rsidR="009B4BB4" w:rsidRDefault="00C44001">
      <w:pPr>
        <w:pStyle w:val="Ttulo1"/>
        <w:spacing w:before="240"/>
        <w:ind w:left="425"/>
        <w:jc w:val="both"/>
      </w:pPr>
      <w:r>
        <w:rPr>
          <w:spacing w:val="-2"/>
        </w:rPr>
        <w:t>Tabla</w:t>
      </w:r>
      <w:r>
        <w:rPr>
          <w:spacing w:val="-11"/>
        </w:rPr>
        <w:t xml:space="preserve"> </w:t>
      </w:r>
      <w:r>
        <w:rPr>
          <w:spacing w:val="-5"/>
        </w:rPr>
        <w:t>1.3</w:t>
      </w:r>
    </w:p>
    <w:p w:rsidR="009B4BB4" w:rsidRDefault="00C44001">
      <w:pPr>
        <w:spacing w:before="127"/>
        <w:ind w:left="425"/>
        <w:jc w:val="both"/>
        <w:rPr>
          <w:rFonts w:ascii="Arial" w:hAnsi="Arial"/>
          <w:i/>
        </w:rPr>
      </w:pPr>
      <w:r>
        <w:rPr>
          <w:rFonts w:ascii="Arial" w:hAnsi="Arial"/>
          <w:i/>
        </w:rPr>
        <w:t>Traducción</w:t>
      </w:r>
      <w:r>
        <w:rPr>
          <w:rFonts w:ascii="Arial" w:hAnsi="Arial"/>
          <w:i/>
          <w:spacing w:val="-8"/>
        </w:rPr>
        <w:t xml:space="preserve"> </w:t>
      </w:r>
      <w:r>
        <w:rPr>
          <w:rFonts w:ascii="Arial" w:hAnsi="Arial"/>
          <w:i/>
        </w:rPr>
        <w:t>operativa</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los</w:t>
      </w:r>
      <w:r>
        <w:rPr>
          <w:rFonts w:ascii="Arial" w:hAnsi="Arial"/>
          <w:i/>
          <w:spacing w:val="-6"/>
        </w:rPr>
        <w:t xml:space="preserve"> </w:t>
      </w:r>
      <w:r>
        <w:rPr>
          <w:rFonts w:ascii="Arial" w:hAnsi="Arial"/>
          <w:i/>
        </w:rPr>
        <w:t>ODS</w:t>
      </w:r>
      <w:r>
        <w:rPr>
          <w:rFonts w:ascii="Arial" w:hAnsi="Arial"/>
          <w:i/>
          <w:spacing w:val="-6"/>
        </w:rPr>
        <w:t xml:space="preserve"> </w:t>
      </w:r>
      <w:r>
        <w:rPr>
          <w:rFonts w:ascii="Arial" w:hAnsi="Arial"/>
          <w:i/>
        </w:rPr>
        <w:t>en</w:t>
      </w:r>
      <w:r>
        <w:rPr>
          <w:rFonts w:ascii="Arial" w:hAnsi="Arial"/>
          <w:i/>
          <w:spacing w:val="-5"/>
        </w:rPr>
        <w:t xml:space="preserve"> </w:t>
      </w:r>
      <w:r>
        <w:rPr>
          <w:rFonts w:ascii="Arial" w:hAnsi="Arial"/>
          <w:i/>
        </w:rPr>
        <w:t>el</w:t>
      </w:r>
      <w:r>
        <w:rPr>
          <w:rFonts w:ascii="Arial" w:hAnsi="Arial"/>
          <w:i/>
          <w:spacing w:val="-6"/>
        </w:rPr>
        <w:t xml:space="preserve"> </w:t>
      </w:r>
      <w:r>
        <w:rPr>
          <w:rFonts w:ascii="Arial" w:hAnsi="Arial"/>
          <w:i/>
        </w:rPr>
        <w:t>modelo</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negocio</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spacing w:val="-2"/>
        </w:rPr>
        <w:t>Guardiana</w:t>
      </w:r>
    </w:p>
    <w:p w:rsidR="009B4BB4" w:rsidRDefault="009B4BB4">
      <w:pPr>
        <w:pStyle w:val="Textoindependiente"/>
        <w:spacing w:before="0"/>
        <w:rPr>
          <w:rFonts w:ascii="Arial"/>
          <w:i/>
          <w:sz w:val="20"/>
        </w:rPr>
      </w:pPr>
    </w:p>
    <w:p w:rsidR="009B4BB4" w:rsidRDefault="009B4BB4">
      <w:pPr>
        <w:pStyle w:val="Textoindependiente"/>
        <w:spacing w:before="33" w:after="1"/>
        <w:rPr>
          <w:rFonts w:ascii="Arial"/>
          <w:i/>
          <w:sz w:val="20"/>
        </w:rPr>
      </w:pPr>
    </w:p>
    <w:tbl>
      <w:tblPr>
        <w:tblStyle w:val="TableNormal"/>
        <w:tblW w:w="0" w:type="auto"/>
        <w:tblInd w:w="432" w:type="dxa"/>
        <w:tblLayout w:type="fixed"/>
        <w:tblLook w:val="01E0" w:firstRow="1" w:lastRow="1" w:firstColumn="1" w:lastColumn="1" w:noHBand="0" w:noVBand="0"/>
      </w:tblPr>
      <w:tblGrid>
        <w:gridCol w:w="3026"/>
        <w:gridCol w:w="3001"/>
        <w:gridCol w:w="3153"/>
      </w:tblGrid>
      <w:tr w:rsidR="009B4BB4">
        <w:trPr>
          <w:trHeight w:val="720"/>
        </w:trPr>
        <w:tc>
          <w:tcPr>
            <w:tcW w:w="3026" w:type="dxa"/>
            <w:tcBorders>
              <w:top w:val="single" w:sz="8" w:space="0" w:color="000000"/>
              <w:bottom w:val="single" w:sz="8" w:space="0" w:color="000000"/>
            </w:tcBorders>
          </w:tcPr>
          <w:p w:rsidR="009B4BB4" w:rsidRDefault="00C44001">
            <w:pPr>
              <w:pStyle w:val="TableParagraph"/>
              <w:spacing w:before="247"/>
              <w:rPr>
                <w:rFonts w:ascii="Arial"/>
                <w:b/>
              </w:rPr>
            </w:pPr>
            <w:r>
              <w:rPr>
                <w:rFonts w:ascii="Arial"/>
                <w:b/>
                <w:spacing w:val="-5"/>
              </w:rPr>
              <w:t>ODS</w:t>
            </w:r>
          </w:p>
        </w:tc>
        <w:tc>
          <w:tcPr>
            <w:tcW w:w="3001" w:type="dxa"/>
            <w:tcBorders>
              <w:top w:val="single" w:sz="8" w:space="0" w:color="000000"/>
              <w:bottom w:val="single" w:sz="8" w:space="0" w:color="000000"/>
            </w:tcBorders>
          </w:tcPr>
          <w:p w:rsidR="009B4BB4" w:rsidRDefault="00C44001">
            <w:pPr>
              <w:pStyle w:val="TableParagraph"/>
              <w:spacing w:before="247"/>
              <w:ind w:left="34"/>
              <w:rPr>
                <w:rFonts w:ascii="Arial" w:hAnsi="Arial"/>
                <w:b/>
              </w:rPr>
            </w:pPr>
            <w:r>
              <w:rPr>
                <w:rFonts w:ascii="Arial" w:hAnsi="Arial"/>
                <w:b/>
              </w:rPr>
              <w:t>Acción</w:t>
            </w:r>
            <w:r>
              <w:rPr>
                <w:rFonts w:ascii="Arial" w:hAnsi="Arial"/>
                <w:b/>
                <w:spacing w:val="-6"/>
              </w:rPr>
              <w:t xml:space="preserve"> </w:t>
            </w:r>
            <w:r>
              <w:rPr>
                <w:rFonts w:ascii="Arial" w:hAnsi="Arial"/>
                <w:b/>
                <w:spacing w:val="-2"/>
              </w:rPr>
              <w:t>concreta</w:t>
            </w:r>
          </w:p>
        </w:tc>
        <w:tc>
          <w:tcPr>
            <w:tcW w:w="3153" w:type="dxa"/>
            <w:tcBorders>
              <w:top w:val="single" w:sz="8" w:space="0" w:color="000000"/>
              <w:bottom w:val="single" w:sz="8" w:space="0" w:color="000000"/>
            </w:tcBorders>
          </w:tcPr>
          <w:p w:rsidR="009B4BB4" w:rsidRDefault="00C44001">
            <w:pPr>
              <w:pStyle w:val="TableParagraph"/>
              <w:spacing w:before="247"/>
              <w:ind w:left="93"/>
              <w:rPr>
                <w:rFonts w:ascii="Arial" w:hAnsi="Arial"/>
                <w:b/>
              </w:rPr>
            </w:pPr>
            <w:r>
              <w:rPr>
                <w:rFonts w:ascii="Arial" w:hAnsi="Arial"/>
                <w:b/>
                <w:spacing w:val="-2"/>
              </w:rPr>
              <w:t>Métrica</w:t>
            </w:r>
          </w:p>
        </w:tc>
      </w:tr>
      <w:tr w:rsidR="009B4BB4">
        <w:trPr>
          <w:trHeight w:val="1257"/>
        </w:trPr>
        <w:tc>
          <w:tcPr>
            <w:tcW w:w="3026" w:type="dxa"/>
            <w:tcBorders>
              <w:top w:val="single" w:sz="8" w:space="0" w:color="000000"/>
            </w:tcBorders>
          </w:tcPr>
          <w:p w:rsidR="009B4BB4" w:rsidRDefault="009B4BB4">
            <w:pPr>
              <w:pStyle w:val="TableParagraph"/>
              <w:rPr>
                <w:rFonts w:ascii="Arial"/>
                <w:i/>
              </w:rPr>
            </w:pPr>
          </w:p>
          <w:p w:rsidR="009B4BB4" w:rsidRDefault="009B4BB4">
            <w:pPr>
              <w:pStyle w:val="TableParagraph"/>
              <w:spacing w:before="2"/>
              <w:rPr>
                <w:rFonts w:ascii="Arial"/>
                <w:i/>
              </w:rPr>
            </w:pPr>
          </w:p>
          <w:p w:rsidR="009B4BB4" w:rsidRDefault="00C44001">
            <w:pPr>
              <w:pStyle w:val="TableParagraph"/>
            </w:pPr>
            <w:r>
              <w:t>ODS</w:t>
            </w:r>
            <w:r>
              <w:rPr>
                <w:spacing w:val="-3"/>
              </w:rPr>
              <w:t xml:space="preserve"> </w:t>
            </w:r>
            <w:r>
              <w:t>3:</w:t>
            </w:r>
            <w:r>
              <w:rPr>
                <w:spacing w:val="-3"/>
              </w:rPr>
              <w:t xml:space="preserve"> </w:t>
            </w:r>
            <w:r>
              <w:t>Salud</w:t>
            </w:r>
            <w:r>
              <w:rPr>
                <w:spacing w:val="-3"/>
              </w:rPr>
              <w:t xml:space="preserve"> </w:t>
            </w:r>
            <w:r>
              <w:t>y</w:t>
            </w:r>
            <w:r>
              <w:rPr>
                <w:spacing w:val="-2"/>
              </w:rPr>
              <w:t xml:space="preserve"> bienestar</w:t>
            </w:r>
          </w:p>
        </w:tc>
        <w:tc>
          <w:tcPr>
            <w:tcW w:w="3001" w:type="dxa"/>
            <w:tcBorders>
              <w:top w:val="single" w:sz="8" w:space="0" w:color="000000"/>
            </w:tcBorders>
          </w:tcPr>
          <w:p w:rsidR="009B4BB4" w:rsidRDefault="009B4BB4">
            <w:pPr>
              <w:pStyle w:val="TableParagraph"/>
              <w:spacing w:before="2"/>
              <w:rPr>
                <w:rFonts w:ascii="Arial"/>
                <w:i/>
              </w:rPr>
            </w:pPr>
          </w:p>
          <w:p w:rsidR="009B4BB4" w:rsidRDefault="00C44001">
            <w:pPr>
              <w:pStyle w:val="TableParagraph"/>
              <w:ind w:left="34"/>
            </w:pPr>
            <w:r>
              <w:t>Comercialización</w:t>
            </w:r>
            <w:r>
              <w:rPr>
                <w:spacing w:val="-16"/>
              </w:rPr>
              <w:t xml:space="preserve"> </w:t>
            </w:r>
            <w:r>
              <w:t>de</w:t>
            </w:r>
            <w:r>
              <w:rPr>
                <w:spacing w:val="-15"/>
              </w:rPr>
              <w:t xml:space="preserve"> </w:t>
            </w:r>
            <w:r>
              <w:t>miel melipona con enfoque funcional y educativo</w:t>
            </w:r>
          </w:p>
        </w:tc>
        <w:tc>
          <w:tcPr>
            <w:tcW w:w="3153" w:type="dxa"/>
            <w:tcBorders>
              <w:top w:val="single" w:sz="8" w:space="0" w:color="000000"/>
            </w:tcBorders>
          </w:tcPr>
          <w:p w:rsidR="009B4BB4" w:rsidRDefault="009B4BB4">
            <w:pPr>
              <w:pStyle w:val="TableParagraph"/>
              <w:spacing w:before="128"/>
              <w:rPr>
                <w:rFonts w:ascii="Arial"/>
                <w:i/>
              </w:rPr>
            </w:pPr>
          </w:p>
          <w:p w:rsidR="009B4BB4" w:rsidRDefault="00C44001">
            <w:pPr>
              <w:pStyle w:val="TableParagraph"/>
              <w:ind w:left="93"/>
              <w:rPr>
                <w:rFonts w:ascii="Arial" w:hAnsi="Arial"/>
                <w:i/>
              </w:rPr>
            </w:pPr>
            <w:r>
              <w:t>%</w:t>
            </w:r>
            <w:r>
              <w:rPr>
                <w:spacing w:val="-4"/>
              </w:rPr>
              <w:t xml:space="preserve"> </w:t>
            </w:r>
            <w:r>
              <w:t>de</w:t>
            </w:r>
            <w:r>
              <w:rPr>
                <w:spacing w:val="-3"/>
              </w:rPr>
              <w:t xml:space="preserve"> </w:t>
            </w:r>
            <w:r>
              <w:t>ventas</w:t>
            </w:r>
            <w:r>
              <w:rPr>
                <w:spacing w:val="-3"/>
              </w:rPr>
              <w:t xml:space="preserve"> </w:t>
            </w:r>
            <w:r>
              <w:t>en</w:t>
            </w:r>
            <w:r>
              <w:rPr>
                <w:spacing w:val="-3"/>
              </w:rPr>
              <w:t xml:space="preserve"> </w:t>
            </w:r>
            <w:r>
              <w:t>línea</w:t>
            </w:r>
            <w:r>
              <w:rPr>
                <w:spacing w:val="-3"/>
              </w:rPr>
              <w:t xml:space="preserve"> </w:t>
            </w:r>
            <w:r>
              <w:rPr>
                <w:rFonts w:ascii="Arial" w:hAnsi="Arial"/>
                <w:i/>
                <w:spacing w:val="-2"/>
              </w:rPr>
              <w:t>wellness</w:t>
            </w:r>
          </w:p>
          <w:p w:rsidR="009B4BB4" w:rsidRDefault="00C44001">
            <w:pPr>
              <w:pStyle w:val="TableParagraph"/>
              <w:ind w:left="93"/>
            </w:pPr>
            <w:r>
              <w:t>/</w:t>
            </w:r>
            <w:r>
              <w:rPr>
                <w:spacing w:val="-5"/>
              </w:rPr>
              <w:t xml:space="preserve"> </w:t>
            </w:r>
            <w:r>
              <w:t>recurrencia</w:t>
            </w:r>
            <w:r>
              <w:rPr>
                <w:spacing w:val="-5"/>
              </w:rPr>
              <w:t xml:space="preserve"> </w:t>
            </w:r>
            <w:r>
              <w:t>de</w:t>
            </w:r>
            <w:r>
              <w:rPr>
                <w:spacing w:val="-4"/>
              </w:rPr>
              <w:t xml:space="preserve"> </w:t>
            </w:r>
            <w:r>
              <w:rPr>
                <w:spacing w:val="-2"/>
              </w:rPr>
              <w:t>consumo</w:t>
            </w:r>
          </w:p>
        </w:tc>
      </w:tr>
      <w:tr w:rsidR="009B4BB4">
        <w:trPr>
          <w:trHeight w:val="1238"/>
        </w:trPr>
        <w:tc>
          <w:tcPr>
            <w:tcW w:w="3026" w:type="dxa"/>
          </w:tcPr>
          <w:p w:rsidR="009B4BB4" w:rsidRDefault="009B4BB4">
            <w:pPr>
              <w:pStyle w:val="TableParagraph"/>
              <w:spacing w:before="109"/>
              <w:rPr>
                <w:rFonts w:ascii="Arial"/>
                <w:i/>
              </w:rPr>
            </w:pPr>
          </w:p>
          <w:p w:rsidR="009B4BB4" w:rsidRDefault="00C44001">
            <w:pPr>
              <w:pStyle w:val="TableParagraph"/>
              <w:spacing w:before="1"/>
            </w:pPr>
            <w:r>
              <w:t>ODS</w:t>
            </w:r>
            <w:r>
              <w:rPr>
                <w:spacing w:val="-10"/>
              </w:rPr>
              <w:t xml:space="preserve"> </w:t>
            </w:r>
            <w:r>
              <w:t>8</w:t>
            </w:r>
            <w:r>
              <w:rPr>
                <w:spacing w:val="-10"/>
              </w:rPr>
              <w:t xml:space="preserve"> </w:t>
            </w:r>
            <w:r>
              <w:t>:</w:t>
            </w:r>
            <w:r>
              <w:rPr>
                <w:spacing w:val="-10"/>
              </w:rPr>
              <w:t xml:space="preserve"> </w:t>
            </w:r>
            <w:r>
              <w:t>Trabajo</w:t>
            </w:r>
            <w:r>
              <w:rPr>
                <w:spacing w:val="-10"/>
              </w:rPr>
              <w:t xml:space="preserve"> </w:t>
            </w:r>
            <w:r>
              <w:t>decente</w:t>
            </w:r>
            <w:r>
              <w:rPr>
                <w:spacing w:val="-10"/>
              </w:rPr>
              <w:t xml:space="preserve"> </w:t>
            </w:r>
            <w:r>
              <w:t>y crecimiento económico</w:t>
            </w:r>
          </w:p>
        </w:tc>
        <w:tc>
          <w:tcPr>
            <w:tcW w:w="3001" w:type="dxa"/>
          </w:tcPr>
          <w:p w:rsidR="009B4BB4" w:rsidRDefault="00C44001">
            <w:pPr>
              <w:pStyle w:val="TableParagraph"/>
              <w:spacing w:before="236"/>
              <w:ind w:left="34"/>
            </w:pPr>
            <w:r>
              <w:t>Pago</w:t>
            </w:r>
            <w:r>
              <w:rPr>
                <w:spacing w:val="-14"/>
              </w:rPr>
              <w:t xml:space="preserve"> </w:t>
            </w:r>
            <w:r>
              <w:t>justo</w:t>
            </w:r>
            <w:r>
              <w:rPr>
                <w:spacing w:val="-14"/>
              </w:rPr>
              <w:t xml:space="preserve"> </w:t>
            </w:r>
            <w:r>
              <w:t>a</w:t>
            </w:r>
            <w:r>
              <w:rPr>
                <w:spacing w:val="-14"/>
              </w:rPr>
              <w:t xml:space="preserve"> </w:t>
            </w:r>
            <w:r>
              <w:t xml:space="preserve">meliponicultores por encima del mercado </w:t>
            </w:r>
            <w:r>
              <w:rPr>
                <w:spacing w:val="-2"/>
              </w:rPr>
              <w:t>informal</w:t>
            </w:r>
          </w:p>
        </w:tc>
        <w:tc>
          <w:tcPr>
            <w:tcW w:w="3153" w:type="dxa"/>
          </w:tcPr>
          <w:p w:rsidR="009B4BB4" w:rsidRDefault="009B4BB4">
            <w:pPr>
              <w:pStyle w:val="TableParagraph"/>
              <w:spacing w:before="109"/>
              <w:rPr>
                <w:rFonts w:ascii="Arial"/>
                <w:i/>
              </w:rPr>
            </w:pPr>
          </w:p>
          <w:p w:rsidR="009B4BB4" w:rsidRDefault="00C44001">
            <w:pPr>
              <w:pStyle w:val="TableParagraph"/>
              <w:spacing w:before="1"/>
              <w:ind w:left="93" w:right="49"/>
            </w:pPr>
            <w:r>
              <w:t>%</w:t>
            </w:r>
            <w:r>
              <w:rPr>
                <w:spacing w:val="-13"/>
              </w:rPr>
              <w:t xml:space="preserve"> </w:t>
            </w:r>
            <w:r>
              <w:t>sobreprecio</w:t>
            </w:r>
            <w:r>
              <w:rPr>
                <w:spacing w:val="-13"/>
              </w:rPr>
              <w:t xml:space="preserve"> </w:t>
            </w:r>
            <w:r>
              <w:t>pagado</w:t>
            </w:r>
            <w:r>
              <w:rPr>
                <w:spacing w:val="-13"/>
              </w:rPr>
              <w:t xml:space="preserve"> </w:t>
            </w:r>
            <w:r>
              <w:t>/ margen del productor</w:t>
            </w:r>
          </w:p>
        </w:tc>
      </w:tr>
      <w:tr w:rsidR="009B4BB4">
        <w:trPr>
          <w:trHeight w:val="1238"/>
        </w:trPr>
        <w:tc>
          <w:tcPr>
            <w:tcW w:w="3026" w:type="dxa"/>
          </w:tcPr>
          <w:p w:rsidR="009B4BB4" w:rsidRDefault="009B4BB4">
            <w:pPr>
              <w:pStyle w:val="TableParagraph"/>
              <w:spacing w:before="109"/>
              <w:rPr>
                <w:rFonts w:ascii="Arial"/>
                <w:i/>
              </w:rPr>
            </w:pPr>
          </w:p>
          <w:p w:rsidR="009B4BB4" w:rsidRDefault="00C44001">
            <w:pPr>
              <w:pStyle w:val="TableParagraph"/>
              <w:spacing w:before="1"/>
              <w:ind w:right="15"/>
            </w:pPr>
            <w:r>
              <w:t>ODS</w:t>
            </w:r>
            <w:r>
              <w:rPr>
                <w:spacing w:val="-13"/>
              </w:rPr>
              <w:t xml:space="preserve"> </w:t>
            </w:r>
            <w:r>
              <w:t>12</w:t>
            </w:r>
            <w:r>
              <w:rPr>
                <w:spacing w:val="-13"/>
              </w:rPr>
              <w:t xml:space="preserve"> </w:t>
            </w:r>
            <w:r>
              <w:t>:Producción</w:t>
            </w:r>
            <w:r>
              <w:rPr>
                <w:spacing w:val="-13"/>
              </w:rPr>
              <w:t xml:space="preserve"> </w:t>
            </w:r>
            <w:r>
              <w:t>y consumo</w:t>
            </w:r>
            <w:r>
              <w:rPr>
                <w:spacing w:val="-7"/>
              </w:rPr>
              <w:t xml:space="preserve"> </w:t>
            </w:r>
            <w:r>
              <w:rPr>
                <w:spacing w:val="-2"/>
              </w:rPr>
              <w:t>responsable</w:t>
            </w:r>
          </w:p>
        </w:tc>
        <w:tc>
          <w:tcPr>
            <w:tcW w:w="3001" w:type="dxa"/>
          </w:tcPr>
          <w:p w:rsidR="009B4BB4" w:rsidRDefault="00C44001">
            <w:pPr>
              <w:pStyle w:val="TableParagraph"/>
              <w:spacing w:before="236"/>
              <w:ind w:left="34" w:right="3"/>
            </w:pPr>
            <w:r>
              <w:t>Implementación de trazabilidad</w:t>
            </w:r>
            <w:r>
              <w:rPr>
                <w:spacing w:val="-16"/>
              </w:rPr>
              <w:t xml:space="preserve"> </w:t>
            </w:r>
            <w:r>
              <w:t>y</w:t>
            </w:r>
            <w:r>
              <w:rPr>
                <w:spacing w:val="-15"/>
              </w:rPr>
              <w:t xml:space="preserve"> </w:t>
            </w:r>
            <w:r>
              <w:t xml:space="preserve">empaques </w:t>
            </w:r>
            <w:r>
              <w:rPr>
                <w:spacing w:val="-2"/>
              </w:rPr>
              <w:t>sostenibles</w:t>
            </w:r>
          </w:p>
        </w:tc>
        <w:tc>
          <w:tcPr>
            <w:tcW w:w="3153" w:type="dxa"/>
          </w:tcPr>
          <w:p w:rsidR="009B4BB4" w:rsidRDefault="00C44001">
            <w:pPr>
              <w:pStyle w:val="TableParagraph"/>
              <w:spacing w:before="236"/>
              <w:ind w:left="93" w:right="49"/>
            </w:pPr>
            <w:r>
              <w:t>% de productos con trazabilidad</w:t>
            </w:r>
            <w:r>
              <w:rPr>
                <w:spacing w:val="-10"/>
              </w:rPr>
              <w:t xml:space="preserve"> </w:t>
            </w:r>
            <w:r>
              <w:t>/</w:t>
            </w:r>
            <w:r>
              <w:rPr>
                <w:spacing w:val="-10"/>
              </w:rPr>
              <w:t xml:space="preserve"> </w:t>
            </w:r>
            <w:r>
              <w:t>%</w:t>
            </w:r>
            <w:r>
              <w:rPr>
                <w:spacing w:val="-10"/>
              </w:rPr>
              <w:t xml:space="preserve"> </w:t>
            </w:r>
            <w:r>
              <w:t>de</w:t>
            </w:r>
            <w:r>
              <w:rPr>
                <w:spacing w:val="-10"/>
              </w:rPr>
              <w:t xml:space="preserve"> </w:t>
            </w:r>
            <w:r>
              <w:t xml:space="preserve">empaques </w:t>
            </w:r>
            <w:r>
              <w:rPr>
                <w:spacing w:val="-2"/>
              </w:rPr>
              <w:t>sostenibles</w:t>
            </w:r>
          </w:p>
        </w:tc>
      </w:tr>
      <w:tr w:rsidR="009B4BB4">
        <w:trPr>
          <w:trHeight w:val="1224"/>
        </w:trPr>
        <w:tc>
          <w:tcPr>
            <w:tcW w:w="3026" w:type="dxa"/>
            <w:tcBorders>
              <w:bottom w:val="single" w:sz="8" w:space="0" w:color="000000"/>
            </w:tcBorders>
          </w:tcPr>
          <w:p w:rsidR="009B4BB4" w:rsidRDefault="009B4BB4">
            <w:pPr>
              <w:pStyle w:val="TableParagraph"/>
              <w:spacing w:before="109"/>
              <w:rPr>
                <w:rFonts w:ascii="Arial"/>
                <w:i/>
              </w:rPr>
            </w:pPr>
          </w:p>
          <w:p w:rsidR="009B4BB4" w:rsidRDefault="00C44001">
            <w:pPr>
              <w:pStyle w:val="TableParagraph"/>
              <w:spacing w:before="1"/>
            </w:pPr>
            <w:r>
              <w:t>ODS</w:t>
            </w:r>
            <w:r>
              <w:rPr>
                <w:spacing w:val="-9"/>
              </w:rPr>
              <w:t xml:space="preserve"> </w:t>
            </w:r>
            <w:r>
              <w:t>15</w:t>
            </w:r>
            <w:r>
              <w:rPr>
                <w:spacing w:val="-9"/>
              </w:rPr>
              <w:t xml:space="preserve"> </w:t>
            </w:r>
            <w:r>
              <w:t>:</w:t>
            </w:r>
            <w:r>
              <w:rPr>
                <w:spacing w:val="-9"/>
              </w:rPr>
              <w:t xml:space="preserve"> </w:t>
            </w:r>
            <w:r>
              <w:t>Vida</w:t>
            </w:r>
            <w:r>
              <w:rPr>
                <w:spacing w:val="-9"/>
              </w:rPr>
              <w:t xml:space="preserve"> </w:t>
            </w:r>
            <w:r>
              <w:t>de</w:t>
            </w:r>
            <w:r>
              <w:rPr>
                <w:spacing w:val="-9"/>
              </w:rPr>
              <w:t xml:space="preserve"> </w:t>
            </w:r>
            <w:r>
              <w:t xml:space="preserve">ecosistemas </w:t>
            </w:r>
            <w:r>
              <w:rPr>
                <w:spacing w:val="-2"/>
              </w:rPr>
              <w:t>terrestres</w:t>
            </w:r>
          </w:p>
        </w:tc>
        <w:tc>
          <w:tcPr>
            <w:tcW w:w="3001" w:type="dxa"/>
            <w:tcBorders>
              <w:bottom w:val="single" w:sz="8" w:space="0" w:color="000000"/>
            </w:tcBorders>
          </w:tcPr>
          <w:p w:rsidR="009B4BB4" w:rsidRDefault="00C44001">
            <w:pPr>
              <w:pStyle w:val="TableParagraph"/>
              <w:spacing w:before="236"/>
              <w:ind w:left="34"/>
              <w:rPr>
                <w:rFonts w:ascii="Arial" w:hAnsi="Arial"/>
                <w:i/>
              </w:rPr>
            </w:pPr>
            <w:r>
              <w:t>Conservación</w:t>
            </w:r>
            <w:r>
              <w:rPr>
                <w:spacing w:val="-16"/>
              </w:rPr>
              <w:t xml:space="preserve"> </w:t>
            </w:r>
            <w:r>
              <w:t>activa</w:t>
            </w:r>
            <w:r>
              <w:rPr>
                <w:spacing w:val="-15"/>
              </w:rPr>
              <w:t xml:space="preserve"> </w:t>
            </w:r>
            <w:r>
              <w:t xml:space="preserve">de colmenas de </w:t>
            </w:r>
            <w:r>
              <w:rPr>
                <w:rFonts w:ascii="Arial" w:hAnsi="Arial"/>
                <w:i/>
              </w:rPr>
              <w:t xml:space="preserve">Melipona </w:t>
            </w:r>
            <w:r>
              <w:rPr>
                <w:rFonts w:ascii="Arial" w:hAnsi="Arial"/>
                <w:i/>
                <w:spacing w:val="-2"/>
              </w:rPr>
              <w:t>beecheii</w:t>
            </w:r>
          </w:p>
        </w:tc>
        <w:tc>
          <w:tcPr>
            <w:tcW w:w="3153" w:type="dxa"/>
            <w:tcBorders>
              <w:bottom w:val="single" w:sz="8" w:space="0" w:color="000000"/>
            </w:tcBorders>
          </w:tcPr>
          <w:p w:rsidR="009B4BB4" w:rsidRDefault="00C44001">
            <w:pPr>
              <w:pStyle w:val="TableParagraph"/>
              <w:spacing w:before="236"/>
              <w:ind w:left="93"/>
            </w:pPr>
            <w:r>
              <w:t>Número de colmenas protegidas</w:t>
            </w:r>
            <w:r>
              <w:rPr>
                <w:spacing w:val="-13"/>
              </w:rPr>
              <w:t xml:space="preserve"> </w:t>
            </w:r>
            <w:r>
              <w:t>/</w:t>
            </w:r>
            <w:r>
              <w:rPr>
                <w:spacing w:val="-13"/>
              </w:rPr>
              <w:t xml:space="preserve"> </w:t>
            </w:r>
            <w:r>
              <w:t>crecimiento</w:t>
            </w:r>
            <w:r>
              <w:rPr>
                <w:spacing w:val="-13"/>
              </w:rPr>
              <w:t xml:space="preserve"> </w:t>
            </w:r>
            <w:r>
              <w:t>de productores aliados</w:t>
            </w:r>
          </w:p>
        </w:tc>
      </w:tr>
    </w:tbl>
    <w:p w:rsidR="009B4BB4" w:rsidRDefault="009B4BB4">
      <w:pPr>
        <w:pStyle w:val="TableParagrap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5"/>
        <w:jc w:val="both"/>
      </w:pPr>
      <w:r>
        <w:rPr>
          <w:rFonts w:ascii="Arial" w:hAnsi="Arial"/>
          <w:i/>
        </w:rPr>
        <w:lastRenderedPageBreak/>
        <w:t xml:space="preserve">Nota. </w:t>
      </w:r>
      <w:r>
        <w:t>La tabla vincula los Objetivos de Desarrollo Sostenible (ODS) con acciones específicas del modelo de negocio de Guardiana e indicadores de desempeño, permitiendo evaluar su impacto económico, social y ambiental de manera integrada. Elaboración propia (2025</w:t>
      </w:r>
      <w:r>
        <w:t>).</w:t>
      </w:r>
    </w:p>
    <w:p w:rsidR="009B4BB4" w:rsidRDefault="00C44001" w:rsidP="00C44001">
      <w:pPr>
        <w:pStyle w:val="Ttulo2"/>
        <w:numPr>
          <w:ilvl w:val="2"/>
          <w:numId w:val="68"/>
        </w:numPr>
        <w:tabs>
          <w:tab w:val="left" w:pos="970"/>
        </w:tabs>
        <w:ind w:left="970" w:hanging="545"/>
        <w:jc w:val="left"/>
      </w:pPr>
      <w:bookmarkStart w:id="29" w:name="1.2.2_Empresa_B_y_el_modelo_de_triple_im"/>
      <w:bookmarkStart w:id="30" w:name="h.cko85kjtige8"/>
      <w:bookmarkEnd w:id="29"/>
      <w:bookmarkEnd w:id="30"/>
      <w:r>
        <w:t>Empresa</w:t>
      </w:r>
      <w:r>
        <w:rPr>
          <w:spacing w:val="-4"/>
        </w:rPr>
        <w:t xml:space="preserve"> </w:t>
      </w:r>
      <w:r>
        <w:t>B</w:t>
      </w:r>
      <w:r>
        <w:rPr>
          <w:spacing w:val="-4"/>
        </w:rPr>
        <w:t xml:space="preserve"> </w:t>
      </w:r>
      <w:r>
        <w:t>y</w:t>
      </w:r>
      <w:r>
        <w:rPr>
          <w:spacing w:val="-3"/>
        </w:rPr>
        <w:t xml:space="preserve"> </w:t>
      </w:r>
      <w:r>
        <w:t>el</w:t>
      </w:r>
      <w:r>
        <w:rPr>
          <w:spacing w:val="-4"/>
        </w:rPr>
        <w:t xml:space="preserve"> </w:t>
      </w:r>
      <w:r>
        <w:t>modelo</w:t>
      </w:r>
      <w:r>
        <w:rPr>
          <w:spacing w:val="-3"/>
        </w:rPr>
        <w:t xml:space="preserve"> </w:t>
      </w:r>
      <w:r>
        <w:t>de</w:t>
      </w:r>
      <w:r>
        <w:rPr>
          <w:spacing w:val="-4"/>
        </w:rPr>
        <w:t xml:space="preserve"> </w:t>
      </w:r>
      <w:r>
        <w:t>triple</w:t>
      </w:r>
      <w:r>
        <w:rPr>
          <w:spacing w:val="-3"/>
        </w:rPr>
        <w:t xml:space="preserve"> </w:t>
      </w:r>
      <w:r>
        <w:rPr>
          <w:spacing w:val="-2"/>
        </w:rPr>
        <w:t>impacto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Las Empresas B o B Corps</w:t>
      </w:r>
      <w:r>
        <w:rPr>
          <w:spacing w:val="-4"/>
        </w:rPr>
        <w:t xml:space="preserve"> </w:t>
      </w:r>
      <w:r>
        <w:t>representan</w:t>
      </w:r>
      <w:r>
        <w:rPr>
          <w:spacing w:val="-4"/>
        </w:rPr>
        <w:t xml:space="preserve"> </w:t>
      </w:r>
      <w:r>
        <w:t>una</w:t>
      </w:r>
      <w:r>
        <w:rPr>
          <w:spacing w:val="-4"/>
        </w:rPr>
        <w:t xml:space="preserve"> </w:t>
      </w:r>
      <w:r>
        <w:t>nueva</w:t>
      </w:r>
      <w:r>
        <w:rPr>
          <w:spacing w:val="-4"/>
        </w:rPr>
        <w:t xml:space="preserve"> </w:t>
      </w:r>
      <w:r>
        <w:t>generación</w:t>
      </w:r>
      <w:r>
        <w:rPr>
          <w:spacing w:val="-4"/>
        </w:rPr>
        <w:t xml:space="preserve"> </w:t>
      </w:r>
      <w:r>
        <w:t>de</w:t>
      </w:r>
      <w:r>
        <w:rPr>
          <w:spacing w:val="-4"/>
        </w:rPr>
        <w:t xml:space="preserve"> </w:t>
      </w:r>
      <w:r>
        <w:t>organizaciones que integran el impacto positivo en el centro de su modelo de negocio. Este enfoque se basa en el triple impacto, económico, social y ambiental,</w:t>
      </w:r>
      <w:r>
        <w:rPr>
          <w:spacing w:val="-3"/>
        </w:rPr>
        <w:t xml:space="preserve"> </w:t>
      </w:r>
      <w:r>
        <w:t>propuesto</w:t>
      </w:r>
      <w:r>
        <w:rPr>
          <w:spacing w:val="-3"/>
        </w:rPr>
        <w:t xml:space="preserve"> </w:t>
      </w:r>
      <w:r>
        <w:t>por</w:t>
      </w:r>
      <w:r>
        <w:rPr>
          <w:spacing w:val="-3"/>
        </w:rPr>
        <w:t xml:space="preserve"> </w:t>
      </w:r>
      <w:r>
        <w:t>Elkington</w:t>
      </w:r>
      <w:r>
        <w:rPr>
          <w:spacing w:val="-3"/>
        </w:rPr>
        <w:t xml:space="preserve"> </w:t>
      </w:r>
      <w:r>
        <w:t>(1994),</w:t>
      </w:r>
      <w:r>
        <w:rPr>
          <w:spacing w:val="40"/>
        </w:rPr>
        <w:t xml:space="preserve"> </w:t>
      </w:r>
      <w:r>
        <w:t>y busca transformar la lógica tradicional centrada exclusivament</w:t>
      </w:r>
      <w:r>
        <w:t xml:space="preserve">e en la rentabilidad </w:t>
      </w:r>
      <w:r>
        <w:rPr>
          <w:spacing w:val="-2"/>
        </w:rPr>
        <w:t>financiera.</w:t>
      </w:r>
    </w:p>
    <w:p w:rsidR="009B4BB4" w:rsidRDefault="00C44001">
      <w:pPr>
        <w:pStyle w:val="Textoindependiente"/>
        <w:spacing w:line="360" w:lineRule="auto"/>
        <w:ind w:left="425" w:right="603" w:firstLine="720"/>
        <w:jc w:val="both"/>
      </w:pPr>
      <w:r>
        <w:t>Tabares et al. (2021) explican que las Empresas B operan bajo estructuras de gobernanza que consideran a todos los grupos de interés, incluyendo comunidad, trabajadores, clientes y medioambiente, además de</w:t>
      </w:r>
      <w:r>
        <w:rPr>
          <w:spacing w:val="-4"/>
        </w:rPr>
        <w:t xml:space="preserve"> </w:t>
      </w:r>
      <w:r>
        <w:t>los</w:t>
      </w:r>
      <w:r>
        <w:rPr>
          <w:spacing w:val="-4"/>
        </w:rPr>
        <w:t xml:space="preserve"> </w:t>
      </w:r>
      <w:r>
        <w:t>accionistas.</w:t>
      </w:r>
      <w:r>
        <w:rPr>
          <w:spacing w:val="-4"/>
        </w:rPr>
        <w:t xml:space="preserve"> </w:t>
      </w:r>
      <w:r>
        <w:t>Este</w:t>
      </w:r>
      <w:r>
        <w:rPr>
          <w:spacing w:val="-4"/>
        </w:rPr>
        <w:t xml:space="preserve"> </w:t>
      </w:r>
      <w:r>
        <w:t>marco</w:t>
      </w:r>
      <w:r>
        <w:rPr>
          <w:spacing w:val="-4"/>
        </w:rPr>
        <w:t xml:space="preserve"> </w:t>
      </w:r>
      <w:r>
        <w:t>se</w:t>
      </w:r>
      <w:r>
        <w:rPr>
          <w:spacing w:val="-4"/>
        </w:rPr>
        <w:t xml:space="preserve"> </w:t>
      </w:r>
      <w:r>
        <w:t>valida a través de B Lab, organización que evalúa el desempeño en cinco dimensiones: gobernanza, trabajadores, comunidad, medioambiente y clientes.</w:t>
      </w:r>
    </w:p>
    <w:p w:rsidR="009B4BB4" w:rsidRDefault="00C44001">
      <w:pPr>
        <w:pStyle w:val="Textoindependiente"/>
        <w:spacing w:line="360" w:lineRule="auto"/>
        <w:ind w:left="425" w:right="612" w:firstLine="720"/>
        <w:jc w:val="both"/>
      </w:pPr>
      <w:r>
        <w:t xml:space="preserve">En América Latina, el crecimiento del movimiento B ha impulsado modelos híbridos que combinan </w:t>
      </w:r>
      <w:r>
        <w:t>propósito y sostenibilidad económica. Según el informe de NBS Chile (2015), los principales desafíos incluyen la medición del impacto, la comunicación del valor diferencial, la gestión del crecimiento sin pérdida de identidad y el</w:t>
      </w:r>
      <w:r>
        <w:rPr>
          <w:spacing w:val="40"/>
        </w:rPr>
        <w:t xml:space="preserve"> </w:t>
      </w:r>
      <w:r>
        <w:t>fortalecimiento de la cul</w:t>
      </w:r>
      <w:r>
        <w:t>tura organizacional.</w:t>
      </w:r>
    </w:p>
    <w:p w:rsidR="009B4BB4" w:rsidRDefault="00C44001">
      <w:pPr>
        <w:pStyle w:val="Textoindependiente"/>
        <w:ind w:left="1145"/>
      </w:pPr>
      <w:r>
        <w:t>Guardiana</w:t>
      </w:r>
      <w:r>
        <w:rPr>
          <w:spacing w:val="-9"/>
        </w:rPr>
        <w:t xml:space="preserve"> </w:t>
      </w:r>
      <w:r>
        <w:t>comparte</w:t>
      </w:r>
      <w:r>
        <w:rPr>
          <w:spacing w:val="-6"/>
        </w:rPr>
        <w:t xml:space="preserve"> </w:t>
      </w:r>
      <w:r>
        <w:t>esta</w:t>
      </w:r>
      <w:r>
        <w:rPr>
          <w:spacing w:val="-7"/>
        </w:rPr>
        <w:t xml:space="preserve"> </w:t>
      </w:r>
      <w:r>
        <w:t>filosofía.</w:t>
      </w:r>
      <w:r>
        <w:rPr>
          <w:spacing w:val="-6"/>
        </w:rPr>
        <w:t xml:space="preserve"> </w:t>
      </w:r>
      <w:r>
        <w:t>Su</w:t>
      </w:r>
      <w:r>
        <w:rPr>
          <w:spacing w:val="-7"/>
        </w:rPr>
        <w:t xml:space="preserve"> </w:t>
      </w:r>
      <w:r>
        <w:t>propuesta</w:t>
      </w:r>
      <w:r>
        <w:rPr>
          <w:spacing w:val="-6"/>
        </w:rPr>
        <w:t xml:space="preserve"> </w:t>
      </w:r>
      <w:r>
        <w:t>se</w:t>
      </w:r>
      <w:r>
        <w:rPr>
          <w:spacing w:val="-7"/>
        </w:rPr>
        <w:t xml:space="preserve"> </w:t>
      </w:r>
      <w:r>
        <w:t>sustenta</w:t>
      </w:r>
      <w:r>
        <w:rPr>
          <w:spacing w:val="-6"/>
        </w:rPr>
        <w:t xml:space="preserve"> </w:t>
      </w:r>
      <w:r>
        <w:rPr>
          <w:spacing w:val="-5"/>
        </w:rPr>
        <w:t>en:</w:t>
      </w:r>
    </w:p>
    <w:p w:rsidR="009B4BB4" w:rsidRDefault="009B4BB4">
      <w:pPr>
        <w:pStyle w:val="Textoindependiente"/>
        <w:spacing w:before="113"/>
      </w:pPr>
    </w:p>
    <w:p w:rsidR="009B4BB4" w:rsidRDefault="00C44001" w:rsidP="00C44001">
      <w:pPr>
        <w:pStyle w:val="Prrafodelista"/>
        <w:numPr>
          <w:ilvl w:val="3"/>
          <w:numId w:val="68"/>
        </w:numPr>
        <w:tabs>
          <w:tab w:val="left" w:pos="1145"/>
        </w:tabs>
        <w:spacing w:before="0" w:line="360" w:lineRule="auto"/>
        <w:ind w:left="1145" w:right="617" w:hanging="360"/>
        <w:jc w:val="both"/>
      </w:pPr>
      <w:r>
        <w:rPr>
          <w:rFonts w:ascii="Arial" w:hAnsi="Arial"/>
          <w:b/>
        </w:rPr>
        <w:t xml:space="preserve">Impacto ambiental positivo: </w:t>
      </w:r>
      <w:r>
        <w:t>Promueve la conservación de la abeja melipona y</w:t>
      </w:r>
      <w:r>
        <w:rPr>
          <w:spacing w:val="40"/>
        </w:rPr>
        <w:t xml:space="preserve"> </w:t>
      </w:r>
      <w:r>
        <w:t>la protección de su ecosistema mediante incentivos económicos alineados.</w:t>
      </w:r>
    </w:p>
    <w:p w:rsidR="009B4BB4" w:rsidRDefault="00C44001" w:rsidP="00C44001">
      <w:pPr>
        <w:pStyle w:val="Prrafodelista"/>
        <w:numPr>
          <w:ilvl w:val="3"/>
          <w:numId w:val="68"/>
        </w:numPr>
        <w:tabs>
          <w:tab w:val="left" w:pos="1145"/>
        </w:tabs>
        <w:spacing w:before="0" w:line="360" w:lineRule="auto"/>
        <w:ind w:left="1145" w:right="610" w:hanging="360"/>
        <w:jc w:val="both"/>
      </w:pPr>
      <w:r>
        <w:rPr>
          <w:rFonts w:ascii="Arial" w:hAnsi="Arial"/>
          <w:b/>
        </w:rPr>
        <w:t xml:space="preserve">Impacto social: </w:t>
      </w:r>
      <w:r>
        <w:t xml:space="preserve">Impulsa el comercio justo, establece alianzas con cooperativas mayas y valoriza el conocimiento ancestral transmitido por mujeres </w:t>
      </w:r>
      <w:r>
        <w:rPr>
          <w:spacing w:val="-2"/>
        </w:rPr>
        <w:t>meliponicultoras.</w:t>
      </w:r>
    </w:p>
    <w:p w:rsidR="009B4BB4" w:rsidRDefault="00C44001" w:rsidP="00C44001">
      <w:pPr>
        <w:pStyle w:val="Prrafodelista"/>
        <w:numPr>
          <w:ilvl w:val="3"/>
          <w:numId w:val="68"/>
        </w:numPr>
        <w:tabs>
          <w:tab w:val="left" w:pos="1145"/>
        </w:tabs>
        <w:spacing w:before="0" w:line="360" w:lineRule="auto"/>
        <w:ind w:left="1145" w:right="608" w:hanging="360"/>
        <w:jc w:val="both"/>
      </w:pPr>
      <w:r>
        <w:rPr>
          <w:rFonts w:ascii="Arial" w:hAnsi="Arial"/>
          <w:b/>
        </w:rPr>
        <w:t xml:space="preserve">Sostenibilidad económica: </w:t>
      </w:r>
      <w:r>
        <w:t>Se apoya en un modelo asset-light, escalable y basado en alto valor percibido, tra</w:t>
      </w:r>
      <w:r>
        <w:t>zabilidad y narrativa cultural.</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4" w:firstLine="720"/>
        <w:jc w:val="both"/>
      </w:pPr>
      <w:r>
        <w:lastRenderedPageBreak/>
        <w:t>Como sugieren Moroz et al. (2022), los emprendimientos con vocación transformadora</w:t>
      </w:r>
      <w:r>
        <w:rPr>
          <w:spacing w:val="-6"/>
        </w:rPr>
        <w:t xml:space="preserve"> </w:t>
      </w:r>
      <w:r>
        <w:t>requieren</w:t>
      </w:r>
      <w:r>
        <w:rPr>
          <w:spacing w:val="-6"/>
        </w:rPr>
        <w:t xml:space="preserve"> </w:t>
      </w:r>
      <w:r>
        <w:t>arquitecturas</w:t>
      </w:r>
      <w:r>
        <w:rPr>
          <w:spacing w:val="-6"/>
        </w:rPr>
        <w:t xml:space="preserve"> </w:t>
      </w:r>
      <w:r>
        <w:t>estratégicas</w:t>
      </w:r>
      <w:r>
        <w:rPr>
          <w:spacing w:val="-6"/>
        </w:rPr>
        <w:t xml:space="preserve"> </w:t>
      </w:r>
      <w:r>
        <w:t>que</w:t>
      </w:r>
      <w:r>
        <w:rPr>
          <w:spacing w:val="-6"/>
        </w:rPr>
        <w:t xml:space="preserve"> </w:t>
      </w:r>
      <w:r>
        <w:t>integren</w:t>
      </w:r>
      <w:r>
        <w:rPr>
          <w:spacing w:val="-6"/>
        </w:rPr>
        <w:t xml:space="preserve"> </w:t>
      </w:r>
      <w:r>
        <w:t>propósito,</w:t>
      </w:r>
      <w:r>
        <w:rPr>
          <w:spacing w:val="-6"/>
        </w:rPr>
        <w:t xml:space="preserve"> </w:t>
      </w:r>
      <w:r>
        <w:t>gobernanza</w:t>
      </w:r>
      <w:r>
        <w:rPr>
          <w:spacing w:val="-6"/>
        </w:rPr>
        <w:t xml:space="preserve"> </w:t>
      </w:r>
      <w:r>
        <w:t>y medición. Guardiana aplica estos principios para consolidarse como</w:t>
      </w:r>
      <w:r>
        <w:rPr>
          <w:spacing w:val="-4"/>
        </w:rPr>
        <w:t xml:space="preserve"> </w:t>
      </w:r>
      <w:r>
        <w:t>una</w:t>
      </w:r>
      <w:r>
        <w:rPr>
          <w:spacing w:val="-4"/>
        </w:rPr>
        <w:t xml:space="preserve"> </w:t>
      </w:r>
      <w:r>
        <w:t>marca</w:t>
      </w:r>
      <w:r>
        <w:rPr>
          <w:spacing w:val="-4"/>
        </w:rPr>
        <w:t xml:space="preserve"> </w:t>
      </w:r>
      <w:r>
        <w:rPr>
          <w:rFonts w:ascii="Arial" w:hAnsi="Arial"/>
          <w:i/>
        </w:rPr>
        <w:t xml:space="preserve">premium </w:t>
      </w:r>
      <w:r>
        <w:t>con impacto cultural y ambiental.</w:t>
      </w:r>
    </w:p>
    <w:p w:rsidR="009B4BB4" w:rsidRDefault="00C44001">
      <w:pPr>
        <w:pStyle w:val="Textoindependiente"/>
        <w:spacing w:line="360" w:lineRule="auto"/>
        <w:ind w:left="425" w:right="608" w:firstLine="720"/>
        <w:jc w:val="both"/>
      </w:pPr>
      <w:r>
        <w:t>Lo que distingue a Guardiana dentro de este enfoque no es la declaración de propósito, sino la estructura que lo hace medible: el sobre</w:t>
      </w:r>
      <w:r>
        <w:t>precio pagado a los productores, las colmenas protegidas</w:t>
      </w:r>
      <w:r>
        <w:rPr>
          <w:spacing w:val="-5"/>
        </w:rPr>
        <w:t xml:space="preserve"> </w:t>
      </w:r>
      <w:r>
        <w:t>y</w:t>
      </w:r>
      <w:r>
        <w:rPr>
          <w:spacing w:val="-5"/>
        </w:rPr>
        <w:t xml:space="preserve"> </w:t>
      </w:r>
      <w:r>
        <w:t>el</w:t>
      </w:r>
      <w:r>
        <w:rPr>
          <w:spacing w:val="-5"/>
        </w:rPr>
        <w:t xml:space="preserve"> </w:t>
      </w:r>
      <w:r>
        <w:t>porcentaje</w:t>
      </w:r>
      <w:r>
        <w:rPr>
          <w:spacing w:val="-5"/>
        </w:rPr>
        <w:t xml:space="preserve"> </w:t>
      </w:r>
      <w:r>
        <w:t>de</w:t>
      </w:r>
      <w:r>
        <w:rPr>
          <w:spacing w:val="-5"/>
        </w:rPr>
        <w:t xml:space="preserve"> </w:t>
      </w:r>
      <w:r>
        <w:t>empaques</w:t>
      </w:r>
      <w:r>
        <w:rPr>
          <w:spacing w:val="-5"/>
        </w:rPr>
        <w:t xml:space="preserve"> </w:t>
      </w:r>
      <w:r>
        <w:t>sostenibles</w:t>
      </w:r>
      <w:r>
        <w:rPr>
          <w:spacing w:val="-5"/>
        </w:rPr>
        <w:t xml:space="preserve"> </w:t>
      </w:r>
      <w:r>
        <w:t>funcionan como indicadores que convierten la narrativa en gestión.</w:t>
      </w:r>
    </w:p>
    <w:p w:rsidR="009B4BB4" w:rsidRDefault="009B4BB4">
      <w:pPr>
        <w:pStyle w:val="Textoindependiente"/>
        <w:spacing w:before="107"/>
      </w:pPr>
    </w:p>
    <w:p w:rsidR="009B4BB4" w:rsidRDefault="00C44001" w:rsidP="00C44001">
      <w:pPr>
        <w:pStyle w:val="Ttulo1"/>
        <w:numPr>
          <w:ilvl w:val="1"/>
          <w:numId w:val="68"/>
        </w:numPr>
        <w:tabs>
          <w:tab w:val="left" w:pos="788"/>
        </w:tabs>
        <w:ind w:left="788" w:hanging="363"/>
      </w:pPr>
      <w:bookmarkStart w:id="31" w:name="1.3_Fundamentos_bioculturales_y_diferenc"/>
      <w:bookmarkStart w:id="32" w:name="h.p4qtc3mglyl3"/>
      <w:bookmarkEnd w:id="31"/>
      <w:bookmarkEnd w:id="32"/>
      <w:r>
        <w:t>Fundamentos</w:t>
      </w:r>
      <w:r>
        <w:rPr>
          <w:spacing w:val="-9"/>
        </w:rPr>
        <w:t xml:space="preserve"> </w:t>
      </w:r>
      <w:r>
        <w:t>bioculturales</w:t>
      </w:r>
      <w:r>
        <w:rPr>
          <w:spacing w:val="-9"/>
        </w:rPr>
        <w:t xml:space="preserve"> </w:t>
      </w:r>
      <w:r>
        <w:t>y</w:t>
      </w:r>
      <w:r>
        <w:rPr>
          <w:spacing w:val="-8"/>
        </w:rPr>
        <w:t xml:space="preserve"> </w:t>
      </w:r>
      <w:r>
        <w:t>diferenciadores</w:t>
      </w:r>
      <w:r>
        <w:rPr>
          <w:spacing w:val="-9"/>
        </w:rPr>
        <w:t xml:space="preserve"> </w:t>
      </w:r>
      <w:r>
        <w:t>del</w:t>
      </w:r>
      <w:r>
        <w:rPr>
          <w:spacing w:val="-8"/>
        </w:rPr>
        <w:t xml:space="preserve"> </w:t>
      </w:r>
      <w:r>
        <w:rPr>
          <w:spacing w:val="-2"/>
        </w:rPr>
        <w:t>proyecto</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3" w:firstLine="720"/>
        <w:jc w:val="both"/>
      </w:pPr>
      <w:r>
        <w:t xml:space="preserve">La esencia de Guardiana se fundamenta en un recurso clave y excepcional: la miel de abeja </w:t>
      </w:r>
      <w:r>
        <w:rPr>
          <w:rFonts w:ascii="Arial" w:hAnsi="Arial"/>
          <w:i/>
        </w:rPr>
        <w:t>Melipona beecheii</w:t>
      </w:r>
      <w:r>
        <w:t>, un producto biocultural cuya singularidad radica en su origen ecológico, su historia ancestral y sus propiedades funcionales.</w:t>
      </w:r>
    </w:p>
    <w:p w:rsidR="009B4BB4" w:rsidRDefault="00C44001">
      <w:pPr>
        <w:pStyle w:val="Textoindependiente"/>
        <w:spacing w:line="360" w:lineRule="auto"/>
        <w:ind w:left="425" w:right="608" w:firstLine="720"/>
        <w:jc w:val="both"/>
      </w:pPr>
      <w:r>
        <w:t>En un mercado donde m</w:t>
      </w:r>
      <w:r>
        <w:t>últiples productos se posicionan como naturales u orgánicos, la miel melipona</w:t>
      </w:r>
      <w:r>
        <w:rPr>
          <w:spacing w:val="-4"/>
        </w:rPr>
        <w:t xml:space="preserve"> </w:t>
      </w:r>
      <w:r>
        <w:t>ocupa</w:t>
      </w:r>
      <w:r>
        <w:rPr>
          <w:spacing w:val="-4"/>
        </w:rPr>
        <w:t xml:space="preserve"> </w:t>
      </w:r>
      <w:r>
        <w:t>una</w:t>
      </w:r>
      <w:r>
        <w:rPr>
          <w:spacing w:val="-4"/>
        </w:rPr>
        <w:t xml:space="preserve"> </w:t>
      </w:r>
      <w:r>
        <w:t>categoría</w:t>
      </w:r>
      <w:r>
        <w:rPr>
          <w:spacing w:val="-4"/>
        </w:rPr>
        <w:t xml:space="preserve"> </w:t>
      </w:r>
      <w:r>
        <w:t>diferenciada.</w:t>
      </w:r>
      <w:r>
        <w:rPr>
          <w:spacing w:val="-4"/>
        </w:rPr>
        <w:t xml:space="preserve"> </w:t>
      </w:r>
      <w:r>
        <w:t>Su</w:t>
      </w:r>
      <w:r>
        <w:rPr>
          <w:spacing w:val="-4"/>
        </w:rPr>
        <w:t xml:space="preserve"> </w:t>
      </w:r>
      <w:r>
        <w:t>escasez</w:t>
      </w:r>
      <w:r>
        <w:rPr>
          <w:spacing w:val="-4"/>
        </w:rPr>
        <w:t xml:space="preserve"> </w:t>
      </w:r>
      <w:r>
        <w:t>no</w:t>
      </w:r>
      <w:r>
        <w:rPr>
          <w:spacing w:val="-4"/>
        </w:rPr>
        <w:t xml:space="preserve"> </w:t>
      </w:r>
      <w:r>
        <w:t>responde</w:t>
      </w:r>
      <w:r>
        <w:rPr>
          <w:spacing w:val="-4"/>
        </w:rPr>
        <w:t xml:space="preserve"> </w:t>
      </w:r>
      <w:r>
        <w:t>a una estrategia de marketing: cada colmena produce menos de dos litros al año, su manejo requiere conocimientos transmit</w:t>
      </w:r>
      <w:r>
        <w:t>idos</w:t>
      </w:r>
      <w:r>
        <w:rPr>
          <w:spacing w:val="-5"/>
        </w:rPr>
        <w:t xml:space="preserve"> </w:t>
      </w:r>
      <w:r>
        <w:t>oralmente</w:t>
      </w:r>
      <w:r>
        <w:rPr>
          <w:spacing w:val="-5"/>
        </w:rPr>
        <w:t xml:space="preserve"> </w:t>
      </w:r>
      <w:r>
        <w:t>durante</w:t>
      </w:r>
      <w:r>
        <w:rPr>
          <w:spacing w:val="-5"/>
        </w:rPr>
        <w:t xml:space="preserve"> </w:t>
      </w:r>
      <w:r>
        <w:t>generaciones</w:t>
      </w:r>
      <w:r>
        <w:rPr>
          <w:spacing w:val="-5"/>
        </w:rPr>
        <w:t xml:space="preserve"> </w:t>
      </w:r>
      <w:r>
        <w:t>y</w:t>
      </w:r>
      <w:r>
        <w:rPr>
          <w:spacing w:val="-5"/>
        </w:rPr>
        <w:t xml:space="preserve"> </w:t>
      </w:r>
      <w:r>
        <w:t>su</w:t>
      </w:r>
      <w:r>
        <w:rPr>
          <w:spacing w:val="-5"/>
        </w:rPr>
        <w:t xml:space="preserve"> </w:t>
      </w:r>
      <w:r>
        <w:t>hábitat se encuentra amenazado por la deforestación. Esta convergencia</w:t>
      </w:r>
      <w:r>
        <w:rPr>
          <w:spacing w:val="-4"/>
        </w:rPr>
        <w:t xml:space="preserve"> </w:t>
      </w:r>
      <w:r>
        <w:t>de</w:t>
      </w:r>
      <w:r>
        <w:rPr>
          <w:spacing w:val="-4"/>
        </w:rPr>
        <w:t xml:space="preserve"> </w:t>
      </w:r>
      <w:r>
        <w:t>factores</w:t>
      </w:r>
      <w:r>
        <w:rPr>
          <w:spacing w:val="-4"/>
        </w:rPr>
        <w:t xml:space="preserve"> </w:t>
      </w:r>
      <w:r>
        <w:t xml:space="preserve">biológicos, culturales y territoriales es lo que la convierte en un recurso genuinamente difícil de </w:t>
      </w:r>
      <w:r>
        <w:rPr>
          <w:spacing w:val="-2"/>
        </w:rPr>
        <w:t>replicar.</w:t>
      </w:r>
    </w:p>
    <w:p w:rsidR="009B4BB4" w:rsidRDefault="00C44001">
      <w:pPr>
        <w:pStyle w:val="Textoindependiente"/>
        <w:spacing w:line="360" w:lineRule="auto"/>
        <w:ind w:left="425" w:right="605" w:firstLine="720"/>
        <w:jc w:val="both"/>
      </w:pPr>
      <w:r>
        <w:t xml:space="preserve">Siguiendo a González-Acereto y Quezada-Euán (2010), Bacab-Canto (2020) y Ayala (1999), la </w:t>
      </w:r>
      <w:r>
        <w:rPr>
          <w:rFonts w:ascii="Arial" w:hAnsi="Arial"/>
          <w:i/>
        </w:rPr>
        <w:t xml:space="preserve">Melipona beecheii </w:t>
      </w:r>
      <w:r>
        <w:t>constituye un</w:t>
      </w:r>
      <w:r>
        <w:rPr>
          <w:spacing w:val="-3"/>
        </w:rPr>
        <w:t xml:space="preserve"> </w:t>
      </w:r>
      <w:r>
        <w:t>caso</w:t>
      </w:r>
      <w:r>
        <w:rPr>
          <w:spacing w:val="-3"/>
        </w:rPr>
        <w:t xml:space="preserve"> </w:t>
      </w:r>
      <w:r>
        <w:t>singular</w:t>
      </w:r>
      <w:r>
        <w:rPr>
          <w:spacing w:val="-3"/>
        </w:rPr>
        <w:t xml:space="preserve"> </w:t>
      </w:r>
      <w:r>
        <w:t>dentro</w:t>
      </w:r>
      <w:r>
        <w:rPr>
          <w:spacing w:val="-3"/>
        </w:rPr>
        <w:t xml:space="preserve"> </w:t>
      </w:r>
      <w:r>
        <w:t>de</w:t>
      </w:r>
      <w:r>
        <w:rPr>
          <w:spacing w:val="-3"/>
        </w:rPr>
        <w:t xml:space="preserve"> </w:t>
      </w:r>
      <w:r>
        <w:t>la</w:t>
      </w:r>
      <w:r>
        <w:rPr>
          <w:spacing w:val="-3"/>
        </w:rPr>
        <w:t xml:space="preserve"> </w:t>
      </w:r>
      <w:r>
        <w:t>biodiversidad mesoamericana: una especie nativa, sin aguijón, estrechamente vinculada con la cosmovisión ma</w:t>
      </w:r>
      <w:r>
        <w:t>ya y con una producción naturalmente limitada. Su estudio permite comprender la base estratégica</w:t>
      </w:r>
      <w:r>
        <w:rPr>
          <w:spacing w:val="-3"/>
        </w:rPr>
        <w:t xml:space="preserve"> </w:t>
      </w:r>
      <w:r>
        <w:t>del</w:t>
      </w:r>
      <w:r>
        <w:rPr>
          <w:spacing w:val="-3"/>
        </w:rPr>
        <w:t xml:space="preserve"> </w:t>
      </w:r>
      <w:r>
        <w:t>proyecto:</w:t>
      </w:r>
      <w:r>
        <w:rPr>
          <w:spacing w:val="-3"/>
        </w:rPr>
        <w:t xml:space="preserve"> </w:t>
      </w:r>
      <w:r>
        <w:t>la</w:t>
      </w:r>
      <w:r>
        <w:rPr>
          <w:spacing w:val="-3"/>
        </w:rPr>
        <w:t xml:space="preserve"> </w:t>
      </w:r>
      <w:r>
        <w:t>miel</w:t>
      </w:r>
      <w:r>
        <w:rPr>
          <w:spacing w:val="-3"/>
        </w:rPr>
        <w:t xml:space="preserve"> </w:t>
      </w:r>
      <w:r>
        <w:t>melipona</w:t>
      </w:r>
      <w:r>
        <w:rPr>
          <w:spacing w:val="-3"/>
        </w:rPr>
        <w:t xml:space="preserve"> </w:t>
      </w:r>
      <w:r>
        <w:t>no</w:t>
      </w:r>
      <w:r>
        <w:rPr>
          <w:spacing w:val="-3"/>
        </w:rPr>
        <w:t xml:space="preserve"> </w:t>
      </w:r>
      <w:r>
        <w:t>es</w:t>
      </w:r>
      <w:r>
        <w:rPr>
          <w:spacing w:val="-3"/>
        </w:rPr>
        <w:t xml:space="preserve"> </w:t>
      </w:r>
      <w:r>
        <w:t>solo</w:t>
      </w:r>
      <w:r>
        <w:rPr>
          <w:spacing w:val="-3"/>
        </w:rPr>
        <w:t xml:space="preserve"> </w:t>
      </w:r>
      <w:r>
        <w:t>un</w:t>
      </w:r>
      <w:r>
        <w:rPr>
          <w:spacing w:val="-3"/>
        </w:rPr>
        <w:t xml:space="preserve"> </w:t>
      </w:r>
      <w:r>
        <w:t>insumo,</w:t>
      </w:r>
      <w:r>
        <w:rPr>
          <w:spacing w:val="-3"/>
        </w:rPr>
        <w:t xml:space="preserve"> </w:t>
      </w:r>
      <w:r>
        <w:t>sino un activo cultural, ecológico y simbólico.</w:t>
      </w:r>
    </w:p>
    <w:p w:rsidR="009B4BB4" w:rsidRDefault="00C44001" w:rsidP="00C44001">
      <w:pPr>
        <w:pStyle w:val="Ttulo2"/>
        <w:numPr>
          <w:ilvl w:val="2"/>
          <w:numId w:val="68"/>
        </w:numPr>
        <w:tabs>
          <w:tab w:val="left" w:pos="1465"/>
        </w:tabs>
        <w:ind w:left="1465" w:hanging="545"/>
        <w:jc w:val="left"/>
      </w:pPr>
      <w:bookmarkStart w:id="33" w:name="1.3.1_Origen_y_Característica_de_la_abej"/>
      <w:bookmarkStart w:id="34" w:name="h.9idycye9mfb"/>
      <w:bookmarkEnd w:id="33"/>
      <w:bookmarkEnd w:id="34"/>
      <w:r>
        <w:t>Origen</w:t>
      </w:r>
      <w:r>
        <w:rPr>
          <w:spacing w:val="-5"/>
        </w:rPr>
        <w:t xml:space="preserve"> </w:t>
      </w:r>
      <w:r>
        <w:t>y</w:t>
      </w:r>
      <w:r>
        <w:rPr>
          <w:spacing w:val="-5"/>
        </w:rPr>
        <w:t xml:space="preserve"> </w:t>
      </w:r>
      <w:r>
        <w:t>Característica</w:t>
      </w:r>
      <w:r>
        <w:rPr>
          <w:spacing w:val="-5"/>
        </w:rPr>
        <w:t xml:space="preserve"> </w:t>
      </w:r>
      <w:r>
        <w:t>de</w:t>
      </w:r>
      <w:r>
        <w:rPr>
          <w:spacing w:val="-5"/>
        </w:rPr>
        <w:t xml:space="preserve"> </w:t>
      </w:r>
      <w:r>
        <w:t>la</w:t>
      </w:r>
      <w:r>
        <w:rPr>
          <w:spacing w:val="-5"/>
        </w:rPr>
        <w:t xml:space="preserve"> </w:t>
      </w:r>
      <w:r>
        <w:t>abeja</w:t>
      </w:r>
      <w:r>
        <w:rPr>
          <w:spacing w:val="-5"/>
        </w:rPr>
        <w:t xml:space="preserve"> </w:t>
      </w:r>
      <w:r>
        <w:rPr>
          <w:spacing w:val="-2"/>
        </w:rPr>
        <w:t>melipona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10" w:firstLine="720"/>
        <w:jc w:val="both"/>
      </w:pPr>
      <w:r>
        <w:t xml:space="preserve">La abeja </w:t>
      </w:r>
      <w:r>
        <w:rPr>
          <w:rFonts w:ascii="Arial" w:hAnsi="Arial"/>
          <w:i/>
        </w:rPr>
        <w:t>Mel</w:t>
      </w:r>
      <w:r>
        <w:rPr>
          <w:rFonts w:ascii="Arial" w:hAnsi="Arial"/>
          <w:i/>
        </w:rPr>
        <w:t>ipona beecheii</w:t>
      </w:r>
      <w:r>
        <w:t xml:space="preserve">, conocida en lengua maya como </w:t>
      </w:r>
      <w:r>
        <w:rPr>
          <w:rFonts w:ascii="Arial" w:hAnsi="Arial"/>
          <w:i/>
        </w:rPr>
        <w:t xml:space="preserve">xunán kab </w:t>
      </w:r>
      <w:r>
        <w:t>(“dama noble</w:t>
      </w:r>
      <w:r>
        <w:rPr>
          <w:spacing w:val="40"/>
        </w:rPr>
        <w:t xml:space="preserve"> </w:t>
      </w:r>
      <w:r>
        <w:t>de</w:t>
      </w:r>
      <w:r>
        <w:rPr>
          <w:spacing w:val="40"/>
        </w:rPr>
        <w:t xml:space="preserve"> </w:t>
      </w:r>
      <w:r>
        <w:t>la</w:t>
      </w:r>
      <w:r>
        <w:rPr>
          <w:spacing w:val="40"/>
        </w:rPr>
        <w:t xml:space="preserve"> </w:t>
      </w:r>
      <w:r>
        <w:t>miel”),</w:t>
      </w:r>
      <w:r>
        <w:rPr>
          <w:spacing w:val="40"/>
        </w:rPr>
        <w:t xml:space="preserve"> </w:t>
      </w:r>
      <w:r>
        <w:t>es</w:t>
      </w:r>
      <w:r>
        <w:rPr>
          <w:spacing w:val="40"/>
        </w:rPr>
        <w:t xml:space="preserve"> </w:t>
      </w:r>
      <w:r>
        <w:t>una</w:t>
      </w:r>
      <w:r>
        <w:rPr>
          <w:spacing w:val="40"/>
        </w:rPr>
        <w:t xml:space="preserve"> </w:t>
      </w:r>
      <w:r>
        <w:t>de</w:t>
      </w:r>
      <w:r>
        <w:rPr>
          <w:spacing w:val="40"/>
        </w:rPr>
        <w:t xml:space="preserve"> </w:t>
      </w:r>
      <w:r>
        <w:t>las</w:t>
      </w:r>
      <w:r>
        <w:rPr>
          <w:spacing w:val="40"/>
        </w:rPr>
        <w:t xml:space="preserve"> </w:t>
      </w:r>
      <w:r>
        <w:t>especies</w:t>
      </w:r>
      <w:r>
        <w:rPr>
          <w:spacing w:val="40"/>
        </w:rPr>
        <w:t xml:space="preserve"> </w:t>
      </w:r>
      <w:r>
        <w:t>más</w:t>
      </w:r>
      <w:r>
        <w:rPr>
          <w:spacing w:val="40"/>
        </w:rPr>
        <w:t xml:space="preserve"> </w:t>
      </w:r>
      <w:r>
        <w:t>emblemáticas</w:t>
      </w:r>
      <w:r>
        <w:rPr>
          <w:spacing w:val="40"/>
        </w:rPr>
        <w:t xml:space="preserve"> </w:t>
      </w:r>
      <w:r>
        <w:t>de</w:t>
      </w:r>
      <w:r>
        <w:rPr>
          <w:spacing w:val="40"/>
        </w:rPr>
        <w:t xml:space="preserve"> </w:t>
      </w:r>
      <w:r>
        <w:t>la</w:t>
      </w:r>
      <w:r>
        <w:rPr>
          <w:spacing w:val="40"/>
        </w:rPr>
        <w:t xml:space="preserve"> </w:t>
      </w:r>
      <w:r>
        <w:t>meliponicultura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3"/>
        <w:jc w:val="both"/>
      </w:pPr>
      <w:proofErr w:type="gramStart"/>
      <w:r>
        <w:lastRenderedPageBreak/>
        <w:t>mesoamericana</w:t>
      </w:r>
      <w:proofErr w:type="gramEnd"/>
      <w:r>
        <w:t>. Pertenece a la tribu Meliponini</w:t>
      </w:r>
      <w:r>
        <w:rPr>
          <w:spacing w:val="-4"/>
        </w:rPr>
        <w:t xml:space="preserve"> </w:t>
      </w:r>
      <w:r>
        <w:t>y</w:t>
      </w:r>
      <w:r>
        <w:rPr>
          <w:spacing w:val="-4"/>
        </w:rPr>
        <w:t xml:space="preserve"> </w:t>
      </w:r>
      <w:r>
        <w:t>se</w:t>
      </w:r>
      <w:r>
        <w:rPr>
          <w:spacing w:val="-4"/>
        </w:rPr>
        <w:t xml:space="preserve"> </w:t>
      </w:r>
      <w:r>
        <w:t>caracteriza</w:t>
      </w:r>
      <w:r>
        <w:rPr>
          <w:spacing w:val="-4"/>
        </w:rPr>
        <w:t xml:space="preserve"> </w:t>
      </w:r>
      <w:r>
        <w:t>por</w:t>
      </w:r>
      <w:r>
        <w:rPr>
          <w:spacing w:val="-4"/>
        </w:rPr>
        <w:t xml:space="preserve"> </w:t>
      </w:r>
      <w:r>
        <w:t>su</w:t>
      </w:r>
      <w:r>
        <w:rPr>
          <w:spacing w:val="-4"/>
        </w:rPr>
        <w:t xml:space="preserve"> </w:t>
      </w:r>
      <w:r>
        <w:t>pequeño</w:t>
      </w:r>
      <w:r>
        <w:rPr>
          <w:spacing w:val="-4"/>
        </w:rPr>
        <w:t xml:space="preserve"> </w:t>
      </w:r>
      <w:r>
        <w:t>tamaño, su comportamiento social avanzado y su ausencia de aguijón, lo que la distingue de la apicultura convencional (Ayala, 1999).</w:t>
      </w:r>
    </w:p>
    <w:p w:rsidR="009B4BB4" w:rsidRDefault="00C44001">
      <w:pPr>
        <w:pStyle w:val="Textoindependiente"/>
        <w:spacing w:line="360" w:lineRule="auto"/>
        <w:ind w:left="425" w:right="612" w:firstLine="720"/>
        <w:jc w:val="both"/>
      </w:pPr>
      <w:r>
        <w:t>Esta especie se distribuye principalmente en</w:t>
      </w:r>
      <w:r>
        <w:rPr>
          <w:spacing w:val="-4"/>
        </w:rPr>
        <w:t xml:space="preserve"> </w:t>
      </w:r>
      <w:r>
        <w:t>las</w:t>
      </w:r>
      <w:r>
        <w:rPr>
          <w:spacing w:val="-4"/>
        </w:rPr>
        <w:t xml:space="preserve"> </w:t>
      </w:r>
      <w:r>
        <w:t>selvas</w:t>
      </w:r>
      <w:r>
        <w:rPr>
          <w:spacing w:val="-4"/>
        </w:rPr>
        <w:t xml:space="preserve"> </w:t>
      </w:r>
      <w:r>
        <w:t>tropicales</w:t>
      </w:r>
      <w:r>
        <w:rPr>
          <w:spacing w:val="-4"/>
        </w:rPr>
        <w:t xml:space="preserve"> </w:t>
      </w:r>
      <w:r>
        <w:t>de</w:t>
      </w:r>
      <w:r>
        <w:rPr>
          <w:spacing w:val="-4"/>
        </w:rPr>
        <w:t xml:space="preserve"> </w:t>
      </w:r>
      <w:r>
        <w:t>la</w:t>
      </w:r>
      <w:r>
        <w:rPr>
          <w:spacing w:val="-4"/>
        </w:rPr>
        <w:t xml:space="preserve"> </w:t>
      </w:r>
      <w:r>
        <w:t>Península de Yucatán, donde cumple un rol ecológic</w:t>
      </w:r>
      <w:r>
        <w:t>o clave como polinizador de una proporción significativa de las plantas nativas del trópico (González-Acereto &amp; Quezada-Euán,</w:t>
      </w:r>
      <w:r>
        <w:rPr>
          <w:spacing w:val="40"/>
        </w:rPr>
        <w:t xml:space="preserve"> </w:t>
      </w:r>
      <w:r>
        <w:t>2010). Su supervivencia depende de condiciones ambientales específicas, como niveles adecuados de humedad, temperatura y disponibi</w:t>
      </w:r>
      <w:r>
        <w:t>lidad</w:t>
      </w:r>
      <w:r>
        <w:rPr>
          <w:spacing w:val="-4"/>
        </w:rPr>
        <w:t xml:space="preserve"> </w:t>
      </w:r>
      <w:r>
        <w:t>floral,</w:t>
      </w:r>
      <w:r>
        <w:rPr>
          <w:spacing w:val="-4"/>
        </w:rPr>
        <w:t xml:space="preserve"> </w:t>
      </w:r>
      <w:r>
        <w:t>ya</w:t>
      </w:r>
      <w:r>
        <w:rPr>
          <w:spacing w:val="-4"/>
        </w:rPr>
        <w:t xml:space="preserve"> </w:t>
      </w:r>
      <w:r>
        <w:t>que</w:t>
      </w:r>
      <w:r>
        <w:rPr>
          <w:spacing w:val="-4"/>
        </w:rPr>
        <w:t xml:space="preserve"> </w:t>
      </w:r>
      <w:r>
        <w:t>presenta</w:t>
      </w:r>
      <w:r>
        <w:rPr>
          <w:spacing w:val="-4"/>
        </w:rPr>
        <w:t xml:space="preserve"> </w:t>
      </w:r>
      <w:r>
        <w:t>limitaciones en la regulación térmica de la colmena.</w:t>
      </w:r>
    </w:p>
    <w:p w:rsidR="009B4BB4" w:rsidRDefault="00C44001">
      <w:pPr>
        <w:pStyle w:val="Textoindependiente"/>
        <w:spacing w:line="360" w:lineRule="auto"/>
        <w:ind w:left="425" w:right="605" w:firstLine="720"/>
        <w:jc w:val="both"/>
      </w:pPr>
      <w:r>
        <w:t xml:space="preserve">México alberga una alta diversidad de abejas sin aguijón, con al menos 46 especies registradas, de las cuales 16 se encuentran en Yucatán. Entre ellas, </w:t>
      </w:r>
      <w:r>
        <w:rPr>
          <w:rFonts w:ascii="Arial" w:hAnsi="Arial"/>
          <w:i/>
        </w:rPr>
        <w:t xml:space="preserve">Melipona beecheii </w:t>
      </w:r>
      <w:r>
        <w:t>des</w:t>
      </w:r>
      <w:r>
        <w:t>taca por su relevancia ecológica, cultural y funcional, consolidándose como un recurso natural estratégico. Su singularidad constituye la base diferenciadora del proyecto Guardiana, al permitir construir una narrativa auténtica que integra ciencia, territo</w:t>
      </w:r>
      <w:r>
        <w:t>rio y cultura.</w:t>
      </w:r>
    </w:p>
    <w:p w:rsidR="009B4BB4" w:rsidRDefault="00C44001" w:rsidP="00C44001">
      <w:pPr>
        <w:pStyle w:val="Ttulo2"/>
        <w:numPr>
          <w:ilvl w:val="2"/>
          <w:numId w:val="68"/>
        </w:numPr>
        <w:tabs>
          <w:tab w:val="left" w:pos="1465"/>
        </w:tabs>
        <w:ind w:left="1465" w:hanging="545"/>
        <w:jc w:val="left"/>
      </w:pPr>
      <w:bookmarkStart w:id="35" w:name="1.3.2_Propiedades_medicinales_de_la_miel"/>
      <w:bookmarkStart w:id="36" w:name="h.83j6yopd7dp1"/>
      <w:bookmarkEnd w:id="35"/>
      <w:bookmarkEnd w:id="36"/>
      <w:r>
        <w:t>Propiedades</w:t>
      </w:r>
      <w:r>
        <w:rPr>
          <w:spacing w:val="-6"/>
        </w:rPr>
        <w:t xml:space="preserve"> </w:t>
      </w:r>
      <w:r>
        <w:t>medicinales</w:t>
      </w:r>
      <w:r>
        <w:rPr>
          <w:spacing w:val="-6"/>
        </w:rPr>
        <w:t xml:space="preserve"> </w:t>
      </w:r>
      <w:r>
        <w:t>de</w:t>
      </w:r>
      <w:r>
        <w:rPr>
          <w:spacing w:val="-6"/>
        </w:rPr>
        <w:t xml:space="preserve"> </w:t>
      </w:r>
      <w:r>
        <w:t>la</w:t>
      </w:r>
      <w:r>
        <w:rPr>
          <w:spacing w:val="-6"/>
        </w:rPr>
        <w:t xml:space="preserve"> </w:t>
      </w:r>
      <w:r>
        <w:t>miel</w:t>
      </w:r>
      <w:r>
        <w:rPr>
          <w:spacing w:val="-6"/>
        </w:rPr>
        <w:t xml:space="preserve"> </w:t>
      </w:r>
      <w:r>
        <w:rPr>
          <w:spacing w:val="-2"/>
        </w:rPr>
        <w:t>melipona</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 xml:space="preserve">La miel producida por </w:t>
      </w:r>
      <w:r>
        <w:rPr>
          <w:rFonts w:ascii="Arial" w:hAnsi="Arial"/>
          <w:i/>
        </w:rPr>
        <w:t xml:space="preserve">Melipona beecheii </w:t>
      </w:r>
      <w:r>
        <w:t>ha sido utilizada durante siglos en la medicina tradicional maya y, en la actualidad, diversos estudios científicos han respaldado sus propiedades funcionales. Este</w:t>
      </w:r>
      <w:r>
        <w:rPr>
          <w:spacing w:val="-5"/>
        </w:rPr>
        <w:t xml:space="preserve"> </w:t>
      </w:r>
      <w:r>
        <w:t>punto</w:t>
      </w:r>
      <w:r>
        <w:rPr>
          <w:spacing w:val="-5"/>
        </w:rPr>
        <w:t xml:space="preserve"> </w:t>
      </w:r>
      <w:r>
        <w:t>de</w:t>
      </w:r>
      <w:r>
        <w:rPr>
          <w:spacing w:val="-5"/>
        </w:rPr>
        <w:t xml:space="preserve"> </w:t>
      </w:r>
      <w:r>
        <w:t>convergencia</w:t>
      </w:r>
      <w:r>
        <w:rPr>
          <w:spacing w:val="-5"/>
        </w:rPr>
        <w:t xml:space="preserve"> </w:t>
      </w:r>
      <w:r>
        <w:t>entre</w:t>
      </w:r>
      <w:r>
        <w:rPr>
          <w:spacing w:val="-5"/>
        </w:rPr>
        <w:t xml:space="preserve"> </w:t>
      </w:r>
      <w:r>
        <w:t>conocimiento ancestral y evidencia moderna amplifica su valor e</w:t>
      </w:r>
      <w:r>
        <w:t>n mercados de salud, bienestar y cosmética natural.</w:t>
      </w:r>
    </w:p>
    <w:p w:rsidR="009B4BB4" w:rsidRDefault="00C44001">
      <w:pPr>
        <w:pStyle w:val="Textoindependiente"/>
        <w:spacing w:line="360" w:lineRule="auto"/>
        <w:ind w:left="425" w:right="602" w:firstLine="720"/>
        <w:jc w:val="both"/>
      </w:pPr>
      <w:r>
        <w:t xml:space="preserve">A diferencia de la miel de </w:t>
      </w:r>
      <w:r>
        <w:rPr>
          <w:rFonts w:ascii="Arial" w:hAnsi="Arial"/>
          <w:i/>
        </w:rPr>
        <w:t>Apis mellifera</w:t>
      </w:r>
      <w:r>
        <w:t>, la miel melipona presenta una composición bioactiva rica en polifenoles, flavonoides y enzimas, lo que le confiere propiedades</w:t>
      </w:r>
      <w:r>
        <w:rPr>
          <w:spacing w:val="40"/>
        </w:rPr>
        <w:t xml:space="preserve"> </w:t>
      </w:r>
      <w:r>
        <w:t>antibacterianas,</w:t>
      </w:r>
      <w:r>
        <w:rPr>
          <w:spacing w:val="40"/>
        </w:rPr>
        <w:t xml:space="preserve"> </w:t>
      </w:r>
      <w:r>
        <w:t>antifúngicas</w:t>
      </w:r>
      <w:r>
        <w:rPr>
          <w:spacing w:val="40"/>
        </w:rPr>
        <w:t xml:space="preserve"> </w:t>
      </w:r>
      <w:r>
        <w:t>y</w:t>
      </w:r>
      <w:r>
        <w:rPr>
          <w:spacing w:val="40"/>
        </w:rPr>
        <w:t xml:space="preserve"> </w:t>
      </w:r>
      <w:r>
        <w:t>ci</w:t>
      </w:r>
      <w:r>
        <w:t>catrizantes</w:t>
      </w:r>
      <w:r>
        <w:rPr>
          <w:spacing w:val="40"/>
        </w:rPr>
        <w:t xml:space="preserve"> </w:t>
      </w:r>
      <w:r>
        <w:t>(González-Acereto</w:t>
      </w:r>
      <w:r>
        <w:rPr>
          <w:spacing w:val="40"/>
        </w:rPr>
        <w:t xml:space="preserve"> </w:t>
      </w:r>
      <w:r>
        <w:t>&amp; Quezada-Euán, 2010). Además:</w:t>
      </w:r>
    </w:p>
    <w:p w:rsidR="009B4BB4" w:rsidRDefault="00C44001" w:rsidP="00C44001">
      <w:pPr>
        <w:pStyle w:val="Prrafodelista"/>
        <w:numPr>
          <w:ilvl w:val="3"/>
          <w:numId w:val="68"/>
        </w:numPr>
        <w:tabs>
          <w:tab w:val="left" w:pos="1145"/>
        </w:tabs>
        <w:spacing w:line="360" w:lineRule="auto"/>
        <w:ind w:left="1145" w:right="613" w:hanging="360"/>
      </w:pPr>
      <w:r>
        <w:t>Presenta</w:t>
      </w:r>
      <w:r>
        <w:rPr>
          <w:spacing w:val="71"/>
        </w:rPr>
        <w:t xml:space="preserve"> </w:t>
      </w:r>
      <w:r>
        <w:t>un</w:t>
      </w:r>
      <w:r>
        <w:rPr>
          <w:spacing w:val="71"/>
        </w:rPr>
        <w:t xml:space="preserve"> </w:t>
      </w:r>
      <w:r>
        <w:t>pH</w:t>
      </w:r>
      <w:r>
        <w:rPr>
          <w:spacing w:val="40"/>
        </w:rPr>
        <w:t xml:space="preserve"> </w:t>
      </w:r>
      <w:r>
        <w:t>naturalmente</w:t>
      </w:r>
      <w:r>
        <w:rPr>
          <w:spacing w:val="40"/>
        </w:rPr>
        <w:t xml:space="preserve"> </w:t>
      </w:r>
      <w:r>
        <w:t>bajo</w:t>
      </w:r>
      <w:r>
        <w:rPr>
          <w:spacing w:val="40"/>
        </w:rPr>
        <w:t xml:space="preserve"> </w:t>
      </w:r>
      <w:r>
        <w:t>(3.1</w:t>
      </w:r>
      <w:r>
        <w:rPr>
          <w:spacing w:val="40"/>
        </w:rPr>
        <w:t xml:space="preserve"> </w:t>
      </w:r>
      <w:r>
        <w:t>--</w:t>
      </w:r>
      <w:r>
        <w:rPr>
          <w:spacing w:val="40"/>
        </w:rPr>
        <w:t xml:space="preserve"> </w:t>
      </w:r>
      <w:r>
        <w:t>4.5),</w:t>
      </w:r>
      <w:r>
        <w:rPr>
          <w:spacing w:val="40"/>
        </w:rPr>
        <w:t xml:space="preserve"> </w:t>
      </w:r>
      <w:r>
        <w:t>lo</w:t>
      </w:r>
      <w:r>
        <w:rPr>
          <w:spacing w:val="40"/>
        </w:rPr>
        <w:t xml:space="preserve"> </w:t>
      </w:r>
      <w:r>
        <w:t>que</w:t>
      </w:r>
      <w:r>
        <w:rPr>
          <w:spacing w:val="40"/>
        </w:rPr>
        <w:t xml:space="preserve"> </w:t>
      </w:r>
      <w:r>
        <w:t>favorece</w:t>
      </w:r>
      <w:r>
        <w:rPr>
          <w:spacing w:val="40"/>
        </w:rPr>
        <w:t xml:space="preserve"> </w:t>
      </w:r>
      <w:r>
        <w:t>su</w:t>
      </w:r>
      <w:r>
        <w:rPr>
          <w:spacing w:val="40"/>
        </w:rPr>
        <w:t xml:space="preserve"> </w:t>
      </w:r>
      <w:r>
        <w:t xml:space="preserve">actividad </w:t>
      </w:r>
      <w:r>
        <w:rPr>
          <w:spacing w:val="-2"/>
        </w:rPr>
        <w:t>antimicrobiana.</w:t>
      </w:r>
    </w:p>
    <w:p w:rsidR="009B4BB4" w:rsidRDefault="00C44001" w:rsidP="00C44001">
      <w:pPr>
        <w:pStyle w:val="Prrafodelista"/>
        <w:numPr>
          <w:ilvl w:val="3"/>
          <w:numId w:val="68"/>
        </w:numPr>
        <w:tabs>
          <w:tab w:val="left" w:pos="1145"/>
        </w:tabs>
        <w:spacing w:before="0" w:line="360" w:lineRule="auto"/>
        <w:ind w:left="1145" w:right="608" w:hanging="360"/>
      </w:pPr>
      <w:r>
        <w:t>Su</w:t>
      </w:r>
      <w:r>
        <w:rPr>
          <w:spacing w:val="40"/>
        </w:rPr>
        <w:t xml:space="preserve"> </w:t>
      </w:r>
      <w:r>
        <w:t>consistencia</w:t>
      </w:r>
      <w:r>
        <w:rPr>
          <w:spacing w:val="40"/>
        </w:rPr>
        <w:t xml:space="preserve"> </w:t>
      </w:r>
      <w:r>
        <w:t>líquida</w:t>
      </w:r>
      <w:r>
        <w:rPr>
          <w:spacing w:val="40"/>
        </w:rPr>
        <w:t xml:space="preserve"> </w:t>
      </w:r>
      <w:r>
        <w:t>facilita</w:t>
      </w:r>
      <w:r>
        <w:rPr>
          <w:spacing w:val="40"/>
        </w:rPr>
        <w:t xml:space="preserve"> </w:t>
      </w:r>
      <w:r>
        <w:t>su</w:t>
      </w:r>
      <w:r>
        <w:rPr>
          <w:spacing w:val="40"/>
        </w:rPr>
        <w:t xml:space="preserve"> </w:t>
      </w:r>
      <w:r>
        <w:t>aplicación</w:t>
      </w:r>
      <w:r>
        <w:rPr>
          <w:spacing w:val="40"/>
        </w:rPr>
        <w:t xml:space="preserve"> </w:t>
      </w:r>
      <w:r>
        <w:t>tópica</w:t>
      </w:r>
      <w:r>
        <w:rPr>
          <w:spacing w:val="40"/>
        </w:rPr>
        <w:t xml:space="preserve"> </w:t>
      </w:r>
      <w:r>
        <w:t>y</w:t>
      </w:r>
      <w:r>
        <w:rPr>
          <w:spacing w:val="40"/>
        </w:rPr>
        <w:t xml:space="preserve"> </w:t>
      </w:r>
      <w:r>
        <w:t>su</w:t>
      </w:r>
      <w:r>
        <w:rPr>
          <w:spacing w:val="40"/>
        </w:rPr>
        <w:t xml:space="preserve"> </w:t>
      </w:r>
      <w:r>
        <w:t>absorción</w:t>
      </w:r>
      <w:r>
        <w:rPr>
          <w:spacing w:val="40"/>
        </w:rPr>
        <w:t xml:space="preserve"> </w:t>
      </w:r>
      <w:r>
        <w:t>en</w:t>
      </w:r>
      <w:r>
        <w:rPr>
          <w:spacing w:val="40"/>
        </w:rPr>
        <w:t xml:space="preserve"> </w:t>
      </w:r>
      <w:r>
        <w:t xml:space="preserve">tejidos </w:t>
      </w:r>
      <w:r>
        <w:rPr>
          <w:spacing w:val="-2"/>
        </w:rPr>
        <w:t>superficiales.</w:t>
      </w:r>
    </w:p>
    <w:p w:rsidR="009B4BB4" w:rsidRDefault="009B4BB4">
      <w:pPr>
        <w:pStyle w:val="Prrafodelista"/>
        <w:spacing w:line="360" w:lineRule="auto"/>
        <w:sectPr w:rsidR="009B4BB4">
          <w:pgSz w:w="11920" w:h="16840"/>
          <w:pgMar w:top="1500" w:right="850" w:bottom="1940" w:left="1275" w:header="0" w:footer="1747" w:gutter="0"/>
          <w:cols w:space="720"/>
        </w:sectPr>
      </w:pPr>
    </w:p>
    <w:p w:rsidR="009B4BB4" w:rsidRDefault="00C44001" w:rsidP="00C44001">
      <w:pPr>
        <w:pStyle w:val="Prrafodelista"/>
        <w:numPr>
          <w:ilvl w:val="3"/>
          <w:numId w:val="68"/>
        </w:numPr>
        <w:tabs>
          <w:tab w:val="left" w:pos="1145"/>
        </w:tabs>
        <w:spacing w:before="79" w:line="360" w:lineRule="auto"/>
        <w:ind w:left="1145" w:right="609" w:hanging="360"/>
      </w:pPr>
      <w:r>
        <w:lastRenderedPageBreak/>
        <w:t>Su</w:t>
      </w:r>
      <w:r>
        <w:rPr>
          <w:spacing w:val="80"/>
        </w:rPr>
        <w:t xml:space="preserve"> </w:t>
      </w:r>
      <w:r>
        <w:t>alta</w:t>
      </w:r>
      <w:r>
        <w:rPr>
          <w:spacing w:val="80"/>
        </w:rPr>
        <w:t xml:space="preserve"> </w:t>
      </w:r>
      <w:r>
        <w:t>osmolaridad</w:t>
      </w:r>
      <w:r>
        <w:rPr>
          <w:spacing w:val="80"/>
        </w:rPr>
        <w:t xml:space="preserve"> </w:t>
      </w:r>
      <w:r>
        <w:t>contribuye</w:t>
      </w:r>
      <w:r>
        <w:rPr>
          <w:spacing w:val="80"/>
        </w:rPr>
        <w:t xml:space="preserve"> </w:t>
      </w:r>
      <w:r>
        <w:t>a</w:t>
      </w:r>
      <w:r>
        <w:rPr>
          <w:spacing w:val="80"/>
        </w:rPr>
        <w:t xml:space="preserve"> </w:t>
      </w:r>
      <w:r>
        <w:t>la</w:t>
      </w:r>
      <w:r>
        <w:rPr>
          <w:spacing w:val="80"/>
        </w:rPr>
        <w:t xml:space="preserve"> </w:t>
      </w:r>
      <w:r>
        <w:t>limpieza</w:t>
      </w:r>
      <w:r>
        <w:rPr>
          <w:spacing w:val="80"/>
        </w:rPr>
        <w:t xml:space="preserve"> </w:t>
      </w:r>
      <w:r>
        <w:t>de</w:t>
      </w:r>
      <w:r>
        <w:rPr>
          <w:spacing w:val="80"/>
        </w:rPr>
        <w:t xml:space="preserve"> </w:t>
      </w:r>
      <w:r>
        <w:t>heridas</w:t>
      </w:r>
      <w:r>
        <w:rPr>
          <w:spacing w:val="80"/>
        </w:rPr>
        <w:t xml:space="preserve"> </w:t>
      </w:r>
      <w:r>
        <w:t>y</w:t>
      </w:r>
      <w:r>
        <w:rPr>
          <w:spacing w:val="71"/>
        </w:rPr>
        <w:t xml:space="preserve"> </w:t>
      </w:r>
      <w:r>
        <w:t>a</w:t>
      </w:r>
      <w:r>
        <w:rPr>
          <w:spacing w:val="71"/>
        </w:rPr>
        <w:t xml:space="preserve"> </w:t>
      </w:r>
      <w:r>
        <w:t>procesos</w:t>
      </w:r>
      <w:r>
        <w:rPr>
          <w:spacing w:val="71"/>
        </w:rPr>
        <w:t xml:space="preserve"> </w:t>
      </w:r>
      <w:r>
        <w:t>de regeneración tisular.</w:t>
      </w:r>
    </w:p>
    <w:p w:rsidR="009B4BB4" w:rsidRDefault="00C44001">
      <w:pPr>
        <w:pStyle w:val="Textoindependiente"/>
        <w:spacing w:line="360" w:lineRule="auto"/>
        <w:ind w:left="425" w:right="603" w:firstLine="720"/>
        <w:jc w:val="both"/>
      </w:pPr>
      <w:r>
        <w:t>Históricamente, su uso incluía aplicaciones en afecciones oculares como conjuntivitis, pterigion e irritaciones solares; en síntomas respirator</w:t>
      </w:r>
      <w:r>
        <w:t>ios como bronquitis y asma; y</w:t>
      </w:r>
      <w:r>
        <w:rPr>
          <w:spacing w:val="-4"/>
        </w:rPr>
        <w:t xml:space="preserve"> </w:t>
      </w:r>
      <w:r>
        <w:t>en</w:t>
      </w:r>
      <w:r>
        <w:rPr>
          <w:spacing w:val="-4"/>
        </w:rPr>
        <w:t xml:space="preserve"> </w:t>
      </w:r>
      <w:r>
        <w:t>trastornos</w:t>
      </w:r>
      <w:r>
        <w:rPr>
          <w:spacing w:val="-4"/>
        </w:rPr>
        <w:t xml:space="preserve"> </w:t>
      </w:r>
      <w:r>
        <w:t>digestivos</w:t>
      </w:r>
      <w:r>
        <w:rPr>
          <w:spacing w:val="-4"/>
        </w:rPr>
        <w:t xml:space="preserve"> </w:t>
      </w:r>
      <w:r>
        <w:t>como</w:t>
      </w:r>
      <w:r>
        <w:rPr>
          <w:spacing w:val="-4"/>
        </w:rPr>
        <w:t xml:space="preserve"> </w:t>
      </w:r>
      <w:r>
        <w:t>úlceras</w:t>
      </w:r>
      <w:r>
        <w:rPr>
          <w:spacing w:val="-4"/>
        </w:rPr>
        <w:t xml:space="preserve"> </w:t>
      </w:r>
      <w:r>
        <w:t>y</w:t>
      </w:r>
      <w:r>
        <w:rPr>
          <w:spacing w:val="-4"/>
        </w:rPr>
        <w:t xml:space="preserve"> </w:t>
      </w:r>
      <w:r>
        <w:t>gastritis</w:t>
      </w:r>
      <w:r>
        <w:rPr>
          <w:spacing w:val="-4"/>
        </w:rPr>
        <w:t xml:space="preserve"> </w:t>
      </w:r>
      <w:r>
        <w:t>(Bacab-Canto,</w:t>
      </w:r>
      <w:r>
        <w:rPr>
          <w:spacing w:val="-4"/>
        </w:rPr>
        <w:t xml:space="preserve"> </w:t>
      </w:r>
      <w:r>
        <w:t>2020).</w:t>
      </w:r>
      <w:r>
        <w:rPr>
          <w:spacing w:val="-4"/>
        </w:rPr>
        <w:t xml:space="preserve"> </w:t>
      </w:r>
      <w:r>
        <w:t xml:space="preserve">Asimismo, la medicina tradicional la incorporaba en cuidados ginecológicos y prácticas rituales de </w:t>
      </w:r>
      <w:r>
        <w:rPr>
          <w:spacing w:val="-2"/>
        </w:rPr>
        <w:t>sanación.</w:t>
      </w:r>
    </w:p>
    <w:p w:rsidR="009B4BB4" w:rsidRDefault="00C44001">
      <w:pPr>
        <w:pStyle w:val="Textoindependiente"/>
        <w:spacing w:line="360" w:lineRule="auto"/>
        <w:ind w:left="425" w:right="602" w:firstLine="720"/>
        <w:jc w:val="both"/>
      </w:pPr>
      <w:r>
        <w:t>En los mercados contemporáneos orientados al bienestar, la combinación de autenticidad y respaldo científico fortalece su propuesta de valor. Para Guardiana, estas propiedades sustentan su posicionamiento como un producto de alto valor funcional y justific</w:t>
      </w:r>
      <w:r>
        <w:t>an un precio superior frente a mieles convencionales.</w:t>
      </w:r>
    </w:p>
    <w:p w:rsidR="009B4BB4" w:rsidRDefault="00C44001">
      <w:pPr>
        <w:pStyle w:val="Textoindependiente"/>
        <w:spacing w:line="360" w:lineRule="auto"/>
        <w:ind w:left="425" w:right="602" w:firstLine="720"/>
        <w:jc w:val="both"/>
      </w:pPr>
      <w:r>
        <w:t>Es importante señalar que estas propiedades deben entenderse como potencial funcional respaldado por evidencia científica y conocimiento tradicional, y no como sustituto de tratamientos médicos. En este</w:t>
      </w:r>
      <w:r>
        <w:t xml:space="preserve"> sentido, la propuesta de valor de Guardiana</w:t>
      </w:r>
      <w:r>
        <w:rPr>
          <w:spacing w:val="40"/>
        </w:rPr>
        <w:t xml:space="preserve"> </w:t>
      </w:r>
      <w:r>
        <w:t>se enmarca dentro del ámbito del bienestar y la salud preventiva, evitando afirmaciones clínicas que requieran validación regulatoria específica.</w:t>
      </w:r>
    </w:p>
    <w:p w:rsidR="009B4BB4" w:rsidRDefault="00C44001" w:rsidP="00C44001">
      <w:pPr>
        <w:pStyle w:val="Ttulo2"/>
        <w:numPr>
          <w:ilvl w:val="2"/>
          <w:numId w:val="68"/>
        </w:numPr>
        <w:tabs>
          <w:tab w:val="left" w:pos="1465"/>
        </w:tabs>
        <w:ind w:left="1465" w:hanging="545"/>
        <w:jc w:val="left"/>
      </w:pPr>
      <w:bookmarkStart w:id="37" w:name="1.3.3_Producción_y_rol_de_las_comunidade"/>
      <w:bookmarkStart w:id="38" w:name="h.2u1d5w8s4n3z"/>
      <w:bookmarkEnd w:id="37"/>
      <w:bookmarkEnd w:id="38"/>
      <w:r>
        <w:t>Producción</w:t>
      </w:r>
      <w:r>
        <w:rPr>
          <w:spacing w:val="-5"/>
        </w:rPr>
        <w:t xml:space="preserve"> </w:t>
      </w:r>
      <w:r>
        <w:t>y</w:t>
      </w:r>
      <w:r>
        <w:rPr>
          <w:spacing w:val="-5"/>
        </w:rPr>
        <w:t xml:space="preserve"> </w:t>
      </w:r>
      <w:r>
        <w:t>rol</w:t>
      </w:r>
      <w:r>
        <w:rPr>
          <w:spacing w:val="-5"/>
        </w:rPr>
        <w:t xml:space="preserve"> </w:t>
      </w:r>
      <w:r>
        <w:t>de</w:t>
      </w:r>
      <w:r>
        <w:rPr>
          <w:spacing w:val="-5"/>
        </w:rPr>
        <w:t xml:space="preserve"> </w:t>
      </w:r>
      <w:r>
        <w:t>las</w:t>
      </w:r>
      <w:r>
        <w:rPr>
          <w:spacing w:val="-5"/>
        </w:rPr>
        <w:t xml:space="preserve"> </w:t>
      </w:r>
      <w:r>
        <w:t>comunidades</w:t>
      </w:r>
      <w:r>
        <w:rPr>
          <w:spacing w:val="-5"/>
        </w:rPr>
        <w:t xml:space="preserve"> </w:t>
      </w:r>
      <w:r>
        <w:rPr>
          <w:spacing w:val="-2"/>
        </w:rPr>
        <w:t>mayas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La meliponicultura es una actividad profundamente arraigada en la cultura maya. Desde antes de la introducción de la apicultura europea, los pueblos originarios ya practicaban la crianza de abejas nativas sin aguijón mediante el uso de troncos huecos, cono</w:t>
      </w:r>
      <w:r>
        <w:t>cidos como jobones, y técnicas de manejo basadas en el respeto a los ciclos naturales del enjambre.</w:t>
      </w:r>
    </w:p>
    <w:p w:rsidR="009B4BB4" w:rsidRDefault="00C44001">
      <w:pPr>
        <w:pStyle w:val="Textoindependiente"/>
        <w:spacing w:line="360" w:lineRule="auto"/>
        <w:ind w:left="425" w:right="607" w:firstLine="720"/>
        <w:jc w:val="both"/>
      </w:pPr>
      <w:r>
        <w:t>Esta práctica tenía un valor ritual, alimentario y medicinal. La miel melipona formaba parte de ofrendas religiosas y era utilizada por parteras y curandero</w:t>
      </w:r>
      <w:r>
        <w:t>s, además</w:t>
      </w:r>
      <w:r>
        <w:rPr>
          <w:spacing w:val="40"/>
        </w:rPr>
        <w:t xml:space="preserve"> </w:t>
      </w:r>
      <w:r>
        <w:t xml:space="preserve">de estar asociada con deidades como Ah Muzenkab, dios de las abejas (Bacab-Canto, 2020). La transmisión del conocimiento era principalmente oral, con una fuerte participación de mujeres como guardianas del saber botánico y del cuidado de las </w:t>
      </w:r>
      <w:r>
        <w:rPr>
          <w:spacing w:val="-2"/>
        </w:rPr>
        <w:t>colm</w:t>
      </w:r>
      <w:r>
        <w:rPr>
          <w:spacing w:val="-2"/>
        </w:rPr>
        <w:t>enas.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6" w:firstLine="720"/>
        <w:jc w:val="both"/>
      </w:pPr>
      <w:r>
        <w:lastRenderedPageBreak/>
        <w:t>En años recientes, la meliponicultura ha experimentado un proceso de declive debido a la deforestación, el uso de agroquímicos, el cambio climático</w:t>
      </w:r>
      <w:r>
        <w:rPr>
          <w:spacing w:val="-3"/>
        </w:rPr>
        <w:t xml:space="preserve"> </w:t>
      </w:r>
      <w:r>
        <w:t>y</w:t>
      </w:r>
      <w:r>
        <w:rPr>
          <w:spacing w:val="-3"/>
        </w:rPr>
        <w:t xml:space="preserve"> </w:t>
      </w:r>
      <w:r>
        <w:t>la</w:t>
      </w:r>
      <w:r>
        <w:rPr>
          <w:spacing w:val="-3"/>
        </w:rPr>
        <w:t xml:space="preserve"> </w:t>
      </w:r>
      <w:r>
        <w:t>expansión</w:t>
      </w:r>
      <w:r>
        <w:rPr>
          <w:spacing w:val="-3"/>
        </w:rPr>
        <w:t xml:space="preserve"> </w:t>
      </w:r>
      <w:r>
        <w:t xml:space="preserve">de la apicultura comercial. Sin embargo, colectivos como Koolel Kab, </w:t>
      </w:r>
      <w:r>
        <w:t>Much Kanan Kab y U Yits Ka’an han</w:t>
      </w:r>
      <w:r>
        <w:rPr>
          <w:spacing w:val="-4"/>
        </w:rPr>
        <w:t xml:space="preserve"> </w:t>
      </w:r>
      <w:r>
        <w:t>impulsado</w:t>
      </w:r>
      <w:r>
        <w:rPr>
          <w:spacing w:val="-4"/>
        </w:rPr>
        <w:t xml:space="preserve"> </w:t>
      </w:r>
      <w:r>
        <w:t>un</w:t>
      </w:r>
      <w:r>
        <w:rPr>
          <w:spacing w:val="-4"/>
        </w:rPr>
        <w:t xml:space="preserve"> </w:t>
      </w:r>
      <w:r>
        <w:t>resurgimiento</w:t>
      </w:r>
      <w:r>
        <w:rPr>
          <w:spacing w:val="-4"/>
        </w:rPr>
        <w:t xml:space="preserve"> </w:t>
      </w:r>
      <w:r>
        <w:t>basado</w:t>
      </w:r>
      <w:r>
        <w:rPr>
          <w:spacing w:val="-4"/>
        </w:rPr>
        <w:t xml:space="preserve"> </w:t>
      </w:r>
      <w:r>
        <w:t>en</w:t>
      </w:r>
      <w:r>
        <w:rPr>
          <w:spacing w:val="-4"/>
        </w:rPr>
        <w:t xml:space="preserve"> </w:t>
      </w:r>
      <w:r>
        <w:t>el</w:t>
      </w:r>
      <w:r>
        <w:rPr>
          <w:spacing w:val="-4"/>
        </w:rPr>
        <w:t xml:space="preserve"> </w:t>
      </w:r>
      <w:r>
        <w:t>comercio</w:t>
      </w:r>
      <w:r>
        <w:rPr>
          <w:spacing w:val="-4"/>
        </w:rPr>
        <w:t xml:space="preserve"> </w:t>
      </w:r>
      <w:r>
        <w:t>justo,</w:t>
      </w:r>
      <w:r>
        <w:rPr>
          <w:spacing w:val="-4"/>
        </w:rPr>
        <w:t xml:space="preserve"> </w:t>
      </w:r>
      <w:r>
        <w:t>la</w:t>
      </w:r>
      <w:r>
        <w:rPr>
          <w:spacing w:val="-4"/>
        </w:rPr>
        <w:t xml:space="preserve"> </w:t>
      </w:r>
      <w:r>
        <w:t>educación</w:t>
      </w:r>
      <w:r>
        <w:rPr>
          <w:spacing w:val="-4"/>
        </w:rPr>
        <w:t xml:space="preserve"> </w:t>
      </w:r>
      <w:r>
        <w:t>y</w:t>
      </w:r>
      <w:r>
        <w:rPr>
          <w:spacing w:val="-4"/>
        </w:rPr>
        <w:t xml:space="preserve"> </w:t>
      </w:r>
      <w:r>
        <w:t>la preservación cultural.</w:t>
      </w:r>
    </w:p>
    <w:p w:rsidR="009B4BB4" w:rsidRDefault="00C44001">
      <w:pPr>
        <w:pStyle w:val="Textoindependiente"/>
        <w:spacing w:line="360" w:lineRule="auto"/>
        <w:ind w:left="425" w:right="609" w:firstLine="720"/>
        <w:jc w:val="both"/>
      </w:pPr>
      <w:r>
        <w:t>Para Guardiana, las comunidades</w:t>
      </w:r>
      <w:r>
        <w:rPr>
          <w:spacing w:val="-4"/>
        </w:rPr>
        <w:t xml:space="preserve"> </w:t>
      </w:r>
      <w:r>
        <w:t>meliponicultoras</w:t>
      </w:r>
      <w:r>
        <w:rPr>
          <w:spacing w:val="-4"/>
        </w:rPr>
        <w:t xml:space="preserve"> </w:t>
      </w:r>
      <w:r>
        <w:t>no</w:t>
      </w:r>
      <w:r>
        <w:rPr>
          <w:spacing w:val="-5"/>
        </w:rPr>
        <w:t xml:space="preserve"> </w:t>
      </w:r>
      <w:r>
        <w:t>son</w:t>
      </w:r>
      <w:r>
        <w:rPr>
          <w:spacing w:val="-4"/>
        </w:rPr>
        <w:t xml:space="preserve"> </w:t>
      </w:r>
      <w:r>
        <w:t>un</w:t>
      </w:r>
      <w:r>
        <w:rPr>
          <w:spacing w:val="-4"/>
        </w:rPr>
        <w:t xml:space="preserve"> </w:t>
      </w:r>
      <w:r>
        <w:t>eslabón</w:t>
      </w:r>
      <w:r>
        <w:rPr>
          <w:spacing w:val="-5"/>
        </w:rPr>
        <w:t xml:space="preserve"> </w:t>
      </w:r>
      <w:r>
        <w:t>más</w:t>
      </w:r>
      <w:r>
        <w:rPr>
          <w:spacing w:val="-4"/>
        </w:rPr>
        <w:t xml:space="preserve"> </w:t>
      </w:r>
      <w:r>
        <w:t>dentro de la cadena de suministro, sino el origen del conocimiento que da sentido al producto. Sin este vínculo, lo que se comercializa es únicamente miel; con él, se preserva y transmite un patrimonio vivo.</w:t>
      </w:r>
    </w:p>
    <w:p w:rsidR="009B4BB4" w:rsidRDefault="00C44001" w:rsidP="00C44001">
      <w:pPr>
        <w:pStyle w:val="Ttulo2"/>
        <w:numPr>
          <w:ilvl w:val="2"/>
          <w:numId w:val="68"/>
        </w:numPr>
        <w:tabs>
          <w:tab w:val="left" w:pos="970"/>
        </w:tabs>
        <w:ind w:left="970" w:hanging="545"/>
        <w:jc w:val="both"/>
      </w:pPr>
      <w:bookmarkStart w:id="39" w:name="1.3.4_La_melipona_como_bien_escaso_y_val"/>
      <w:bookmarkStart w:id="40" w:name="h.lpr7ne2jsw2w"/>
      <w:bookmarkEnd w:id="39"/>
      <w:bookmarkEnd w:id="40"/>
      <w:r>
        <w:t>La</w:t>
      </w:r>
      <w:r>
        <w:rPr>
          <w:spacing w:val="-5"/>
        </w:rPr>
        <w:t xml:space="preserve"> </w:t>
      </w:r>
      <w:r>
        <w:t>melipona</w:t>
      </w:r>
      <w:r>
        <w:rPr>
          <w:spacing w:val="-4"/>
        </w:rPr>
        <w:t xml:space="preserve"> </w:t>
      </w:r>
      <w:r>
        <w:t>como</w:t>
      </w:r>
      <w:r>
        <w:rPr>
          <w:spacing w:val="-4"/>
        </w:rPr>
        <w:t xml:space="preserve"> </w:t>
      </w:r>
      <w:r>
        <w:t>bien</w:t>
      </w:r>
      <w:r>
        <w:rPr>
          <w:spacing w:val="-4"/>
        </w:rPr>
        <w:t xml:space="preserve"> </w:t>
      </w:r>
      <w:r>
        <w:t>escaso</w:t>
      </w:r>
      <w:r>
        <w:rPr>
          <w:spacing w:val="-4"/>
        </w:rPr>
        <w:t xml:space="preserve"> </w:t>
      </w:r>
      <w:r>
        <w:t>y</w:t>
      </w:r>
      <w:r>
        <w:rPr>
          <w:spacing w:val="-4"/>
        </w:rPr>
        <w:t xml:space="preserve"> </w:t>
      </w:r>
      <w:r>
        <w:rPr>
          <w:spacing w:val="-2"/>
        </w:rPr>
        <w:t>valioso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 xml:space="preserve">La miel </w:t>
      </w:r>
      <w:r>
        <w:t>melipona es un bien biocultural escaso, no solo por su baja producción natural, sino por la complejidad cultural y ecológica que sostiene su existencia. Una colmena</w:t>
      </w:r>
      <w:r>
        <w:rPr>
          <w:spacing w:val="-3"/>
        </w:rPr>
        <w:t xml:space="preserve"> </w:t>
      </w:r>
      <w:r>
        <w:t>de</w:t>
      </w:r>
      <w:r>
        <w:rPr>
          <w:spacing w:val="-3"/>
        </w:rPr>
        <w:t xml:space="preserve"> </w:t>
      </w:r>
      <w:r>
        <w:rPr>
          <w:rFonts w:ascii="Arial" w:hAnsi="Arial"/>
          <w:i/>
        </w:rPr>
        <w:t>Melipona</w:t>
      </w:r>
      <w:r>
        <w:rPr>
          <w:rFonts w:ascii="Arial" w:hAnsi="Arial"/>
          <w:i/>
          <w:spacing w:val="-3"/>
        </w:rPr>
        <w:t xml:space="preserve"> </w:t>
      </w:r>
      <w:r>
        <w:rPr>
          <w:rFonts w:ascii="Arial" w:hAnsi="Arial"/>
          <w:i/>
        </w:rPr>
        <w:t>beecheii</w:t>
      </w:r>
      <w:r>
        <w:rPr>
          <w:rFonts w:ascii="Arial" w:hAnsi="Arial"/>
          <w:i/>
          <w:spacing w:val="-3"/>
        </w:rPr>
        <w:t xml:space="preserve"> </w:t>
      </w:r>
      <w:r>
        <w:t>produce</w:t>
      </w:r>
      <w:r>
        <w:rPr>
          <w:spacing w:val="-3"/>
        </w:rPr>
        <w:t xml:space="preserve"> </w:t>
      </w:r>
      <w:r>
        <w:t>entre</w:t>
      </w:r>
      <w:r>
        <w:rPr>
          <w:spacing w:val="-3"/>
        </w:rPr>
        <w:t xml:space="preserve"> </w:t>
      </w:r>
      <w:r>
        <w:t>0.5</w:t>
      </w:r>
      <w:r>
        <w:rPr>
          <w:spacing w:val="-3"/>
        </w:rPr>
        <w:t xml:space="preserve"> </w:t>
      </w:r>
      <w:r>
        <w:t>y</w:t>
      </w:r>
      <w:r>
        <w:rPr>
          <w:spacing w:val="-3"/>
        </w:rPr>
        <w:t xml:space="preserve"> </w:t>
      </w:r>
      <w:r>
        <w:t>2</w:t>
      </w:r>
      <w:r>
        <w:rPr>
          <w:spacing w:val="-3"/>
        </w:rPr>
        <w:t xml:space="preserve"> </w:t>
      </w:r>
      <w:r>
        <w:t>litros</w:t>
      </w:r>
      <w:r>
        <w:rPr>
          <w:spacing w:val="-3"/>
        </w:rPr>
        <w:t xml:space="preserve"> </w:t>
      </w:r>
      <w:r>
        <w:t>de</w:t>
      </w:r>
      <w:r>
        <w:rPr>
          <w:spacing w:val="-3"/>
        </w:rPr>
        <w:t xml:space="preserve"> </w:t>
      </w:r>
      <w:r>
        <w:t>miel</w:t>
      </w:r>
      <w:r>
        <w:rPr>
          <w:spacing w:val="-3"/>
        </w:rPr>
        <w:t xml:space="preserve"> </w:t>
      </w:r>
      <w:r>
        <w:t>al</w:t>
      </w:r>
      <w:r>
        <w:rPr>
          <w:spacing w:val="-3"/>
        </w:rPr>
        <w:t xml:space="preserve"> </w:t>
      </w:r>
      <w:r>
        <w:t>año,</w:t>
      </w:r>
      <w:r>
        <w:rPr>
          <w:spacing w:val="-3"/>
        </w:rPr>
        <w:t xml:space="preserve"> </w:t>
      </w:r>
      <w:r>
        <w:t>frente</w:t>
      </w:r>
      <w:r>
        <w:rPr>
          <w:spacing w:val="-3"/>
        </w:rPr>
        <w:t xml:space="preserve"> </w:t>
      </w:r>
      <w:r>
        <w:t>a</w:t>
      </w:r>
      <w:r>
        <w:rPr>
          <w:spacing w:val="-3"/>
        </w:rPr>
        <w:t xml:space="preserve"> </w:t>
      </w:r>
      <w:r>
        <w:t>los</w:t>
      </w:r>
      <w:r>
        <w:rPr>
          <w:spacing w:val="-3"/>
        </w:rPr>
        <w:t xml:space="preserve"> </w:t>
      </w:r>
      <w:r>
        <w:t>20</w:t>
      </w:r>
      <w:r>
        <w:rPr>
          <w:spacing w:val="-3"/>
        </w:rPr>
        <w:t xml:space="preserve"> </w:t>
      </w:r>
      <w:r>
        <w:t>a</w:t>
      </w:r>
    </w:p>
    <w:p w:rsidR="009B4BB4" w:rsidRDefault="00C44001">
      <w:pPr>
        <w:pStyle w:val="Textoindependiente"/>
        <w:spacing w:before="0" w:line="360" w:lineRule="auto"/>
        <w:ind w:left="425" w:right="602"/>
        <w:jc w:val="both"/>
      </w:pPr>
      <w:r>
        <w:t>30</w:t>
      </w:r>
      <w:r>
        <w:rPr>
          <w:spacing w:val="40"/>
        </w:rPr>
        <w:t xml:space="preserve"> </w:t>
      </w:r>
      <w:r>
        <w:t>litr</w:t>
      </w:r>
      <w:r>
        <w:t>os</w:t>
      </w:r>
      <w:r>
        <w:rPr>
          <w:spacing w:val="40"/>
        </w:rPr>
        <w:t xml:space="preserve"> </w:t>
      </w:r>
      <w:r>
        <w:t>de</w:t>
      </w:r>
      <w:r>
        <w:rPr>
          <w:spacing w:val="40"/>
        </w:rPr>
        <w:t xml:space="preserve"> </w:t>
      </w:r>
      <w:r>
        <w:t>una</w:t>
      </w:r>
      <w:r>
        <w:rPr>
          <w:spacing w:val="40"/>
        </w:rPr>
        <w:t xml:space="preserve"> </w:t>
      </w:r>
      <w:r>
        <w:t>colmena</w:t>
      </w:r>
      <w:r>
        <w:rPr>
          <w:spacing w:val="40"/>
        </w:rPr>
        <w:t xml:space="preserve"> </w:t>
      </w:r>
      <w:r>
        <w:t>convencional</w:t>
      </w:r>
      <w:r>
        <w:rPr>
          <w:spacing w:val="40"/>
        </w:rPr>
        <w:t xml:space="preserve"> </w:t>
      </w:r>
      <w:r>
        <w:t>de</w:t>
      </w:r>
      <w:r>
        <w:rPr>
          <w:spacing w:val="40"/>
        </w:rPr>
        <w:t xml:space="preserve"> </w:t>
      </w:r>
      <w:r>
        <w:rPr>
          <w:rFonts w:ascii="Arial" w:hAnsi="Arial"/>
          <w:i/>
        </w:rPr>
        <w:t>Apis</w:t>
      </w:r>
      <w:r>
        <w:rPr>
          <w:rFonts w:ascii="Arial" w:hAnsi="Arial"/>
          <w:i/>
          <w:spacing w:val="40"/>
        </w:rPr>
        <w:t xml:space="preserve"> </w:t>
      </w:r>
      <w:r>
        <w:rPr>
          <w:rFonts w:ascii="Arial" w:hAnsi="Arial"/>
          <w:i/>
        </w:rPr>
        <w:t>mellifera</w:t>
      </w:r>
      <w:r>
        <w:rPr>
          <w:rFonts w:ascii="Arial" w:hAnsi="Arial"/>
          <w:i/>
          <w:spacing w:val="40"/>
        </w:rPr>
        <w:t xml:space="preserve"> </w:t>
      </w:r>
      <w:r>
        <w:t>(González-Acereto</w:t>
      </w:r>
      <w:r>
        <w:rPr>
          <w:spacing w:val="40"/>
        </w:rPr>
        <w:t xml:space="preserve"> </w:t>
      </w:r>
      <w:r>
        <w:t>&amp; Quezada-Euán, 2010). Esta diferencia estructural convierte a la miel melipona en un recurso natural limitado.</w:t>
      </w:r>
    </w:p>
    <w:p w:rsidR="009B4BB4" w:rsidRDefault="00C44001">
      <w:pPr>
        <w:pStyle w:val="Textoindependiente"/>
        <w:spacing w:before="0" w:line="360" w:lineRule="auto"/>
        <w:ind w:left="425" w:right="602" w:firstLine="720"/>
        <w:jc w:val="both"/>
      </w:pPr>
      <w:r>
        <w:t xml:space="preserve">En nichos </w:t>
      </w:r>
      <w:r>
        <w:rPr>
          <w:rFonts w:ascii="Arial" w:hAnsi="Arial"/>
          <w:i/>
        </w:rPr>
        <w:t>premium</w:t>
      </w:r>
      <w:r>
        <w:t>, su precio puede oscilar entre $50 y $75 USD por litro, y en presentaciones cosméticas</w:t>
      </w:r>
      <w:r>
        <w:rPr>
          <w:spacing w:val="-4"/>
        </w:rPr>
        <w:t xml:space="preserve"> </w:t>
      </w:r>
      <w:r>
        <w:t>o</w:t>
      </w:r>
      <w:r>
        <w:rPr>
          <w:spacing w:val="-4"/>
        </w:rPr>
        <w:t xml:space="preserve"> </w:t>
      </w:r>
      <w:r>
        <w:t>de</w:t>
      </w:r>
      <w:r>
        <w:rPr>
          <w:spacing w:val="-4"/>
        </w:rPr>
        <w:t xml:space="preserve"> </w:t>
      </w:r>
      <w:r>
        <w:t>bienestar</w:t>
      </w:r>
      <w:r>
        <w:rPr>
          <w:spacing w:val="-4"/>
        </w:rPr>
        <w:t xml:space="preserve"> </w:t>
      </w:r>
      <w:r>
        <w:t>alcanza</w:t>
      </w:r>
      <w:r>
        <w:rPr>
          <w:spacing w:val="-4"/>
        </w:rPr>
        <w:t xml:space="preserve"> </w:t>
      </w:r>
      <w:r>
        <w:t>valores</w:t>
      </w:r>
      <w:r>
        <w:rPr>
          <w:spacing w:val="-4"/>
        </w:rPr>
        <w:t xml:space="preserve"> </w:t>
      </w:r>
      <w:r>
        <w:t>aún</w:t>
      </w:r>
      <w:r>
        <w:rPr>
          <w:spacing w:val="-4"/>
        </w:rPr>
        <w:t xml:space="preserve"> </w:t>
      </w:r>
      <w:r>
        <w:t>mayores.</w:t>
      </w:r>
      <w:r>
        <w:rPr>
          <w:spacing w:val="-4"/>
        </w:rPr>
        <w:t xml:space="preserve"> </w:t>
      </w:r>
      <w:r>
        <w:t>Sin</w:t>
      </w:r>
      <w:r>
        <w:rPr>
          <w:spacing w:val="-4"/>
        </w:rPr>
        <w:t xml:space="preserve"> </w:t>
      </w:r>
      <w:r>
        <w:t>embargo,</w:t>
      </w:r>
      <w:r>
        <w:rPr>
          <w:spacing w:val="-4"/>
        </w:rPr>
        <w:t xml:space="preserve"> </w:t>
      </w:r>
      <w:r>
        <w:t>su verdadero</w:t>
      </w:r>
      <w:r>
        <w:rPr>
          <w:spacing w:val="-3"/>
        </w:rPr>
        <w:t xml:space="preserve"> </w:t>
      </w:r>
      <w:r>
        <w:t>valor</w:t>
      </w:r>
      <w:r>
        <w:rPr>
          <w:spacing w:val="-3"/>
        </w:rPr>
        <w:t xml:space="preserve"> </w:t>
      </w:r>
      <w:r>
        <w:t>no</w:t>
      </w:r>
      <w:r>
        <w:rPr>
          <w:spacing w:val="-3"/>
        </w:rPr>
        <w:t xml:space="preserve"> </w:t>
      </w:r>
      <w:r>
        <w:t>reside</w:t>
      </w:r>
      <w:r>
        <w:rPr>
          <w:spacing w:val="-3"/>
        </w:rPr>
        <w:t xml:space="preserve"> </w:t>
      </w:r>
      <w:r>
        <w:t>únicamente</w:t>
      </w:r>
      <w:r>
        <w:rPr>
          <w:spacing w:val="-3"/>
        </w:rPr>
        <w:t xml:space="preserve"> </w:t>
      </w:r>
      <w:r>
        <w:t>en</w:t>
      </w:r>
      <w:r>
        <w:rPr>
          <w:spacing w:val="-3"/>
        </w:rPr>
        <w:t xml:space="preserve"> </w:t>
      </w:r>
      <w:r>
        <w:t>su</w:t>
      </w:r>
      <w:r>
        <w:rPr>
          <w:spacing w:val="-3"/>
        </w:rPr>
        <w:t xml:space="preserve"> </w:t>
      </w:r>
      <w:r>
        <w:t>composición</w:t>
      </w:r>
      <w:r>
        <w:rPr>
          <w:spacing w:val="-3"/>
        </w:rPr>
        <w:t xml:space="preserve"> </w:t>
      </w:r>
      <w:r>
        <w:t>física,</w:t>
      </w:r>
      <w:r>
        <w:rPr>
          <w:spacing w:val="-3"/>
        </w:rPr>
        <w:t xml:space="preserve"> </w:t>
      </w:r>
      <w:r>
        <w:t>sino</w:t>
      </w:r>
      <w:r>
        <w:rPr>
          <w:spacing w:val="-3"/>
        </w:rPr>
        <w:t xml:space="preserve"> </w:t>
      </w:r>
      <w:r>
        <w:t>en</w:t>
      </w:r>
      <w:r>
        <w:rPr>
          <w:spacing w:val="-3"/>
        </w:rPr>
        <w:t xml:space="preserve"> </w:t>
      </w:r>
      <w:r>
        <w:t>que</w:t>
      </w:r>
      <w:r>
        <w:rPr>
          <w:spacing w:val="-3"/>
        </w:rPr>
        <w:t xml:space="preserve"> </w:t>
      </w:r>
      <w:r>
        <w:t>representa</w:t>
      </w:r>
      <w:r>
        <w:rPr>
          <w:spacing w:val="-3"/>
        </w:rPr>
        <w:t xml:space="preserve"> </w:t>
      </w:r>
      <w:r>
        <w:t>la expresión de un sis</w:t>
      </w:r>
      <w:r>
        <w:t>tema de conocimientos, técnicas y cosmovisiones transmitidas durante generaciones.</w:t>
      </w:r>
    </w:p>
    <w:p w:rsidR="009B4BB4" w:rsidRDefault="00C44001">
      <w:pPr>
        <w:pStyle w:val="Textoindependiente"/>
        <w:spacing w:before="0" w:line="360" w:lineRule="auto"/>
        <w:ind w:left="425" w:right="602" w:firstLine="720"/>
        <w:jc w:val="both"/>
      </w:pPr>
      <w:r>
        <w:t>Bacab-Canto (2020) explica que la miel melipona constituye un patrimonio vivo, inseparable del territorio y la identidad maya. Desde una perspectiva estratégica, este factor</w:t>
      </w:r>
      <w:r>
        <w:t xml:space="preserve"> biocultural cumple con criterios de escasez, diferenciación y autenticidad, posicionando al producto como un</w:t>
      </w:r>
      <w:r>
        <w:rPr>
          <w:spacing w:val="-4"/>
        </w:rPr>
        <w:t xml:space="preserve"> </w:t>
      </w:r>
      <w:r>
        <w:t>activo</w:t>
      </w:r>
      <w:r>
        <w:rPr>
          <w:spacing w:val="-4"/>
        </w:rPr>
        <w:t xml:space="preserve"> </w:t>
      </w:r>
      <w:r>
        <w:t>distintivo</w:t>
      </w:r>
      <w:r>
        <w:rPr>
          <w:spacing w:val="-4"/>
        </w:rPr>
        <w:t xml:space="preserve"> </w:t>
      </w:r>
      <w:r>
        <w:t>en</w:t>
      </w:r>
      <w:r>
        <w:rPr>
          <w:spacing w:val="-4"/>
        </w:rPr>
        <w:t xml:space="preserve"> </w:t>
      </w:r>
      <w:r>
        <w:t>mercados</w:t>
      </w:r>
      <w:r>
        <w:rPr>
          <w:spacing w:val="-4"/>
        </w:rPr>
        <w:t xml:space="preserve"> </w:t>
      </w:r>
      <w:r>
        <w:t>de</w:t>
      </w:r>
      <w:r>
        <w:rPr>
          <w:spacing w:val="-4"/>
        </w:rPr>
        <w:t xml:space="preserve"> </w:t>
      </w:r>
      <w:r>
        <w:t>lujo,</w:t>
      </w:r>
      <w:r>
        <w:rPr>
          <w:spacing w:val="-4"/>
        </w:rPr>
        <w:t xml:space="preserve"> </w:t>
      </w:r>
      <w:r>
        <w:t>bienestar</w:t>
      </w:r>
      <w:r>
        <w:rPr>
          <w:spacing w:val="-4"/>
        </w:rPr>
        <w:t xml:space="preserve"> </w:t>
      </w:r>
      <w:r>
        <w:t>natural y turismo cultural.</w:t>
      </w:r>
    </w:p>
    <w:p w:rsidR="009B4BB4" w:rsidRDefault="00C44001">
      <w:pPr>
        <w:pStyle w:val="Textoindependiente"/>
        <w:spacing w:before="0" w:line="360" w:lineRule="auto"/>
        <w:ind w:left="425" w:right="604" w:firstLine="720"/>
        <w:jc w:val="both"/>
      </w:pPr>
      <w:r>
        <w:t>Ninguno</w:t>
      </w:r>
      <w:r>
        <w:rPr>
          <w:spacing w:val="-4"/>
        </w:rPr>
        <w:t xml:space="preserve"> </w:t>
      </w:r>
      <w:r>
        <w:t>de</w:t>
      </w:r>
      <w:r>
        <w:rPr>
          <w:spacing w:val="-4"/>
        </w:rPr>
        <w:t xml:space="preserve"> </w:t>
      </w:r>
      <w:r>
        <w:t>estos</w:t>
      </w:r>
      <w:r>
        <w:rPr>
          <w:spacing w:val="-4"/>
        </w:rPr>
        <w:t xml:space="preserve"> </w:t>
      </w:r>
      <w:r>
        <w:t>atributos</w:t>
      </w:r>
      <w:r>
        <w:rPr>
          <w:spacing w:val="-4"/>
        </w:rPr>
        <w:t xml:space="preserve"> </w:t>
      </w:r>
      <w:r>
        <w:t>opera</w:t>
      </w:r>
      <w:r>
        <w:rPr>
          <w:spacing w:val="-4"/>
        </w:rPr>
        <w:t xml:space="preserve"> </w:t>
      </w:r>
      <w:r>
        <w:t>de</w:t>
      </w:r>
      <w:r>
        <w:rPr>
          <w:spacing w:val="-4"/>
        </w:rPr>
        <w:t xml:space="preserve"> </w:t>
      </w:r>
      <w:r>
        <w:t>forma</w:t>
      </w:r>
      <w:r>
        <w:rPr>
          <w:spacing w:val="-4"/>
        </w:rPr>
        <w:t xml:space="preserve"> </w:t>
      </w:r>
      <w:r>
        <w:t>aislada.</w:t>
      </w:r>
      <w:r>
        <w:rPr>
          <w:spacing w:val="-4"/>
        </w:rPr>
        <w:t xml:space="preserve"> </w:t>
      </w:r>
      <w:r>
        <w:t>La</w:t>
      </w:r>
      <w:r>
        <w:rPr>
          <w:spacing w:val="-4"/>
        </w:rPr>
        <w:t xml:space="preserve"> </w:t>
      </w:r>
      <w:r>
        <w:t>escasez</w:t>
      </w:r>
      <w:r>
        <w:rPr>
          <w:spacing w:val="-4"/>
        </w:rPr>
        <w:t xml:space="preserve"> </w:t>
      </w:r>
      <w:r>
        <w:t>sin</w:t>
      </w:r>
      <w:r>
        <w:rPr>
          <w:spacing w:val="-4"/>
        </w:rPr>
        <w:t xml:space="preserve"> </w:t>
      </w:r>
      <w:r>
        <w:t>aut</w:t>
      </w:r>
      <w:r>
        <w:t>enticidad</w:t>
      </w:r>
      <w:r>
        <w:rPr>
          <w:spacing w:val="-4"/>
        </w:rPr>
        <w:t xml:space="preserve"> </w:t>
      </w:r>
      <w:r>
        <w:t xml:space="preserve">es solo rareza; la narrativa cultural sin respaldo técnico pierde credibilidad. Es la convergencia entre escasez real, evidencia científica y origen comunitario verificable lo que sustenta el precio </w:t>
      </w:r>
      <w:r>
        <w:rPr>
          <w:rFonts w:ascii="Arial" w:hAnsi="Arial"/>
          <w:i/>
        </w:rPr>
        <w:t xml:space="preserve">premium </w:t>
      </w:r>
      <w:r>
        <w:t>y lo que una marca convencional no pued</w:t>
      </w:r>
      <w:r>
        <w:t>e replicar únicamente mediante la adquisición del insumo.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68"/>
        </w:numPr>
        <w:tabs>
          <w:tab w:val="left" w:pos="788"/>
        </w:tabs>
        <w:spacing w:before="79"/>
        <w:ind w:left="788" w:hanging="363"/>
      </w:pPr>
      <w:bookmarkStart w:id="41" w:name="1.4_Conclusión_del_Capítulo_"/>
      <w:bookmarkStart w:id="42" w:name="h.lgrenlixeubm"/>
      <w:bookmarkEnd w:id="41"/>
      <w:bookmarkEnd w:id="42"/>
      <w:r>
        <w:lastRenderedPageBreak/>
        <w:t>Conclusión</w:t>
      </w:r>
      <w:r>
        <w:rPr>
          <w:spacing w:val="-7"/>
        </w:rPr>
        <w:t xml:space="preserve"> </w:t>
      </w:r>
      <w:r>
        <w:t>del</w:t>
      </w:r>
      <w:r>
        <w:rPr>
          <w:spacing w:val="-6"/>
        </w:rPr>
        <w:t xml:space="preserve"> </w:t>
      </w:r>
      <w:r>
        <w:rPr>
          <w:spacing w:val="-2"/>
        </w:rPr>
        <w:t>Capítulo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8" w:firstLine="720"/>
        <w:jc w:val="both"/>
      </w:pPr>
      <w:r>
        <w:t>En este capítulo se han establecido los fundamentos</w:t>
      </w:r>
      <w:r>
        <w:rPr>
          <w:spacing w:val="-4"/>
        </w:rPr>
        <w:t xml:space="preserve"> </w:t>
      </w:r>
      <w:r>
        <w:t>teóricos</w:t>
      </w:r>
      <w:r>
        <w:rPr>
          <w:spacing w:val="-4"/>
        </w:rPr>
        <w:t xml:space="preserve"> </w:t>
      </w:r>
      <w:r>
        <w:t>y</w:t>
      </w:r>
      <w:r>
        <w:rPr>
          <w:spacing w:val="-4"/>
        </w:rPr>
        <w:t xml:space="preserve"> </w:t>
      </w:r>
      <w:r>
        <w:t>conceptuales</w:t>
      </w:r>
      <w:r>
        <w:rPr>
          <w:spacing w:val="-4"/>
        </w:rPr>
        <w:t xml:space="preserve"> </w:t>
      </w:r>
      <w:r>
        <w:t xml:space="preserve">que sustentan a Guardiana como un emprendimiento de triple impacto. Se definió la lógica biocultural que transforma a la miel de </w:t>
      </w:r>
      <w:r>
        <w:rPr>
          <w:rFonts w:ascii="Arial" w:hAnsi="Arial"/>
          <w:i/>
        </w:rPr>
        <w:t xml:space="preserve">Melipona beecheii </w:t>
      </w:r>
      <w:r>
        <w:t>de un simple insumo en un activo estratégico, validando sus propiedades funcionales, su escasez estructural y</w:t>
      </w:r>
      <w:r>
        <w:t xml:space="preserve"> su valor simbólico como pilares de una ventaja competitiva bajo el enfoque VRIO (valioso, raro, inimitable y organizado).</w:t>
      </w:r>
    </w:p>
    <w:p w:rsidR="009B4BB4" w:rsidRDefault="00C44001">
      <w:pPr>
        <w:pStyle w:val="Textoindependiente"/>
        <w:spacing w:line="360" w:lineRule="auto"/>
        <w:ind w:left="425" w:right="606" w:firstLine="720"/>
        <w:jc w:val="both"/>
      </w:pPr>
      <w:r>
        <w:t>El análisis de herramientas estratégicas como FODA, PESTEL y Business</w:t>
      </w:r>
      <w:r>
        <w:rPr>
          <w:spacing w:val="-4"/>
        </w:rPr>
        <w:t xml:space="preserve"> </w:t>
      </w:r>
      <w:r>
        <w:t>Model Canvas conduce a una conclusión consistente: Guardiana no</w:t>
      </w:r>
      <w:r>
        <w:t xml:space="preserve"> presenta viabilidad compitiendo por precio o volumen. Su ventaja se encuentra en un territorio donde los competidores convencionales enfrentan barreras de entrada significativas, el de la autenticidad biocultural verificable y el posicionamiento nutracéut</w:t>
      </w:r>
      <w:r>
        <w:t>ico.</w:t>
      </w:r>
    </w:p>
    <w:p w:rsidR="009B4BB4" w:rsidRDefault="00C44001">
      <w:pPr>
        <w:pStyle w:val="Textoindependiente"/>
        <w:spacing w:line="360" w:lineRule="auto"/>
        <w:ind w:left="425" w:right="602" w:firstLine="720"/>
        <w:jc w:val="both"/>
      </w:pPr>
      <w:r>
        <w:t>No obstante, la solidez conceptual requiere validación empírica. Para que esta propuesta de valor se traduzca en un negocio viable, es necesario contrastarla con la realidad operativa y comercial del entorno. En consecuencia, el Capítulo 2: Análisis d</w:t>
      </w:r>
      <w:r>
        <w:t>el Sector y del Mercado</w:t>
      </w:r>
      <w:r>
        <w:rPr>
          <w:spacing w:val="-3"/>
        </w:rPr>
        <w:t xml:space="preserve"> </w:t>
      </w:r>
      <w:r>
        <w:t>someterá</w:t>
      </w:r>
      <w:r>
        <w:rPr>
          <w:spacing w:val="-3"/>
        </w:rPr>
        <w:t xml:space="preserve"> </w:t>
      </w:r>
      <w:r>
        <w:t>esta</w:t>
      </w:r>
      <w:r>
        <w:rPr>
          <w:spacing w:val="-3"/>
        </w:rPr>
        <w:t xml:space="preserve"> </w:t>
      </w:r>
      <w:r>
        <w:t>visión</w:t>
      </w:r>
      <w:r>
        <w:rPr>
          <w:spacing w:val="-3"/>
        </w:rPr>
        <w:t xml:space="preserve"> </w:t>
      </w:r>
      <w:r>
        <w:t>a</w:t>
      </w:r>
      <w:r>
        <w:rPr>
          <w:spacing w:val="-3"/>
        </w:rPr>
        <w:t xml:space="preserve"> </w:t>
      </w:r>
      <w:r>
        <w:t>prueba,</w:t>
      </w:r>
      <w:r>
        <w:rPr>
          <w:spacing w:val="-3"/>
        </w:rPr>
        <w:t xml:space="preserve"> </w:t>
      </w:r>
      <w:r>
        <w:t>evaluando</w:t>
      </w:r>
      <w:r>
        <w:rPr>
          <w:spacing w:val="-3"/>
        </w:rPr>
        <w:t xml:space="preserve"> </w:t>
      </w:r>
      <w:r>
        <w:t>las</w:t>
      </w:r>
      <w:r>
        <w:rPr>
          <w:spacing w:val="-3"/>
        </w:rPr>
        <w:t xml:space="preserve"> </w:t>
      </w:r>
      <w:r>
        <w:t>dinámicas</w:t>
      </w:r>
      <w:r>
        <w:rPr>
          <w:spacing w:val="-3"/>
        </w:rPr>
        <w:t xml:space="preserve"> </w:t>
      </w:r>
      <w:r>
        <w:t>de</w:t>
      </w:r>
      <w:r>
        <w:rPr>
          <w:spacing w:val="-3"/>
        </w:rPr>
        <w:t xml:space="preserve"> </w:t>
      </w:r>
      <w:r>
        <w:t>oferta</w:t>
      </w:r>
      <w:r>
        <w:rPr>
          <w:spacing w:val="-3"/>
        </w:rPr>
        <w:t xml:space="preserve"> </w:t>
      </w:r>
      <w:r>
        <w:t>y demanda, dimensionando el tamaño de la oportunidad en el segmento de bienestar y analizando la estructura competitiva que Guardiana</w:t>
      </w:r>
      <w:r>
        <w:rPr>
          <w:spacing w:val="-4"/>
        </w:rPr>
        <w:t xml:space="preserve"> </w:t>
      </w:r>
      <w:r>
        <w:t>deberá</w:t>
      </w:r>
      <w:r>
        <w:rPr>
          <w:spacing w:val="-4"/>
        </w:rPr>
        <w:t xml:space="preserve"> </w:t>
      </w:r>
      <w:r>
        <w:t>afrontar</w:t>
      </w:r>
      <w:r>
        <w:rPr>
          <w:spacing w:val="-4"/>
        </w:rPr>
        <w:t xml:space="preserve"> </w:t>
      </w:r>
      <w:r>
        <w:t>para</w:t>
      </w:r>
      <w:r>
        <w:rPr>
          <w:spacing w:val="-4"/>
        </w:rPr>
        <w:t xml:space="preserve"> </w:t>
      </w:r>
      <w:r>
        <w:t>posicionarse</w:t>
      </w:r>
      <w:r>
        <w:rPr>
          <w:spacing w:val="-4"/>
        </w:rPr>
        <w:t xml:space="preserve"> </w:t>
      </w:r>
      <w:r>
        <w:t>de manera efectiva.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237" w:right="413"/>
        <w:jc w:val="center"/>
      </w:pPr>
      <w:bookmarkStart w:id="43" w:name="Capítulo_2​Análisis_del_sector_y_la_empr"/>
      <w:bookmarkStart w:id="44" w:name="h.ofj81saomz80"/>
      <w:bookmarkEnd w:id="43"/>
      <w:bookmarkEnd w:id="44"/>
      <w:r>
        <w:lastRenderedPageBreak/>
        <w:t>Capítulo</w:t>
      </w:r>
      <w:r>
        <w:rPr>
          <w:spacing w:val="-8"/>
        </w:rPr>
        <w:t xml:space="preserve"> </w:t>
      </w:r>
      <w:r>
        <w:rPr>
          <w:spacing w:val="-10"/>
        </w:rPr>
        <w:t>2</w:t>
      </w:r>
    </w:p>
    <w:p w:rsidR="009B4BB4" w:rsidRDefault="00C44001">
      <w:pPr>
        <w:pStyle w:val="Ttulo1"/>
        <w:spacing w:before="127"/>
        <w:ind w:left="237" w:right="413"/>
        <w:jc w:val="center"/>
      </w:pPr>
      <w:r>
        <w:t>Análisis</w:t>
      </w:r>
      <w:r>
        <w:rPr>
          <w:spacing w:val="-4"/>
        </w:rPr>
        <w:t xml:space="preserve"> </w:t>
      </w:r>
      <w:r>
        <w:t>del</w:t>
      </w:r>
      <w:r>
        <w:rPr>
          <w:spacing w:val="-4"/>
        </w:rPr>
        <w:t xml:space="preserve"> </w:t>
      </w:r>
      <w:r>
        <w:t>sector</w:t>
      </w:r>
      <w:r>
        <w:rPr>
          <w:spacing w:val="-4"/>
        </w:rPr>
        <w:t xml:space="preserve"> </w:t>
      </w:r>
      <w:r>
        <w:t>y</w:t>
      </w:r>
      <w:r>
        <w:rPr>
          <w:spacing w:val="-4"/>
        </w:rPr>
        <w:t xml:space="preserve"> </w:t>
      </w:r>
      <w:r>
        <w:t>la</w:t>
      </w:r>
      <w:r>
        <w:rPr>
          <w:spacing w:val="-4"/>
        </w:rPr>
        <w:t xml:space="preserve"> </w:t>
      </w:r>
      <w:r>
        <w:rPr>
          <w:spacing w:val="-2"/>
        </w:rPr>
        <w:t>empresa</w:t>
      </w:r>
    </w:p>
    <w:p w:rsidR="009B4BB4" w:rsidRDefault="009B4BB4">
      <w:pPr>
        <w:pStyle w:val="Textoindependiente"/>
        <w:spacing w:before="233"/>
        <w:rPr>
          <w:rFonts w:ascii="Arial"/>
          <w:b/>
        </w:rPr>
      </w:pPr>
    </w:p>
    <w:p w:rsidR="009B4BB4" w:rsidRDefault="00C44001" w:rsidP="00C44001">
      <w:pPr>
        <w:pStyle w:val="Ttulo1"/>
        <w:numPr>
          <w:ilvl w:val="1"/>
          <w:numId w:val="62"/>
        </w:numPr>
        <w:tabs>
          <w:tab w:val="left" w:pos="1508"/>
        </w:tabs>
        <w:ind w:left="1508" w:hanging="363"/>
        <w:jc w:val="left"/>
      </w:pPr>
      <w:bookmarkStart w:id="45" w:name="2.1_Panorama_del_sector_mielero_y_natura"/>
      <w:bookmarkStart w:id="46" w:name="h.yy8o7o27az8p"/>
      <w:bookmarkEnd w:id="45"/>
      <w:bookmarkEnd w:id="46"/>
      <w:r>
        <w:t>Panorama</w:t>
      </w:r>
      <w:r>
        <w:rPr>
          <w:spacing w:val="-5"/>
        </w:rPr>
        <w:t xml:space="preserve"> </w:t>
      </w:r>
      <w:r>
        <w:t>del</w:t>
      </w:r>
      <w:r>
        <w:rPr>
          <w:spacing w:val="-5"/>
        </w:rPr>
        <w:t xml:space="preserve"> </w:t>
      </w:r>
      <w:r>
        <w:t>sector</w:t>
      </w:r>
      <w:r>
        <w:rPr>
          <w:spacing w:val="-5"/>
        </w:rPr>
        <w:t xml:space="preserve"> </w:t>
      </w:r>
      <w:r>
        <w:t>mielero</w:t>
      </w:r>
      <w:r>
        <w:rPr>
          <w:spacing w:val="-5"/>
        </w:rPr>
        <w:t xml:space="preserve"> </w:t>
      </w:r>
      <w:r>
        <w:t>y</w:t>
      </w:r>
      <w:r>
        <w:rPr>
          <w:spacing w:val="-5"/>
        </w:rPr>
        <w:t xml:space="preserve"> </w:t>
      </w:r>
      <w:r>
        <w:rPr>
          <w:spacing w:val="-2"/>
        </w:rPr>
        <w:t>natural</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2" w:firstLine="720"/>
        <w:jc w:val="both"/>
      </w:pPr>
      <w:r>
        <w:t>El análisis del sector de la miel permite comprender el alcance y el potencial de productos como la miel melipona, cuya comercialización se sitúa</w:t>
      </w:r>
      <w:r>
        <w:rPr>
          <w:spacing w:val="-3"/>
        </w:rPr>
        <w:t xml:space="preserve"> </w:t>
      </w:r>
      <w:r>
        <w:t>en</w:t>
      </w:r>
      <w:r>
        <w:rPr>
          <w:spacing w:val="-3"/>
        </w:rPr>
        <w:t xml:space="preserve"> </w:t>
      </w:r>
      <w:r>
        <w:t>la</w:t>
      </w:r>
      <w:r>
        <w:rPr>
          <w:spacing w:val="-3"/>
        </w:rPr>
        <w:t xml:space="preserve"> </w:t>
      </w:r>
      <w:r>
        <w:t>intersección</w:t>
      </w:r>
      <w:r>
        <w:rPr>
          <w:spacing w:val="-3"/>
        </w:rPr>
        <w:t xml:space="preserve"> </w:t>
      </w:r>
      <w:r>
        <w:t>entre tradición, salud y sostenibilidad. A diferencia de los productos de consumo masivo, e</w:t>
      </w:r>
      <w:r>
        <w:t>ste nicho responde a nuevas dinámicas de valor impulsadas por consumidores más conscientes, informados y exigentes.</w:t>
      </w:r>
    </w:p>
    <w:p w:rsidR="009B4BB4" w:rsidRDefault="00C44001">
      <w:pPr>
        <w:pStyle w:val="Textoindependiente"/>
        <w:spacing w:line="360" w:lineRule="auto"/>
        <w:ind w:left="425" w:right="606" w:firstLine="720"/>
        <w:jc w:val="both"/>
      </w:pPr>
      <w:r>
        <w:t xml:space="preserve">El sector de la miel no constituye el mercado objetivo de Guardiana, sino el contexto que permite entender la existencia de la oportunidad. </w:t>
      </w:r>
      <w:r>
        <w:t>En este sentido, la presente sección analiza dicho entorno a partir de tres dimensiones: las dinámicas globales</w:t>
      </w:r>
      <w:r>
        <w:rPr>
          <w:spacing w:val="-4"/>
        </w:rPr>
        <w:t xml:space="preserve"> </w:t>
      </w:r>
      <w:r>
        <w:t>del</w:t>
      </w:r>
      <w:r>
        <w:rPr>
          <w:spacing w:val="-4"/>
        </w:rPr>
        <w:t xml:space="preserve"> </w:t>
      </w:r>
      <w:r>
        <w:t>sector,</w:t>
      </w:r>
      <w:r>
        <w:rPr>
          <w:spacing w:val="-4"/>
        </w:rPr>
        <w:t xml:space="preserve"> </w:t>
      </w:r>
      <w:r>
        <w:t>la</w:t>
      </w:r>
      <w:r>
        <w:rPr>
          <w:spacing w:val="-4"/>
        </w:rPr>
        <w:t xml:space="preserve"> </w:t>
      </w:r>
      <w:r>
        <w:t>situación</w:t>
      </w:r>
      <w:r>
        <w:rPr>
          <w:spacing w:val="-4"/>
        </w:rPr>
        <w:t xml:space="preserve"> </w:t>
      </w:r>
      <w:r>
        <w:t>específica</w:t>
      </w:r>
      <w:r>
        <w:rPr>
          <w:spacing w:val="-4"/>
        </w:rPr>
        <w:t xml:space="preserve"> </w:t>
      </w:r>
      <w:r>
        <w:t>de</w:t>
      </w:r>
      <w:r>
        <w:rPr>
          <w:spacing w:val="-4"/>
        </w:rPr>
        <w:t xml:space="preserve"> </w:t>
      </w:r>
      <w:r>
        <w:t>la</w:t>
      </w:r>
      <w:r>
        <w:rPr>
          <w:spacing w:val="-4"/>
        </w:rPr>
        <w:t xml:space="preserve"> </w:t>
      </w:r>
      <w:r>
        <w:t>miel</w:t>
      </w:r>
      <w:r>
        <w:rPr>
          <w:spacing w:val="-4"/>
        </w:rPr>
        <w:t xml:space="preserve"> </w:t>
      </w:r>
      <w:r>
        <w:t>melipona</w:t>
      </w:r>
      <w:r>
        <w:rPr>
          <w:spacing w:val="-4"/>
        </w:rPr>
        <w:t xml:space="preserve"> </w:t>
      </w:r>
      <w:r>
        <w:t>en</w:t>
      </w:r>
      <w:r>
        <w:rPr>
          <w:spacing w:val="-4"/>
        </w:rPr>
        <w:t xml:space="preserve"> </w:t>
      </w:r>
      <w:r>
        <w:t>México</w:t>
      </w:r>
      <w:r>
        <w:rPr>
          <w:spacing w:val="-4"/>
        </w:rPr>
        <w:t xml:space="preserve"> </w:t>
      </w:r>
      <w:r>
        <w:t>y</w:t>
      </w:r>
      <w:r>
        <w:rPr>
          <w:spacing w:val="-4"/>
        </w:rPr>
        <w:t xml:space="preserve"> </w:t>
      </w:r>
      <w:r>
        <w:t>las</w:t>
      </w:r>
      <w:r>
        <w:rPr>
          <w:spacing w:val="-4"/>
        </w:rPr>
        <w:t xml:space="preserve"> </w:t>
      </w:r>
      <w:r>
        <w:t>tendencias de consumo que sustentan una propuesta basada en valor cultur</w:t>
      </w:r>
      <w:r>
        <w:t>al y escasez estructural.</w:t>
      </w:r>
    </w:p>
    <w:p w:rsidR="009B4BB4" w:rsidRDefault="00C44001" w:rsidP="00C44001">
      <w:pPr>
        <w:pStyle w:val="Ttulo2"/>
        <w:numPr>
          <w:ilvl w:val="2"/>
          <w:numId w:val="62"/>
        </w:numPr>
        <w:tabs>
          <w:tab w:val="left" w:pos="1315"/>
        </w:tabs>
        <w:ind w:left="1315" w:hanging="545"/>
        <w:jc w:val="left"/>
      </w:pPr>
      <w:bookmarkStart w:id="47" w:name="2.1.1_Mercado_nacional_e_internacional_"/>
      <w:bookmarkStart w:id="48" w:name="h.elxa11opwjwl"/>
      <w:bookmarkEnd w:id="47"/>
      <w:bookmarkEnd w:id="48"/>
      <w:r>
        <w:t>Mercado</w:t>
      </w:r>
      <w:r>
        <w:rPr>
          <w:spacing w:val="-6"/>
        </w:rPr>
        <w:t xml:space="preserve"> </w:t>
      </w:r>
      <w:r>
        <w:t>nacional</w:t>
      </w:r>
      <w:r>
        <w:rPr>
          <w:spacing w:val="-5"/>
        </w:rPr>
        <w:t xml:space="preserve"> </w:t>
      </w:r>
      <w:r>
        <w:t>e</w:t>
      </w:r>
      <w:r>
        <w:rPr>
          <w:spacing w:val="-5"/>
        </w:rPr>
        <w:t xml:space="preserve"> </w:t>
      </w:r>
      <w:r>
        <w:rPr>
          <w:spacing w:val="-2"/>
        </w:rPr>
        <w:t>internacional</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10" w:firstLine="720"/>
        <w:jc w:val="both"/>
      </w:pPr>
      <w:r>
        <w:t>La miel ha ganado relevancia como producto alimentario debido a sus propiedades nutricionales y funcionales, así como a su asociación con tendencias de salud, sostenibilidad y consumo natural. A n</w:t>
      </w:r>
      <w:r>
        <w:t>ivel internacional, el mercado de la miel alcanzó en 2024 un valor estimado de 9.4 mil millones de dólares, con proyecciones de crecimiento hasta 15.6 mil millones de dólares hacia 2032. Este crecimiento está impulsado por la creciente</w:t>
      </w:r>
      <w:r>
        <w:rPr>
          <w:spacing w:val="-4"/>
        </w:rPr>
        <w:t xml:space="preserve"> </w:t>
      </w:r>
      <w:r>
        <w:t>demanda</w:t>
      </w:r>
      <w:r>
        <w:rPr>
          <w:spacing w:val="-4"/>
        </w:rPr>
        <w:t xml:space="preserve"> </w:t>
      </w:r>
      <w:r>
        <w:t>de</w:t>
      </w:r>
      <w:r>
        <w:rPr>
          <w:spacing w:val="-4"/>
        </w:rPr>
        <w:t xml:space="preserve"> </w:t>
      </w:r>
      <w:r>
        <w:t>productos</w:t>
      </w:r>
      <w:r>
        <w:rPr>
          <w:spacing w:val="-4"/>
        </w:rPr>
        <w:t xml:space="preserve"> </w:t>
      </w:r>
      <w:r>
        <w:t>naturales</w:t>
      </w:r>
      <w:r>
        <w:rPr>
          <w:spacing w:val="-4"/>
        </w:rPr>
        <w:t xml:space="preserve"> </w:t>
      </w:r>
      <w:r>
        <w:t>y</w:t>
      </w:r>
      <w:r>
        <w:rPr>
          <w:spacing w:val="-4"/>
        </w:rPr>
        <w:t xml:space="preserve"> </w:t>
      </w:r>
      <w:r>
        <w:t>orgánicos,</w:t>
      </w:r>
      <w:r>
        <w:rPr>
          <w:spacing w:val="-4"/>
        </w:rPr>
        <w:t xml:space="preserve"> </w:t>
      </w:r>
      <w:r>
        <w:t>así</w:t>
      </w:r>
      <w:r>
        <w:rPr>
          <w:spacing w:val="-4"/>
        </w:rPr>
        <w:t xml:space="preserve"> </w:t>
      </w:r>
      <w:r>
        <w:t>como</w:t>
      </w:r>
      <w:r>
        <w:rPr>
          <w:spacing w:val="-4"/>
        </w:rPr>
        <w:t xml:space="preserve"> </w:t>
      </w:r>
      <w:r>
        <w:t>por</w:t>
      </w:r>
      <w:r>
        <w:rPr>
          <w:spacing w:val="-4"/>
        </w:rPr>
        <w:t xml:space="preserve"> </w:t>
      </w:r>
      <w:r>
        <w:t>su aplicación en industrias como la cosmética, la farmacéutica y los alimentos funcionales (Fortune Business Insights, 2024).</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132"/>
      </w:pPr>
    </w:p>
    <w:p w:rsidR="009B4BB4" w:rsidRDefault="00C44001">
      <w:pPr>
        <w:pStyle w:val="Ttulo1"/>
      </w:pPr>
      <w:r>
        <w:t>Figura</w:t>
      </w:r>
      <w:r>
        <w:rPr>
          <w:spacing w:val="-6"/>
        </w:rPr>
        <w:t xml:space="preserve"> </w:t>
      </w:r>
      <w:r>
        <w:rPr>
          <w:spacing w:val="-5"/>
        </w:rPr>
        <w:t>2.1</w:t>
      </w:r>
    </w:p>
    <w:p w:rsidR="009B4BB4" w:rsidRDefault="00C44001">
      <w:pPr>
        <w:spacing w:before="127"/>
        <w:ind w:left="455"/>
        <w:rPr>
          <w:rFonts w:ascii="Arial" w:hAnsi="Arial"/>
          <w:i/>
        </w:rPr>
      </w:pPr>
      <w:r>
        <w:rPr>
          <w:rFonts w:ascii="Arial" w:hAnsi="Arial"/>
          <w:i/>
        </w:rPr>
        <w:t>Proyección</w:t>
      </w:r>
      <w:r>
        <w:rPr>
          <w:rFonts w:ascii="Arial" w:hAnsi="Arial"/>
          <w:i/>
          <w:spacing w:val="-6"/>
        </w:rPr>
        <w:t xml:space="preserve"> </w:t>
      </w:r>
      <w:r>
        <w:rPr>
          <w:rFonts w:ascii="Arial" w:hAnsi="Arial"/>
          <w:i/>
        </w:rPr>
        <w:t>del</w:t>
      </w:r>
      <w:r>
        <w:rPr>
          <w:rFonts w:ascii="Arial" w:hAnsi="Arial"/>
          <w:i/>
          <w:spacing w:val="-5"/>
        </w:rPr>
        <w:t xml:space="preserve"> </w:t>
      </w:r>
      <w:r>
        <w:rPr>
          <w:rFonts w:ascii="Arial" w:hAnsi="Arial"/>
          <w:i/>
        </w:rPr>
        <w:t>tamaño</w:t>
      </w:r>
      <w:r>
        <w:rPr>
          <w:rFonts w:ascii="Arial" w:hAnsi="Arial"/>
          <w:i/>
          <w:spacing w:val="-6"/>
        </w:rPr>
        <w:t xml:space="preserve"> </w:t>
      </w:r>
      <w:r>
        <w:rPr>
          <w:rFonts w:ascii="Arial" w:hAnsi="Arial"/>
          <w:i/>
        </w:rPr>
        <w:t>del</w:t>
      </w:r>
      <w:r>
        <w:rPr>
          <w:rFonts w:ascii="Arial" w:hAnsi="Arial"/>
          <w:i/>
          <w:spacing w:val="-5"/>
        </w:rPr>
        <w:t xml:space="preserve"> </w:t>
      </w:r>
      <w:r>
        <w:rPr>
          <w:rFonts w:ascii="Arial" w:hAnsi="Arial"/>
          <w:i/>
        </w:rPr>
        <w:t>mercado</w:t>
      </w:r>
      <w:r>
        <w:rPr>
          <w:rFonts w:ascii="Arial" w:hAnsi="Arial"/>
          <w:i/>
          <w:spacing w:val="-6"/>
        </w:rPr>
        <w:t xml:space="preserve"> </w:t>
      </w:r>
      <w:r>
        <w:rPr>
          <w:rFonts w:ascii="Arial" w:hAnsi="Arial"/>
          <w:i/>
        </w:rPr>
        <w:t>global</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miel,</w:t>
      </w:r>
      <w:r>
        <w:rPr>
          <w:rFonts w:ascii="Arial" w:hAnsi="Arial"/>
          <w:i/>
          <w:spacing w:val="-5"/>
        </w:rPr>
        <w:t xml:space="preserve"> </w:t>
      </w:r>
      <w:r>
        <w:rPr>
          <w:rFonts w:ascii="Arial" w:hAnsi="Arial"/>
          <w:i/>
        </w:rPr>
        <w:t>por</w:t>
      </w:r>
      <w:r>
        <w:rPr>
          <w:rFonts w:ascii="Arial" w:hAnsi="Arial"/>
          <w:i/>
          <w:spacing w:val="-6"/>
        </w:rPr>
        <w:t xml:space="preserve"> </w:t>
      </w:r>
      <w:r>
        <w:rPr>
          <w:rFonts w:ascii="Arial" w:hAnsi="Arial"/>
          <w:i/>
        </w:rPr>
        <w:t>tipo,</w:t>
      </w:r>
      <w:r>
        <w:rPr>
          <w:rFonts w:ascii="Arial" w:hAnsi="Arial"/>
          <w:i/>
          <w:spacing w:val="-5"/>
        </w:rPr>
        <w:t xml:space="preserve"> </w:t>
      </w:r>
      <w:r>
        <w:rPr>
          <w:rFonts w:ascii="Arial" w:hAnsi="Arial"/>
          <w:i/>
        </w:rPr>
        <w:t>2021-</w:t>
      </w:r>
      <w:r>
        <w:rPr>
          <w:rFonts w:ascii="Arial" w:hAnsi="Arial"/>
          <w:i/>
          <w:spacing w:val="-4"/>
        </w:rPr>
        <w:t>2034</w:t>
      </w:r>
    </w:p>
    <w:p w:rsidR="009B4BB4" w:rsidRDefault="00C44001">
      <w:pPr>
        <w:pStyle w:val="Textoindependiente"/>
        <w:spacing w:before="142"/>
        <w:rPr>
          <w:rFonts w:ascii="Arial"/>
          <w:i/>
          <w:sz w:val="20"/>
        </w:rPr>
      </w:pPr>
      <w:r>
        <w:rPr>
          <w:rFonts w:ascii="Arial"/>
          <w:i/>
          <w:noProof/>
          <w:sz w:val="20"/>
          <w:lang w:val="es-AR" w:eastAsia="es-AR"/>
        </w:rPr>
        <w:drawing>
          <wp:anchor distT="0" distB="0" distL="0" distR="0" simplePos="0" relativeHeight="487588864" behindDoc="1" locked="0" layoutInCell="1" allowOverlap="1">
            <wp:simplePos x="0" y="0"/>
            <wp:positionH relativeFrom="page">
              <wp:posOffset>1118099</wp:posOffset>
            </wp:positionH>
            <wp:positionV relativeFrom="paragraph">
              <wp:posOffset>251739</wp:posOffset>
            </wp:positionV>
            <wp:extent cx="5575242" cy="3128962"/>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5575242" cy="3128962"/>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56"/>
        <w:rPr>
          <w:rFonts w:ascii="Arial"/>
          <w:i/>
        </w:rPr>
      </w:pPr>
    </w:p>
    <w:p w:rsidR="009B4BB4" w:rsidRDefault="00C44001">
      <w:pPr>
        <w:pStyle w:val="Textoindependiente"/>
        <w:spacing w:before="0" w:line="360" w:lineRule="auto"/>
        <w:ind w:left="425" w:right="603" w:firstLine="30"/>
        <w:jc w:val="both"/>
      </w:pPr>
      <w:r>
        <w:rPr>
          <w:rFonts w:ascii="Arial" w:hAnsi="Arial"/>
          <w:i/>
        </w:rPr>
        <w:t xml:space="preserve">Nota. </w:t>
      </w:r>
      <w:r>
        <w:t>Gráfico de barras apiladas que muestra el crecimiento proyectado en miles de millones de</w:t>
      </w:r>
      <w:r>
        <w:rPr>
          <w:spacing w:val="-4"/>
        </w:rPr>
        <w:t xml:space="preserve"> </w:t>
      </w:r>
      <w:r>
        <w:t>dólares</w:t>
      </w:r>
      <w:r>
        <w:rPr>
          <w:spacing w:val="-4"/>
        </w:rPr>
        <w:t xml:space="preserve"> </w:t>
      </w:r>
      <w:r>
        <w:t>(USD</w:t>
      </w:r>
      <w:r>
        <w:rPr>
          <w:spacing w:val="-4"/>
        </w:rPr>
        <w:t xml:space="preserve"> </w:t>
      </w:r>
      <w:r>
        <w:t>Billion)</w:t>
      </w:r>
      <w:r>
        <w:rPr>
          <w:spacing w:val="-4"/>
        </w:rPr>
        <w:t xml:space="preserve"> </w:t>
      </w:r>
      <w:r>
        <w:t>para</w:t>
      </w:r>
      <w:r>
        <w:rPr>
          <w:spacing w:val="-4"/>
        </w:rPr>
        <w:t xml:space="preserve"> </w:t>
      </w:r>
      <w:r>
        <w:t>miel</w:t>
      </w:r>
      <w:r>
        <w:rPr>
          <w:spacing w:val="-4"/>
        </w:rPr>
        <w:t xml:space="preserve"> </w:t>
      </w:r>
      <w:r>
        <w:t>orgánica</w:t>
      </w:r>
      <w:r>
        <w:rPr>
          <w:spacing w:val="-4"/>
        </w:rPr>
        <w:t xml:space="preserve"> </w:t>
      </w:r>
      <w:r>
        <w:t>de</w:t>
      </w:r>
      <w:r>
        <w:rPr>
          <w:spacing w:val="-4"/>
        </w:rPr>
        <w:t xml:space="preserve"> </w:t>
      </w:r>
      <w:r>
        <w:t>flores</w:t>
      </w:r>
      <w:r>
        <w:rPr>
          <w:spacing w:val="-4"/>
        </w:rPr>
        <w:t xml:space="preserve"> </w:t>
      </w:r>
      <w:r>
        <w:t>silvestres</w:t>
      </w:r>
      <w:r>
        <w:rPr>
          <w:spacing w:val="-4"/>
        </w:rPr>
        <w:t xml:space="preserve"> </w:t>
      </w:r>
      <w:r>
        <w:t>y</w:t>
      </w:r>
      <w:r>
        <w:rPr>
          <w:spacing w:val="-4"/>
        </w:rPr>
        <w:t xml:space="preserve"> </w:t>
      </w:r>
      <w:r>
        <w:t>miel</w:t>
      </w:r>
      <w:r>
        <w:rPr>
          <w:spacing w:val="-4"/>
        </w:rPr>
        <w:t xml:space="preserve"> </w:t>
      </w:r>
      <w:r>
        <w:t xml:space="preserve">monofloral. Adaptado de "Honey Market Size, By Type, 2021 - 2034", por Global </w:t>
      </w:r>
      <w:r>
        <w:t>Market Insights (GMInsights), s.f., (</w:t>
      </w:r>
      <w:hyperlink r:id="rId13">
        <w:r>
          <w:rPr>
            <w:u w:val="thick"/>
          </w:rPr>
          <w:t>www.gminsights.com</w:t>
        </w:r>
      </w:hyperlink>
      <w:r>
        <w:t>)</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pPr>
        <w:pStyle w:val="Textoindependiente"/>
        <w:spacing w:before="0" w:line="360" w:lineRule="auto"/>
        <w:ind w:left="425" w:right="604" w:firstLine="720"/>
        <w:jc w:val="both"/>
      </w:pPr>
      <w:r>
        <w:t>El gráfico</w:t>
      </w:r>
      <w:r>
        <w:rPr>
          <w:spacing w:val="-5"/>
        </w:rPr>
        <w:t xml:space="preserve"> </w:t>
      </w:r>
      <w:r>
        <w:t>evidencia</w:t>
      </w:r>
      <w:r>
        <w:rPr>
          <w:spacing w:val="-5"/>
        </w:rPr>
        <w:t xml:space="preserve"> </w:t>
      </w:r>
      <w:r>
        <w:t>un</w:t>
      </w:r>
      <w:r>
        <w:rPr>
          <w:spacing w:val="-5"/>
        </w:rPr>
        <w:t xml:space="preserve"> </w:t>
      </w:r>
      <w:r>
        <w:t>crecimiento</w:t>
      </w:r>
      <w:r>
        <w:rPr>
          <w:spacing w:val="-5"/>
        </w:rPr>
        <w:t xml:space="preserve"> </w:t>
      </w:r>
      <w:r>
        <w:t>sostenido</w:t>
      </w:r>
      <w:r>
        <w:rPr>
          <w:spacing w:val="-5"/>
        </w:rPr>
        <w:t xml:space="preserve"> </w:t>
      </w:r>
      <w:r>
        <w:t>del</w:t>
      </w:r>
      <w:r>
        <w:rPr>
          <w:spacing w:val="-5"/>
        </w:rPr>
        <w:t xml:space="preserve"> </w:t>
      </w:r>
      <w:r>
        <w:t>sector,</w:t>
      </w:r>
      <w:r>
        <w:rPr>
          <w:spacing w:val="-5"/>
        </w:rPr>
        <w:t xml:space="preserve"> </w:t>
      </w:r>
      <w:r>
        <w:t>impulsado</w:t>
      </w:r>
      <w:r>
        <w:rPr>
          <w:spacing w:val="-5"/>
        </w:rPr>
        <w:t xml:space="preserve"> </w:t>
      </w:r>
      <w:r>
        <w:t>principalmente por la demanda de mieles</w:t>
      </w:r>
      <w:r>
        <w:rPr>
          <w:spacing w:val="-4"/>
        </w:rPr>
        <w:t xml:space="preserve"> </w:t>
      </w:r>
      <w:r>
        <w:t>monoflorales</w:t>
      </w:r>
      <w:r>
        <w:rPr>
          <w:spacing w:val="-4"/>
        </w:rPr>
        <w:t xml:space="preserve"> </w:t>
      </w:r>
      <w:r>
        <w:t>y</w:t>
      </w:r>
      <w:r>
        <w:rPr>
          <w:spacing w:val="-4"/>
        </w:rPr>
        <w:t xml:space="preserve"> </w:t>
      </w:r>
      <w:r>
        <w:t>orgánicas.</w:t>
      </w:r>
      <w:r>
        <w:rPr>
          <w:spacing w:val="-4"/>
        </w:rPr>
        <w:t xml:space="preserve"> </w:t>
      </w:r>
      <w:r>
        <w:t>Esta</w:t>
      </w:r>
      <w:r>
        <w:rPr>
          <w:spacing w:val="-4"/>
        </w:rPr>
        <w:t xml:space="preserve"> </w:t>
      </w:r>
      <w:r>
        <w:t>tendencia</w:t>
      </w:r>
      <w:r>
        <w:rPr>
          <w:spacing w:val="-4"/>
        </w:rPr>
        <w:t xml:space="preserve"> </w:t>
      </w:r>
      <w:r>
        <w:t>valida</w:t>
      </w:r>
      <w:r>
        <w:rPr>
          <w:spacing w:val="-4"/>
        </w:rPr>
        <w:t xml:space="preserve"> </w:t>
      </w:r>
      <w:r>
        <w:t>la</w:t>
      </w:r>
      <w:r>
        <w:rPr>
          <w:spacing w:val="-4"/>
        </w:rPr>
        <w:t xml:space="preserve"> </w:t>
      </w:r>
      <w:r>
        <w:t>oportunidad para productos de nicho como Guardiana, que se insertan en los segmentos de mayor valor agregado (representados en azul claro). Fuente: Global Market Insights (2024).</w:t>
      </w:r>
    </w:p>
    <w:p w:rsidR="009B4BB4" w:rsidRDefault="00C44001">
      <w:pPr>
        <w:pStyle w:val="Textoindependiente"/>
        <w:spacing w:line="360" w:lineRule="auto"/>
        <w:ind w:left="425" w:right="606" w:firstLine="720"/>
        <w:jc w:val="both"/>
      </w:pPr>
      <w:r>
        <w:t>En este contexto, la miel ha dejado de ser únicamente un endulzante</w:t>
      </w:r>
      <w:r>
        <w:t xml:space="preserve"> tradicional para posicionarse como un producto de mayor valor, especialmente en segmentos gourmet,</w:t>
      </w:r>
      <w:r>
        <w:rPr>
          <w:spacing w:val="40"/>
        </w:rPr>
        <w:t xml:space="preserve"> </w:t>
      </w:r>
      <w:r>
        <w:t>saludables</w:t>
      </w:r>
      <w:r>
        <w:rPr>
          <w:spacing w:val="40"/>
        </w:rPr>
        <w:t xml:space="preserve"> </w:t>
      </w:r>
      <w:r>
        <w:t>y</w:t>
      </w:r>
      <w:r>
        <w:rPr>
          <w:spacing w:val="40"/>
        </w:rPr>
        <w:t xml:space="preserve"> </w:t>
      </w:r>
      <w:r>
        <w:t>de</w:t>
      </w:r>
      <w:r>
        <w:rPr>
          <w:spacing w:val="40"/>
        </w:rPr>
        <w:t xml:space="preserve"> </w:t>
      </w:r>
      <w:r>
        <w:t>bienestar.</w:t>
      </w:r>
      <w:r>
        <w:rPr>
          <w:spacing w:val="40"/>
        </w:rPr>
        <w:t xml:space="preserve"> </w:t>
      </w:r>
      <w:r>
        <w:t>En</w:t>
      </w:r>
      <w:r>
        <w:rPr>
          <w:spacing w:val="40"/>
        </w:rPr>
        <w:t xml:space="preserve"> </w:t>
      </w:r>
      <w:r>
        <w:t>mercados</w:t>
      </w:r>
      <w:r>
        <w:rPr>
          <w:spacing w:val="40"/>
        </w:rPr>
        <w:t xml:space="preserve"> </w:t>
      </w:r>
      <w:r>
        <w:t>como</w:t>
      </w:r>
      <w:r>
        <w:rPr>
          <w:spacing w:val="40"/>
        </w:rPr>
        <w:t xml:space="preserve"> </w:t>
      </w:r>
      <w:r>
        <w:t>Alemania,</w:t>
      </w:r>
      <w:r>
        <w:rPr>
          <w:spacing w:val="40"/>
        </w:rPr>
        <w:t xml:space="preserve"> </w:t>
      </w:r>
      <w:r>
        <w:t>Japón</w:t>
      </w:r>
      <w:r>
        <w:rPr>
          <w:spacing w:val="40"/>
        </w:rPr>
        <w:t xml:space="preserve"> </w:t>
      </w:r>
      <w:r>
        <w:t>y</w:t>
      </w:r>
      <w:r>
        <w:rPr>
          <w:spacing w:val="40"/>
        </w:rPr>
        <w:t xml:space="preserve"> </w:t>
      </w:r>
      <w:r>
        <w:t>Estados</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531"/>
      </w:pPr>
      <w:r>
        <w:lastRenderedPageBreak/>
        <w:t>Unidos, las mieles monoflorales, orgánicas</w:t>
      </w:r>
      <w:r>
        <w:rPr>
          <w:spacing w:val="-4"/>
        </w:rPr>
        <w:t xml:space="preserve"> </w:t>
      </w:r>
      <w:r>
        <w:t>o</w:t>
      </w:r>
      <w:r>
        <w:rPr>
          <w:spacing w:val="-4"/>
        </w:rPr>
        <w:t xml:space="preserve"> </w:t>
      </w:r>
      <w:r>
        <w:t>de</w:t>
      </w:r>
      <w:r>
        <w:rPr>
          <w:spacing w:val="-4"/>
        </w:rPr>
        <w:t xml:space="preserve"> </w:t>
      </w:r>
      <w:r>
        <w:t>origen</w:t>
      </w:r>
      <w:r>
        <w:rPr>
          <w:spacing w:val="-4"/>
        </w:rPr>
        <w:t xml:space="preserve"> </w:t>
      </w:r>
      <w:r>
        <w:t>trazable</w:t>
      </w:r>
      <w:r>
        <w:rPr>
          <w:spacing w:val="-4"/>
        </w:rPr>
        <w:t xml:space="preserve"> </w:t>
      </w:r>
      <w:r>
        <w:t>han</w:t>
      </w:r>
      <w:r>
        <w:rPr>
          <w:spacing w:val="-4"/>
        </w:rPr>
        <w:t xml:space="preserve"> </w:t>
      </w:r>
      <w:r>
        <w:t>ganado</w:t>
      </w:r>
      <w:r>
        <w:rPr>
          <w:spacing w:val="-4"/>
        </w:rPr>
        <w:t xml:space="preserve"> </w:t>
      </w:r>
      <w:r>
        <w:t>participación frente a la miel estandarizada.</w:t>
      </w:r>
    </w:p>
    <w:p w:rsidR="009B4BB4" w:rsidRDefault="00C44001">
      <w:pPr>
        <w:pStyle w:val="Textoindependiente"/>
        <w:spacing w:line="360" w:lineRule="auto"/>
        <w:ind w:left="425" w:right="603" w:firstLine="720"/>
        <w:jc w:val="both"/>
      </w:pPr>
      <w:r>
        <w:t>En México,</w:t>
      </w:r>
      <w:r>
        <w:rPr>
          <w:spacing w:val="-3"/>
        </w:rPr>
        <w:t xml:space="preserve"> </w:t>
      </w:r>
      <w:r>
        <w:t>el</w:t>
      </w:r>
      <w:r>
        <w:rPr>
          <w:spacing w:val="-3"/>
        </w:rPr>
        <w:t xml:space="preserve"> </w:t>
      </w:r>
      <w:r>
        <w:t>país</w:t>
      </w:r>
      <w:r>
        <w:rPr>
          <w:spacing w:val="-3"/>
        </w:rPr>
        <w:t xml:space="preserve"> </w:t>
      </w:r>
      <w:r>
        <w:t>se</w:t>
      </w:r>
      <w:r>
        <w:rPr>
          <w:spacing w:val="-3"/>
        </w:rPr>
        <w:t xml:space="preserve"> </w:t>
      </w:r>
      <w:r>
        <w:t>posiciona</w:t>
      </w:r>
      <w:r>
        <w:rPr>
          <w:spacing w:val="-3"/>
        </w:rPr>
        <w:t xml:space="preserve"> </w:t>
      </w:r>
      <w:r>
        <w:t>como</w:t>
      </w:r>
      <w:r>
        <w:rPr>
          <w:spacing w:val="-3"/>
        </w:rPr>
        <w:t xml:space="preserve"> </w:t>
      </w:r>
      <w:r>
        <w:t>el</w:t>
      </w:r>
      <w:r>
        <w:rPr>
          <w:spacing w:val="-3"/>
        </w:rPr>
        <w:t xml:space="preserve"> </w:t>
      </w:r>
      <w:r>
        <w:t>noveno</w:t>
      </w:r>
      <w:r>
        <w:rPr>
          <w:spacing w:val="-3"/>
        </w:rPr>
        <w:t xml:space="preserve"> </w:t>
      </w:r>
      <w:r>
        <w:t>productor</w:t>
      </w:r>
      <w:r>
        <w:rPr>
          <w:spacing w:val="-3"/>
        </w:rPr>
        <w:t xml:space="preserve"> </w:t>
      </w:r>
      <w:r>
        <w:t>mundial</w:t>
      </w:r>
      <w:r>
        <w:rPr>
          <w:spacing w:val="-3"/>
        </w:rPr>
        <w:t xml:space="preserve"> </w:t>
      </w:r>
      <w:r>
        <w:t>de</w:t>
      </w:r>
      <w:r>
        <w:rPr>
          <w:spacing w:val="-3"/>
        </w:rPr>
        <w:t xml:space="preserve"> </w:t>
      </w:r>
      <w:r>
        <w:t>miel</w:t>
      </w:r>
      <w:r>
        <w:rPr>
          <w:spacing w:val="-3"/>
        </w:rPr>
        <w:t xml:space="preserve"> </w:t>
      </w:r>
      <w:r>
        <w:t>natural y el tercer exportador en valor. En 2022, las exportaciones alcanzaron 122 millones de dólares, dirigidas principalmente a</w:t>
      </w:r>
      <w:r>
        <w:t xml:space="preserve"> Alemania, Estados Unidos y Reino Unido (Secretaría de Economía, 2024). Para 2024, los estados con mayor volumen de exportación fueron Yucatán</w:t>
      </w:r>
      <w:r>
        <w:rPr>
          <w:spacing w:val="40"/>
        </w:rPr>
        <w:t xml:space="preserve"> </w:t>
      </w:r>
      <w:r>
        <w:t>(22.22 millones de dólares), Ciudad de México (8.5 millones de dólares) y Estado de México (5.7 millones de dólar</w:t>
      </w:r>
      <w:r>
        <w:t>es) (DataMéxico, 2024).</w:t>
      </w:r>
    </w:p>
    <w:p w:rsidR="009B4BB4" w:rsidRDefault="00C44001">
      <w:pPr>
        <w:pStyle w:val="Textoindependiente"/>
        <w:spacing w:line="360" w:lineRule="auto"/>
        <w:ind w:left="425" w:right="602" w:firstLine="720"/>
        <w:jc w:val="both"/>
      </w:pPr>
      <w:r>
        <w:t>A pesar de esta fortaleza exportadora, el consumo interno se mantiene bajo,</w:t>
      </w:r>
      <w:r>
        <w:rPr>
          <w:spacing w:val="-3"/>
        </w:rPr>
        <w:t xml:space="preserve"> </w:t>
      </w:r>
      <w:r>
        <w:t>con un rango de entre 163 y 280 gramos per cápita anual, muy por debajo del promedio europeo (INEGI, 2022). Entre 2010 y 2019, el consumo interno descendió a aproximadamente</w:t>
      </w:r>
      <w:r>
        <w:rPr>
          <w:spacing w:val="-4"/>
        </w:rPr>
        <w:t xml:space="preserve"> </w:t>
      </w:r>
      <w:r>
        <w:t>22,300</w:t>
      </w:r>
      <w:r>
        <w:rPr>
          <w:spacing w:val="-4"/>
        </w:rPr>
        <w:t xml:space="preserve"> </w:t>
      </w:r>
      <w:r>
        <w:t>toneladas</w:t>
      </w:r>
      <w:r>
        <w:rPr>
          <w:spacing w:val="-4"/>
        </w:rPr>
        <w:t xml:space="preserve"> </w:t>
      </w:r>
      <w:r>
        <w:t>anuales,</w:t>
      </w:r>
      <w:r>
        <w:rPr>
          <w:spacing w:val="-4"/>
        </w:rPr>
        <w:t xml:space="preserve"> </w:t>
      </w:r>
      <w:r>
        <w:t>con</w:t>
      </w:r>
      <w:r>
        <w:rPr>
          <w:spacing w:val="-4"/>
        </w:rPr>
        <w:t xml:space="preserve"> </w:t>
      </w:r>
      <w:r>
        <w:t>una</w:t>
      </w:r>
      <w:r>
        <w:rPr>
          <w:spacing w:val="-4"/>
        </w:rPr>
        <w:t xml:space="preserve"> </w:t>
      </w:r>
      <w:r>
        <w:t>tasa</w:t>
      </w:r>
      <w:r>
        <w:rPr>
          <w:spacing w:val="-4"/>
        </w:rPr>
        <w:t xml:space="preserve"> </w:t>
      </w:r>
      <w:r>
        <w:t>de</w:t>
      </w:r>
      <w:r>
        <w:rPr>
          <w:spacing w:val="-4"/>
        </w:rPr>
        <w:t xml:space="preserve"> </w:t>
      </w:r>
      <w:r>
        <w:t>crecimiento</w:t>
      </w:r>
      <w:r>
        <w:rPr>
          <w:spacing w:val="-4"/>
        </w:rPr>
        <w:t xml:space="preserve"> </w:t>
      </w:r>
      <w:r>
        <w:t>de</w:t>
      </w:r>
      <w:r>
        <w:rPr>
          <w:spacing w:val="-4"/>
        </w:rPr>
        <w:t xml:space="preserve"> </w:t>
      </w:r>
      <w:r>
        <w:t>-2.8%</w:t>
      </w:r>
      <w:r>
        <w:rPr>
          <w:spacing w:val="-4"/>
        </w:rPr>
        <w:t xml:space="preserve"> </w:t>
      </w:r>
      <w:r>
        <w:t>(Ávila Ramos et al.</w:t>
      </w:r>
      <w:r>
        <w:t>, 2022). Esta situación refleja una debilidad estructural del mercado local, pero también abre una oportunidad para desarrollar propuestas basadas en educación alimentaria y consumo consciente.</w:t>
      </w:r>
    </w:p>
    <w:p w:rsidR="009B4BB4" w:rsidRDefault="00C44001">
      <w:pPr>
        <w:pStyle w:val="Textoindependiente"/>
        <w:spacing w:line="360" w:lineRule="auto"/>
        <w:ind w:left="425" w:right="603" w:firstLine="720"/>
        <w:jc w:val="both"/>
      </w:pPr>
      <w:r>
        <w:t>En este escenario, Guardiana se posiciona con un doble potenci</w:t>
      </w:r>
      <w:r>
        <w:t>al: por un lado, capitalizar la dinámica expansiva del mercado internacional de mieles diferenciadas; por otro, contribuir a la revalorización del</w:t>
      </w:r>
      <w:r>
        <w:rPr>
          <w:spacing w:val="-4"/>
        </w:rPr>
        <w:t xml:space="preserve"> </w:t>
      </w:r>
      <w:r>
        <w:t>consumo</w:t>
      </w:r>
      <w:r>
        <w:rPr>
          <w:spacing w:val="-4"/>
        </w:rPr>
        <w:t xml:space="preserve"> </w:t>
      </w:r>
      <w:r>
        <w:t>interno</w:t>
      </w:r>
      <w:r>
        <w:rPr>
          <w:spacing w:val="-4"/>
        </w:rPr>
        <w:t xml:space="preserve"> </w:t>
      </w:r>
      <w:r>
        <w:t>mediante</w:t>
      </w:r>
      <w:r>
        <w:rPr>
          <w:spacing w:val="-4"/>
        </w:rPr>
        <w:t xml:space="preserve"> </w:t>
      </w:r>
      <w:r>
        <w:t>una</w:t>
      </w:r>
      <w:r>
        <w:rPr>
          <w:spacing w:val="-4"/>
        </w:rPr>
        <w:t xml:space="preserve"> </w:t>
      </w:r>
      <w:r>
        <w:t>propuesta</w:t>
      </w:r>
      <w:r>
        <w:rPr>
          <w:spacing w:val="-4"/>
        </w:rPr>
        <w:t xml:space="preserve"> </w:t>
      </w:r>
      <w:r>
        <w:t>premium, trazable y culturalmente significativa.</w:t>
      </w:r>
    </w:p>
    <w:p w:rsidR="009B4BB4" w:rsidRDefault="00C44001">
      <w:pPr>
        <w:pStyle w:val="Textoindependiente"/>
        <w:spacing w:line="360" w:lineRule="auto"/>
        <w:ind w:left="425" w:right="606" w:firstLine="720"/>
        <w:jc w:val="both"/>
      </w:pPr>
      <w:r>
        <w:t xml:space="preserve">Guardiana no compite </w:t>
      </w:r>
      <w:r>
        <w:t>en el mercado total de la miel, sino en un subsegmento donde el precio no está determinado por el volumen,</w:t>
      </w:r>
      <w:r>
        <w:rPr>
          <w:spacing w:val="-3"/>
        </w:rPr>
        <w:t xml:space="preserve"> </w:t>
      </w:r>
      <w:r>
        <w:t>sino</w:t>
      </w:r>
      <w:r>
        <w:rPr>
          <w:spacing w:val="-3"/>
        </w:rPr>
        <w:t xml:space="preserve"> </w:t>
      </w:r>
      <w:r>
        <w:t>por</w:t>
      </w:r>
      <w:r>
        <w:rPr>
          <w:spacing w:val="-3"/>
        </w:rPr>
        <w:t xml:space="preserve"> </w:t>
      </w:r>
      <w:r>
        <w:t>el</w:t>
      </w:r>
      <w:r>
        <w:rPr>
          <w:spacing w:val="-3"/>
        </w:rPr>
        <w:t xml:space="preserve"> </w:t>
      </w:r>
      <w:r>
        <w:t>significado</w:t>
      </w:r>
      <w:r>
        <w:rPr>
          <w:spacing w:val="-3"/>
        </w:rPr>
        <w:t xml:space="preserve"> </w:t>
      </w:r>
      <w:r>
        <w:t>del</w:t>
      </w:r>
      <w:r>
        <w:rPr>
          <w:spacing w:val="-3"/>
        </w:rPr>
        <w:t xml:space="preserve"> </w:t>
      </w:r>
      <w:r>
        <w:t>producto. El crecimiento global del sector no representa una</w:t>
      </w:r>
      <w:r>
        <w:rPr>
          <w:spacing w:val="-3"/>
        </w:rPr>
        <w:t xml:space="preserve"> </w:t>
      </w:r>
      <w:r>
        <w:t>oportunidad</w:t>
      </w:r>
      <w:r>
        <w:rPr>
          <w:spacing w:val="-3"/>
        </w:rPr>
        <w:t xml:space="preserve"> </w:t>
      </w:r>
      <w:r>
        <w:t>de</w:t>
      </w:r>
      <w:r>
        <w:rPr>
          <w:spacing w:val="-3"/>
        </w:rPr>
        <w:t xml:space="preserve"> </w:t>
      </w:r>
      <w:r>
        <w:t>escala,</w:t>
      </w:r>
      <w:r>
        <w:rPr>
          <w:spacing w:val="-3"/>
        </w:rPr>
        <w:t xml:space="preserve"> </w:t>
      </w:r>
      <w:r>
        <w:t>sino</w:t>
      </w:r>
      <w:r>
        <w:rPr>
          <w:spacing w:val="-3"/>
        </w:rPr>
        <w:t xml:space="preserve"> </w:t>
      </w:r>
      <w:r>
        <w:t>una</w:t>
      </w:r>
      <w:r>
        <w:rPr>
          <w:spacing w:val="-3"/>
        </w:rPr>
        <w:t xml:space="preserve"> </w:t>
      </w:r>
      <w:r>
        <w:t>señal de</w:t>
      </w:r>
      <w:r>
        <w:rPr>
          <w:spacing w:val="-3"/>
        </w:rPr>
        <w:t xml:space="preserve"> </w:t>
      </w:r>
      <w:r>
        <w:t>que</w:t>
      </w:r>
      <w:r>
        <w:rPr>
          <w:spacing w:val="-3"/>
        </w:rPr>
        <w:t xml:space="preserve"> </w:t>
      </w:r>
      <w:r>
        <w:t>existen</w:t>
      </w:r>
      <w:r>
        <w:rPr>
          <w:spacing w:val="-3"/>
        </w:rPr>
        <w:t xml:space="preserve"> </w:t>
      </w:r>
      <w:r>
        <w:t>consumi</w:t>
      </w:r>
      <w:r>
        <w:t>dores</w:t>
      </w:r>
      <w:r>
        <w:rPr>
          <w:spacing w:val="-3"/>
        </w:rPr>
        <w:t xml:space="preserve"> </w:t>
      </w:r>
      <w:r>
        <w:t>dispuestos</w:t>
      </w:r>
      <w:r>
        <w:rPr>
          <w:spacing w:val="-3"/>
        </w:rPr>
        <w:t xml:space="preserve"> </w:t>
      </w:r>
      <w:r>
        <w:t>a</w:t>
      </w:r>
      <w:r>
        <w:rPr>
          <w:spacing w:val="-3"/>
        </w:rPr>
        <w:t xml:space="preserve"> </w:t>
      </w:r>
      <w:r>
        <w:t>pagar</w:t>
      </w:r>
      <w:r>
        <w:rPr>
          <w:spacing w:val="-3"/>
        </w:rPr>
        <w:t xml:space="preserve"> </w:t>
      </w:r>
      <w:r>
        <w:t>más</w:t>
      </w:r>
      <w:r>
        <w:rPr>
          <w:spacing w:val="-3"/>
        </w:rPr>
        <w:t xml:space="preserve"> </w:t>
      </w:r>
      <w:r>
        <w:t>por</w:t>
      </w:r>
      <w:r>
        <w:rPr>
          <w:spacing w:val="-3"/>
        </w:rPr>
        <w:t xml:space="preserve"> </w:t>
      </w:r>
      <w:r>
        <w:t>origen,</w:t>
      </w:r>
      <w:r>
        <w:rPr>
          <w:spacing w:val="-3"/>
        </w:rPr>
        <w:t xml:space="preserve"> </w:t>
      </w:r>
      <w:r>
        <w:t>trazabilidad</w:t>
      </w:r>
      <w:r>
        <w:rPr>
          <w:spacing w:val="-3"/>
        </w:rPr>
        <w:t xml:space="preserve"> </w:t>
      </w:r>
      <w:r>
        <w:t>y</w:t>
      </w:r>
      <w:r>
        <w:rPr>
          <w:spacing w:val="-3"/>
        </w:rPr>
        <w:t xml:space="preserve"> </w:t>
      </w:r>
      <w:r>
        <w:t>propósito.</w:t>
      </w:r>
    </w:p>
    <w:p w:rsidR="009B4BB4" w:rsidRDefault="00C44001" w:rsidP="00C44001">
      <w:pPr>
        <w:pStyle w:val="Ttulo2"/>
        <w:numPr>
          <w:ilvl w:val="2"/>
          <w:numId w:val="62"/>
        </w:numPr>
        <w:tabs>
          <w:tab w:val="left" w:pos="1465"/>
        </w:tabs>
        <w:ind w:left="1465" w:hanging="545"/>
        <w:jc w:val="left"/>
      </w:pPr>
      <w:bookmarkStart w:id="49" w:name="2.1.2_Situación_actual_de_la_miel_melipo"/>
      <w:bookmarkStart w:id="50" w:name="h.rvy4hcjm709m"/>
      <w:bookmarkEnd w:id="49"/>
      <w:bookmarkEnd w:id="50"/>
      <w:r>
        <w:t>Situación</w:t>
      </w:r>
      <w:r>
        <w:rPr>
          <w:spacing w:val="-5"/>
        </w:rPr>
        <w:t xml:space="preserve"> </w:t>
      </w:r>
      <w:r>
        <w:t>actual</w:t>
      </w:r>
      <w:r>
        <w:rPr>
          <w:spacing w:val="-5"/>
        </w:rPr>
        <w:t xml:space="preserve"> </w:t>
      </w:r>
      <w:r>
        <w:t>de</w:t>
      </w:r>
      <w:r>
        <w:rPr>
          <w:spacing w:val="-4"/>
        </w:rPr>
        <w:t xml:space="preserve"> </w:t>
      </w:r>
      <w:r>
        <w:t>la</w:t>
      </w:r>
      <w:r>
        <w:rPr>
          <w:spacing w:val="-5"/>
        </w:rPr>
        <w:t xml:space="preserve"> </w:t>
      </w:r>
      <w:r>
        <w:t>miel</w:t>
      </w:r>
      <w:r>
        <w:rPr>
          <w:spacing w:val="-4"/>
        </w:rPr>
        <w:t xml:space="preserve"> </w:t>
      </w:r>
      <w:r>
        <w:rPr>
          <w:spacing w:val="-2"/>
        </w:rPr>
        <w:t>melipona</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La miel melipona, producida por abejas sin aguijón,</w:t>
      </w:r>
      <w:r>
        <w:rPr>
          <w:spacing w:val="-3"/>
        </w:rPr>
        <w:t xml:space="preserve"> </w:t>
      </w:r>
      <w:r>
        <w:t>representa</w:t>
      </w:r>
      <w:r>
        <w:rPr>
          <w:spacing w:val="-3"/>
        </w:rPr>
        <w:t xml:space="preserve"> </w:t>
      </w:r>
      <w:r>
        <w:t>una</w:t>
      </w:r>
      <w:r>
        <w:rPr>
          <w:spacing w:val="-3"/>
        </w:rPr>
        <w:t xml:space="preserve"> </w:t>
      </w:r>
      <w:r>
        <w:t>de</w:t>
      </w:r>
      <w:r>
        <w:rPr>
          <w:spacing w:val="-3"/>
        </w:rPr>
        <w:t xml:space="preserve"> </w:t>
      </w:r>
      <w:r>
        <w:t>las</w:t>
      </w:r>
      <w:r>
        <w:rPr>
          <w:spacing w:val="-3"/>
        </w:rPr>
        <w:t xml:space="preserve"> </w:t>
      </w:r>
      <w:r>
        <w:t>formas más antiguas de la apicultura en Mesoamérica. Su producción es</w:t>
      </w:r>
      <w:r>
        <w:rPr>
          <w:spacing w:val="-3"/>
        </w:rPr>
        <w:t xml:space="preserve"> </w:t>
      </w:r>
      <w:r>
        <w:t>artesanal,</w:t>
      </w:r>
      <w:r>
        <w:rPr>
          <w:spacing w:val="-3"/>
        </w:rPr>
        <w:t xml:space="preserve"> </w:t>
      </w:r>
      <w:r>
        <w:t>estacional</w:t>
      </w:r>
      <w:r>
        <w:rPr>
          <w:spacing w:val="-3"/>
        </w:rPr>
        <w:t xml:space="preserve"> </w:t>
      </w:r>
      <w:r>
        <w:t>y de bajo volumen.</w:t>
      </w:r>
      <w:r>
        <w:rPr>
          <w:spacing w:val="-3"/>
        </w:rPr>
        <w:t xml:space="preserve"> </w:t>
      </w:r>
      <w:r>
        <w:t>Cada</w:t>
      </w:r>
      <w:r>
        <w:rPr>
          <w:spacing w:val="-3"/>
        </w:rPr>
        <w:t xml:space="preserve"> </w:t>
      </w:r>
      <w:r>
        <w:t>colmena</w:t>
      </w:r>
      <w:r>
        <w:rPr>
          <w:spacing w:val="-3"/>
        </w:rPr>
        <w:t xml:space="preserve"> </w:t>
      </w:r>
      <w:r>
        <w:t>de</w:t>
      </w:r>
      <w:r>
        <w:rPr>
          <w:spacing w:val="-3"/>
        </w:rPr>
        <w:t xml:space="preserve"> </w:t>
      </w:r>
      <w:r>
        <w:rPr>
          <w:rFonts w:ascii="Arial" w:hAnsi="Arial"/>
          <w:i/>
        </w:rPr>
        <w:t>Melipona</w:t>
      </w:r>
      <w:r>
        <w:rPr>
          <w:rFonts w:ascii="Arial" w:hAnsi="Arial"/>
          <w:i/>
          <w:spacing w:val="-3"/>
        </w:rPr>
        <w:t xml:space="preserve"> </w:t>
      </w:r>
      <w:r>
        <w:rPr>
          <w:rFonts w:ascii="Arial" w:hAnsi="Arial"/>
          <w:i/>
        </w:rPr>
        <w:t>beecheii</w:t>
      </w:r>
      <w:r>
        <w:rPr>
          <w:rFonts w:ascii="Arial" w:hAnsi="Arial"/>
          <w:i/>
          <w:spacing w:val="-3"/>
        </w:rPr>
        <w:t xml:space="preserve"> </w:t>
      </w:r>
      <w:r>
        <w:t>produce</w:t>
      </w:r>
      <w:r>
        <w:rPr>
          <w:spacing w:val="-3"/>
        </w:rPr>
        <w:t xml:space="preserve"> </w:t>
      </w:r>
      <w:r>
        <w:t>entre</w:t>
      </w:r>
      <w:r>
        <w:rPr>
          <w:spacing w:val="-3"/>
        </w:rPr>
        <w:t xml:space="preserve"> </w:t>
      </w:r>
      <w:r>
        <w:t>0.3</w:t>
      </w:r>
      <w:r>
        <w:rPr>
          <w:spacing w:val="-3"/>
        </w:rPr>
        <w:t xml:space="preserve"> </w:t>
      </w:r>
      <w:r>
        <w:t>y</w:t>
      </w:r>
      <w:r>
        <w:rPr>
          <w:spacing w:val="-3"/>
        </w:rPr>
        <w:t xml:space="preserve"> </w:t>
      </w:r>
      <w:r>
        <w:t>2</w:t>
      </w:r>
      <w:r>
        <w:rPr>
          <w:spacing w:val="-3"/>
        </w:rPr>
        <w:t xml:space="preserve"> </w:t>
      </w:r>
      <w:r>
        <w:t>litros</w:t>
      </w:r>
      <w:r>
        <w:rPr>
          <w:spacing w:val="-3"/>
        </w:rPr>
        <w:t xml:space="preserve"> </w:t>
      </w:r>
      <w:r>
        <w:t>de</w:t>
      </w:r>
      <w:r>
        <w:rPr>
          <w:spacing w:val="-3"/>
        </w:rPr>
        <w:t xml:space="preserve"> </w:t>
      </w:r>
      <w:r>
        <w:t>miel al año, mientras que una colmena de Apis mellifera puede producir entre 20 y 40 kg (López-Gómez</w:t>
      </w:r>
      <w:r>
        <w:rPr>
          <w:spacing w:val="40"/>
        </w:rPr>
        <w:t xml:space="preserve"> </w:t>
      </w:r>
      <w:r>
        <w:t>&amp;</w:t>
      </w:r>
      <w:r>
        <w:rPr>
          <w:spacing w:val="40"/>
        </w:rPr>
        <w:t xml:space="preserve"> </w:t>
      </w:r>
      <w:r>
        <w:t>García,</w:t>
      </w:r>
      <w:r>
        <w:rPr>
          <w:spacing w:val="40"/>
        </w:rPr>
        <w:t xml:space="preserve"> </w:t>
      </w:r>
      <w:r>
        <w:t>2025).</w:t>
      </w:r>
      <w:r>
        <w:rPr>
          <w:spacing w:val="40"/>
        </w:rPr>
        <w:t xml:space="preserve"> </w:t>
      </w:r>
      <w:r>
        <w:t>Esta</w:t>
      </w:r>
      <w:r>
        <w:rPr>
          <w:spacing w:val="40"/>
        </w:rPr>
        <w:t xml:space="preserve"> </w:t>
      </w:r>
      <w:r>
        <w:t>diferencia</w:t>
      </w:r>
      <w:r>
        <w:rPr>
          <w:spacing w:val="40"/>
        </w:rPr>
        <w:t xml:space="preserve"> </w:t>
      </w:r>
      <w:r>
        <w:t>estructural</w:t>
      </w:r>
      <w:r>
        <w:rPr>
          <w:spacing w:val="40"/>
        </w:rPr>
        <w:t xml:space="preserve"> </w:t>
      </w:r>
      <w:r>
        <w:t>con</w:t>
      </w:r>
      <w:r>
        <w:t>tribuye</w:t>
      </w:r>
      <w:r>
        <w:rPr>
          <w:spacing w:val="40"/>
        </w:rPr>
        <w:t xml:space="preserve"> </w:t>
      </w:r>
      <w:r>
        <w:t>a</w:t>
      </w:r>
      <w:r>
        <w:rPr>
          <w:spacing w:val="40"/>
        </w:rPr>
        <w:t xml:space="preserve"> </w:t>
      </w:r>
      <w:r>
        <w:t>su</w:t>
      </w:r>
      <w:r>
        <w:rPr>
          <w:spacing w:val="40"/>
        </w:rPr>
        <w:t xml:space="preserve"> </w:t>
      </w:r>
      <w:r>
        <w:t>alto</w:t>
      </w:r>
      <w:r>
        <w:rPr>
          <w:spacing w:val="40"/>
        </w:rPr>
        <w:t xml:space="preserve"> </w:t>
      </w:r>
      <w:r>
        <w:t>valor</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33"/>
      </w:pPr>
      <w:proofErr w:type="gramStart"/>
      <w:r>
        <w:lastRenderedPageBreak/>
        <w:t>económico</w:t>
      </w:r>
      <w:proofErr w:type="gramEnd"/>
      <w:r>
        <w:t>; en mercados especializados, el litro de miel melipona puede alcanzar entre 60 y 120 dólares.</w:t>
      </w:r>
    </w:p>
    <w:p w:rsidR="009B4BB4" w:rsidRDefault="00C44001">
      <w:pPr>
        <w:pStyle w:val="Textoindependiente"/>
        <w:spacing w:line="360" w:lineRule="auto"/>
        <w:ind w:left="425" w:right="605" w:firstLine="720"/>
        <w:jc w:val="both"/>
      </w:pPr>
      <w:r>
        <w:t>En Yucatán, Campeche y Quintana Roo, diversas comunidades</w:t>
      </w:r>
      <w:r>
        <w:rPr>
          <w:spacing w:val="-5"/>
        </w:rPr>
        <w:t xml:space="preserve"> </w:t>
      </w:r>
      <w:r>
        <w:t>mantienen</w:t>
      </w:r>
      <w:r>
        <w:rPr>
          <w:spacing w:val="-5"/>
        </w:rPr>
        <w:t xml:space="preserve"> </w:t>
      </w:r>
      <w:r>
        <w:t>activa esta práctica ancestral. En algunas</w:t>
      </w:r>
      <w:r>
        <w:t xml:space="preserve"> localidades rurales se han identificado hasta 120 colmenas, destinadas principalmente al autoconsumo, la medicina tradicional y, de manera creciente, a la comercialización en mercados de nicho (Góngora-Ovando et al., </w:t>
      </w:r>
      <w:r>
        <w:rPr>
          <w:spacing w:val="-2"/>
        </w:rPr>
        <w:t>2025).</w:t>
      </w:r>
    </w:p>
    <w:p w:rsidR="009B4BB4" w:rsidRDefault="00C44001">
      <w:pPr>
        <w:pStyle w:val="Textoindependiente"/>
        <w:spacing w:line="360" w:lineRule="auto"/>
        <w:ind w:left="425" w:right="603" w:firstLine="720"/>
        <w:jc w:val="both"/>
      </w:pPr>
      <w:r>
        <w:t>Asimismo, han surgido experienc</w:t>
      </w:r>
      <w:r>
        <w:t>ias relevantes de organización productiva. En Campeche, la cooperativa Calakmiel ha logrado exportar miel melipona a mercados</w:t>
      </w:r>
      <w:r>
        <w:rPr>
          <w:spacing w:val="40"/>
        </w:rPr>
        <w:t xml:space="preserve"> </w:t>
      </w:r>
      <w:r>
        <w:t>como Alemania,</w:t>
      </w:r>
      <w:r>
        <w:rPr>
          <w:spacing w:val="-3"/>
        </w:rPr>
        <w:t xml:space="preserve"> </w:t>
      </w:r>
      <w:r>
        <w:t>Francia</w:t>
      </w:r>
      <w:r>
        <w:rPr>
          <w:spacing w:val="-3"/>
        </w:rPr>
        <w:t xml:space="preserve"> </w:t>
      </w:r>
      <w:r>
        <w:t>y</w:t>
      </w:r>
      <w:r>
        <w:rPr>
          <w:spacing w:val="-3"/>
        </w:rPr>
        <w:t xml:space="preserve"> </w:t>
      </w:r>
      <w:r>
        <w:t>Catar</w:t>
      </w:r>
      <w:r>
        <w:rPr>
          <w:spacing w:val="-3"/>
        </w:rPr>
        <w:t xml:space="preserve"> </w:t>
      </w:r>
      <w:r>
        <w:t>mediante</w:t>
      </w:r>
      <w:r>
        <w:rPr>
          <w:spacing w:val="-3"/>
        </w:rPr>
        <w:t xml:space="preserve"> </w:t>
      </w:r>
      <w:r>
        <w:t>esquemas</w:t>
      </w:r>
      <w:r>
        <w:rPr>
          <w:spacing w:val="-3"/>
        </w:rPr>
        <w:t xml:space="preserve"> </w:t>
      </w:r>
      <w:r>
        <w:t>de</w:t>
      </w:r>
      <w:r>
        <w:rPr>
          <w:spacing w:val="-3"/>
        </w:rPr>
        <w:t xml:space="preserve"> </w:t>
      </w:r>
      <w:r>
        <w:t>certificación</w:t>
      </w:r>
      <w:r>
        <w:rPr>
          <w:spacing w:val="-3"/>
        </w:rPr>
        <w:t xml:space="preserve"> </w:t>
      </w:r>
      <w:r>
        <w:t>orgánica</w:t>
      </w:r>
      <w:r>
        <w:rPr>
          <w:spacing w:val="-3"/>
        </w:rPr>
        <w:t xml:space="preserve"> </w:t>
      </w:r>
      <w:r>
        <w:t>y</w:t>
      </w:r>
      <w:r>
        <w:rPr>
          <w:spacing w:val="-3"/>
        </w:rPr>
        <w:t xml:space="preserve"> </w:t>
      </w:r>
      <w:r>
        <w:t>comercio justo (Méndez et al., 2023). En Yucatán, organizaciones como Lool Xaax han</w:t>
      </w:r>
      <w:r>
        <w:rPr>
          <w:spacing w:val="40"/>
        </w:rPr>
        <w:t xml:space="preserve"> </w:t>
      </w:r>
      <w:r>
        <w:t>desarrollado marcas comunitarias con certificación participativa, lo que demuestra la capacidad del producto para integrarse en cadenas de valor exigentes.</w:t>
      </w:r>
    </w:p>
    <w:p w:rsidR="009B4BB4" w:rsidRDefault="00C44001">
      <w:pPr>
        <w:pStyle w:val="Textoindependiente"/>
        <w:spacing w:line="360" w:lineRule="auto"/>
        <w:ind w:left="425" w:right="604" w:firstLine="720"/>
        <w:jc w:val="both"/>
      </w:pPr>
      <w:r>
        <w:t xml:space="preserve">Desde el punto de vista funcional, la miel de melipona presenta propiedades antibacterianas, antioxidantes y antiinflamatorias. Un estudio de laboratorio evidenció actividad frente a cepas como E. coli y S. aureus, con concentraciones inhibitorias menores </w:t>
      </w:r>
      <w:r>
        <w:t>en comparación con la miel convencional (González-Burguete et al., 2020). Estos resultados sugieren un alto potencial funcional en aplicaciones de bienestar y cuidado natural.</w:t>
      </w:r>
    </w:p>
    <w:p w:rsidR="009B4BB4" w:rsidRDefault="00C44001">
      <w:pPr>
        <w:pStyle w:val="Textoindependiente"/>
        <w:spacing w:line="360" w:lineRule="auto"/>
        <w:ind w:left="425" w:right="605" w:firstLine="720"/>
        <w:jc w:val="both"/>
      </w:pPr>
      <w:r>
        <w:t>No obstante, persisten</w:t>
      </w:r>
      <w:r>
        <w:rPr>
          <w:spacing w:val="-4"/>
        </w:rPr>
        <w:t xml:space="preserve"> </w:t>
      </w:r>
      <w:r>
        <w:t>retos</w:t>
      </w:r>
      <w:r>
        <w:rPr>
          <w:spacing w:val="-4"/>
        </w:rPr>
        <w:t xml:space="preserve"> </w:t>
      </w:r>
      <w:r>
        <w:t>importantes,</w:t>
      </w:r>
      <w:r>
        <w:rPr>
          <w:spacing w:val="-4"/>
        </w:rPr>
        <w:t xml:space="preserve"> </w:t>
      </w:r>
      <w:r>
        <w:t>como</w:t>
      </w:r>
      <w:r>
        <w:rPr>
          <w:spacing w:val="-4"/>
        </w:rPr>
        <w:t xml:space="preserve"> </w:t>
      </w:r>
      <w:r>
        <w:t>la</w:t>
      </w:r>
      <w:r>
        <w:rPr>
          <w:spacing w:val="-4"/>
        </w:rPr>
        <w:t xml:space="preserve"> </w:t>
      </w:r>
      <w:r>
        <w:t>deforestación,</w:t>
      </w:r>
      <w:r>
        <w:rPr>
          <w:spacing w:val="-4"/>
        </w:rPr>
        <w:t xml:space="preserve"> </w:t>
      </w:r>
      <w:r>
        <w:t>la</w:t>
      </w:r>
      <w:r>
        <w:rPr>
          <w:spacing w:val="-4"/>
        </w:rPr>
        <w:t xml:space="preserve"> </w:t>
      </w:r>
      <w:r>
        <w:t>contaminació</w:t>
      </w:r>
      <w:r>
        <w:t>n por</w:t>
      </w:r>
      <w:r>
        <w:rPr>
          <w:spacing w:val="-4"/>
        </w:rPr>
        <w:t xml:space="preserve"> </w:t>
      </w:r>
      <w:r>
        <w:t>agroquímicos,</w:t>
      </w:r>
      <w:r>
        <w:rPr>
          <w:spacing w:val="-4"/>
        </w:rPr>
        <w:t xml:space="preserve"> </w:t>
      </w:r>
      <w:r>
        <w:t>la</w:t>
      </w:r>
      <w:r>
        <w:rPr>
          <w:spacing w:val="-4"/>
        </w:rPr>
        <w:t xml:space="preserve"> </w:t>
      </w:r>
      <w:r>
        <w:t>falta</w:t>
      </w:r>
      <w:r>
        <w:rPr>
          <w:spacing w:val="-4"/>
        </w:rPr>
        <w:t xml:space="preserve"> </w:t>
      </w:r>
      <w:r>
        <w:t>de</w:t>
      </w:r>
      <w:r>
        <w:rPr>
          <w:spacing w:val="-4"/>
        </w:rPr>
        <w:t xml:space="preserve"> </w:t>
      </w:r>
      <w:r>
        <w:t>organización</w:t>
      </w:r>
      <w:r>
        <w:rPr>
          <w:spacing w:val="-4"/>
        </w:rPr>
        <w:t xml:space="preserve"> </w:t>
      </w:r>
      <w:r>
        <w:t>comercial,</w:t>
      </w:r>
      <w:r>
        <w:rPr>
          <w:spacing w:val="-4"/>
        </w:rPr>
        <w:t xml:space="preserve"> </w:t>
      </w:r>
      <w:r>
        <w:t>el</w:t>
      </w:r>
      <w:r>
        <w:rPr>
          <w:spacing w:val="-4"/>
        </w:rPr>
        <w:t xml:space="preserve"> </w:t>
      </w:r>
      <w:r>
        <w:t>acceso</w:t>
      </w:r>
      <w:r>
        <w:rPr>
          <w:spacing w:val="-4"/>
        </w:rPr>
        <w:t xml:space="preserve"> </w:t>
      </w:r>
      <w:r>
        <w:t>limitado</w:t>
      </w:r>
      <w:r>
        <w:rPr>
          <w:spacing w:val="-4"/>
        </w:rPr>
        <w:t xml:space="preserve"> </w:t>
      </w:r>
      <w:r>
        <w:t>a</w:t>
      </w:r>
      <w:r>
        <w:rPr>
          <w:spacing w:val="-4"/>
        </w:rPr>
        <w:t xml:space="preserve"> </w:t>
      </w:r>
      <w:r>
        <w:t>certificaciones</w:t>
      </w:r>
      <w:r>
        <w:rPr>
          <w:spacing w:val="-4"/>
        </w:rPr>
        <w:t xml:space="preserve"> </w:t>
      </w:r>
      <w:r>
        <w:t>y la vulnerabilidad frente al cambio climático. En contraste, el aumento de la</w:t>
      </w:r>
      <w:r>
        <w:rPr>
          <w:spacing w:val="-3"/>
        </w:rPr>
        <w:t xml:space="preserve"> </w:t>
      </w:r>
      <w:r>
        <w:t>demanda</w:t>
      </w:r>
      <w:r>
        <w:rPr>
          <w:spacing w:val="-3"/>
        </w:rPr>
        <w:t xml:space="preserve"> </w:t>
      </w:r>
      <w:r>
        <w:t>por productos naturales, la revalorización de saberes tradicionales y el</w:t>
      </w:r>
      <w:r>
        <w:rPr>
          <w:spacing w:val="-4"/>
        </w:rPr>
        <w:t xml:space="preserve"> </w:t>
      </w:r>
      <w:r>
        <w:t>des</w:t>
      </w:r>
      <w:r>
        <w:t>arrollo</w:t>
      </w:r>
      <w:r>
        <w:rPr>
          <w:spacing w:val="-4"/>
        </w:rPr>
        <w:t xml:space="preserve"> </w:t>
      </w:r>
      <w:r>
        <w:t>de</w:t>
      </w:r>
      <w:r>
        <w:rPr>
          <w:spacing w:val="-4"/>
        </w:rPr>
        <w:t xml:space="preserve"> </w:t>
      </w:r>
      <w:r>
        <w:t>canales especializados, como el e-commerce ético, configuran un entorno favorable para consolidar la miel melipona como un producto de alto valor cultural y comercial. En este contexto, Guardiana se posiciona como una marca que articula y amplif</w:t>
      </w:r>
      <w:r>
        <w:t>ica este proceso.</w:t>
      </w:r>
    </w:p>
    <w:p w:rsidR="009B4BB4" w:rsidRDefault="00C44001" w:rsidP="00C44001">
      <w:pPr>
        <w:pStyle w:val="Ttulo2"/>
        <w:numPr>
          <w:ilvl w:val="2"/>
          <w:numId w:val="62"/>
        </w:numPr>
        <w:tabs>
          <w:tab w:val="left" w:pos="1465"/>
        </w:tabs>
        <w:ind w:left="1465" w:hanging="545"/>
        <w:jc w:val="left"/>
      </w:pPr>
      <w:bookmarkStart w:id="51" w:name="2.1.3_Tendencias:_salud,_conciencia_ecol"/>
      <w:bookmarkStart w:id="52" w:name="h.us5xszag5b76"/>
      <w:bookmarkEnd w:id="51"/>
      <w:bookmarkEnd w:id="52"/>
      <w:r>
        <w:t>Tendencias:</w:t>
      </w:r>
      <w:r>
        <w:rPr>
          <w:spacing w:val="-11"/>
        </w:rPr>
        <w:t xml:space="preserve"> </w:t>
      </w:r>
      <w:r>
        <w:t>salud,</w:t>
      </w:r>
      <w:r>
        <w:rPr>
          <w:spacing w:val="-9"/>
        </w:rPr>
        <w:t xml:space="preserve"> </w:t>
      </w:r>
      <w:r>
        <w:t>conciencia</w:t>
      </w:r>
      <w:r>
        <w:rPr>
          <w:spacing w:val="-9"/>
        </w:rPr>
        <w:t xml:space="preserve"> </w:t>
      </w:r>
      <w:r>
        <w:t>ecológica</w:t>
      </w:r>
      <w:r>
        <w:rPr>
          <w:spacing w:val="-9"/>
        </w:rPr>
        <w:t xml:space="preserve"> </w:t>
      </w:r>
      <w:r>
        <w:t>y</w:t>
      </w:r>
      <w:r>
        <w:rPr>
          <w:spacing w:val="-9"/>
        </w:rPr>
        <w:t xml:space="preserve"> </w:t>
      </w:r>
      <w:r>
        <w:t>productos</w:t>
      </w:r>
      <w:r>
        <w:rPr>
          <w:spacing w:val="-9"/>
        </w:rPr>
        <w:t xml:space="preserve"> </w:t>
      </w:r>
      <w:r>
        <w:rPr>
          <w:spacing w:val="-2"/>
        </w:rPr>
        <w:t>premium</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6" w:firstLine="720"/>
        <w:jc w:val="both"/>
      </w:pPr>
      <w:r>
        <w:t>El mercado global de alimentos está siendo transformado por consumidores que buscan</w:t>
      </w:r>
      <w:r>
        <w:rPr>
          <w:spacing w:val="40"/>
        </w:rPr>
        <w:t xml:space="preserve"> </w:t>
      </w:r>
      <w:r>
        <w:t>productos</w:t>
      </w:r>
      <w:r>
        <w:rPr>
          <w:spacing w:val="40"/>
        </w:rPr>
        <w:t xml:space="preserve"> </w:t>
      </w:r>
      <w:r>
        <w:t>capaces</w:t>
      </w:r>
      <w:r>
        <w:rPr>
          <w:spacing w:val="40"/>
        </w:rPr>
        <w:t xml:space="preserve"> </w:t>
      </w:r>
      <w:r>
        <w:t>de</w:t>
      </w:r>
      <w:r>
        <w:rPr>
          <w:spacing w:val="40"/>
        </w:rPr>
        <w:t xml:space="preserve"> </w:t>
      </w:r>
      <w:r>
        <w:t>contribuir</w:t>
      </w:r>
      <w:r>
        <w:rPr>
          <w:spacing w:val="40"/>
        </w:rPr>
        <w:t xml:space="preserve"> </w:t>
      </w:r>
      <w:r>
        <w:t>simultáneamente</w:t>
      </w:r>
      <w:r>
        <w:rPr>
          <w:spacing w:val="40"/>
        </w:rPr>
        <w:t xml:space="preserve"> </w:t>
      </w:r>
      <w:r>
        <w:t>a</w:t>
      </w:r>
      <w:r>
        <w:rPr>
          <w:spacing w:val="40"/>
        </w:rPr>
        <w:t xml:space="preserve"> </w:t>
      </w:r>
      <w:r>
        <w:t>su</w:t>
      </w:r>
      <w:r>
        <w:rPr>
          <w:spacing w:val="40"/>
        </w:rPr>
        <w:t xml:space="preserve"> </w:t>
      </w:r>
      <w:r>
        <w:t>bienestar</w:t>
      </w:r>
      <w:r>
        <w:rPr>
          <w:spacing w:val="40"/>
        </w:rPr>
        <w:t xml:space="preserve"> </w:t>
      </w:r>
      <w:r>
        <w:t>personal,</w:t>
      </w:r>
      <w:r>
        <w:rPr>
          <w:spacing w:val="40"/>
        </w:rPr>
        <w:t xml:space="preserve"> </w:t>
      </w:r>
      <w:r>
        <w:t>al</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2"/>
        <w:jc w:val="both"/>
      </w:pPr>
      <w:proofErr w:type="gramStart"/>
      <w:r>
        <w:lastRenderedPageBreak/>
        <w:t>cuidado</w:t>
      </w:r>
      <w:proofErr w:type="gramEnd"/>
      <w:r>
        <w:t xml:space="preserve"> del medio ambiente y a un estilo de vida con propósito. Estas tendencias han favorecido el reposicionamiento de productos tradicionales como la miel, especialmente cuando incorporan atributos diferenciadores:</w:t>
      </w:r>
    </w:p>
    <w:p w:rsidR="009B4BB4" w:rsidRDefault="00C44001" w:rsidP="00C44001">
      <w:pPr>
        <w:pStyle w:val="Prrafodelista"/>
        <w:numPr>
          <w:ilvl w:val="0"/>
          <w:numId w:val="61"/>
        </w:numPr>
        <w:tabs>
          <w:tab w:val="left" w:pos="1145"/>
        </w:tabs>
        <w:spacing w:before="0" w:line="360" w:lineRule="auto"/>
        <w:ind w:right="603"/>
        <w:jc w:val="both"/>
      </w:pPr>
      <w:r>
        <w:rPr>
          <w:rFonts w:ascii="Arial" w:hAnsi="Arial"/>
          <w:b/>
        </w:rPr>
        <w:t xml:space="preserve">Salud y bienestar: </w:t>
      </w:r>
      <w:r>
        <w:t>La búsqueda de alim</w:t>
      </w:r>
      <w:r>
        <w:t>entos funcionales ha impulsado el consumo de productos naturales con beneficios</w:t>
      </w:r>
      <w:r>
        <w:rPr>
          <w:spacing w:val="-4"/>
        </w:rPr>
        <w:t xml:space="preserve"> </w:t>
      </w:r>
      <w:r>
        <w:t>asociados</w:t>
      </w:r>
      <w:r>
        <w:rPr>
          <w:spacing w:val="-4"/>
        </w:rPr>
        <w:t xml:space="preserve"> </w:t>
      </w:r>
      <w:r>
        <w:t>al</w:t>
      </w:r>
      <w:r>
        <w:rPr>
          <w:spacing w:val="-4"/>
        </w:rPr>
        <w:t xml:space="preserve"> </w:t>
      </w:r>
      <w:r>
        <w:t>bienestar.</w:t>
      </w:r>
      <w:r>
        <w:rPr>
          <w:spacing w:val="-4"/>
        </w:rPr>
        <w:t xml:space="preserve"> </w:t>
      </w:r>
      <w:r>
        <w:t>La</w:t>
      </w:r>
      <w:r>
        <w:rPr>
          <w:spacing w:val="-4"/>
        </w:rPr>
        <w:t xml:space="preserve"> </w:t>
      </w:r>
      <w:r>
        <w:t>miel,</w:t>
      </w:r>
      <w:r>
        <w:rPr>
          <w:spacing w:val="-4"/>
        </w:rPr>
        <w:t xml:space="preserve"> </w:t>
      </w:r>
      <w:r>
        <w:t xml:space="preserve">y particularmente la miel melipona, ha sido revalorizada por su potencial funcional, debido a su composición rica en compuestos bioactivos con </w:t>
      </w:r>
      <w:r>
        <w:t>propiedades antioxidantes, antiinflamatorias y antibacterianas (González-Burguete et al.,</w:t>
      </w:r>
      <w:r>
        <w:rPr>
          <w:spacing w:val="40"/>
        </w:rPr>
        <w:t xml:space="preserve"> </w:t>
      </w:r>
      <w:r>
        <w:t>2020). En Estados Unidos, el segmento de miel funcional presenta una tasa de crecimiento anual compuesta del 6.5% proyectada hasta 2032 (Fortune</w:t>
      </w:r>
      <w:r>
        <w:rPr>
          <w:spacing w:val="-4"/>
        </w:rPr>
        <w:t xml:space="preserve"> </w:t>
      </w:r>
      <w:r>
        <w:t>Business Insights, 20</w:t>
      </w:r>
      <w:r>
        <w:t>24).</w:t>
      </w:r>
    </w:p>
    <w:p w:rsidR="009B4BB4" w:rsidRDefault="00C44001" w:rsidP="00C44001">
      <w:pPr>
        <w:pStyle w:val="Prrafodelista"/>
        <w:numPr>
          <w:ilvl w:val="0"/>
          <w:numId w:val="61"/>
        </w:numPr>
        <w:tabs>
          <w:tab w:val="left" w:pos="1145"/>
        </w:tabs>
        <w:spacing w:before="0" w:line="360" w:lineRule="auto"/>
        <w:ind w:right="603"/>
        <w:jc w:val="both"/>
      </w:pPr>
      <w:r>
        <w:rPr>
          <w:rFonts w:ascii="Arial" w:hAnsi="Arial"/>
          <w:b/>
        </w:rPr>
        <w:t xml:space="preserve">Conciencia ecológica: </w:t>
      </w:r>
      <w:r>
        <w:t>El</w:t>
      </w:r>
      <w:r>
        <w:rPr>
          <w:spacing w:val="-4"/>
        </w:rPr>
        <w:t xml:space="preserve"> </w:t>
      </w:r>
      <w:r>
        <w:t>aumento</w:t>
      </w:r>
      <w:r>
        <w:rPr>
          <w:spacing w:val="-4"/>
        </w:rPr>
        <w:t xml:space="preserve"> </w:t>
      </w:r>
      <w:r>
        <w:t>en</w:t>
      </w:r>
      <w:r>
        <w:rPr>
          <w:spacing w:val="-4"/>
        </w:rPr>
        <w:t xml:space="preserve"> </w:t>
      </w:r>
      <w:r>
        <w:t>la</w:t>
      </w:r>
      <w:r>
        <w:rPr>
          <w:spacing w:val="-4"/>
        </w:rPr>
        <w:t xml:space="preserve"> </w:t>
      </w:r>
      <w:r>
        <w:t>demanda</w:t>
      </w:r>
      <w:r>
        <w:rPr>
          <w:spacing w:val="-4"/>
        </w:rPr>
        <w:t xml:space="preserve"> </w:t>
      </w:r>
      <w:r>
        <w:t>de</w:t>
      </w:r>
      <w:r>
        <w:rPr>
          <w:spacing w:val="-4"/>
        </w:rPr>
        <w:t xml:space="preserve"> </w:t>
      </w:r>
      <w:r>
        <w:t>productos</w:t>
      </w:r>
      <w:r>
        <w:rPr>
          <w:spacing w:val="-4"/>
        </w:rPr>
        <w:t xml:space="preserve"> </w:t>
      </w:r>
      <w:r>
        <w:t>con</w:t>
      </w:r>
      <w:r>
        <w:rPr>
          <w:spacing w:val="-4"/>
        </w:rPr>
        <w:t xml:space="preserve"> </w:t>
      </w:r>
      <w:r>
        <w:t>trazabilidad, origen sostenible y bajo impacto ambiental ha impulsado la preferencia por prácticas productivas responsables. La meliponicultura, al tratarse de una actividad de bajo impac</w:t>
      </w:r>
      <w:r>
        <w:t>to que protege polinizadores nativos y preserva conocimiento ancestral, responde directamente a esta tendencia. Según Global Market Insights (2024), la miel con certificación orgánica representa una proporción significativa del mercado gourmet,</w:t>
      </w:r>
      <w:r>
        <w:rPr>
          <w:spacing w:val="-4"/>
        </w:rPr>
        <w:t xml:space="preserve"> </w:t>
      </w:r>
      <w:r>
        <w:t>evidenciand</w:t>
      </w:r>
      <w:r>
        <w:t>o</w:t>
      </w:r>
      <w:r>
        <w:rPr>
          <w:spacing w:val="-4"/>
        </w:rPr>
        <w:t xml:space="preserve"> </w:t>
      </w:r>
      <w:r>
        <w:t>la</w:t>
      </w:r>
      <w:r>
        <w:rPr>
          <w:spacing w:val="-4"/>
        </w:rPr>
        <w:t xml:space="preserve"> </w:t>
      </w:r>
      <w:r>
        <w:t>relevancia</w:t>
      </w:r>
      <w:r>
        <w:rPr>
          <w:spacing w:val="-4"/>
        </w:rPr>
        <w:t xml:space="preserve"> </w:t>
      </w:r>
      <w:r>
        <w:t>de</w:t>
      </w:r>
      <w:r>
        <w:rPr>
          <w:spacing w:val="-4"/>
        </w:rPr>
        <w:t xml:space="preserve"> </w:t>
      </w:r>
      <w:r>
        <w:t>estos atributos para consumidores exigentes.</w:t>
      </w:r>
    </w:p>
    <w:p w:rsidR="009B4BB4" w:rsidRDefault="00C44001" w:rsidP="00C44001">
      <w:pPr>
        <w:pStyle w:val="Prrafodelista"/>
        <w:numPr>
          <w:ilvl w:val="0"/>
          <w:numId w:val="61"/>
        </w:numPr>
        <w:tabs>
          <w:tab w:val="left" w:pos="1145"/>
        </w:tabs>
        <w:spacing w:before="0" w:line="360" w:lineRule="auto"/>
        <w:ind w:right="603"/>
        <w:jc w:val="both"/>
      </w:pPr>
      <w:r>
        <w:rPr>
          <w:rFonts w:ascii="Arial" w:hAnsi="Arial"/>
          <w:b/>
        </w:rPr>
        <w:t xml:space="preserve">Preferencia por productos </w:t>
      </w:r>
      <w:r>
        <w:rPr>
          <w:rFonts w:ascii="Arial" w:hAnsi="Arial"/>
          <w:b/>
          <w:i/>
        </w:rPr>
        <w:t>premium</w:t>
      </w:r>
      <w:r>
        <w:rPr>
          <w:rFonts w:ascii="Arial" w:hAnsi="Arial"/>
          <w:b/>
        </w:rPr>
        <w:t xml:space="preserve">: </w:t>
      </w:r>
      <w:r>
        <w:t>La valorización de bienes escasos, con historia y diferenciación cultural, ha generado oportunidades para propuestas de alto valor agregado. La miel melipona</w:t>
      </w:r>
      <w:r>
        <w:t xml:space="preserve"> se posiciona en este segmento por su rareza y por su narrativa vinculada a la cultura maya, su uso en medicina tradicional y su creciente presencia en gastronomía y cosmética natural</w:t>
      </w:r>
      <w:r>
        <w:rPr>
          <w:spacing w:val="-5"/>
        </w:rPr>
        <w:t xml:space="preserve"> </w:t>
      </w:r>
      <w:r>
        <w:t>(Yucatán Living, 2024). Su comercialización en formatos pequeños y prese</w:t>
      </w:r>
      <w:r>
        <w:t xml:space="preserve">ntaciones cuidadas permite capturar mayor valor por unidad y diferenciarla de las mieles </w:t>
      </w:r>
      <w:r>
        <w:rPr>
          <w:spacing w:val="-2"/>
        </w:rPr>
        <w:t>masivas.</w:t>
      </w:r>
    </w:p>
    <w:p w:rsidR="009B4BB4" w:rsidRDefault="009B4BB4">
      <w:pPr>
        <w:pStyle w:val="Textoindependiente"/>
        <w:spacing w:before="126"/>
      </w:pPr>
    </w:p>
    <w:p w:rsidR="009B4BB4" w:rsidRDefault="00C44001">
      <w:pPr>
        <w:pStyle w:val="Textoindependiente"/>
        <w:spacing w:before="1" w:line="360" w:lineRule="auto"/>
        <w:ind w:left="425" w:right="603" w:firstLine="720"/>
        <w:jc w:val="both"/>
      </w:pPr>
      <w:r>
        <w:t>En conjunto, estas tendencias globales justifican el reposicionamiento de la miel melipona y sustentan su viabilidad como propuesta de valor diferenciada dentro de mercados existentes. En este contexto, Guardiana se alinea de forma directa con estas dinámi</w:t>
      </w:r>
      <w:r>
        <w:t>cas, posicionándose como un producto funcional, ecológicamente responsable y culturalmente significativo.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62"/>
        </w:numPr>
        <w:tabs>
          <w:tab w:val="left" w:pos="1508"/>
        </w:tabs>
        <w:spacing w:before="79"/>
        <w:ind w:left="1508" w:hanging="363"/>
        <w:jc w:val="left"/>
      </w:pPr>
      <w:bookmarkStart w:id="53" w:name="2.2_Caracterización_del_consumidor_objet"/>
      <w:bookmarkStart w:id="54" w:name="h.fw8gilngiiwy"/>
      <w:bookmarkEnd w:id="53"/>
      <w:bookmarkEnd w:id="54"/>
      <w:r>
        <w:lastRenderedPageBreak/>
        <w:t>Caracterización</w:t>
      </w:r>
      <w:r>
        <w:rPr>
          <w:spacing w:val="-10"/>
        </w:rPr>
        <w:t xml:space="preserve"> </w:t>
      </w:r>
      <w:r>
        <w:t>del</w:t>
      </w:r>
      <w:r>
        <w:rPr>
          <w:spacing w:val="-9"/>
        </w:rPr>
        <w:t xml:space="preserve"> </w:t>
      </w:r>
      <w:r>
        <w:t>consumidor</w:t>
      </w:r>
      <w:r>
        <w:rPr>
          <w:spacing w:val="-9"/>
        </w:rPr>
        <w:t xml:space="preserve"> </w:t>
      </w:r>
      <w:r>
        <w:rPr>
          <w:spacing w:val="-2"/>
        </w:rPr>
        <w:t>objetivo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3" w:firstLine="720"/>
        <w:jc w:val="both"/>
      </w:pPr>
      <w:r>
        <w:t>No todos los que compran miel son clientes de Guardiana. El mercado al que se apunta es más</w:t>
      </w:r>
      <w:r>
        <w:t xml:space="preserve"> específico: se trata de personas que toman decisiones de compra informadas, que valoran el origen de lo que consumen y están dispuestas a pagar un poco más</w:t>
      </w:r>
      <w:r>
        <w:rPr>
          <w:spacing w:val="-3"/>
        </w:rPr>
        <w:t xml:space="preserve"> </w:t>
      </w:r>
      <w:r>
        <w:t>si</w:t>
      </w:r>
      <w:r>
        <w:rPr>
          <w:spacing w:val="-3"/>
        </w:rPr>
        <w:t xml:space="preserve"> </w:t>
      </w:r>
      <w:r>
        <w:t>el</w:t>
      </w:r>
      <w:r>
        <w:rPr>
          <w:spacing w:val="-3"/>
        </w:rPr>
        <w:t xml:space="preserve"> </w:t>
      </w:r>
      <w:r>
        <w:t>producto</w:t>
      </w:r>
      <w:r>
        <w:rPr>
          <w:spacing w:val="-3"/>
        </w:rPr>
        <w:t xml:space="preserve"> </w:t>
      </w:r>
      <w:r>
        <w:t>les</w:t>
      </w:r>
      <w:r>
        <w:rPr>
          <w:spacing w:val="-3"/>
        </w:rPr>
        <w:t xml:space="preserve"> </w:t>
      </w:r>
      <w:r>
        <w:t>da</w:t>
      </w:r>
      <w:r>
        <w:rPr>
          <w:spacing w:val="-3"/>
        </w:rPr>
        <w:t xml:space="preserve"> </w:t>
      </w:r>
      <w:r>
        <w:t>razones</w:t>
      </w:r>
      <w:r>
        <w:rPr>
          <w:spacing w:val="-3"/>
        </w:rPr>
        <w:t xml:space="preserve"> </w:t>
      </w:r>
      <w:r>
        <w:t>de</w:t>
      </w:r>
      <w:r>
        <w:rPr>
          <w:spacing w:val="-3"/>
        </w:rPr>
        <w:t xml:space="preserve"> </w:t>
      </w:r>
      <w:r>
        <w:t>peso</w:t>
      </w:r>
      <w:r>
        <w:rPr>
          <w:spacing w:val="-3"/>
        </w:rPr>
        <w:t xml:space="preserve"> </w:t>
      </w:r>
      <w:r>
        <w:t>para</w:t>
      </w:r>
      <w:r>
        <w:rPr>
          <w:spacing w:val="-3"/>
        </w:rPr>
        <w:t xml:space="preserve"> </w:t>
      </w:r>
      <w:r>
        <w:t>hacerlo.</w:t>
      </w:r>
      <w:r>
        <w:rPr>
          <w:spacing w:val="-3"/>
        </w:rPr>
        <w:t xml:space="preserve"> </w:t>
      </w:r>
      <w:r>
        <w:t>Conocer</w:t>
      </w:r>
      <w:r>
        <w:rPr>
          <w:spacing w:val="-3"/>
        </w:rPr>
        <w:t xml:space="preserve"> </w:t>
      </w:r>
      <w:r>
        <w:t>quiénes</w:t>
      </w:r>
      <w:r>
        <w:rPr>
          <w:spacing w:val="-3"/>
        </w:rPr>
        <w:t xml:space="preserve"> </w:t>
      </w:r>
      <w:r>
        <w:t>son</w:t>
      </w:r>
      <w:r>
        <w:rPr>
          <w:spacing w:val="-3"/>
        </w:rPr>
        <w:t xml:space="preserve"> </w:t>
      </w:r>
      <w:r>
        <w:t>y</w:t>
      </w:r>
      <w:r>
        <w:rPr>
          <w:spacing w:val="-3"/>
        </w:rPr>
        <w:t xml:space="preserve"> </w:t>
      </w:r>
      <w:r>
        <w:t>qué les motiva es fundame</w:t>
      </w:r>
      <w:r>
        <w:t>ntal para nuestra estrategia comercial.</w:t>
      </w:r>
    </w:p>
    <w:p w:rsidR="009B4BB4" w:rsidRDefault="00C44001">
      <w:pPr>
        <w:pStyle w:val="Textoindependiente"/>
        <w:spacing w:line="360" w:lineRule="auto"/>
        <w:ind w:left="425" w:right="603" w:firstLine="720"/>
        <w:jc w:val="both"/>
      </w:pPr>
      <w:r>
        <w:t xml:space="preserve">En esta sección, se analiza el perfil y comportamiento de estos consumidores, poniendo especial atención en el contexto mexicano y las oportunidades de expansión hacia mercados internacionales </w:t>
      </w:r>
      <w:r>
        <w:rPr>
          <w:rFonts w:ascii="Arial" w:hAnsi="Arial"/>
          <w:i/>
        </w:rPr>
        <w:t xml:space="preserve">premium </w:t>
      </w:r>
      <w:r>
        <w:t>y turísticos, q</w:t>
      </w:r>
      <w:r>
        <w:t>ue son clave para Guardiana.</w:t>
      </w:r>
    </w:p>
    <w:p w:rsidR="009B4BB4" w:rsidRDefault="00C44001" w:rsidP="00C44001">
      <w:pPr>
        <w:pStyle w:val="Ttulo2"/>
        <w:numPr>
          <w:ilvl w:val="2"/>
          <w:numId w:val="62"/>
        </w:numPr>
        <w:tabs>
          <w:tab w:val="left" w:pos="1465"/>
        </w:tabs>
        <w:ind w:left="1465" w:hanging="545"/>
        <w:jc w:val="left"/>
      </w:pPr>
      <w:bookmarkStart w:id="55" w:name="2.2.1_Segmentación_y_perfil_del_cliente_"/>
      <w:bookmarkStart w:id="56" w:name="h.ie93cgdxrerp"/>
      <w:bookmarkEnd w:id="55"/>
      <w:bookmarkEnd w:id="56"/>
      <w:r>
        <w:t>Segmentación</w:t>
      </w:r>
      <w:r>
        <w:rPr>
          <w:spacing w:val="-6"/>
        </w:rPr>
        <w:t xml:space="preserve"> </w:t>
      </w:r>
      <w:r>
        <w:t>y</w:t>
      </w:r>
      <w:r>
        <w:rPr>
          <w:spacing w:val="-5"/>
        </w:rPr>
        <w:t xml:space="preserve"> </w:t>
      </w:r>
      <w:r>
        <w:t>perfil</w:t>
      </w:r>
      <w:r>
        <w:rPr>
          <w:spacing w:val="-6"/>
        </w:rPr>
        <w:t xml:space="preserve"> </w:t>
      </w:r>
      <w:r>
        <w:t>del</w:t>
      </w:r>
      <w:r>
        <w:rPr>
          <w:spacing w:val="-5"/>
        </w:rPr>
        <w:t xml:space="preserve"> </w:t>
      </w:r>
      <w:r>
        <w:rPr>
          <w:spacing w:val="-2"/>
        </w:rPr>
        <w:t>cliente</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2" w:firstLine="720"/>
        <w:jc w:val="both"/>
      </w:pPr>
      <w:r>
        <w:t>Varios estudios han mostrado que el consumo de</w:t>
      </w:r>
      <w:r>
        <w:rPr>
          <w:spacing w:val="-4"/>
        </w:rPr>
        <w:t xml:space="preserve"> </w:t>
      </w:r>
      <w:r>
        <w:t>miel</w:t>
      </w:r>
      <w:r>
        <w:rPr>
          <w:spacing w:val="-4"/>
        </w:rPr>
        <w:t xml:space="preserve"> </w:t>
      </w:r>
      <w:r>
        <w:t>en</w:t>
      </w:r>
      <w:r>
        <w:rPr>
          <w:spacing w:val="-4"/>
        </w:rPr>
        <w:t xml:space="preserve"> </w:t>
      </w:r>
      <w:r>
        <w:t>México</w:t>
      </w:r>
      <w:r>
        <w:rPr>
          <w:spacing w:val="-4"/>
        </w:rPr>
        <w:t xml:space="preserve"> </w:t>
      </w:r>
      <w:r>
        <w:t>se</w:t>
      </w:r>
      <w:r>
        <w:rPr>
          <w:spacing w:val="-4"/>
        </w:rPr>
        <w:t xml:space="preserve"> </w:t>
      </w:r>
      <w:r>
        <w:t>divide</w:t>
      </w:r>
      <w:r>
        <w:rPr>
          <w:spacing w:val="-4"/>
        </w:rPr>
        <w:t xml:space="preserve"> </w:t>
      </w:r>
      <w:r>
        <w:t>según el nivel socioeconómico, educativo y los canales de compra. Por ejemplo, Sánchez</w:t>
      </w:r>
      <w:r>
        <w:rPr>
          <w:spacing w:val="40"/>
        </w:rPr>
        <w:t xml:space="preserve"> </w:t>
      </w:r>
      <w:r>
        <w:t>(2022) menciona que quienes tiene</w:t>
      </w:r>
      <w:r>
        <w:t>n educación universitaria suelen valorar la</w:t>
      </w:r>
      <w:r>
        <w:rPr>
          <w:spacing w:val="-3"/>
        </w:rPr>
        <w:t xml:space="preserve"> </w:t>
      </w:r>
      <w:r>
        <w:t>miel</w:t>
      </w:r>
      <w:r>
        <w:rPr>
          <w:spacing w:val="-3"/>
        </w:rPr>
        <w:t xml:space="preserve"> </w:t>
      </w:r>
      <w:r>
        <w:t>como un producto saludable, natural y confiable. Suelen preferir presentaciones diferenciadas, como las orgánicas o artesanales.</w:t>
      </w:r>
    </w:p>
    <w:p w:rsidR="009B4BB4" w:rsidRDefault="00C44001">
      <w:pPr>
        <w:pStyle w:val="Textoindependiente"/>
        <w:ind w:left="1145"/>
      </w:pPr>
      <w:r>
        <w:t>A</w:t>
      </w:r>
      <w:r>
        <w:rPr>
          <w:spacing w:val="-6"/>
        </w:rPr>
        <w:t xml:space="preserve"> </w:t>
      </w:r>
      <w:r>
        <w:t>partir</w:t>
      </w:r>
      <w:r>
        <w:rPr>
          <w:spacing w:val="-6"/>
        </w:rPr>
        <w:t xml:space="preserve"> </w:t>
      </w:r>
      <w:r>
        <w:t>de</w:t>
      </w:r>
      <w:r>
        <w:rPr>
          <w:spacing w:val="-6"/>
        </w:rPr>
        <w:t xml:space="preserve"> </w:t>
      </w:r>
      <w:r>
        <w:t>la</w:t>
      </w:r>
      <w:r>
        <w:rPr>
          <w:spacing w:val="-6"/>
        </w:rPr>
        <w:t xml:space="preserve"> </w:t>
      </w:r>
      <w:r>
        <w:t>investigación,</w:t>
      </w:r>
      <w:r>
        <w:rPr>
          <w:spacing w:val="-6"/>
        </w:rPr>
        <w:t xml:space="preserve"> </w:t>
      </w:r>
      <w:r>
        <w:t>se</w:t>
      </w:r>
      <w:r>
        <w:rPr>
          <w:spacing w:val="-6"/>
        </w:rPr>
        <w:t xml:space="preserve"> </w:t>
      </w:r>
      <w:r>
        <w:t>identifica</w:t>
      </w:r>
      <w:r>
        <w:rPr>
          <w:spacing w:val="-6"/>
        </w:rPr>
        <w:t xml:space="preserve"> </w:t>
      </w:r>
      <w:r>
        <w:t>algunos</w:t>
      </w:r>
      <w:r>
        <w:rPr>
          <w:spacing w:val="-6"/>
        </w:rPr>
        <w:t xml:space="preserve"> </w:t>
      </w:r>
      <w:r>
        <w:t>segmentos</w:t>
      </w:r>
      <w:r>
        <w:rPr>
          <w:spacing w:val="-5"/>
        </w:rPr>
        <w:t xml:space="preserve"> </w:t>
      </w:r>
      <w:r>
        <w:rPr>
          <w:spacing w:val="-2"/>
        </w:rPr>
        <w:t>clave:</w:t>
      </w:r>
    </w:p>
    <w:p w:rsidR="009B4BB4" w:rsidRDefault="009B4BB4">
      <w:pPr>
        <w:pStyle w:val="Textoindependiente"/>
        <w:spacing w:before="113"/>
      </w:pPr>
    </w:p>
    <w:p w:rsidR="009B4BB4" w:rsidRDefault="00C44001" w:rsidP="00C44001">
      <w:pPr>
        <w:pStyle w:val="Prrafodelista"/>
        <w:numPr>
          <w:ilvl w:val="0"/>
          <w:numId w:val="61"/>
        </w:numPr>
        <w:tabs>
          <w:tab w:val="left" w:pos="1145"/>
        </w:tabs>
        <w:spacing w:before="1" w:line="360" w:lineRule="auto"/>
        <w:ind w:right="604"/>
        <w:jc w:val="both"/>
      </w:pPr>
      <w:r>
        <w:rPr>
          <w:rFonts w:ascii="Arial" w:hAnsi="Arial"/>
          <w:b/>
        </w:rPr>
        <w:t xml:space="preserve">Consumidor consciente-saludable: </w:t>
      </w:r>
      <w:r>
        <w:t>Este grupo valora el aporte nutricional y el origen natural de la miel, buscando evitar productos industrializados. La usan como sustituto del azúcar en infusiones, alimentos saludables o hasta en</w:t>
      </w:r>
      <w:r>
        <w:rPr>
          <w:spacing w:val="40"/>
        </w:rPr>
        <w:t xml:space="preserve"> </w:t>
      </w:r>
      <w:r>
        <w:t>remedios caseros.</w:t>
      </w:r>
    </w:p>
    <w:p w:rsidR="009B4BB4" w:rsidRDefault="00C44001" w:rsidP="00C44001">
      <w:pPr>
        <w:pStyle w:val="Prrafodelista"/>
        <w:numPr>
          <w:ilvl w:val="0"/>
          <w:numId w:val="61"/>
        </w:numPr>
        <w:tabs>
          <w:tab w:val="left" w:pos="1145"/>
        </w:tabs>
        <w:spacing w:before="0" w:line="360" w:lineRule="auto"/>
        <w:ind w:right="605"/>
        <w:jc w:val="both"/>
      </w:pPr>
      <w:r>
        <w:rPr>
          <w:rFonts w:ascii="Arial" w:hAnsi="Arial"/>
          <w:b/>
        </w:rPr>
        <w:t>Consumidor gourmet-cultural:</w:t>
      </w:r>
      <w:r>
        <w:rPr>
          <w:rFonts w:ascii="Arial" w:hAnsi="Arial"/>
          <w:b/>
          <w:spacing w:val="-5"/>
        </w:rPr>
        <w:t xml:space="preserve"> </w:t>
      </w:r>
      <w:r>
        <w:t>Se</w:t>
      </w:r>
      <w:r>
        <w:rPr>
          <w:spacing w:val="-5"/>
        </w:rPr>
        <w:t xml:space="preserve"> </w:t>
      </w:r>
      <w:r>
        <w:t>interesa</w:t>
      </w:r>
      <w:r>
        <w:rPr>
          <w:spacing w:val="-5"/>
        </w:rPr>
        <w:t xml:space="preserve"> </w:t>
      </w:r>
      <w:r>
        <w:t>por</w:t>
      </w:r>
      <w:r>
        <w:rPr>
          <w:spacing w:val="-5"/>
        </w:rPr>
        <w:t xml:space="preserve"> </w:t>
      </w:r>
      <w:r>
        <w:t>la</w:t>
      </w:r>
      <w:r>
        <w:rPr>
          <w:spacing w:val="-5"/>
        </w:rPr>
        <w:t xml:space="preserve"> </w:t>
      </w:r>
      <w:r>
        <w:t>historia</w:t>
      </w:r>
      <w:r>
        <w:rPr>
          <w:spacing w:val="-5"/>
        </w:rPr>
        <w:t xml:space="preserve"> </w:t>
      </w:r>
      <w:r>
        <w:t>detrás</w:t>
      </w:r>
      <w:r>
        <w:rPr>
          <w:spacing w:val="-5"/>
        </w:rPr>
        <w:t xml:space="preserve"> </w:t>
      </w:r>
      <w:r>
        <w:t>del</w:t>
      </w:r>
      <w:r>
        <w:rPr>
          <w:spacing w:val="-5"/>
        </w:rPr>
        <w:t xml:space="preserve"> </w:t>
      </w:r>
      <w:r>
        <w:t>producto,</w:t>
      </w:r>
      <w:r>
        <w:rPr>
          <w:spacing w:val="-5"/>
        </w:rPr>
        <w:t xml:space="preserve"> </w:t>
      </w:r>
      <w:r>
        <w:t>su presentación y la</w:t>
      </w:r>
      <w:r>
        <w:rPr>
          <w:spacing w:val="-4"/>
        </w:rPr>
        <w:t xml:space="preserve"> </w:t>
      </w:r>
      <w:r>
        <w:t>exclusividad.</w:t>
      </w:r>
      <w:r>
        <w:rPr>
          <w:spacing w:val="-4"/>
        </w:rPr>
        <w:t xml:space="preserve"> </w:t>
      </w:r>
      <w:r>
        <w:t>Prefiere</w:t>
      </w:r>
      <w:r>
        <w:rPr>
          <w:spacing w:val="-4"/>
        </w:rPr>
        <w:t xml:space="preserve"> </w:t>
      </w:r>
      <w:r>
        <w:t>mieles</w:t>
      </w:r>
      <w:r>
        <w:rPr>
          <w:spacing w:val="-4"/>
        </w:rPr>
        <w:t xml:space="preserve"> </w:t>
      </w:r>
      <w:r>
        <w:t>monoflorales,</w:t>
      </w:r>
      <w:r>
        <w:rPr>
          <w:spacing w:val="-4"/>
        </w:rPr>
        <w:t xml:space="preserve"> </w:t>
      </w:r>
      <w:r>
        <w:t>orgánicas</w:t>
      </w:r>
      <w:r>
        <w:rPr>
          <w:spacing w:val="-4"/>
        </w:rPr>
        <w:t xml:space="preserve"> </w:t>
      </w:r>
      <w:r>
        <w:t>o</w:t>
      </w:r>
      <w:r>
        <w:rPr>
          <w:spacing w:val="-4"/>
        </w:rPr>
        <w:t xml:space="preserve"> </w:t>
      </w:r>
      <w:r>
        <w:t>locales</w:t>
      </w:r>
      <w:r>
        <w:rPr>
          <w:spacing w:val="-4"/>
        </w:rPr>
        <w:t xml:space="preserve"> </w:t>
      </w:r>
      <w:r>
        <w:t>y aprecia la autenticidad del producto.</w:t>
      </w:r>
    </w:p>
    <w:p w:rsidR="009B4BB4" w:rsidRDefault="00C44001" w:rsidP="00C44001">
      <w:pPr>
        <w:pStyle w:val="Prrafodelista"/>
        <w:numPr>
          <w:ilvl w:val="0"/>
          <w:numId w:val="61"/>
        </w:numPr>
        <w:tabs>
          <w:tab w:val="left" w:pos="1145"/>
          <w:tab w:val="left" w:pos="1220"/>
        </w:tabs>
        <w:spacing w:before="0" w:line="360" w:lineRule="auto"/>
        <w:ind w:right="605"/>
        <w:jc w:val="both"/>
      </w:pPr>
      <w:r>
        <w:rPr>
          <w:rFonts w:ascii="Arial" w:hAnsi="Arial"/>
        </w:rPr>
        <w:tab/>
      </w:r>
      <w:r>
        <w:rPr>
          <w:rFonts w:ascii="Arial" w:hAnsi="Arial"/>
          <w:b/>
        </w:rPr>
        <w:t xml:space="preserve">Consumidor turístico-experiencial: </w:t>
      </w:r>
      <w:r>
        <w:t>Estos son tanto</w:t>
      </w:r>
      <w:r>
        <w:rPr>
          <w:spacing w:val="-6"/>
        </w:rPr>
        <w:t xml:space="preserve"> </w:t>
      </w:r>
      <w:r>
        <w:t>v</w:t>
      </w:r>
      <w:r>
        <w:t>isitantes</w:t>
      </w:r>
      <w:r>
        <w:rPr>
          <w:spacing w:val="-6"/>
        </w:rPr>
        <w:t xml:space="preserve"> </w:t>
      </w:r>
      <w:r>
        <w:t>nacionales</w:t>
      </w:r>
      <w:r>
        <w:rPr>
          <w:spacing w:val="-6"/>
        </w:rPr>
        <w:t xml:space="preserve"> </w:t>
      </w:r>
      <w:r>
        <w:t>como internacionales que descubren la miel melipona durante su visita a Yucatán. Buscan experiencias auténticas y valoran productos con historia que puedan llevarse como souvenirs significativos.</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61"/>
        </w:numPr>
        <w:tabs>
          <w:tab w:val="left" w:pos="1145"/>
        </w:tabs>
        <w:spacing w:before="79" w:line="360" w:lineRule="auto"/>
        <w:ind w:right="605"/>
        <w:jc w:val="both"/>
      </w:pPr>
      <w:r>
        <w:rPr>
          <w:rFonts w:ascii="Arial" w:hAnsi="Arial"/>
          <w:b/>
        </w:rPr>
        <w:lastRenderedPageBreak/>
        <w:t>Consumidor ocasional</w:t>
      </w:r>
      <w:r>
        <w:rPr>
          <w:rFonts w:ascii="Arial" w:hAnsi="Arial"/>
          <w:b/>
          <w:spacing w:val="-4"/>
        </w:rPr>
        <w:t xml:space="preserve"> </w:t>
      </w:r>
      <w:r>
        <w:rPr>
          <w:rFonts w:ascii="Arial" w:hAnsi="Arial"/>
          <w:b/>
        </w:rPr>
        <w:t>o</w:t>
      </w:r>
      <w:r>
        <w:rPr>
          <w:rFonts w:ascii="Arial" w:hAnsi="Arial"/>
          <w:b/>
          <w:spacing w:val="-4"/>
        </w:rPr>
        <w:t xml:space="preserve"> </w:t>
      </w:r>
      <w:r>
        <w:rPr>
          <w:rFonts w:ascii="Arial" w:hAnsi="Arial"/>
          <w:b/>
        </w:rPr>
        <w:t>práctico:</w:t>
      </w:r>
      <w:r>
        <w:rPr>
          <w:rFonts w:ascii="Arial" w:hAnsi="Arial"/>
          <w:b/>
          <w:spacing w:val="-4"/>
        </w:rPr>
        <w:t xml:space="preserve"> </w:t>
      </w:r>
      <w:r>
        <w:t>Compra</w:t>
      </w:r>
      <w:r>
        <w:rPr>
          <w:spacing w:val="-4"/>
        </w:rPr>
        <w:t xml:space="preserve"> </w:t>
      </w:r>
      <w:r>
        <w:t>miel</w:t>
      </w:r>
      <w:r>
        <w:rPr>
          <w:spacing w:val="-4"/>
        </w:rPr>
        <w:t xml:space="preserve"> </w:t>
      </w:r>
      <w:r>
        <w:t>con</w:t>
      </w:r>
      <w:r>
        <w:rPr>
          <w:spacing w:val="-4"/>
        </w:rPr>
        <w:t xml:space="preserve"> </w:t>
      </w:r>
      <w:r>
        <w:t>menos</w:t>
      </w:r>
      <w:r>
        <w:rPr>
          <w:spacing w:val="-4"/>
        </w:rPr>
        <w:t xml:space="preserve"> </w:t>
      </w:r>
      <w:r>
        <w:t>frecuencia</w:t>
      </w:r>
      <w:r>
        <w:rPr>
          <w:spacing w:val="-4"/>
        </w:rPr>
        <w:t xml:space="preserve"> </w:t>
      </w:r>
      <w:r>
        <w:t>y</w:t>
      </w:r>
      <w:r>
        <w:rPr>
          <w:spacing w:val="-4"/>
        </w:rPr>
        <w:t xml:space="preserve"> </w:t>
      </w:r>
      <w:r>
        <w:t>no</w:t>
      </w:r>
      <w:r>
        <w:rPr>
          <w:spacing w:val="-4"/>
        </w:rPr>
        <w:t xml:space="preserve"> </w:t>
      </w:r>
      <w:r>
        <w:t>está tan dispuesto a pagar precios</w:t>
      </w:r>
      <w:r>
        <w:rPr>
          <w:spacing w:val="-4"/>
        </w:rPr>
        <w:t xml:space="preserve"> </w:t>
      </w:r>
      <w:r>
        <w:t>altos.</w:t>
      </w:r>
      <w:r>
        <w:rPr>
          <w:spacing w:val="-4"/>
        </w:rPr>
        <w:t xml:space="preserve"> </w:t>
      </w:r>
      <w:r>
        <w:t>Generalmente</w:t>
      </w:r>
      <w:r>
        <w:rPr>
          <w:spacing w:val="-4"/>
        </w:rPr>
        <w:t xml:space="preserve"> </w:t>
      </w:r>
      <w:r>
        <w:t>opta</w:t>
      </w:r>
      <w:r>
        <w:rPr>
          <w:spacing w:val="-4"/>
        </w:rPr>
        <w:t xml:space="preserve"> </w:t>
      </w:r>
      <w:r>
        <w:t>por</w:t>
      </w:r>
      <w:r>
        <w:rPr>
          <w:spacing w:val="-4"/>
        </w:rPr>
        <w:t xml:space="preserve"> </w:t>
      </w:r>
      <w:r>
        <w:t>marcas</w:t>
      </w:r>
      <w:r>
        <w:rPr>
          <w:spacing w:val="-4"/>
        </w:rPr>
        <w:t xml:space="preserve"> </w:t>
      </w:r>
      <w:r>
        <w:t>comerciales</w:t>
      </w:r>
      <w:r>
        <w:rPr>
          <w:spacing w:val="-4"/>
        </w:rPr>
        <w:t xml:space="preserve"> </w:t>
      </w:r>
      <w:r>
        <w:t>y busca opciones fáciles de conseguir.</w:t>
      </w:r>
    </w:p>
    <w:p w:rsidR="009B4BB4" w:rsidRDefault="00C44001">
      <w:pPr>
        <w:pStyle w:val="Textoindependiente"/>
        <w:spacing w:line="360" w:lineRule="auto"/>
        <w:ind w:left="425" w:right="606" w:firstLine="720"/>
        <w:jc w:val="both"/>
      </w:pPr>
      <w:r>
        <w:t>Para</w:t>
      </w:r>
      <w:r>
        <w:rPr>
          <w:spacing w:val="40"/>
        </w:rPr>
        <w:t xml:space="preserve"> </w:t>
      </w:r>
      <w:r>
        <w:t>Guardiana,</w:t>
      </w:r>
      <w:r>
        <w:rPr>
          <w:spacing w:val="40"/>
        </w:rPr>
        <w:t xml:space="preserve"> </w:t>
      </w:r>
      <w:r>
        <w:t>los</w:t>
      </w:r>
      <w:r>
        <w:rPr>
          <w:spacing w:val="40"/>
        </w:rPr>
        <w:t xml:space="preserve"> </w:t>
      </w:r>
      <w:r>
        <w:t>segmentos</w:t>
      </w:r>
      <w:r>
        <w:rPr>
          <w:spacing w:val="40"/>
        </w:rPr>
        <w:t xml:space="preserve"> </w:t>
      </w:r>
      <w:r>
        <w:t>más</w:t>
      </w:r>
      <w:r>
        <w:rPr>
          <w:spacing w:val="40"/>
        </w:rPr>
        <w:t xml:space="preserve"> </w:t>
      </w:r>
      <w:r>
        <w:t>importantes</w:t>
      </w:r>
      <w:r>
        <w:rPr>
          <w:spacing w:val="40"/>
        </w:rPr>
        <w:t xml:space="preserve"> </w:t>
      </w:r>
      <w:r>
        <w:t>son</w:t>
      </w:r>
      <w:r>
        <w:rPr>
          <w:spacing w:val="40"/>
        </w:rPr>
        <w:t xml:space="preserve"> </w:t>
      </w:r>
      <w:r>
        <w:t>el</w:t>
      </w:r>
      <w:r>
        <w:rPr>
          <w:spacing w:val="40"/>
        </w:rPr>
        <w:t xml:space="preserve"> </w:t>
      </w:r>
      <w:r>
        <w:t>consumidor consciente-saludable</w:t>
      </w:r>
      <w:r>
        <w:t>, el gourmet-cultural y el turístico-experiencial. En términos sociodemográficos, el consumidor ideal tiene entre 25 y 55 años, educación media-alta, un poder adquisitivo medio o medio-alto, vive en áreas urbanas o zonas con alto flujo turístico, y está in</w:t>
      </w:r>
      <w:r>
        <w:t>teresado en productos naturales</w:t>
      </w:r>
      <w:r>
        <w:rPr>
          <w:spacing w:val="-4"/>
        </w:rPr>
        <w:t xml:space="preserve"> </w:t>
      </w:r>
      <w:r>
        <w:t>o</w:t>
      </w:r>
      <w:r>
        <w:rPr>
          <w:spacing w:val="-4"/>
        </w:rPr>
        <w:t xml:space="preserve"> </w:t>
      </w:r>
      <w:r>
        <w:t>ecológicos.</w:t>
      </w:r>
      <w:r>
        <w:rPr>
          <w:spacing w:val="-4"/>
        </w:rPr>
        <w:t xml:space="preserve"> </w:t>
      </w:r>
      <w:r>
        <w:t>Esta</w:t>
      </w:r>
      <w:r>
        <w:rPr>
          <w:spacing w:val="-4"/>
        </w:rPr>
        <w:t xml:space="preserve"> </w:t>
      </w:r>
      <w:r>
        <w:t>caracterización</w:t>
      </w:r>
      <w:r>
        <w:rPr>
          <w:spacing w:val="-4"/>
        </w:rPr>
        <w:t xml:space="preserve"> </w:t>
      </w:r>
      <w:r>
        <w:t>nos guía en decisiones sobre branding, diseño de empaques,</w:t>
      </w:r>
      <w:r>
        <w:rPr>
          <w:spacing w:val="-3"/>
        </w:rPr>
        <w:t xml:space="preserve"> </w:t>
      </w:r>
      <w:r>
        <w:t>elección</w:t>
      </w:r>
      <w:r>
        <w:rPr>
          <w:spacing w:val="-3"/>
        </w:rPr>
        <w:t xml:space="preserve"> </w:t>
      </w:r>
      <w:r>
        <w:t>de</w:t>
      </w:r>
      <w:r>
        <w:rPr>
          <w:spacing w:val="-3"/>
        </w:rPr>
        <w:t xml:space="preserve"> </w:t>
      </w:r>
      <w:r>
        <w:t>canales</w:t>
      </w:r>
      <w:r>
        <w:rPr>
          <w:spacing w:val="-3"/>
        </w:rPr>
        <w:t xml:space="preserve"> </w:t>
      </w:r>
      <w:r>
        <w:t>de</w:t>
      </w:r>
      <w:r>
        <w:rPr>
          <w:spacing w:val="-3"/>
        </w:rPr>
        <w:t xml:space="preserve"> </w:t>
      </w:r>
      <w:r>
        <w:t>venta</w:t>
      </w:r>
      <w:r>
        <w:rPr>
          <w:spacing w:val="-3"/>
        </w:rPr>
        <w:t xml:space="preserve"> </w:t>
      </w:r>
      <w:r>
        <w:t>y estrategias de precios.</w:t>
      </w:r>
    </w:p>
    <w:p w:rsidR="009B4BB4" w:rsidRDefault="00C44001">
      <w:pPr>
        <w:pStyle w:val="Textoindependiente"/>
        <w:spacing w:line="360" w:lineRule="auto"/>
        <w:ind w:left="425" w:right="606" w:firstLine="720"/>
        <w:jc w:val="both"/>
      </w:pPr>
      <w:r>
        <w:t>Aunque se atienden tanto a turistas nacionales como internacionales,</w:t>
      </w:r>
      <w:r>
        <w:rPr>
          <w:spacing w:val="-4"/>
        </w:rPr>
        <w:t xml:space="preserve"> </w:t>
      </w:r>
      <w:r>
        <w:t>la</w:t>
      </w:r>
      <w:r>
        <w:rPr>
          <w:spacing w:val="-4"/>
        </w:rPr>
        <w:t xml:space="preserve"> </w:t>
      </w:r>
      <w:r>
        <w:t>pri</w:t>
      </w:r>
      <w:r>
        <w:t>oridad es</w:t>
      </w:r>
      <w:r>
        <w:rPr>
          <w:spacing w:val="-3"/>
        </w:rPr>
        <w:t xml:space="preserve"> </w:t>
      </w:r>
      <w:r>
        <w:t>el</w:t>
      </w:r>
      <w:r>
        <w:rPr>
          <w:spacing w:val="-3"/>
        </w:rPr>
        <w:t xml:space="preserve"> </w:t>
      </w:r>
      <w:r>
        <w:t>turista</w:t>
      </w:r>
      <w:r>
        <w:rPr>
          <w:spacing w:val="-3"/>
        </w:rPr>
        <w:t xml:space="preserve"> </w:t>
      </w:r>
      <w:r>
        <w:t>internacional</w:t>
      </w:r>
      <w:r>
        <w:rPr>
          <w:spacing w:val="-3"/>
        </w:rPr>
        <w:t xml:space="preserve"> </w:t>
      </w:r>
      <w:r>
        <w:t>interesado</w:t>
      </w:r>
      <w:r>
        <w:rPr>
          <w:spacing w:val="-3"/>
        </w:rPr>
        <w:t xml:space="preserve"> </w:t>
      </w:r>
      <w:r>
        <w:t>en</w:t>
      </w:r>
      <w:r>
        <w:rPr>
          <w:spacing w:val="-3"/>
        </w:rPr>
        <w:t xml:space="preserve"> </w:t>
      </w:r>
      <w:r>
        <w:t>bienestar</w:t>
      </w:r>
      <w:r>
        <w:rPr>
          <w:spacing w:val="-3"/>
        </w:rPr>
        <w:t xml:space="preserve"> </w:t>
      </w:r>
      <w:r>
        <w:t>y</w:t>
      </w:r>
      <w:r>
        <w:rPr>
          <w:spacing w:val="-3"/>
        </w:rPr>
        <w:t xml:space="preserve"> </w:t>
      </w:r>
      <w:r>
        <w:t>consumo</w:t>
      </w:r>
      <w:r>
        <w:rPr>
          <w:spacing w:val="-3"/>
        </w:rPr>
        <w:t xml:space="preserve"> </w:t>
      </w:r>
      <w:r>
        <w:t>consciente.</w:t>
      </w:r>
      <w:r>
        <w:rPr>
          <w:spacing w:val="-3"/>
        </w:rPr>
        <w:t xml:space="preserve"> </w:t>
      </w:r>
      <w:r>
        <w:t>Este</w:t>
      </w:r>
      <w:r>
        <w:rPr>
          <w:spacing w:val="-3"/>
        </w:rPr>
        <w:t xml:space="preserve"> </w:t>
      </w:r>
      <w:r>
        <w:t>grupo</w:t>
      </w:r>
      <w:r>
        <w:rPr>
          <w:spacing w:val="-3"/>
        </w:rPr>
        <w:t xml:space="preserve"> </w:t>
      </w:r>
      <w:r>
        <w:t>tiene mayor poder adquisitivo y suele ser menos sensible al precio; están más dispuestos a pagar por productos auténticos con valor cultural.</w:t>
      </w:r>
    </w:p>
    <w:p w:rsidR="009B4BB4" w:rsidRDefault="00C44001">
      <w:pPr>
        <w:pStyle w:val="Textoindependiente"/>
        <w:spacing w:line="360" w:lineRule="auto"/>
        <w:ind w:left="425" w:right="613" w:firstLine="720"/>
        <w:jc w:val="both"/>
      </w:pPr>
      <w:r>
        <w:t>El turismo nacional sigue siendo relevante dentro del mercado, especialmente como base para volumen y difusión del producto, pero no es el foco estratégico inicial debido a su mayor sensibilidad al precio y a patrones de compra más racionales.</w:t>
      </w:r>
    </w:p>
    <w:p w:rsidR="009B4BB4" w:rsidRDefault="00C44001">
      <w:pPr>
        <w:pStyle w:val="Textoindependiente"/>
        <w:spacing w:line="360" w:lineRule="auto"/>
        <w:ind w:left="425" w:right="609" w:firstLine="720"/>
        <w:jc w:val="both"/>
      </w:pPr>
      <w:r>
        <w:t>Esta estrate</w:t>
      </w:r>
      <w:r>
        <w:t>gia se basa más en el valor que en el volumen: aunque los turistas nacionales representan una parte considerable del mercado, los internacionales</w:t>
      </w:r>
      <w:r>
        <w:rPr>
          <w:spacing w:val="40"/>
        </w:rPr>
        <w:t xml:space="preserve"> </w:t>
      </w:r>
      <w:r>
        <w:t>muestran una mayor disposición a pagar bien</w:t>
      </w:r>
      <w:r>
        <w:rPr>
          <w:spacing w:val="-4"/>
        </w:rPr>
        <w:t xml:space="preserve"> </w:t>
      </w:r>
      <w:r>
        <w:t>por</w:t>
      </w:r>
      <w:r>
        <w:rPr>
          <w:spacing w:val="-4"/>
        </w:rPr>
        <w:t xml:space="preserve"> </w:t>
      </w:r>
      <w:r>
        <w:t>productos</w:t>
      </w:r>
      <w:r>
        <w:rPr>
          <w:spacing w:val="-4"/>
        </w:rPr>
        <w:t xml:space="preserve"> </w:t>
      </w:r>
      <w:r>
        <w:t>auténticos,</w:t>
      </w:r>
      <w:r>
        <w:rPr>
          <w:spacing w:val="-4"/>
        </w:rPr>
        <w:t xml:space="preserve"> </w:t>
      </w:r>
      <w:r>
        <w:t>lo</w:t>
      </w:r>
      <w:r>
        <w:rPr>
          <w:spacing w:val="-4"/>
        </w:rPr>
        <w:t xml:space="preserve"> </w:t>
      </w:r>
      <w:r>
        <w:t>cual</w:t>
      </w:r>
      <w:r>
        <w:rPr>
          <w:spacing w:val="-4"/>
        </w:rPr>
        <w:t xml:space="preserve"> </w:t>
      </w:r>
      <w:r>
        <w:t>maximiza los ingresos por unidad</w:t>
      </w:r>
      <w:r>
        <w:t>.</w:t>
      </w:r>
    </w:p>
    <w:p w:rsidR="009B4BB4" w:rsidRDefault="00C44001" w:rsidP="00C44001">
      <w:pPr>
        <w:pStyle w:val="Ttulo2"/>
        <w:numPr>
          <w:ilvl w:val="2"/>
          <w:numId w:val="62"/>
        </w:numPr>
        <w:tabs>
          <w:tab w:val="left" w:pos="1465"/>
        </w:tabs>
        <w:ind w:left="1465" w:hanging="545"/>
        <w:jc w:val="left"/>
      </w:pPr>
      <w:bookmarkStart w:id="57" w:name="2.2.2_Comportamiento_de_compra_y_prefere"/>
      <w:bookmarkStart w:id="58" w:name="h.nxgul13jq85f"/>
      <w:bookmarkEnd w:id="57"/>
      <w:bookmarkEnd w:id="58"/>
      <w:r>
        <w:t>Comportamiento</w:t>
      </w:r>
      <w:r>
        <w:rPr>
          <w:spacing w:val="-7"/>
        </w:rPr>
        <w:t xml:space="preserve"> </w:t>
      </w:r>
      <w:r>
        <w:t>de</w:t>
      </w:r>
      <w:r>
        <w:rPr>
          <w:spacing w:val="-6"/>
        </w:rPr>
        <w:t xml:space="preserve"> </w:t>
      </w:r>
      <w:r>
        <w:t>compra</w:t>
      </w:r>
      <w:r>
        <w:rPr>
          <w:spacing w:val="-6"/>
        </w:rPr>
        <w:t xml:space="preserve"> </w:t>
      </w:r>
      <w:r>
        <w:t>y</w:t>
      </w:r>
      <w:r>
        <w:rPr>
          <w:spacing w:val="-7"/>
        </w:rPr>
        <w:t xml:space="preserve"> </w:t>
      </w:r>
      <w:r>
        <w:t>preferencias</w:t>
      </w:r>
      <w:r>
        <w:rPr>
          <w:spacing w:val="-6"/>
        </w:rPr>
        <w:t xml:space="preserve"> </w:t>
      </w:r>
      <w:r>
        <w:t>del</w:t>
      </w:r>
      <w:r>
        <w:rPr>
          <w:spacing w:val="-6"/>
        </w:rPr>
        <w:t xml:space="preserve"> </w:t>
      </w:r>
      <w:r>
        <w:rPr>
          <w:spacing w:val="-2"/>
        </w:rPr>
        <w:t>consumidor</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4" w:firstLine="720"/>
        <w:jc w:val="both"/>
      </w:pPr>
      <w:r>
        <w:t>El comportamiento de compra de estos segmentos se caracteriza por decisiones más informadas, guiadas por atributos como la calidad del producto,</w:t>
      </w:r>
      <w:r>
        <w:rPr>
          <w:spacing w:val="-3"/>
        </w:rPr>
        <w:t xml:space="preserve"> </w:t>
      </w:r>
      <w:r>
        <w:t>de</w:t>
      </w:r>
      <w:r>
        <w:rPr>
          <w:spacing w:val="-3"/>
        </w:rPr>
        <w:t xml:space="preserve"> </w:t>
      </w:r>
      <w:r>
        <w:t>dónde</w:t>
      </w:r>
      <w:r>
        <w:rPr>
          <w:spacing w:val="-3"/>
        </w:rPr>
        <w:t xml:space="preserve"> </w:t>
      </w:r>
      <w:r>
        <w:t>viene,</w:t>
      </w:r>
      <w:r>
        <w:rPr>
          <w:spacing w:val="-3"/>
        </w:rPr>
        <w:t xml:space="preserve"> </w:t>
      </w:r>
      <w:r>
        <w:t>las certificaciones que tiene, su presentación y los valores éticos que lo respaldan. La confianza es un factor clave: los consumidores buscan productos claros en sus ingredientes, procesos e impacto social.</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2" w:firstLine="720"/>
        <w:jc w:val="both"/>
      </w:pPr>
      <w:r>
        <w:lastRenderedPageBreak/>
        <w:t>Según Sánchez (2022), los comp</w:t>
      </w:r>
      <w:r>
        <w:t>radores prefieren el comercio local, como mercados orgánicos, tiendas naturistas y ferias. El canal digital también está en auge, especialmente para marcas más pequeñas que tienen un propósito claro y una buena estética visual. Lo que la gente más valora s</w:t>
      </w:r>
      <w:r>
        <w:t>on formatos que les permitan controlar la cantidad, como goteros; aquellos que parecen</w:t>
      </w:r>
      <w:r>
        <w:rPr>
          <w:spacing w:val="-4"/>
        </w:rPr>
        <w:t xml:space="preserve"> </w:t>
      </w:r>
      <w:r>
        <w:t>tener</w:t>
      </w:r>
      <w:r>
        <w:rPr>
          <w:spacing w:val="-4"/>
        </w:rPr>
        <w:t xml:space="preserve"> </w:t>
      </w:r>
      <w:r>
        <w:t>un</w:t>
      </w:r>
      <w:r>
        <w:rPr>
          <w:spacing w:val="-4"/>
        </w:rPr>
        <w:t xml:space="preserve"> </w:t>
      </w:r>
      <w:r>
        <w:t>toque</w:t>
      </w:r>
      <w:r>
        <w:rPr>
          <w:spacing w:val="-4"/>
        </w:rPr>
        <w:t xml:space="preserve"> </w:t>
      </w:r>
      <w:r>
        <w:t>artesanal,</w:t>
      </w:r>
      <w:r>
        <w:rPr>
          <w:spacing w:val="-4"/>
        </w:rPr>
        <w:t xml:space="preserve"> </w:t>
      </w:r>
      <w:r>
        <w:t>como</w:t>
      </w:r>
      <w:r>
        <w:rPr>
          <w:spacing w:val="-4"/>
        </w:rPr>
        <w:t xml:space="preserve"> </w:t>
      </w:r>
      <w:r>
        <w:t>frascos</w:t>
      </w:r>
      <w:r>
        <w:rPr>
          <w:spacing w:val="-4"/>
        </w:rPr>
        <w:t xml:space="preserve"> </w:t>
      </w:r>
      <w:r>
        <w:t>de vidrio o empaques biodegradables; y productos que informen bien sobre su origen, propiedades y cómo usarlos.</w:t>
      </w:r>
    </w:p>
    <w:p w:rsidR="009B4BB4" w:rsidRDefault="00C44001">
      <w:pPr>
        <w:pStyle w:val="Textoindependiente"/>
        <w:spacing w:line="360" w:lineRule="auto"/>
        <w:ind w:left="425" w:right="602" w:firstLine="720"/>
        <w:jc w:val="both"/>
      </w:pPr>
      <w:r>
        <w:t>Además, hay una di</w:t>
      </w:r>
      <w:r>
        <w:t>sposición notable a pagar más por productos con certificaciones, empaques sostenibles y una historia que tenga impacto social o cultural. El turismo también juega un papel importante al introducir a los consumidores a la miel melipona. En lugares como Vall</w:t>
      </w:r>
      <w:r>
        <w:t>adolid, Yucatán, los turistas viven experiencias sensoriales y culturales que crean una conexión emocional con el producto. Pueden disfrutar de visitas a meliponarios, rituales mayas, degustaciones, talleres educativos o comprar en tiendas locales (Yucatán</w:t>
      </w:r>
      <w:r>
        <w:rPr>
          <w:spacing w:val="-5"/>
        </w:rPr>
        <w:t xml:space="preserve"> </w:t>
      </w:r>
      <w:r>
        <w:t>Living,</w:t>
      </w:r>
      <w:r>
        <w:rPr>
          <w:spacing w:val="-5"/>
        </w:rPr>
        <w:t xml:space="preserve"> </w:t>
      </w:r>
      <w:r>
        <w:t>2024;</w:t>
      </w:r>
      <w:r>
        <w:rPr>
          <w:spacing w:val="-5"/>
        </w:rPr>
        <w:t xml:space="preserve"> </w:t>
      </w:r>
      <w:r>
        <w:t>GIZ,</w:t>
      </w:r>
      <w:r>
        <w:rPr>
          <w:spacing w:val="-5"/>
        </w:rPr>
        <w:t xml:space="preserve"> </w:t>
      </w:r>
      <w:r>
        <w:t>2023).</w:t>
      </w:r>
      <w:r>
        <w:rPr>
          <w:spacing w:val="-5"/>
        </w:rPr>
        <w:t xml:space="preserve"> </w:t>
      </w:r>
      <w:r>
        <w:t>Estas</w:t>
      </w:r>
      <w:r>
        <w:rPr>
          <w:spacing w:val="-5"/>
        </w:rPr>
        <w:t xml:space="preserve"> </w:t>
      </w:r>
      <w:r>
        <w:t>vivencias</w:t>
      </w:r>
      <w:r>
        <w:rPr>
          <w:spacing w:val="-5"/>
        </w:rPr>
        <w:t xml:space="preserve"> </w:t>
      </w:r>
      <w:r>
        <w:t>hacen</w:t>
      </w:r>
      <w:r>
        <w:rPr>
          <w:spacing w:val="-5"/>
        </w:rPr>
        <w:t xml:space="preserve"> </w:t>
      </w:r>
      <w:r>
        <w:t>que el producto</w:t>
      </w:r>
      <w:r>
        <w:rPr>
          <w:spacing w:val="-3"/>
        </w:rPr>
        <w:t xml:space="preserve"> </w:t>
      </w:r>
      <w:r>
        <w:t>se</w:t>
      </w:r>
      <w:r>
        <w:rPr>
          <w:spacing w:val="-3"/>
        </w:rPr>
        <w:t xml:space="preserve"> </w:t>
      </w:r>
      <w:r>
        <w:t>perciba</w:t>
      </w:r>
      <w:r>
        <w:rPr>
          <w:spacing w:val="-3"/>
        </w:rPr>
        <w:t xml:space="preserve"> </w:t>
      </w:r>
      <w:r>
        <w:t>como</w:t>
      </w:r>
      <w:r>
        <w:rPr>
          <w:spacing w:val="-3"/>
        </w:rPr>
        <w:t xml:space="preserve"> </w:t>
      </w:r>
      <w:r>
        <w:t>exclusivo</w:t>
      </w:r>
      <w:r>
        <w:rPr>
          <w:spacing w:val="-3"/>
        </w:rPr>
        <w:t xml:space="preserve"> </w:t>
      </w:r>
      <w:r>
        <w:t>y</w:t>
      </w:r>
      <w:r>
        <w:rPr>
          <w:spacing w:val="-3"/>
        </w:rPr>
        <w:t xml:space="preserve"> </w:t>
      </w:r>
      <w:r>
        <w:t>auténtico,</w:t>
      </w:r>
      <w:r>
        <w:rPr>
          <w:spacing w:val="-3"/>
        </w:rPr>
        <w:t xml:space="preserve"> </w:t>
      </w:r>
      <w:r>
        <w:t>lo</w:t>
      </w:r>
      <w:r>
        <w:rPr>
          <w:spacing w:val="-3"/>
        </w:rPr>
        <w:t xml:space="preserve"> </w:t>
      </w:r>
      <w:r>
        <w:t>que</w:t>
      </w:r>
      <w:r>
        <w:rPr>
          <w:spacing w:val="-3"/>
        </w:rPr>
        <w:t xml:space="preserve"> </w:t>
      </w:r>
      <w:r>
        <w:t>lleva</w:t>
      </w:r>
      <w:r>
        <w:rPr>
          <w:spacing w:val="-3"/>
        </w:rPr>
        <w:t xml:space="preserve"> </w:t>
      </w:r>
      <w:r>
        <w:t>a</w:t>
      </w:r>
      <w:r>
        <w:rPr>
          <w:spacing w:val="-3"/>
        </w:rPr>
        <w:t xml:space="preserve"> </w:t>
      </w:r>
      <w:r>
        <w:t>compras</w:t>
      </w:r>
      <w:r>
        <w:rPr>
          <w:spacing w:val="-3"/>
        </w:rPr>
        <w:t xml:space="preserve"> </w:t>
      </w:r>
      <w:r>
        <w:t>futuras</w:t>
      </w:r>
      <w:r>
        <w:rPr>
          <w:spacing w:val="-3"/>
        </w:rPr>
        <w:t xml:space="preserve"> </w:t>
      </w:r>
      <w:r>
        <w:t>a</w:t>
      </w:r>
      <w:r>
        <w:rPr>
          <w:spacing w:val="-3"/>
        </w:rPr>
        <w:t xml:space="preserve"> </w:t>
      </w:r>
      <w:r>
        <w:t>través del comercio electrónico o recomendaciones.</w:t>
      </w:r>
    </w:p>
    <w:p w:rsidR="009B4BB4" w:rsidRDefault="00C44001">
      <w:pPr>
        <w:pStyle w:val="Textoindependiente"/>
        <w:spacing w:line="360" w:lineRule="auto"/>
        <w:ind w:left="425" w:right="609" w:firstLine="720"/>
        <w:jc w:val="both"/>
      </w:pPr>
      <w:r>
        <w:t>Este tipo de consumidor también aprecia las recomendaciones de boca a boca, las historias compartidas en ferias o experiencias guiadas y las validaciones de influencers enfocados en bienestar y consumo responsable. Guardiana puede</w:t>
      </w:r>
      <w:r>
        <w:rPr>
          <w:spacing w:val="40"/>
        </w:rPr>
        <w:t xml:space="preserve"> </w:t>
      </w:r>
      <w:r>
        <w:t>aprovechar estas dinámica</w:t>
      </w:r>
      <w:r>
        <w:t>s para construir una comunidad leal de clientes.</w:t>
      </w:r>
    </w:p>
    <w:p w:rsidR="009B4BB4" w:rsidRDefault="00C44001">
      <w:pPr>
        <w:pStyle w:val="Textoindependiente"/>
        <w:spacing w:line="360" w:lineRule="auto"/>
        <w:ind w:left="425" w:right="603" w:firstLine="720"/>
        <w:jc w:val="both"/>
      </w:pPr>
      <w:r>
        <w:t>En cuanto a lo que están dispuestos a gastar, los segmentos identificados muestran</w:t>
      </w:r>
      <w:r>
        <w:rPr>
          <w:spacing w:val="26"/>
        </w:rPr>
        <w:t xml:space="preserve"> </w:t>
      </w:r>
      <w:r>
        <w:t>diferencias claras frente a la miel convencional. Mientras en mercados locales el precio habitual para miel estándar ronda e</w:t>
      </w:r>
      <w:r>
        <w:t xml:space="preserve">ntre $10 y $15 USD por 100 g, quienes compran en nichos </w:t>
      </w:r>
      <w:r>
        <w:rPr>
          <w:rFonts w:ascii="Arial" w:hAnsi="Arial"/>
          <w:i/>
        </w:rPr>
        <w:t xml:space="preserve">gourmet, wellness </w:t>
      </w:r>
      <w:r>
        <w:t xml:space="preserve">y turísticos están más abiertos a pagar precios </w:t>
      </w:r>
      <w:r>
        <w:rPr>
          <w:rFonts w:ascii="Arial" w:hAnsi="Arial"/>
          <w:i/>
        </w:rPr>
        <w:t>premium</w:t>
      </w:r>
      <w:r>
        <w:t>. En estos casos, productos similares pueden costar entre $25 y $30 USD si cuentan con características como trazabilidad, orige</w:t>
      </w:r>
      <w:r>
        <w:t>n certificado y una narrativa cultural.</w:t>
      </w:r>
    </w:p>
    <w:p w:rsidR="009B4BB4" w:rsidRDefault="00C44001">
      <w:pPr>
        <w:pStyle w:val="Textoindependiente"/>
        <w:spacing w:line="360" w:lineRule="auto"/>
        <w:ind w:left="425" w:right="612" w:firstLine="720"/>
        <w:jc w:val="both"/>
      </w:pPr>
      <w:r>
        <w:t>Para Guardiana, esta</w:t>
      </w:r>
      <w:r>
        <w:rPr>
          <w:spacing w:val="-4"/>
        </w:rPr>
        <w:t xml:space="preserve"> </w:t>
      </w:r>
      <w:r>
        <w:t>disposición</w:t>
      </w:r>
      <w:r>
        <w:rPr>
          <w:spacing w:val="-4"/>
        </w:rPr>
        <w:t xml:space="preserve"> </w:t>
      </w:r>
      <w:r>
        <w:t>a</w:t>
      </w:r>
      <w:r>
        <w:rPr>
          <w:spacing w:val="-4"/>
        </w:rPr>
        <w:t xml:space="preserve"> </w:t>
      </w:r>
      <w:r>
        <w:t>gastar</w:t>
      </w:r>
      <w:r>
        <w:rPr>
          <w:spacing w:val="-4"/>
        </w:rPr>
        <w:t xml:space="preserve"> </w:t>
      </w:r>
      <w:r>
        <w:t>más</w:t>
      </w:r>
      <w:r>
        <w:rPr>
          <w:spacing w:val="-4"/>
        </w:rPr>
        <w:t xml:space="preserve"> </w:t>
      </w:r>
      <w:r>
        <w:t>respalda</w:t>
      </w:r>
      <w:r>
        <w:rPr>
          <w:spacing w:val="-4"/>
        </w:rPr>
        <w:t xml:space="preserve"> </w:t>
      </w:r>
      <w:r>
        <w:t>una</w:t>
      </w:r>
      <w:r>
        <w:rPr>
          <w:spacing w:val="-4"/>
        </w:rPr>
        <w:t xml:space="preserve"> </w:t>
      </w:r>
      <w:r>
        <w:t>estrategia</w:t>
      </w:r>
      <w:r>
        <w:rPr>
          <w:spacing w:val="-4"/>
        </w:rPr>
        <w:t xml:space="preserve"> </w:t>
      </w:r>
      <w:r>
        <w:t>de</w:t>
      </w:r>
      <w:r>
        <w:rPr>
          <w:spacing w:val="-4"/>
        </w:rPr>
        <w:t xml:space="preserve"> </w:t>
      </w:r>
      <w:r>
        <w:t>precios basada</w:t>
      </w:r>
      <w:r>
        <w:rPr>
          <w:spacing w:val="-3"/>
        </w:rPr>
        <w:t xml:space="preserve"> </w:t>
      </w:r>
      <w:r>
        <w:t>en</w:t>
      </w:r>
      <w:r>
        <w:rPr>
          <w:spacing w:val="-3"/>
        </w:rPr>
        <w:t xml:space="preserve"> </w:t>
      </w:r>
      <w:r>
        <w:t>el</w:t>
      </w:r>
      <w:r>
        <w:rPr>
          <w:spacing w:val="-3"/>
        </w:rPr>
        <w:t xml:space="preserve"> </w:t>
      </w:r>
      <w:r>
        <w:t>valor</w:t>
      </w:r>
      <w:r>
        <w:rPr>
          <w:spacing w:val="-3"/>
        </w:rPr>
        <w:t xml:space="preserve"> </w:t>
      </w:r>
      <w:r>
        <w:t>percibido.</w:t>
      </w:r>
      <w:r>
        <w:rPr>
          <w:spacing w:val="-3"/>
        </w:rPr>
        <w:t xml:space="preserve"> </w:t>
      </w:r>
      <w:r>
        <w:t>Aquí</w:t>
      </w:r>
      <w:r>
        <w:rPr>
          <w:spacing w:val="-3"/>
        </w:rPr>
        <w:t xml:space="preserve"> </w:t>
      </w:r>
      <w:r>
        <w:t>el</w:t>
      </w:r>
      <w:r>
        <w:rPr>
          <w:spacing w:val="-3"/>
        </w:rPr>
        <w:t xml:space="preserve"> </w:t>
      </w:r>
      <w:r>
        <w:t>diferencial</w:t>
      </w:r>
      <w:r>
        <w:rPr>
          <w:spacing w:val="-3"/>
        </w:rPr>
        <w:t xml:space="preserve"> </w:t>
      </w:r>
      <w:r>
        <w:t>no</w:t>
      </w:r>
      <w:r>
        <w:rPr>
          <w:spacing w:val="-3"/>
        </w:rPr>
        <w:t xml:space="preserve"> </w:t>
      </w:r>
      <w:r>
        <w:t>se</w:t>
      </w:r>
      <w:r>
        <w:rPr>
          <w:spacing w:val="-3"/>
        </w:rPr>
        <w:t xml:space="preserve"> </w:t>
      </w:r>
      <w:r>
        <w:t>justifica</w:t>
      </w:r>
      <w:r>
        <w:rPr>
          <w:spacing w:val="-3"/>
        </w:rPr>
        <w:t xml:space="preserve"> </w:t>
      </w:r>
      <w:r>
        <w:t>solo</w:t>
      </w:r>
      <w:r>
        <w:rPr>
          <w:spacing w:val="-3"/>
        </w:rPr>
        <w:t xml:space="preserve"> </w:t>
      </w:r>
      <w:r>
        <w:t>por</w:t>
      </w:r>
      <w:r>
        <w:rPr>
          <w:spacing w:val="-3"/>
        </w:rPr>
        <w:t xml:space="preserve"> </w:t>
      </w:r>
      <w:r>
        <w:t>el</w:t>
      </w:r>
      <w:r>
        <w:rPr>
          <w:spacing w:val="-3"/>
        </w:rPr>
        <w:t xml:space="preserve"> </w:t>
      </w:r>
      <w:r>
        <w:t>volumen</w:t>
      </w:r>
      <w:r>
        <w:rPr>
          <w:spacing w:val="-3"/>
        </w:rPr>
        <w:t xml:space="preserve"> </w:t>
      </w:r>
      <w:r>
        <w:t>o</w:t>
      </w:r>
      <w:r>
        <w:rPr>
          <w:spacing w:val="-3"/>
        </w:rPr>
        <w:t xml:space="preserve"> </w:t>
      </w:r>
      <w:r>
        <w:t>costo del producto; es más bien por su autenticidad, escasez y significado cultural.</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62"/>
        </w:numPr>
        <w:tabs>
          <w:tab w:val="left" w:pos="1508"/>
        </w:tabs>
        <w:spacing w:before="79"/>
        <w:ind w:left="1508" w:hanging="363"/>
        <w:jc w:val="left"/>
      </w:pPr>
      <w:bookmarkStart w:id="59" w:name="2.3_Competencia_y_posicionamiento_en_el_"/>
      <w:bookmarkStart w:id="60" w:name="h.mvhdvmen2g6h"/>
      <w:bookmarkEnd w:id="59"/>
      <w:bookmarkEnd w:id="60"/>
      <w:r>
        <w:lastRenderedPageBreak/>
        <w:t>Competencia</w:t>
      </w:r>
      <w:r>
        <w:rPr>
          <w:spacing w:val="-7"/>
        </w:rPr>
        <w:t xml:space="preserve"> </w:t>
      </w:r>
      <w:r>
        <w:t>y</w:t>
      </w:r>
      <w:r>
        <w:rPr>
          <w:spacing w:val="-6"/>
        </w:rPr>
        <w:t xml:space="preserve"> </w:t>
      </w:r>
      <w:r>
        <w:t>posicionamiento</w:t>
      </w:r>
      <w:r>
        <w:rPr>
          <w:spacing w:val="-6"/>
        </w:rPr>
        <w:t xml:space="preserve"> </w:t>
      </w:r>
      <w:r>
        <w:t>en</w:t>
      </w:r>
      <w:r>
        <w:rPr>
          <w:spacing w:val="-6"/>
        </w:rPr>
        <w:t xml:space="preserve"> </w:t>
      </w:r>
      <w:r>
        <w:t>el</w:t>
      </w:r>
      <w:r>
        <w:rPr>
          <w:spacing w:val="-6"/>
        </w:rPr>
        <w:t xml:space="preserve"> </w:t>
      </w:r>
      <w:r>
        <w:rPr>
          <w:spacing w:val="-2"/>
        </w:rPr>
        <w:t>sector</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2" w:firstLine="720"/>
        <w:jc w:val="both"/>
      </w:pPr>
      <w:r>
        <w:t>La miel melipona en México se caracteriza por una estructura artesanal, fragmentada y fuertemente anclada al territorio, lo que genera un ecosistema atípico.</w:t>
      </w:r>
      <w:r>
        <w:rPr>
          <w:spacing w:val="40"/>
        </w:rPr>
        <w:t xml:space="preserve"> </w:t>
      </w:r>
      <w:r>
        <w:t>A diferencia de los mercados donde las grandes marcas lo dominan todo, en este nicho existen redes</w:t>
      </w:r>
      <w:r>
        <w:t xml:space="preserve"> comunitarias cooperativas con enfoque social, emprendimientos de base territorial y experiencias turísticas que incorporan como parte del relato cultural, este </w:t>
      </w:r>
      <w:r>
        <w:rPr>
          <w:spacing w:val="-2"/>
        </w:rPr>
        <w:t>producto.</w:t>
      </w:r>
    </w:p>
    <w:p w:rsidR="009B4BB4" w:rsidRDefault="00C44001">
      <w:pPr>
        <w:pStyle w:val="Textoindependiente"/>
        <w:spacing w:line="360" w:lineRule="auto"/>
        <w:ind w:left="425" w:right="602" w:firstLine="720"/>
        <w:jc w:val="both"/>
      </w:pPr>
      <w:r>
        <w:t>A continuación se analizan actores claves del ecosistema y las principales barreras y</w:t>
      </w:r>
      <w:r>
        <w:t xml:space="preserve"> oportunidades para el posicionamiento de Guardiana.</w:t>
      </w:r>
    </w:p>
    <w:p w:rsidR="009B4BB4" w:rsidRDefault="00C44001" w:rsidP="00C44001">
      <w:pPr>
        <w:pStyle w:val="Ttulo2"/>
        <w:numPr>
          <w:ilvl w:val="2"/>
          <w:numId w:val="62"/>
        </w:numPr>
        <w:tabs>
          <w:tab w:val="left" w:pos="1465"/>
        </w:tabs>
        <w:ind w:left="1465" w:hanging="545"/>
        <w:jc w:val="left"/>
      </w:pPr>
      <w:bookmarkStart w:id="61" w:name="2.3.1_Análisis_de_competidores_directos_"/>
      <w:bookmarkStart w:id="62" w:name="h.ivvd4i7ymf4d"/>
      <w:bookmarkEnd w:id="61"/>
      <w:bookmarkEnd w:id="62"/>
      <w:r>
        <w:t>Análisis</w:t>
      </w:r>
      <w:r>
        <w:rPr>
          <w:spacing w:val="-7"/>
        </w:rPr>
        <w:t xml:space="preserve"> </w:t>
      </w:r>
      <w:r>
        <w:t>de</w:t>
      </w:r>
      <w:r>
        <w:rPr>
          <w:spacing w:val="-6"/>
        </w:rPr>
        <w:t xml:space="preserve"> </w:t>
      </w:r>
      <w:r>
        <w:t>competidores</w:t>
      </w:r>
      <w:r>
        <w:rPr>
          <w:spacing w:val="-6"/>
        </w:rPr>
        <w:t xml:space="preserve"> </w:t>
      </w:r>
      <w:r>
        <w:t>directos</w:t>
      </w:r>
      <w:r>
        <w:rPr>
          <w:spacing w:val="-6"/>
        </w:rPr>
        <w:t xml:space="preserve"> </w:t>
      </w:r>
      <w:r>
        <w:t>e</w:t>
      </w:r>
      <w:r>
        <w:rPr>
          <w:spacing w:val="-6"/>
        </w:rPr>
        <w:t xml:space="preserve"> </w:t>
      </w:r>
      <w:r>
        <w:rPr>
          <w:spacing w:val="-2"/>
        </w:rPr>
        <w:t>indirectos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6" w:firstLine="720"/>
        <w:jc w:val="both"/>
      </w:pPr>
      <w:r>
        <w:t>Entre los competidores directos destacan iniciativas organizadas como EDUCE, cooperativa con más de 950 apicultores en Yucatán, Campeche y Quintana Roo, qu</w:t>
      </w:r>
      <w:r>
        <w:t>e produce miel con certificaciones orgánicas y de comercio justo. EDUCE ha consolidado relaciones comerciales estables mediante esquemas financieros solidarios, acceso a créditos y un sistema de acopio y venta regional (Fairtrade, 2023).</w:t>
      </w:r>
    </w:p>
    <w:p w:rsidR="009B4BB4" w:rsidRDefault="00C44001">
      <w:pPr>
        <w:pStyle w:val="Textoindependiente"/>
        <w:spacing w:line="360" w:lineRule="auto"/>
        <w:ind w:left="425" w:right="602" w:firstLine="720"/>
        <w:jc w:val="both"/>
      </w:pPr>
      <w:r>
        <w:t>Otro caso relevant</w:t>
      </w:r>
      <w:r>
        <w:t>e es la red de</w:t>
      </w:r>
      <w:r>
        <w:rPr>
          <w:spacing w:val="-3"/>
        </w:rPr>
        <w:t xml:space="preserve"> </w:t>
      </w:r>
      <w:r>
        <w:t>mujeres</w:t>
      </w:r>
      <w:r>
        <w:rPr>
          <w:spacing w:val="-3"/>
        </w:rPr>
        <w:t xml:space="preserve"> </w:t>
      </w:r>
      <w:r>
        <w:t>mayas</w:t>
      </w:r>
      <w:r>
        <w:rPr>
          <w:spacing w:val="-3"/>
        </w:rPr>
        <w:t xml:space="preserve"> </w:t>
      </w:r>
      <w:r>
        <w:t>Kuxtalil,</w:t>
      </w:r>
      <w:r>
        <w:rPr>
          <w:spacing w:val="-3"/>
        </w:rPr>
        <w:t xml:space="preserve"> </w:t>
      </w:r>
      <w:r>
        <w:t>que</w:t>
      </w:r>
      <w:r>
        <w:rPr>
          <w:spacing w:val="-3"/>
        </w:rPr>
        <w:t xml:space="preserve"> </w:t>
      </w:r>
      <w:r>
        <w:t>opera</w:t>
      </w:r>
      <w:r>
        <w:rPr>
          <w:spacing w:val="-3"/>
        </w:rPr>
        <w:t xml:space="preserve"> </w:t>
      </w:r>
      <w:r>
        <w:t>bajo</w:t>
      </w:r>
      <w:r>
        <w:rPr>
          <w:spacing w:val="-3"/>
        </w:rPr>
        <w:t xml:space="preserve"> </w:t>
      </w:r>
      <w:r>
        <w:t>la</w:t>
      </w:r>
      <w:r>
        <w:rPr>
          <w:spacing w:val="-3"/>
        </w:rPr>
        <w:t xml:space="preserve"> </w:t>
      </w:r>
      <w:r>
        <w:t>marca Yaal-Kab. Con más de 90 meliponicultoras, esta iniciativa ha articulado un proceso de capacitación técnica, producción ecológica, empoderamiento económico y venta directa con una narrativa sóli</w:t>
      </w:r>
      <w:r>
        <w:t>da. Además, integra herramientas digitales para conectar con consumidores conscientes y canales turísticos (UNDP Nature, 2025).</w:t>
      </w:r>
    </w:p>
    <w:p w:rsidR="009B4BB4" w:rsidRDefault="00C44001">
      <w:pPr>
        <w:pStyle w:val="Textoindependiente"/>
        <w:spacing w:line="360" w:lineRule="auto"/>
        <w:ind w:left="425" w:right="603" w:firstLine="720"/>
        <w:jc w:val="both"/>
      </w:pPr>
      <w:r>
        <w:t>En Valladolid, Yucatán, existen numerosos productores individuales y meliponarios familiares que participan en ferias locales, m</w:t>
      </w:r>
      <w:r>
        <w:t>ercados artesanales y exposiciones itinerantes. Ejemplos son “U Naajil Kaab”, “Meliponario La Esperanza”, “Melikaab” y “Kalan Lol”, que confirman un ecosistema emergente basado en identidad maya, conocimiento</w:t>
      </w:r>
      <w:r>
        <w:rPr>
          <w:spacing w:val="-3"/>
        </w:rPr>
        <w:t xml:space="preserve"> </w:t>
      </w:r>
      <w:r>
        <w:t>ancestral</w:t>
      </w:r>
      <w:r>
        <w:rPr>
          <w:spacing w:val="-3"/>
        </w:rPr>
        <w:t xml:space="preserve"> </w:t>
      </w:r>
      <w:r>
        <w:t>y</w:t>
      </w:r>
      <w:r>
        <w:rPr>
          <w:spacing w:val="-3"/>
        </w:rPr>
        <w:t xml:space="preserve"> </w:t>
      </w:r>
      <w:r>
        <w:t>producción</w:t>
      </w:r>
      <w:r>
        <w:rPr>
          <w:spacing w:val="-3"/>
        </w:rPr>
        <w:t xml:space="preserve"> </w:t>
      </w:r>
      <w:r>
        <w:t>natural.</w:t>
      </w:r>
      <w:r>
        <w:rPr>
          <w:spacing w:val="-3"/>
        </w:rPr>
        <w:t xml:space="preserve"> </w:t>
      </w:r>
      <w:r>
        <w:t>Aunque</w:t>
      </w:r>
      <w:r>
        <w:rPr>
          <w:spacing w:val="-3"/>
        </w:rPr>
        <w:t xml:space="preserve"> </w:t>
      </w:r>
      <w:r>
        <w:t>en</w:t>
      </w:r>
      <w:r>
        <w:rPr>
          <w:spacing w:val="-3"/>
        </w:rPr>
        <w:t xml:space="preserve"> </w:t>
      </w:r>
      <w:r>
        <w:t>mucho</w:t>
      </w:r>
      <w:r>
        <w:t>s</w:t>
      </w:r>
      <w:r>
        <w:rPr>
          <w:spacing w:val="-3"/>
        </w:rPr>
        <w:t xml:space="preserve"> </w:t>
      </w:r>
      <w:r>
        <w:t>casos</w:t>
      </w:r>
      <w:r>
        <w:rPr>
          <w:spacing w:val="-3"/>
        </w:rPr>
        <w:t xml:space="preserve"> </w:t>
      </w:r>
      <w:r>
        <w:t>cuenta</w:t>
      </w:r>
      <w:r>
        <w:rPr>
          <w:spacing w:val="-3"/>
        </w:rPr>
        <w:t xml:space="preserve"> </w:t>
      </w:r>
      <w:r>
        <w:t>con infraestructura limitada,</w:t>
      </w:r>
      <w:r>
        <w:rPr>
          <w:spacing w:val="-4"/>
        </w:rPr>
        <w:t xml:space="preserve"> </w:t>
      </w:r>
      <w:r>
        <w:t>representa</w:t>
      </w:r>
      <w:r>
        <w:rPr>
          <w:spacing w:val="-4"/>
        </w:rPr>
        <w:t xml:space="preserve"> </w:t>
      </w:r>
      <w:r>
        <w:t>una</w:t>
      </w:r>
      <w:r>
        <w:rPr>
          <w:spacing w:val="-4"/>
        </w:rPr>
        <w:t xml:space="preserve"> </w:t>
      </w:r>
      <w:r>
        <w:t>competencia</w:t>
      </w:r>
      <w:r>
        <w:rPr>
          <w:spacing w:val="-4"/>
        </w:rPr>
        <w:t xml:space="preserve"> </w:t>
      </w:r>
      <w:r>
        <w:t>significativa</w:t>
      </w:r>
      <w:r>
        <w:rPr>
          <w:spacing w:val="-4"/>
        </w:rPr>
        <w:t xml:space="preserve"> </w:t>
      </w:r>
      <w:r>
        <w:t>en</w:t>
      </w:r>
      <w:r>
        <w:rPr>
          <w:spacing w:val="-4"/>
        </w:rPr>
        <w:t xml:space="preserve"> </w:t>
      </w:r>
      <w:r>
        <w:t>el</w:t>
      </w:r>
      <w:r>
        <w:rPr>
          <w:spacing w:val="-4"/>
        </w:rPr>
        <w:t xml:space="preserve"> </w:t>
      </w:r>
      <w:r>
        <w:t>canal</w:t>
      </w:r>
      <w:r>
        <w:rPr>
          <w:spacing w:val="-4"/>
        </w:rPr>
        <w:t xml:space="preserve"> </w:t>
      </w:r>
      <w:r>
        <w:t>local</w:t>
      </w:r>
      <w:r>
        <w:rPr>
          <w:spacing w:val="-4"/>
        </w:rPr>
        <w:t xml:space="preserve"> </w:t>
      </w:r>
      <w:r>
        <w:t>dirigido a turistas y consumidores conscientes. Su diferenciación suele apoyarse en iconografía maya, empaques artesanales, venta directa y contacto personalizado.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5" w:firstLine="720"/>
        <w:jc w:val="both"/>
      </w:pPr>
      <w:r>
        <w:lastRenderedPageBreak/>
        <w:t>En el segmento indirecto, destacan proyectos de turismo vivencial que ofre</w:t>
      </w:r>
      <w:r>
        <w:t>cen experiencias en meliponarios comunitarios en localidades como Sinanché, Yaax Tekit y otros puntos del corredor turístico de Yucatán. Estos espacios operan como vitrinas de visibilidad y canales de venta, compitiendo por la atención y el consumo del vis</w:t>
      </w:r>
      <w:r>
        <w:t>itante (Perceptive Travel, 2022).</w:t>
      </w:r>
    </w:p>
    <w:p w:rsidR="009B4BB4" w:rsidRDefault="00C44001">
      <w:pPr>
        <w:pStyle w:val="Textoindependiente"/>
        <w:spacing w:line="360" w:lineRule="auto"/>
        <w:ind w:left="425" w:right="603" w:firstLine="720"/>
        <w:jc w:val="both"/>
      </w:pPr>
      <w:r>
        <w:t>También puede considerarse competencia indirecta la miel convencional, especialmente la de origen local sin certificación, comercializada en ferias o mercados</w:t>
      </w:r>
      <w:r>
        <w:rPr>
          <w:spacing w:val="-3"/>
        </w:rPr>
        <w:t xml:space="preserve"> </w:t>
      </w:r>
      <w:r>
        <w:t>a precios más bajos. Aunque no compite</w:t>
      </w:r>
      <w:r>
        <w:rPr>
          <w:spacing w:val="-4"/>
        </w:rPr>
        <w:t xml:space="preserve"> </w:t>
      </w:r>
      <w:r>
        <w:t>en</w:t>
      </w:r>
      <w:r>
        <w:rPr>
          <w:spacing w:val="-4"/>
        </w:rPr>
        <w:t xml:space="preserve"> </w:t>
      </w:r>
      <w:r>
        <w:t>los</w:t>
      </w:r>
      <w:r>
        <w:rPr>
          <w:spacing w:val="-4"/>
        </w:rPr>
        <w:t xml:space="preserve"> </w:t>
      </w:r>
      <w:r>
        <w:t>mismos</w:t>
      </w:r>
      <w:r>
        <w:rPr>
          <w:spacing w:val="-4"/>
        </w:rPr>
        <w:t xml:space="preserve"> </w:t>
      </w:r>
      <w:r>
        <w:t>atributos,</w:t>
      </w:r>
      <w:r>
        <w:rPr>
          <w:spacing w:val="-4"/>
        </w:rPr>
        <w:t xml:space="preserve"> </w:t>
      </w:r>
      <w:r>
        <w:t>sí</w:t>
      </w:r>
      <w:r>
        <w:rPr>
          <w:spacing w:val="-4"/>
        </w:rPr>
        <w:t xml:space="preserve"> </w:t>
      </w:r>
      <w:r>
        <w:t>puede</w:t>
      </w:r>
      <w:r>
        <w:rPr>
          <w:spacing w:val="-4"/>
        </w:rPr>
        <w:t xml:space="preserve"> </w:t>
      </w:r>
      <w:r>
        <w:t>funcionar</w:t>
      </w:r>
      <w:r>
        <w:rPr>
          <w:spacing w:val="-4"/>
        </w:rPr>
        <w:t xml:space="preserve"> </w:t>
      </w:r>
      <w:r>
        <w:t>como sustituto cuando el consumidor no distingue entre tipos de miel o no reconoce la singularidad de la miel melipona.</w:t>
      </w:r>
    </w:p>
    <w:p w:rsidR="009B4BB4" w:rsidRDefault="00C44001">
      <w:pPr>
        <w:pStyle w:val="Ttulo1"/>
        <w:spacing w:before="240"/>
        <w:ind w:left="425"/>
      </w:pPr>
      <w:r>
        <w:rPr>
          <w:spacing w:val="-2"/>
        </w:rPr>
        <w:t>Tabla</w:t>
      </w:r>
      <w:r>
        <w:rPr>
          <w:spacing w:val="-11"/>
        </w:rPr>
        <w:t xml:space="preserve"> </w:t>
      </w:r>
      <w:r>
        <w:rPr>
          <w:spacing w:val="-5"/>
        </w:rPr>
        <w:t>2.1</w:t>
      </w:r>
    </w:p>
    <w:p w:rsidR="009B4BB4" w:rsidRDefault="00C44001">
      <w:pPr>
        <w:spacing w:before="127"/>
        <w:ind w:left="425"/>
        <w:rPr>
          <w:rFonts w:ascii="Arial" w:hAnsi="Arial"/>
          <w:i/>
        </w:rPr>
      </w:pPr>
      <w:r>
        <w:rPr>
          <w:rFonts w:ascii="Arial" w:hAnsi="Arial"/>
          <w:i/>
        </w:rPr>
        <w:t>Clasificación</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rPr>
        <w:t>competidores</w:t>
      </w:r>
      <w:r>
        <w:rPr>
          <w:rFonts w:ascii="Arial" w:hAnsi="Arial"/>
          <w:i/>
          <w:spacing w:val="-6"/>
        </w:rPr>
        <w:t xml:space="preserve"> </w:t>
      </w:r>
      <w:r>
        <w:rPr>
          <w:rFonts w:ascii="Arial" w:hAnsi="Arial"/>
          <w:i/>
        </w:rPr>
        <w:t>en</w:t>
      </w:r>
      <w:r>
        <w:rPr>
          <w:rFonts w:ascii="Arial" w:hAnsi="Arial"/>
          <w:i/>
          <w:spacing w:val="-5"/>
        </w:rPr>
        <w:t xml:space="preserve"> </w:t>
      </w:r>
      <w:r>
        <w:rPr>
          <w:rFonts w:ascii="Arial" w:hAnsi="Arial"/>
          <w:i/>
        </w:rPr>
        <w:t>el</w:t>
      </w:r>
      <w:r>
        <w:rPr>
          <w:rFonts w:ascii="Arial" w:hAnsi="Arial"/>
          <w:i/>
          <w:spacing w:val="-6"/>
        </w:rPr>
        <w:t xml:space="preserve"> </w:t>
      </w:r>
      <w:r>
        <w:rPr>
          <w:rFonts w:ascii="Arial" w:hAnsi="Arial"/>
          <w:i/>
        </w:rPr>
        <w:t>mercado</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miel</w:t>
      </w:r>
      <w:r>
        <w:rPr>
          <w:rFonts w:ascii="Arial" w:hAnsi="Arial"/>
          <w:i/>
          <w:spacing w:val="-5"/>
        </w:rPr>
        <w:t xml:space="preserve"> </w:t>
      </w:r>
      <w:r>
        <w:rPr>
          <w:rFonts w:ascii="Arial" w:hAnsi="Arial"/>
          <w:i/>
          <w:spacing w:val="-2"/>
        </w:rPr>
        <w:t>melipona</w:t>
      </w:r>
    </w:p>
    <w:p w:rsidR="009B4BB4" w:rsidRDefault="009B4BB4">
      <w:pPr>
        <w:pStyle w:val="Textoindependiente"/>
        <w:spacing w:before="9" w:after="1"/>
        <w:rPr>
          <w:rFonts w:ascii="Arial"/>
          <w:i/>
          <w:sz w:val="9"/>
        </w:rPr>
      </w:pPr>
    </w:p>
    <w:tbl>
      <w:tblPr>
        <w:tblStyle w:val="TableNormal"/>
        <w:tblW w:w="0" w:type="auto"/>
        <w:tblInd w:w="432" w:type="dxa"/>
        <w:tblLayout w:type="fixed"/>
        <w:tblLook w:val="01E0" w:firstRow="1" w:lastRow="1" w:firstColumn="1" w:lastColumn="1" w:noHBand="0" w:noVBand="0"/>
      </w:tblPr>
      <w:tblGrid>
        <w:gridCol w:w="2830"/>
        <w:gridCol w:w="3265"/>
        <w:gridCol w:w="2644"/>
      </w:tblGrid>
      <w:tr w:rsidR="009B4BB4">
        <w:trPr>
          <w:trHeight w:val="919"/>
        </w:trPr>
        <w:tc>
          <w:tcPr>
            <w:tcW w:w="2830" w:type="dxa"/>
            <w:tcBorders>
              <w:top w:val="single" w:sz="8" w:space="0" w:color="000000"/>
              <w:bottom w:val="single" w:sz="8" w:space="0" w:color="000000"/>
            </w:tcBorders>
          </w:tcPr>
          <w:p w:rsidR="009B4BB4" w:rsidRDefault="009B4BB4">
            <w:pPr>
              <w:pStyle w:val="TableParagraph"/>
              <w:spacing w:before="93"/>
              <w:rPr>
                <w:rFonts w:ascii="Arial"/>
                <w:i/>
              </w:rPr>
            </w:pPr>
          </w:p>
          <w:p w:rsidR="009B4BB4" w:rsidRDefault="00C44001">
            <w:pPr>
              <w:pStyle w:val="TableParagraph"/>
              <w:ind w:left="105"/>
              <w:rPr>
                <w:rFonts w:ascii="Arial"/>
                <w:b/>
              </w:rPr>
            </w:pPr>
            <w:r>
              <w:rPr>
                <w:rFonts w:ascii="Arial"/>
                <w:b/>
              </w:rPr>
              <w:t>Tipo</w:t>
            </w:r>
            <w:r>
              <w:rPr>
                <w:rFonts w:ascii="Arial"/>
                <w:b/>
                <w:spacing w:val="-5"/>
              </w:rPr>
              <w:t xml:space="preserve"> </w:t>
            </w:r>
            <w:r>
              <w:rPr>
                <w:rFonts w:ascii="Arial"/>
                <w:b/>
              </w:rPr>
              <w:t>de</w:t>
            </w:r>
            <w:r>
              <w:rPr>
                <w:rFonts w:ascii="Arial"/>
                <w:b/>
                <w:spacing w:val="-5"/>
              </w:rPr>
              <w:t xml:space="preserve"> </w:t>
            </w:r>
            <w:r>
              <w:rPr>
                <w:rFonts w:ascii="Arial"/>
                <w:b/>
                <w:spacing w:val="-2"/>
              </w:rPr>
              <w:t>competidor</w:t>
            </w:r>
          </w:p>
        </w:tc>
        <w:tc>
          <w:tcPr>
            <w:tcW w:w="3265" w:type="dxa"/>
            <w:tcBorders>
              <w:top w:val="single" w:sz="8" w:space="0" w:color="000000"/>
              <w:bottom w:val="single" w:sz="8" w:space="0" w:color="000000"/>
            </w:tcBorders>
          </w:tcPr>
          <w:p w:rsidR="009B4BB4" w:rsidRDefault="009B4BB4">
            <w:pPr>
              <w:pStyle w:val="TableParagraph"/>
              <w:spacing w:before="93"/>
              <w:rPr>
                <w:rFonts w:ascii="Arial"/>
                <w:i/>
              </w:rPr>
            </w:pPr>
          </w:p>
          <w:p w:rsidR="009B4BB4" w:rsidRDefault="00C44001">
            <w:pPr>
              <w:pStyle w:val="TableParagraph"/>
              <w:ind w:left="170"/>
              <w:rPr>
                <w:rFonts w:ascii="Arial"/>
                <w:b/>
              </w:rPr>
            </w:pPr>
            <w:r>
              <w:rPr>
                <w:rFonts w:ascii="Arial"/>
                <w:b/>
              </w:rPr>
              <w:t>Ejemplo</w:t>
            </w:r>
            <w:r>
              <w:rPr>
                <w:rFonts w:ascii="Arial"/>
                <w:b/>
                <w:spacing w:val="-7"/>
              </w:rPr>
              <w:t xml:space="preserve"> </w:t>
            </w:r>
            <w:r>
              <w:rPr>
                <w:rFonts w:ascii="Arial"/>
                <w:b/>
                <w:spacing w:val="-2"/>
              </w:rPr>
              <w:t>representativo</w:t>
            </w:r>
          </w:p>
        </w:tc>
        <w:tc>
          <w:tcPr>
            <w:tcW w:w="2644" w:type="dxa"/>
            <w:tcBorders>
              <w:top w:val="single" w:sz="8" w:space="0" w:color="000000"/>
              <w:bottom w:val="single" w:sz="8" w:space="0" w:color="000000"/>
            </w:tcBorders>
          </w:tcPr>
          <w:p w:rsidR="009B4BB4" w:rsidRDefault="00C44001">
            <w:pPr>
              <w:pStyle w:val="TableParagraph"/>
              <w:spacing w:before="220"/>
              <w:ind w:left="370"/>
              <w:rPr>
                <w:rFonts w:ascii="Arial"/>
                <w:b/>
              </w:rPr>
            </w:pPr>
            <w:r>
              <w:rPr>
                <w:rFonts w:ascii="Arial"/>
                <w:b/>
              </w:rPr>
              <w:t xml:space="preserve">Nivel de </w:t>
            </w:r>
            <w:r>
              <w:rPr>
                <w:rFonts w:ascii="Arial"/>
                <w:b/>
                <w:spacing w:val="-2"/>
              </w:rPr>
              <w:t>posicionamiento</w:t>
            </w:r>
          </w:p>
        </w:tc>
      </w:tr>
      <w:tr w:rsidR="009B4BB4">
        <w:trPr>
          <w:trHeight w:val="961"/>
        </w:trPr>
        <w:tc>
          <w:tcPr>
            <w:tcW w:w="2830" w:type="dxa"/>
            <w:tcBorders>
              <w:top w:val="single" w:sz="8" w:space="0" w:color="000000"/>
            </w:tcBorders>
          </w:tcPr>
          <w:p w:rsidR="009B4BB4" w:rsidRDefault="009B4BB4">
            <w:pPr>
              <w:pStyle w:val="TableParagraph"/>
              <w:spacing w:before="98"/>
              <w:rPr>
                <w:rFonts w:ascii="Arial"/>
                <w:i/>
              </w:rPr>
            </w:pPr>
          </w:p>
          <w:p w:rsidR="009B4BB4" w:rsidRDefault="00C44001">
            <w:pPr>
              <w:pStyle w:val="TableParagraph"/>
              <w:ind w:left="105"/>
            </w:pPr>
            <w:r>
              <w:t>Artesanal</w:t>
            </w:r>
            <w:r>
              <w:rPr>
                <w:spacing w:val="-9"/>
              </w:rPr>
              <w:t xml:space="preserve"> </w:t>
            </w:r>
            <w:r>
              <w:rPr>
                <w:spacing w:val="-2"/>
              </w:rPr>
              <w:t>local</w:t>
            </w:r>
          </w:p>
        </w:tc>
        <w:tc>
          <w:tcPr>
            <w:tcW w:w="3265" w:type="dxa"/>
            <w:tcBorders>
              <w:top w:val="single" w:sz="8" w:space="0" w:color="000000"/>
            </w:tcBorders>
          </w:tcPr>
          <w:p w:rsidR="009B4BB4" w:rsidRDefault="00C44001">
            <w:pPr>
              <w:pStyle w:val="TableParagraph"/>
              <w:spacing w:before="225"/>
              <w:ind w:left="170"/>
            </w:pPr>
            <w:r>
              <w:t>Productores</w:t>
            </w:r>
            <w:r>
              <w:rPr>
                <w:spacing w:val="-16"/>
              </w:rPr>
              <w:t xml:space="preserve"> </w:t>
            </w:r>
            <w:r>
              <w:t>individuales</w:t>
            </w:r>
            <w:r>
              <w:rPr>
                <w:spacing w:val="-15"/>
              </w:rPr>
              <w:t xml:space="preserve"> </w:t>
            </w:r>
            <w:r>
              <w:t>y meliponarios locales</w:t>
            </w:r>
          </w:p>
        </w:tc>
        <w:tc>
          <w:tcPr>
            <w:tcW w:w="2644" w:type="dxa"/>
            <w:tcBorders>
              <w:top w:val="single" w:sz="8" w:space="0" w:color="000000"/>
            </w:tcBorders>
          </w:tcPr>
          <w:p w:rsidR="009B4BB4" w:rsidRDefault="009B4BB4">
            <w:pPr>
              <w:pStyle w:val="TableParagraph"/>
              <w:spacing w:before="98"/>
              <w:rPr>
                <w:rFonts w:ascii="Arial"/>
                <w:i/>
              </w:rPr>
            </w:pPr>
          </w:p>
          <w:p w:rsidR="009B4BB4" w:rsidRDefault="00C44001">
            <w:pPr>
              <w:pStyle w:val="TableParagraph"/>
              <w:ind w:left="272"/>
              <w:jc w:val="center"/>
            </w:pPr>
            <w:r>
              <w:rPr>
                <w:spacing w:val="-4"/>
              </w:rPr>
              <w:t>Bajo</w:t>
            </w:r>
          </w:p>
        </w:tc>
      </w:tr>
      <w:tr w:rsidR="009B4BB4">
        <w:trPr>
          <w:trHeight w:val="706"/>
        </w:trPr>
        <w:tc>
          <w:tcPr>
            <w:tcW w:w="2830" w:type="dxa"/>
          </w:tcPr>
          <w:p w:rsidR="009B4BB4" w:rsidRDefault="00C44001">
            <w:pPr>
              <w:pStyle w:val="TableParagraph"/>
              <w:spacing w:before="223"/>
              <w:ind w:left="105"/>
            </w:pPr>
            <w:r>
              <w:t>Cooperativas</w:t>
            </w:r>
            <w:r>
              <w:rPr>
                <w:spacing w:val="-12"/>
              </w:rPr>
              <w:t xml:space="preserve"> </w:t>
            </w:r>
            <w:r>
              <w:rPr>
                <w:spacing w:val="-2"/>
              </w:rPr>
              <w:t>organizadas</w:t>
            </w:r>
          </w:p>
        </w:tc>
        <w:tc>
          <w:tcPr>
            <w:tcW w:w="3265" w:type="dxa"/>
          </w:tcPr>
          <w:p w:rsidR="009B4BB4" w:rsidRDefault="00C44001">
            <w:pPr>
              <w:pStyle w:val="TableParagraph"/>
              <w:spacing w:before="223"/>
              <w:ind w:left="170"/>
            </w:pPr>
            <w:r>
              <w:rPr>
                <w:spacing w:val="-2"/>
              </w:rPr>
              <w:t>EDUCE,</w:t>
            </w:r>
            <w:r>
              <w:rPr>
                <w:spacing w:val="2"/>
              </w:rPr>
              <w:t xml:space="preserve"> </w:t>
            </w:r>
            <w:r>
              <w:rPr>
                <w:spacing w:val="-2"/>
              </w:rPr>
              <w:t>Kuxtalil</w:t>
            </w:r>
            <w:r>
              <w:rPr>
                <w:spacing w:val="2"/>
              </w:rPr>
              <w:t xml:space="preserve"> </w:t>
            </w:r>
            <w:r>
              <w:rPr>
                <w:spacing w:val="-2"/>
              </w:rPr>
              <w:t>(Yaal-</w:t>
            </w:r>
            <w:r>
              <w:rPr>
                <w:spacing w:val="-4"/>
              </w:rPr>
              <w:t>Kab)</w:t>
            </w:r>
          </w:p>
        </w:tc>
        <w:tc>
          <w:tcPr>
            <w:tcW w:w="2644" w:type="dxa"/>
          </w:tcPr>
          <w:p w:rsidR="009B4BB4" w:rsidRDefault="00C44001">
            <w:pPr>
              <w:pStyle w:val="TableParagraph"/>
              <w:spacing w:before="223"/>
              <w:ind w:left="272"/>
              <w:jc w:val="center"/>
            </w:pPr>
            <w:r>
              <w:rPr>
                <w:spacing w:val="-2"/>
              </w:rPr>
              <w:t>Medio</w:t>
            </w:r>
          </w:p>
        </w:tc>
      </w:tr>
      <w:tr w:rsidR="009B4BB4">
        <w:trPr>
          <w:trHeight w:val="958"/>
        </w:trPr>
        <w:tc>
          <w:tcPr>
            <w:tcW w:w="2830" w:type="dxa"/>
          </w:tcPr>
          <w:p w:rsidR="009B4BB4" w:rsidRDefault="009B4BB4">
            <w:pPr>
              <w:pStyle w:val="TableParagraph"/>
              <w:spacing w:before="96"/>
              <w:rPr>
                <w:rFonts w:ascii="Arial"/>
                <w:i/>
              </w:rPr>
            </w:pPr>
          </w:p>
          <w:p w:rsidR="009B4BB4" w:rsidRDefault="00C44001">
            <w:pPr>
              <w:pStyle w:val="TableParagraph"/>
              <w:ind w:left="105"/>
            </w:pPr>
            <w:r>
              <w:t>Turismo</w:t>
            </w:r>
            <w:r>
              <w:rPr>
                <w:spacing w:val="-15"/>
              </w:rPr>
              <w:t xml:space="preserve"> </w:t>
            </w:r>
            <w:r>
              <w:rPr>
                <w:spacing w:val="-2"/>
              </w:rPr>
              <w:t>vivencial</w:t>
            </w:r>
          </w:p>
        </w:tc>
        <w:tc>
          <w:tcPr>
            <w:tcW w:w="3265" w:type="dxa"/>
          </w:tcPr>
          <w:p w:rsidR="009B4BB4" w:rsidRDefault="00C44001">
            <w:pPr>
              <w:pStyle w:val="TableParagraph"/>
              <w:spacing w:before="223"/>
              <w:ind w:left="170"/>
            </w:pPr>
            <w:r>
              <w:t>Meliponarios</w:t>
            </w:r>
            <w:r>
              <w:rPr>
                <w:spacing w:val="-16"/>
              </w:rPr>
              <w:t xml:space="preserve"> </w:t>
            </w:r>
            <w:r>
              <w:t>comunitarios</w:t>
            </w:r>
            <w:r>
              <w:rPr>
                <w:spacing w:val="-15"/>
              </w:rPr>
              <w:t xml:space="preserve"> </w:t>
            </w:r>
            <w:r>
              <w:t>y experiencias culturales</w:t>
            </w:r>
          </w:p>
        </w:tc>
        <w:tc>
          <w:tcPr>
            <w:tcW w:w="2644" w:type="dxa"/>
          </w:tcPr>
          <w:p w:rsidR="009B4BB4" w:rsidRDefault="009B4BB4">
            <w:pPr>
              <w:pStyle w:val="TableParagraph"/>
              <w:spacing w:before="96"/>
              <w:rPr>
                <w:rFonts w:ascii="Arial"/>
                <w:i/>
              </w:rPr>
            </w:pPr>
          </w:p>
          <w:p w:rsidR="009B4BB4" w:rsidRDefault="00C44001">
            <w:pPr>
              <w:pStyle w:val="TableParagraph"/>
              <w:ind w:left="272"/>
              <w:jc w:val="center"/>
            </w:pPr>
            <w:r>
              <w:rPr>
                <w:spacing w:val="-2"/>
              </w:rPr>
              <w:t>Medio</w:t>
            </w:r>
          </w:p>
        </w:tc>
      </w:tr>
      <w:tr w:rsidR="009B4BB4">
        <w:trPr>
          <w:trHeight w:val="713"/>
        </w:trPr>
        <w:tc>
          <w:tcPr>
            <w:tcW w:w="2830" w:type="dxa"/>
            <w:tcBorders>
              <w:bottom w:val="single" w:sz="8" w:space="0" w:color="000000"/>
            </w:tcBorders>
          </w:tcPr>
          <w:p w:rsidR="009B4BB4" w:rsidRDefault="00C44001">
            <w:pPr>
              <w:pStyle w:val="TableParagraph"/>
              <w:spacing w:before="223"/>
              <w:ind w:left="105"/>
              <w:rPr>
                <w:rFonts w:ascii="Arial"/>
                <w:i/>
              </w:rPr>
            </w:pPr>
            <w:r>
              <w:t>Marcas</w:t>
            </w:r>
            <w:r>
              <w:rPr>
                <w:spacing w:val="-6"/>
              </w:rPr>
              <w:t xml:space="preserve"> </w:t>
            </w:r>
            <w:r>
              <w:rPr>
                <w:rFonts w:ascii="Arial"/>
                <w:i/>
                <w:spacing w:val="-2"/>
              </w:rPr>
              <w:t>premium</w:t>
            </w:r>
          </w:p>
        </w:tc>
        <w:tc>
          <w:tcPr>
            <w:tcW w:w="3265" w:type="dxa"/>
            <w:tcBorders>
              <w:bottom w:val="single" w:sz="8" w:space="0" w:color="000000"/>
            </w:tcBorders>
          </w:tcPr>
          <w:p w:rsidR="009B4BB4" w:rsidRDefault="00C44001">
            <w:pPr>
              <w:pStyle w:val="TableParagraph"/>
              <w:spacing w:before="223"/>
              <w:ind w:left="170"/>
            </w:pPr>
            <w:r>
              <w:t>Coqui</w:t>
            </w:r>
            <w:r>
              <w:rPr>
                <w:spacing w:val="-5"/>
              </w:rPr>
              <w:t xml:space="preserve"> </w:t>
            </w:r>
            <w:r>
              <w:t>Coqui,</w:t>
            </w:r>
            <w:r>
              <w:rPr>
                <w:spacing w:val="-5"/>
              </w:rPr>
              <w:t xml:space="preserve"> </w:t>
            </w:r>
            <w:r>
              <w:t>Miel</w:t>
            </w:r>
            <w:r>
              <w:rPr>
                <w:spacing w:val="-5"/>
              </w:rPr>
              <w:t xml:space="preserve"> </w:t>
            </w:r>
            <w:r>
              <w:rPr>
                <w:spacing w:val="-2"/>
              </w:rPr>
              <w:t>Nativa</w:t>
            </w:r>
          </w:p>
        </w:tc>
        <w:tc>
          <w:tcPr>
            <w:tcW w:w="2644" w:type="dxa"/>
            <w:tcBorders>
              <w:bottom w:val="single" w:sz="8" w:space="0" w:color="000000"/>
            </w:tcBorders>
          </w:tcPr>
          <w:p w:rsidR="009B4BB4" w:rsidRDefault="00C44001">
            <w:pPr>
              <w:pStyle w:val="TableParagraph"/>
              <w:spacing w:before="223"/>
              <w:ind w:left="272"/>
              <w:jc w:val="center"/>
            </w:pPr>
            <w:r>
              <w:rPr>
                <w:spacing w:val="-4"/>
              </w:rPr>
              <w:t>Alto</w:t>
            </w:r>
          </w:p>
        </w:tc>
      </w:tr>
    </w:tbl>
    <w:p w:rsidR="009B4BB4" w:rsidRDefault="00C44001">
      <w:pPr>
        <w:pStyle w:val="Textoindependiente"/>
        <w:spacing w:before="241" w:line="360" w:lineRule="auto"/>
        <w:ind w:left="425" w:right="602"/>
        <w:jc w:val="both"/>
      </w:pPr>
      <w:r>
        <w:rPr>
          <w:rFonts w:ascii="Arial" w:hAnsi="Arial"/>
          <w:i/>
        </w:rPr>
        <w:t xml:space="preserve">Nota. </w:t>
      </w:r>
      <w:r>
        <w:t>La tabla clasifica a los principales tipos de competidores en función de su nivel</w:t>
      </w:r>
      <w:r>
        <w:rPr>
          <w:spacing w:val="-3"/>
        </w:rPr>
        <w:t xml:space="preserve"> </w:t>
      </w:r>
      <w:r>
        <w:t>de posicionamiento, diferenciación y capacidad de captura de valor en el mercado de miel melipona. Elaboración propia (2025).</w:t>
      </w:r>
    </w:p>
    <w:p w:rsidR="009B4BB4" w:rsidRDefault="00C44001">
      <w:pPr>
        <w:pStyle w:val="Textoindependiente"/>
        <w:spacing w:line="360" w:lineRule="auto"/>
        <w:ind w:left="425" w:right="614" w:firstLine="720"/>
        <w:jc w:val="both"/>
      </w:pPr>
      <w:r>
        <w:t>Esta situación</w:t>
      </w:r>
      <w:r>
        <w:rPr>
          <w:spacing w:val="-4"/>
        </w:rPr>
        <w:t xml:space="preserve"> </w:t>
      </w:r>
      <w:r>
        <w:t>demuestra</w:t>
      </w:r>
      <w:r>
        <w:rPr>
          <w:spacing w:val="-4"/>
        </w:rPr>
        <w:t xml:space="preserve"> </w:t>
      </w:r>
      <w:r>
        <w:t>que</w:t>
      </w:r>
      <w:r>
        <w:rPr>
          <w:spacing w:val="-4"/>
        </w:rPr>
        <w:t xml:space="preserve"> </w:t>
      </w:r>
      <w:r>
        <w:t>el</w:t>
      </w:r>
      <w:r>
        <w:rPr>
          <w:spacing w:val="-4"/>
        </w:rPr>
        <w:t xml:space="preserve"> </w:t>
      </w:r>
      <w:r>
        <w:t>mercado</w:t>
      </w:r>
      <w:r>
        <w:rPr>
          <w:spacing w:val="-4"/>
        </w:rPr>
        <w:t xml:space="preserve"> </w:t>
      </w:r>
      <w:r>
        <w:t>está</w:t>
      </w:r>
      <w:r>
        <w:rPr>
          <w:spacing w:val="-4"/>
        </w:rPr>
        <w:t xml:space="preserve"> </w:t>
      </w:r>
      <w:r>
        <w:t>bastante</w:t>
      </w:r>
      <w:r>
        <w:rPr>
          <w:spacing w:val="-4"/>
        </w:rPr>
        <w:t xml:space="preserve"> </w:t>
      </w:r>
      <w:r>
        <w:t>fragmentado.</w:t>
      </w:r>
      <w:r>
        <w:rPr>
          <w:spacing w:val="-4"/>
        </w:rPr>
        <w:t xml:space="preserve"> </w:t>
      </w:r>
      <w:r>
        <w:t>La</w:t>
      </w:r>
      <w:r>
        <w:rPr>
          <w:spacing w:val="-4"/>
        </w:rPr>
        <w:t xml:space="preserve"> </w:t>
      </w:r>
      <w:r>
        <w:t>clave,</w:t>
      </w:r>
      <w:r>
        <w:rPr>
          <w:spacing w:val="-4"/>
        </w:rPr>
        <w:t xml:space="preserve"> </w:t>
      </w:r>
      <w:r>
        <w:t>es la diferenciación y el posicionamiento, que ayudan a captar más valor en comparación con las formas tradicionales de venta.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62"/>
        </w:numPr>
        <w:tabs>
          <w:tab w:val="left" w:pos="1465"/>
        </w:tabs>
        <w:spacing w:before="79"/>
        <w:ind w:left="1465" w:hanging="545"/>
        <w:jc w:val="left"/>
      </w:pPr>
      <w:bookmarkStart w:id="63" w:name="2.3.2_Barreras_de_entrada_y_oportunidade"/>
      <w:bookmarkStart w:id="64" w:name="h.8bn8nexhdy4z"/>
      <w:bookmarkEnd w:id="63"/>
      <w:bookmarkEnd w:id="64"/>
      <w:r>
        <w:lastRenderedPageBreak/>
        <w:t>Barreras</w:t>
      </w:r>
      <w:r>
        <w:rPr>
          <w:spacing w:val="-5"/>
        </w:rPr>
        <w:t xml:space="preserve"> </w:t>
      </w:r>
      <w:r>
        <w:t>de</w:t>
      </w:r>
      <w:r>
        <w:rPr>
          <w:spacing w:val="-4"/>
        </w:rPr>
        <w:t xml:space="preserve"> </w:t>
      </w:r>
      <w:r>
        <w:t>entrada</w:t>
      </w:r>
      <w:r>
        <w:rPr>
          <w:spacing w:val="-5"/>
        </w:rPr>
        <w:t xml:space="preserve"> </w:t>
      </w:r>
      <w:r>
        <w:t>y</w:t>
      </w:r>
      <w:r>
        <w:rPr>
          <w:spacing w:val="-4"/>
        </w:rPr>
        <w:t xml:space="preserve"> </w:t>
      </w:r>
      <w:r>
        <w:rPr>
          <w:spacing w:val="-2"/>
        </w:rPr>
        <w:t>oportunidades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9" w:firstLine="720"/>
        <w:jc w:val="both"/>
      </w:pPr>
      <w:r>
        <w:t>El principal</w:t>
      </w:r>
      <w:r>
        <w:t xml:space="preserve"> obstáculo para nuevos emprendimientos en este sector es la</w:t>
      </w:r>
      <w:r>
        <w:rPr>
          <w:spacing w:val="-3"/>
        </w:rPr>
        <w:t xml:space="preserve"> </w:t>
      </w:r>
      <w:r>
        <w:t xml:space="preserve">limitada escala de producción. Se estima que existen menos de 500 meliponicultores activos en Yucatán, con un promedio aproximado de 10 colmenas por productor (Mexico News Daily, 2023). Esta baja </w:t>
      </w:r>
      <w:r>
        <w:t>capacidad restringe la posibilidad de responder a demandas estables en volumen y dificulta la inserción en canales comerciales masivos.</w:t>
      </w:r>
    </w:p>
    <w:p w:rsidR="009B4BB4" w:rsidRDefault="00C44001">
      <w:pPr>
        <w:pStyle w:val="Textoindependiente"/>
        <w:spacing w:line="360" w:lineRule="auto"/>
        <w:ind w:left="425" w:right="605" w:firstLine="720"/>
        <w:jc w:val="both"/>
      </w:pPr>
      <w:r>
        <w:t>También hay otras barreras, como la pérdida de conocimientos tradicionales, la competencia con la abeja convencional, la</w:t>
      </w:r>
      <w:r>
        <w:t xml:space="preserve"> alteración del hábitat y lo complicado</w:t>
      </w:r>
      <w:r>
        <w:rPr>
          <w:spacing w:val="40"/>
        </w:rPr>
        <w:t xml:space="preserve"> </w:t>
      </w:r>
      <w:r>
        <w:t>que puede ser acceder a certificaciones que validan la autenticidad de los productos (Villanueva-Gutiérrez et al., 2005).</w:t>
      </w:r>
      <w:r>
        <w:rPr>
          <w:spacing w:val="-4"/>
        </w:rPr>
        <w:t xml:space="preserve"> </w:t>
      </w:r>
      <w:r>
        <w:t>Desde</w:t>
      </w:r>
      <w:r>
        <w:rPr>
          <w:spacing w:val="-4"/>
        </w:rPr>
        <w:t xml:space="preserve"> </w:t>
      </w:r>
      <w:r>
        <w:t>el</w:t>
      </w:r>
      <w:r>
        <w:rPr>
          <w:spacing w:val="-4"/>
        </w:rPr>
        <w:t xml:space="preserve"> </w:t>
      </w:r>
      <w:r>
        <w:t>ámbito</w:t>
      </w:r>
      <w:r>
        <w:rPr>
          <w:spacing w:val="-4"/>
        </w:rPr>
        <w:t xml:space="preserve"> </w:t>
      </w:r>
      <w:r>
        <w:t>ambiental,</w:t>
      </w:r>
      <w:r>
        <w:rPr>
          <w:spacing w:val="40"/>
        </w:rPr>
        <w:t xml:space="preserve"> </w:t>
      </w:r>
      <w:r>
        <w:t>investigaciones</w:t>
      </w:r>
      <w:r>
        <w:rPr>
          <w:spacing w:val="40"/>
        </w:rPr>
        <w:t xml:space="preserve"> </w:t>
      </w:r>
      <w:r>
        <w:t>recientes alertan</w:t>
      </w:r>
      <w:r>
        <w:rPr>
          <w:spacing w:val="40"/>
        </w:rPr>
        <w:t xml:space="preserve"> </w:t>
      </w:r>
      <w:r>
        <w:t xml:space="preserve">que la fragmentación del paisaje </w:t>
      </w:r>
      <w:r>
        <w:t>y la pérdida de flora nativa afectan significativamente la disponibilidad de néctar, lo que impacta tanto la cantidad como la calidad de la miel melipona (León-Canul et al., 2023).</w:t>
      </w:r>
    </w:p>
    <w:p w:rsidR="009B4BB4" w:rsidRDefault="00C44001">
      <w:pPr>
        <w:pStyle w:val="Textoindependiente"/>
        <w:spacing w:line="360" w:lineRule="auto"/>
        <w:ind w:left="425" w:right="604" w:firstLine="720"/>
        <w:jc w:val="both"/>
      </w:pPr>
      <w:r>
        <w:t>Sin embargo, en medio de estas dificultades, se presenta oportunidades estratégicas, como la creciente demanda global por productos funcionales y</w:t>
      </w:r>
      <w:r>
        <w:rPr>
          <w:spacing w:val="-4"/>
        </w:rPr>
        <w:t xml:space="preserve"> </w:t>
      </w:r>
      <w:r>
        <w:t>sostenibles; así</w:t>
      </w:r>
      <w:r>
        <w:rPr>
          <w:spacing w:val="26"/>
        </w:rPr>
        <w:t xml:space="preserve"> </w:t>
      </w:r>
      <w:r>
        <w:t>como</w:t>
      </w:r>
      <w:r>
        <w:rPr>
          <w:spacing w:val="26"/>
        </w:rPr>
        <w:t xml:space="preserve"> </w:t>
      </w:r>
      <w:r>
        <w:t>la</w:t>
      </w:r>
      <w:r>
        <w:rPr>
          <w:spacing w:val="26"/>
        </w:rPr>
        <w:t xml:space="preserve"> </w:t>
      </w:r>
      <w:r>
        <w:t xml:space="preserve">apertura de canales alternativos como turismo vivencial, ferias ecológicas y </w:t>
      </w:r>
      <w:r>
        <w:rPr>
          <w:rFonts w:ascii="Arial" w:hAnsi="Arial"/>
          <w:i/>
        </w:rPr>
        <w:t xml:space="preserve">e-commerce </w:t>
      </w:r>
      <w:r>
        <w:t xml:space="preserve">ético; además, el interés de instituciones como UNDP, GIDZ o </w:t>
      </w:r>
      <w:r>
        <w:rPr>
          <w:rFonts w:ascii="Arial" w:hAnsi="Arial"/>
          <w:i/>
        </w:rPr>
        <w:t xml:space="preserve">Fairtrade </w:t>
      </w:r>
      <w:r>
        <w:t>están demostrando interés en apoyar modelos productivos con un enfoque social y ambiental; y la posibilidad de desarrollar alianzas con comunidades productoras para construir</w:t>
      </w:r>
      <w:r>
        <w:t xml:space="preserve"> marcas con identidad única y diferenciada.</w:t>
      </w:r>
    </w:p>
    <w:p w:rsidR="009B4BB4" w:rsidRDefault="00C44001">
      <w:pPr>
        <w:pStyle w:val="Textoindependiente"/>
        <w:spacing w:line="360" w:lineRule="auto"/>
        <w:ind w:left="425" w:right="604" w:firstLine="720"/>
        <w:jc w:val="both"/>
      </w:pPr>
      <w:r>
        <w:t>Para Guardiana, el desafío no será competir en volumen, y la estrategia deberá centrarse en posicionarse como una marca coherente, transparente y alineada con los valores del consumidor consciente y del visitante</w:t>
      </w:r>
      <w:r>
        <w:t xml:space="preserve"> cultural.</w:t>
      </w:r>
    </w:p>
    <w:p w:rsidR="009B4BB4" w:rsidRDefault="009B4BB4">
      <w:pPr>
        <w:pStyle w:val="Textoindependiente"/>
        <w:spacing w:before="106"/>
      </w:pPr>
    </w:p>
    <w:p w:rsidR="009B4BB4" w:rsidRDefault="00C44001" w:rsidP="00C44001">
      <w:pPr>
        <w:pStyle w:val="Ttulo1"/>
        <w:numPr>
          <w:ilvl w:val="1"/>
          <w:numId w:val="62"/>
        </w:numPr>
        <w:tabs>
          <w:tab w:val="left" w:pos="1508"/>
        </w:tabs>
        <w:spacing w:before="1"/>
        <w:ind w:left="1508" w:hanging="363"/>
        <w:jc w:val="left"/>
      </w:pPr>
      <w:bookmarkStart w:id="65" w:name="2.4_Tamaño_del_mercado_y_oferta_"/>
      <w:bookmarkStart w:id="66" w:name="h.w9siiks23r12"/>
      <w:bookmarkEnd w:id="65"/>
      <w:bookmarkEnd w:id="66"/>
      <w:r>
        <w:t>Tamaño</w:t>
      </w:r>
      <w:r>
        <w:rPr>
          <w:spacing w:val="-9"/>
        </w:rPr>
        <w:t xml:space="preserve"> </w:t>
      </w:r>
      <w:r>
        <w:t>del</w:t>
      </w:r>
      <w:r>
        <w:rPr>
          <w:spacing w:val="-8"/>
        </w:rPr>
        <w:t xml:space="preserve"> </w:t>
      </w:r>
      <w:r>
        <w:t>mercado</w:t>
      </w:r>
      <w:r>
        <w:rPr>
          <w:spacing w:val="-8"/>
        </w:rPr>
        <w:t xml:space="preserve"> </w:t>
      </w:r>
      <w:r>
        <w:t>y</w:t>
      </w:r>
      <w:r>
        <w:rPr>
          <w:spacing w:val="-8"/>
        </w:rPr>
        <w:t xml:space="preserve"> </w:t>
      </w:r>
      <w:r>
        <w:rPr>
          <w:spacing w:val="-2"/>
        </w:rPr>
        <w:t>oferta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4" w:firstLine="720"/>
        <w:jc w:val="both"/>
      </w:pPr>
      <w:r>
        <w:t>El análisis del tamaño del mercado</w:t>
      </w:r>
      <w:r>
        <w:rPr>
          <w:spacing w:val="-4"/>
        </w:rPr>
        <w:t xml:space="preserve"> </w:t>
      </w:r>
      <w:r>
        <w:t>y</w:t>
      </w:r>
      <w:r>
        <w:rPr>
          <w:spacing w:val="-4"/>
        </w:rPr>
        <w:t xml:space="preserve"> </w:t>
      </w:r>
      <w:r>
        <w:t>en</w:t>
      </w:r>
      <w:r>
        <w:rPr>
          <w:spacing w:val="-4"/>
        </w:rPr>
        <w:t xml:space="preserve"> </w:t>
      </w:r>
      <w:r>
        <w:t>la</w:t>
      </w:r>
      <w:r>
        <w:rPr>
          <w:spacing w:val="-4"/>
        </w:rPr>
        <w:t xml:space="preserve"> </w:t>
      </w:r>
      <w:r>
        <w:t>oferta</w:t>
      </w:r>
      <w:r>
        <w:rPr>
          <w:spacing w:val="-4"/>
        </w:rPr>
        <w:t xml:space="preserve"> </w:t>
      </w:r>
      <w:r>
        <w:t>permite</w:t>
      </w:r>
      <w:r>
        <w:rPr>
          <w:spacing w:val="-4"/>
        </w:rPr>
        <w:t xml:space="preserve"> </w:t>
      </w:r>
      <w:r>
        <w:t>dimensionar</w:t>
      </w:r>
      <w:r>
        <w:rPr>
          <w:spacing w:val="-4"/>
        </w:rPr>
        <w:t xml:space="preserve"> </w:t>
      </w:r>
      <w:r>
        <w:t>el</w:t>
      </w:r>
      <w:r>
        <w:rPr>
          <w:spacing w:val="-4"/>
        </w:rPr>
        <w:t xml:space="preserve"> </w:t>
      </w:r>
      <w:r>
        <w:t>potencial real de la miel melipona en un contexto donde autenticidad,</w:t>
      </w:r>
      <w:r>
        <w:rPr>
          <w:spacing w:val="-3"/>
        </w:rPr>
        <w:t xml:space="preserve"> </w:t>
      </w:r>
      <w:r>
        <w:t>trazabilidad</w:t>
      </w:r>
      <w:r>
        <w:rPr>
          <w:spacing w:val="-3"/>
        </w:rPr>
        <w:t xml:space="preserve"> </w:t>
      </w:r>
      <w:r>
        <w:t>e</w:t>
      </w:r>
      <w:r>
        <w:rPr>
          <w:spacing w:val="-3"/>
        </w:rPr>
        <w:t xml:space="preserve"> </w:t>
      </w:r>
      <w:r>
        <w:t>impacto</w:t>
      </w:r>
      <w:r>
        <w:rPr>
          <w:spacing w:val="-3"/>
        </w:rPr>
        <w:t xml:space="preserve"> </w:t>
      </w:r>
      <w:r>
        <w:t>social se han convertido en ejes de decisión para</w:t>
      </w:r>
      <w:r>
        <w:rPr>
          <w:spacing w:val="-3"/>
        </w:rPr>
        <w:t xml:space="preserve"> </w:t>
      </w:r>
      <w:r>
        <w:t>los</w:t>
      </w:r>
      <w:r>
        <w:rPr>
          <w:spacing w:val="-3"/>
        </w:rPr>
        <w:t xml:space="preserve"> </w:t>
      </w:r>
      <w:r>
        <w:t>consumidores.</w:t>
      </w:r>
      <w:r>
        <w:rPr>
          <w:spacing w:val="-3"/>
        </w:rPr>
        <w:t xml:space="preserve"> </w:t>
      </w:r>
      <w:r>
        <w:t>Guardiana</w:t>
      </w:r>
      <w:r>
        <w:rPr>
          <w:spacing w:val="-3"/>
        </w:rPr>
        <w:t xml:space="preserve"> </w:t>
      </w:r>
      <w:r>
        <w:t>busca</w:t>
      </w:r>
      <w:r>
        <w:rPr>
          <w:spacing w:val="-3"/>
        </w:rPr>
        <w:t xml:space="preserve"> </w:t>
      </w:r>
      <w:r>
        <w:t>competir en</w:t>
      </w:r>
      <w:r>
        <w:rPr>
          <w:spacing w:val="40"/>
        </w:rPr>
        <w:t xml:space="preserve"> </w:t>
      </w:r>
      <w:r>
        <w:t>el</w:t>
      </w:r>
      <w:r>
        <w:rPr>
          <w:spacing w:val="40"/>
        </w:rPr>
        <w:t xml:space="preserve"> </w:t>
      </w:r>
      <w:r>
        <w:t>mercado</w:t>
      </w:r>
      <w:r>
        <w:rPr>
          <w:spacing w:val="40"/>
        </w:rPr>
        <w:t xml:space="preserve"> </w:t>
      </w:r>
      <w:r>
        <w:t>de</w:t>
      </w:r>
      <w:r>
        <w:rPr>
          <w:spacing w:val="40"/>
        </w:rPr>
        <w:t xml:space="preserve"> </w:t>
      </w:r>
      <w:r>
        <w:t>alimentos</w:t>
      </w:r>
      <w:r>
        <w:rPr>
          <w:spacing w:val="40"/>
        </w:rPr>
        <w:t xml:space="preserve"> </w:t>
      </w:r>
      <w:r>
        <w:t>naturales</w:t>
      </w:r>
      <w:r>
        <w:rPr>
          <w:spacing w:val="40"/>
        </w:rPr>
        <w:t xml:space="preserve"> </w:t>
      </w:r>
      <w:r>
        <w:t>y,</w:t>
      </w:r>
      <w:r>
        <w:rPr>
          <w:spacing w:val="40"/>
        </w:rPr>
        <w:t xml:space="preserve"> </w:t>
      </w:r>
      <w:r>
        <w:t>a</w:t>
      </w:r>
      <w:r>
        <w:rPr>
          <w:spacing w:val="40"/>
        </w:rPr>
        <w:t xml:space="preserve"> </w:t>
      </w:r>
      <w:r>
        <w:t>su</w:t>
      </w:r>
      <w:r>
        <w:rPr>
          <w:spacing w:val="40"/>
        </w:rPr>
        <w:t xml:space="preserve"> </w:t>
      </w:r>
      <w:r>
        <w:t>vez,</w:t>
      </w:r>
      <w:r>
        <w:rPr>
          <w:spacing w:val="40"/>
        </w:rPr>
        <w:t xml:space="preserve"> </w:t>
      </w:r>
      <w:r>
        <w:t>insertarse</w:t>
      </w:r>
      <w:r>
        <w:rPr>
          <w:spacing w:val="40"/>
        </w:rPr>
        <w:t xml:space="preserve"> </w:t>
      </w:r>
      <w:r>
        <w:t>en</w:t>
      </w:r>
      <w:r>
        <w:rPr>
          <w:spacing w:val="40"/>
        </w:rPr>
        <w:t xml:space="preserve"> </w:t>
      </w:r>
      <w:r>
        <w:t>un</w:t>
      </w:r>
      <w:r>
        <w:rPr>
          <w:spacing w:val="40"/>
        </w:rPr>
        <w:t xml:space="preserve"> </w:t>
      </w:r>
      <w:r>
        <w:t>espacio</w:t>
      </w:r>
      <w:r>
        <w:rPr>
          <w:spacing w:val="40"/>
        </w:rPr>
        <w:t xml:space="preserve"> </w:t>
      </w:r>
      <w:r>
        <w:t>donde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pPr>
      <w:proofErr w:type="gramStart"/>
      <w:r>
        <w:lastRenderedPageBreak/>
        <w:t>convergen</w:t>
      </w:r>
      <w:proofErr w:type="gramEnd"/>
      <w:r>
        <w:rPr>
          <w:spacing w:val="80"/>
        </w:rPr>
        <w:t xml:space="preserve"> </w:t>
      </w:r>
      <w:r>
        <w:t>turismo</w:t>
      </w:r>
      <w:r>
        <w:rPr>
          <w:spacing w:val="71"/>
        </w:rPr>
        <w:t xml:space="preserve"> </w:t>
      </w:r>
      <w:r>
        <w:t>cultural,</w:t>
      </w:r>
      <w:r>
        <w:rPr>
          <w:spacing w:val="71"/>
        </w:rPr>
        <w:t xml:space="preserve"> </w:t>
      </w:r>
      <w:r>
        <w:t>salud</w:t>
      </w:r>
      <w:r>
        <w:rPr>
          <w:spacing w:val="71"/>
        </w:rPr>
        <w:t xml:space="preserve"> </w:t>
      </w:r>
      <w:r>
        <w:t>y</w:t>
      </w:r>
      <w:r>
        <w:rPr>
          <w:spacing w:val="71"/>
        </w:rPr>
        <w:t xml:space="preserve"> </w:t>
      </w:r>
      <w:r>
        <w:t>sostenibilidad,</w:t>
      </w:r>
      <w:r>
        <w:rPr>
          <w:spacing w:val="71"/>
        </w:rPr>
        <w:t xml:space="preserve"> </w:t>
      </w:r>
      <w:r>
        <w:t>en</w:t>
      </w:r>
      <w:r>
        <w:rPr>
          <w:spacing w:val="71"/>
        </w:rPr>
        <w:t xml:space="preserve"> </w:t>
      </w:r>
      <w:r>
        <w:t>el</w:t>
      </w:r>
      <w:r>
        <w:rPr>
          <w:spacing w:val="71"/>
        </w:rPr>
        <w:t xml:space="preserve"> </w:t>
      </w:r>
      <w:r>
        <w:t>que</w:t>
      </w:r>
      <w:r>
        <w:rPr>
          <w:spacing w:val="71"/>
        </w:rPr>
        <w:t xml:space="preserve"> </w:t>
      </w:r>
      <w:r>
        <w:t>la</w:t>
      </w:r>
      <w:r>
        <w:rPr>
          <w:spacing w:val="71"/>
        </w:rPr>
        <w:t xml:space="preserve"> </w:t>
      </w:r>
      <w:r>
        <w:t>transparencia</w:t>
      </w:r>
      <w:r>
        <w:rPr>
          <w:spacing w:val="71"/>
        </w:rPr>
        <w:t xml:space="preserve"> </w:t>
      </w:r>
      <w:r>
        <w:t>y</w:t>
      </w:r>
      <w:r>
        <w:rPr>
          <w:spacing w:val="71"/>
        </w:rPr>
        <w:t xml:space="preserve"> </w:t>
      </w:r>
      <w:r>
        <w:t>la coherencia de la cadena de valor se vuelven ventajas competitivas claves.</w:t>
      </w:r>
    </w:p>
    <w:p w:rsidR="009B4BB4" w:rsidRDefault="00C44001" w:rsidP="00C44001">
      <w:pPr>
        <w:pStyle w:val="Ttulo2"/>
        <w:numPr>
          <w:ilvl w:val="2"/>
          <w:numId w:val="62"/>
        </w:numPr>
        <w:tabs>
          <w:tab w:val="left" w:pos="970"/>
        </w:tabs>
        <w:ind w:left="970" w:hanging="545"/>
        <w:jc w:val="left"/>
      </w:pPr>
      <w:bookmarkStart w:id="67" w:name="2.4.1_Tamaño_del_mercado_"/>
      <w:bookmarkStart w:id="68" w:name="h.j0hiiwscy09a"/>
      <w:bookmarkEnd w:id="67"/>
      <w:bookmarkEnd w:id="68"/>
      <w:r>
        <w:t>Tamaño</w:t>
      </w:r>
      <w:r>
        <w:rPr>
          <w:spacing w:val="-9"/>
        </w:rPr>
        <w:t xml:space="preserve"> </w:t>
      </w:r>
      <w:r>
        <w:t>del</w:t>
      </w:r>
      <w:r>
        <w:rPr>
          <w:spacing w:val="-8"/>
        </w:rPr>
        <w:t xml:space="preserve"> </w:t>
      </w:r>
      <w:r>
        <w:rPr>
          <w:spacing w:val="-2"/>
        </w:rPr>
        <w:t>mercado</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5" w:firstLine="720"/>
        <w:jc w:val="both"/>
      </w:pPr>
      <w:r>
        <w:t>El</w:t>
      </w:r>
      <w:r>
        <w:rPr>
          <w:spacing w:val="-4"/>
        </w:rPr>
        <w:t xml:space="preserve"> </w:t>
      </w:r>
      <w:r>
        <w:t>mercado</w:t>
      </w:r>
      <w:r>
        <w:rPr>
          <w:spacing w:val="-4"/>
        </w:rPr>
        <w:t xml:space="preserve"> </w:t>
      </w:r>
      <w:r>
        <w:t>global</w:t>
      </w:r>
      <w:r>
        <w:rPr>
          <w:spacing w:val="-4"/>
        </w:rPr>
        <w:t xml:space="preserve"> </w:t>
      </w:r>
      <w:r>
        <w:t>de</w:t>
      </w:r>
      <w:r>
        <w:rPr>
          <w:spacing w:val="-4"/>
        </w:rPr>
        <w:t xml:space="preserve"> </w:t>
      </w:r>
      <w:r>
        <w:t>la</w:t>
      </w:r>
      <w:r>
        <w:rPr>
          <w:spacing w:val="-4"/>
        </w:rPr>
        <w:t xml:space="preserve"> </w:t>
      </w:r>
      <w:r>
        <w:t>miel</w:t>
      </w:r>
      <w:r>
        <w:rPr>
          <w:spacing w:val="-4"/>
        </w:rPr>
        <w:t xml:space="preserve"> </w:t>
      </w:r>
      <w:r>
        <w:t>presenta</w:t>
      </w:r>
      <w:r>
        <w:rPr>
          <w:spacing w:val="-4"/>
        </w:rPr>
        <w:t xml:space="preserve"> </w:t>
      </w:r>
      <w:r>
        <w:t>un</w:t>
      </w:r>
      <w:r>
        <w:rPr>
          <w:spacing w:val="-4"/>
        </w:rPr>
        <w:t xml:space="preserve"> </w:t>
      </w:r>
      <w:r>
        <w:t>crecimiento</w:t>
      </w:r>
      <w:r>
        <w:rPr>
          <w:spacing w:val="-4"/>
        </w:rPr>
        <w:t xml:space="preserve"> </w:t>
      </w:r>
      <w:r>
        <w:t>sostenido</w:t>
      </w:r>
      <w:r>
        <w:rPr>
          <w:spacing w:val="-4"/>
        </w:rPr>
        <w:t xml:space="preserve"> </w:t>
      </w:r>
      <w:r>
        <w:t>debido</w:t>
      </w:r>
      <w:r>
        <w:rPr>
          <w:spacing w:val="-4"/>
        </w:rPr>
        <w:t xml:space="preserve"> </w:t>
      </w:r>
      <w:r>
        <w:t>a</w:t>
      </w:r>
      <w:r>
        <w:rPr>
          <w:spacing w:val="-4"/>
        </w:rPr>
        <w:t xml:space="preserve"> </w:t>
      </w:r>
      <w:r>
        <w:t>que</w:t>
      </w:r>
      <w:r>
        <w:rPr>
          <w:spacing w:val="-4"/>
        </w:rPr>
        <w:t xml:space="preserve"> </w:t>
      </w:r>
      <w:r>
        <w:t xml:space="preserve">cada vez más personas prefieren productos naturales con beneficios funcionales. El </w:t>
      </w:r>
      <w:r>
        <w:t>mercado global de la miel alcanzó en 2024 un valor estimado, con proyecciones de crecimiento hasta 15.6 mil millones de dólares hacia 2032 (Fortune Business Insights, 2024). Esto muestra un interés notable en mieles especiales, como la miel melipona, que s</w:t>
      </w:r>
      <w:r>
        <w:t>e valora más por su exclusividad que por la cantidad que se produce.</w:t>
      </w:r>
    </w:p>
    <w:p w:rsidR="009B4BB4" w:rsidRDefault="00C44001">
      <w:pPr>
        <w:pStyle w:val="Textoindependiente"/>
        <w:spacing w:line="360" w:lineRule="auto"/>
        <w:ind w:left="425" w:right="605" w:firstLine="720"/>
        <w:jc w:val="both"/>
      </w:pPr>
      <w:r>
        <w:t>México ocupa el noveno lugar como productor mundial de miel, con una producción promedio de 57,000 toneladas anuales, de las cuales cerca del 40% se destina a exportaciones, principalmente a mercados norteamericanos y europeos (DataMéxico, 2024; INEGI, 202</w:t>
      </w:r>
      <w:r>
        <w:t>4). Dentro de este volumen, la miel melipona representa menos del 1% de la</w:t>
      </w:r>
      <w:r>
        <w:rPr>
          <w:spacing w:val="-3"/>
        </w:rPr>
        <w:t xml:space="preserve"> </w:t>
      </w:r>
      <w:r>
        <w:t>producción</w:t>
      </w:r>
      <w:r>
        <w:rPr>
          <w:spacing w:val="-3"/>
        </w:rPr>
        <w:t xml:space="preserve"> </w:t>
      </w:r>
      <w:r>
        <w:t>total,</w:t>
      </w:r>
      <w:r>
        <w:rPr>
          <w:spacing w:val="-3"/>
        </w:rPr>
        <w:t xml:space="preserve"> </w:t>
      </w:r>
      <w:r>
        <w:t>lo</w:t>
      </w:r>
      <w:r>
        <w:rPr>
          <w:spacing w:val="-3"/>
        </w:rPr>
        <w:t xml:space="preserve"> </w:t>
      </w:r>
      <w:r>
        <w:t>que</w:t>
      </w:r>
      <w:r>
        <w:rPr>
          <w:spacing w:val="-3"/>
        </w:rPr>
        <w:t xml:space="preserve"> </w:t>
      </w:r>
      <w:r>
        <w:t>la</w:t>
      </w:r>
      <w:r>
        <w:rPr>
          <w:spacing w:val="-3"/>
        </w:rPr>
        <w:t xml:space="preserve"> </w:t>
      </w:r>
      <w:r>
        <w:t>convierte</w:t>
      </w:r>
      <w:r>
        <w:rPr>
          <w:spacing w:val="-3"/>
        </w:rPr>
        <w:t xml:space="preserve"> </w:t>
      </w:r>
      <w:r>
        <w:t>en</w:t>
      </w:r>
      <w:r>
        <w:rPr>
          <w:spacing w:val="-3"/>
        </w:rPr>
        <w:t xml:space="preserve"> </w:t>
      </w:r>
      <w:r>
        <w:t>un</w:t>
      </w:r>
      <w:r>
        <w:rPr>
          <w:spacing w:val="-3"/>
        </w:rPr>
        <w:t xml:space="preserve"> </w:t>
      </w:r>
      <w:r>
        <w:t>producto</w:t>
      </w:r>
      <w:r>
        <w:rPr>
          <w:spacing w:val="-3"/>
        </w:rPr>
        <w:t xml:space="preserve"> </w:t>
      </w:r>
      <w:r>
        <w:t>de</w:t>
      </w:r>
      <w:r>
        <w:rPr>
          <w:spacing w:val="-3"/>
        </w:rPr>
        <w:t xml:space="preserve"> </w:t>
      </w:r>
      <w:r>
        <w:t>nicho</w:t>
      </w:r>
      <w:r>
        <w:rPr>
          <w:spacing w:val="-3"/>
        </w:rPr>
        <w:t xml:space="preserve"> </w:t>
      </w:r>
      <w:r>
        <w:t>con</w:t>
      </w:r>
      <w:r>
        <w:rPr>
          <w:spacing w:val="-3"/>
        </w:rPr>
        <w:t xml:space="preserve"> </w:t>
      </w:r>
      <w:r>
        <w:t>alto valor agregado</w:t>
      </w:r>
      <w:r>
        <w:rPr>
          <w:spacing w:val="40"/>
        </w:rPr>
        <w:t xml:space="preserve"> </w:t>
      </w:r>
      <w:r>
        <w:t>(García-Galindo, Díaz-Díaz &amp; Jiménez, 2023; GIZ, 2023).</w:t>
      </w:r>
    </w:p>
    <w:p w:rsidR="009B4BB4" w:rsidRDefault="00C44001">
      <w:pPr>
        <w:pStyle w:val="Textoindependiente"/>
        <w:spacing w:line="360" w:lineRule="auto"/>
        <w:ind w:left="425" w:right="607" w:firstLine="720"/>
        <w:jc w:val="both"/>
      </w:pPr>
      <w:r>
        <w:t>En el contexto regional, Yucatán se pos</w:t>
      </w:r>
      <w:r>
        <w:t>iciona como uno de los principales polos de producción de miel y como un destino turístico estratégico para la comercialización directa. Entre enero y septiembre de 2024, el estado recibió 1</w:t>
      </w:r>
      <w:proofErr w:type="gramStart"/>
      <w:r>
        <w:t>,756,838</w:t>
      </w:r>
      <w:proofErr w:type="gramEnd"/>
      <w:r>
        <w:t xml:space="preserve"> turistas con pernocta, de los cuales 79.9% fueron naciona</w:t>
      </w:r>
      <w:r>
        <w:t>les y 20.1% internacionales (SEFOTUR, 2024). En particular, Valladolid, ciudad clave dentro del circuito turístico que conecta Cancún con Chichén Itzá, reportó 212,612 turistas con estadía (59,194 nacionales y 53,418 extranjeros) (SEFOTUR, 2024). Este volu</w:t>
      </w:r>
      <w:r>
        <w:t>men constituye un mercado inmediato accesible para Guardiana, dado que el producto se inserta en el segmento de</w:t>
      </w:r>
      <w:r>
        <w:rPr>
          <w:spacing w:val="-3"/>
        </w:rPr>
        <w:t xml:space="preserve"> </w:t>
      </w:r>
      <w:r>
        <w:t xml:space="preserve">souvenirs culturales y consumos </w:t>
      </w:r>
      <w:r>
        <w:rPr>
          <w:rFonts w:ascii="Arial" w:hAnsi="Arial"/>
          <w:i/>
        </w:rPr>
        <w:t xml:space="preserve">premium </w:t>
      </w:r>
      <w:r>
        <w:t>vinculados a experiencias locales.</w:t>
      </w:r>
    </w:p>
    <w:p w:rsidR="009B4BB4" w:rsidRDefault="00C44001">
      <w:pPr>
        <w:pStyle w:val="Textoindependiente"/>
        <w:spacing w:line="360" w:lineRule="auto"/>
        <w:ind w:left="425" w:right="605" w:firstLine="720"/>
        <w:jc w:val="both"/>
      </w:pPr>
      <w:r>
        <w:t xml:space="preserve">Las tendencias globales de consumo refuerzan esta oportunidad. Euromonitor (2023) identifica que la premiumización de alimentos evoluciona hacia atributos como la autenticidad, la exclusividad y el propósito social. Esto sugiere que el mercado está maduro </w:t>
      </w:r>
      <w:r>
        <w:t>para propuestas que integren</w:t>
      </w:r>
      <w:r>
        <w:rPr>
          <w:spacing w:val="-4"/>
        </w:rPr>
        <w:t xml:space="preserve"> </w:t>
      </w:r>
      <w:r>
        <w:t>valor</w:t>
      </w:r>
      <w:r>
        <w:rPr>
          <w:spacing w:val="-4"/>
        </w:rPr>
        <w:t xml:space="preserve"> </w:t>
      </w:r>
      <w:r>
        <w:t>cultural</w:t>
      </w:r>
      <w:r>
        <w:rPr>
          <w:spacing w:val="-4"/>
        </w:rPr>
        <w:t xml:space="preserve"> </w:t>
      </w:r>
      <w:r>
        <w:t>y</w:t>
      </w:r>
      <w:r>
        <w:rPr>
          <w:spacing w:val="-4"/>
        </w:rPr>
        <w:t xml:space="preserve"> </w:t>
      </w:r>
      <w:r>
        <w:t>sostenibilidad,</w:t>
      </w:r>
      <w:r>
        <w:rPr>
          <w:spacing w:val="-4"/>
        </w:rPr>
        <w:t xml:space="preserve"> </w:t>
      </w:r>
      <w:r>
        <w:t>validando</w:t>
      </w:r>
      <w:r>
        <w:rPr>
          <w:spacing w:val="-4"/>
        </w:rPr>
        <w:t xml:space="preserve"> </w:t>
      </w:r>
      <w:r>
        <w:t>el</w:t>
      </w:r>
      <w:r>
        <w:rPr>
          <w:spacing w:val="-4"/>
        </w:rPr>
        <w:t xml:space="preserve"> </w:t>
      </w:r>
      <w:r>
        <w:t>enfoque estratégico de Guardiana en el segmento de productos de alta gama con propósito.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ind w:left="1145"/>
        <w:jc w:val="both"/>
      </w:pPr>
      <w:r>
        <w:lastRenderedPageBreak/>
        <w:t>Con</w:t>
      </w:r>
      <w:r>
        <w:rPr>
          <w:spacing w:val="-5"/>
        </w:rPr>
        <w:t xml:space="preserve"> </w:t>
      </w:r>
      <w:r>
        <w:t>base</w:t>
      </w:r>
      <w:r>
        <w:rPr>
          <w:spacing w:val="-5"/>
        </w:rPr>
        <w:t xml:space="preserve"> </w:t>
      </w:r>
      <w:r>
        <w:t>en</w:t>
      </w:r>
      <w:r>
        <w:rPr>
          <w:spacing w:val="-5"/>
        </w:rPr>
        <w:t xml:space="preserve"> </w:t>
      </w:r>
      <w:r>
        <w:t>estas</w:t>
      </w:r>
      <w:r>
        <w:rPr>
          <w:spacing w:val="-5"/>
        </w:rPr>
        <w:t xml:space="preserve"> </w:t>
      </w:r>
      <w:r>
        <w:t>cifras,</w:t>
      </w:r>
      <w:r>
        <w:rPr>
          <w:spacing w:val="-4"/>
        </w:rPr>
        <w:t xml:space="preserve"> </w:t>
      </w:r>
      <w:r>
        <w:t>se</w:t>
      </w:r>
      <w:r>
        <w:rPr>
          <w:spacing w:val="-5"/>
        </w:rPr>
        <w:t xml:space="preserve"> </w:t>
      </w:r>
      <w:r>
        <w:t>plantean</w:t>
      </w:r>
      <w:r>
        <w:rPr>
          <w:spacing w:val="-5"/>
        </w:rPr>
        <w:t xml:space="preserve"> </w:t>
      </w:r>
      <w:r>
        <w:t>dos</w:t>
      </w:r>
      <w:r>
        <w:rPr>
          <w:spacing w:val="-5"/>
        </w:rPr>
        <w:t xml:space="preserve"> </w:t>
      </w:r>
      <w:r>
        <w:t>escenarios</w:t>
      </w:r>
      <w:r>
        <w:rPr>
          <w:spacing w:val="-5"/>
        </w:rPr>
        <w:t xml:space="preserve"> </w:t>
      </w:r>
      <w:r>
        <w:t>para</w:t>
      </w:r>
      <w:r>
        <w:rPr>
          <w:spacing w:val="-4"/>
        </w:rPr>
        <w:t xml:space="preserve"> </w:t>
      </w:r>
      <w:r>
        <w:rPr>
          <w:spacing w:val="-2"/>
        </w:rPr>
        <w:t>Guardiana:</w:t>
      </w:r>
    </w:p>
    <w:p w:rsidR="009B4BB4" w:rsidRDefault="00C44001" w:rsidP="00C44001">
      <w:pPr>
        <w:pStyle w:val="Prrafodelista"/>
        <w:numPr>
          <w:ilvl w:val="3"/>
          <w:numId w:val="62"/>
        </w:numPr>
        <w:tabs>
          <w:tab w:val="left" w:pos="1145"/>
        </w:tabs>
        <w:spacing w:before="127" w:line="360" w:lineRule="auto"/>
        <w:ind w:right="603"/>
        <w:jc w:val="both"/>
      </w:pPr>
      <w:r>
        <w:rPr>
          <w:rFonts w:ascii="Arial" w:hAnsi="Arial"/>
          <w:b/>
        </w:rPr>
        <w:t>Escen</w:t>
      </w:r>
      <w:r>
        <w:rPr>
          <w:rFonts w:ascii="Arial" w:hAnsi="Arial"/>
          <w:b/>
        </w:rPr>
        <w:t>ario conservador (corto plazo)</w:t>
      </w:r>
      <w:r>
        <w:t>: Considerando una penetración del 3% al 5% de los turistas de Valladolid, se estiman entre 6,300 y 10,600 compradores anuales, equivalentes a $225,000 a $375,000 USD, con un ticket promedio estimado de $30 USD por</w:t>
      </w:r>
      <w:r>
        <w:rPr>
          <w:spacing w:val="-3"/>
        </w:rPr>
        <w:t xml:space="preserve"> </w:t>
      </w:r>
      <w:r>
        <w:t>100</w:t>
      </w:r>
      <w:r>
        <w:rPr>
          <w:spacing w:val="-3"/>
        </w:rPr>
        <w:t xml:space="preserve"> </w:t>
      </w:r>
      <w:r>
        <w:t>g.</w:t>
      </w:r>
      <w:r>
        <w:rPr>
          <w:spacing w:val="-3"/>
        </w:rPr>
        <w:t xml:space="preserve"> </w:t>
      </w:r>
      <w:r>
        <w:t>Este</w:t>
      </w:r>
      <w:r>
        <w:rPr>
          <w:spacing w:val="-3"/>
        </w:rPr>
        <w:t xml:space="preserve"> </w:t>
      </w:r>
      <w:r>
        <w:t>escenario</w:t>
      </w:r>
      <w:r>
        <w:rPr>
          <w:spacing w:val="-3"/>
        </w:rPr>
        <w:t xml:space="preserve"> </w:t>
      </w:r>
      <w:r>
        <w:t>refleja</w:t>
      </w:r>
      <w:r>
        <w:rPr>
          <w:spacing w:val="-3"/>
        </w:rPr>
        <w:t xml:space="preserve"> </w:t>
      </w:r>
      <w:r>
        <w:t>el</w:t>
      </w:r>
      <w:r>
        <w:rPr>
          <w:spacing w:val="-3"/>
        </w:rPr>
        <w:t xml:space="preserve"> </w:t>
      </w:r>
      <w:r>
        <w:t>alcance</w:t>
      </w:r>
      <w:r>
        <w:rPr>
          <w:spacing w:val="-3"/>
        </w:rPr>
        <w:t xml:space="preserve"> </w:t>
      </w:r>
      <w:r>
        <w:t>inicial</w:t>
      </w:r>
      <w:r>
        <w:rPr>
          <w:spacing w:val="-3"/>
        </w:rPr>
        <w:t xml:space="preserve"> </w:t>
      </w:r>
      <w:r>
        <w:t>potencial mediante la venta directa en puntos turísticos y tiendas locales.</w:t>
      </w:r>
    </w:p>
    <w:p w:rsidR="009B4BB4" w:rsidRDefault="00C44001" w:rsidP="00C44001">
      <w:pPr>
        <w:pStyle w:val="Prrafodelista"/>
        <w:numPr>
          <w:ilvl w:val="3"/>
          <w:numId w:val="62"/>
        </w:numPr>
        <w:tabs>
          <w:tab w:val="left" w:pos="1145"/>
        </w:tabs>
        <w:spacing w:before="0" w:line="360" w:lineRule="auto"/>
        <w:ind w:right="602"/>
        <w:jc w:val="both"/>
      </w:pPr>
      <w:r>
        <w:rPr>
          <w:rFonts w:ascii="Arial" w:hAnsi="Arial"/>
          <w:b/>
        </w:rPr>
        <w:t xml:space="preserve">Escenario optimista (medio plazo): </w:t>
      </w:r>
      <w:r>
        <w:t>Con expansión a hoteles, aeropuertos y canales de e-commerce, y asumiendo una penetración de 10% en el fluj</w:t>
      </w:r>
      <w:r>
        <w:t>o de turistas de Valladolid, el mercado podría alcanzar alrededor de $750,000 USD anuales. Este escenario representa un techo potencial con posicionamiento consolidado y diversificación de canales.</w:t>
      </w:r>
    </w:p>
    <w:p w:rsidR="009B4BB4" w:rsidRDefault="00C44001">
      <w:pPr>
        <w:pStyle w:val="Ttulo1"/>
        <w:spacing w:before="240"/>
        <w:ind w:left="425"/>
      </w:pPr>
      <w:r>
        <w:t>Restricción</w:t>
      </w:r>
      <w:r>
        <w:rPr>
          <w:spacing w:val="-6"/>
        </w:rPr>
        <w:t xml:space="preserve"> </w:t>
      </w:r>
      <w:r>
        <w:t>y</w:t>
      </w:r>
      <w:r>
        <w:rPr>
          <w:spacing w:val="-5"/>
        </w:rPr>
        <w:t xml:space="preserve"> </w:t>
      </w:r>
      <w:r>
        <w:t>límites</w:t>
      </w:r>
      <w:r>
        <w:rPr>
          <w:spacing w:val="-5"/>
        </w:rPr>
        <w:t xml:space="preserve"> </w:t>
      </w:r>
      <w:r>
        <w:t>de</w:t>
      </w:r>
      <w:r>
        <w:rPr>
          <w:spacing w:val="-5"/>
        </w:rPr>
        <w:t xml:space="preserve"> </w:t>
      </w:r>
      <w:r>
        <w:rPr>
          <w:spacing w:val="-2"/>
        </w:rPr>
        <w:t>crecimiento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2" w:firstLine="720"/>
        <w:jc w:val="both"/>
      </w:pPr>
      <w:r>
        <w:t>A pesar de que exist</w:t>
      </w:r>
      <w:r>
        <w:t>e gran potencial en el mercado, el</w:t>
      </w:r>
      <w:r>
        <w:rPr>
          <w:spacing w:val="-3"/>
        </w:rPr>
        <w:t xml:space="preserve"> </w:t>
      </w:r>
      <w:r>
        <w:t>crecimiento</w:t>
      </w:r>
      <w:r>
        <w:rPr>
          <w:spacing w:val="-3"/>
        </w:rPr>
        <w:t xml:space="preserve"> </w:t>
      </w:r>
      <w:r>
        <w:t>de</w:t>
      </w:r>
      <w:r>
        <w:rPr>
          <w:spacing w:val="-3"/>
        </w:rPr>
        <w:t xml:space="preserve"> </w:t>
      </w:r>
      <w:r>
        <w:t>Guardiana está condicionado por una restricción estructural de la oferta. La producción de miel melipona depende de la mezcla de factores biológicos, ecológicos y culturales, lo que hace menos escalable que la apicultura convencional.</w:t>
      </w:r>
    </w:p>
    <w:p w:rsidR="009B4BB4" w:rsidRDefault="00C44001">
      <w:pPr>
        <w:pStyle w:val="Textoindependiente"/>
        <w:spacing w:line="360" w:lineRule="auto"/>
        <w:ind w:left="425" w:right="607" w:firstLine="720"/>
        <w:jc w:val="both"/>
      </w:pPr>
      <w:r>
        <w:t xml:space="preserve">Cada colmena de </w:t>
      </w:r>
      <w:r>
        <w:rPr>
          <w:rFonts w:ascii="Arial" w:hAnsi="Arial"/>
          <w:i/>
        </w:rPr>
        <w:t>Melip</w:t>
      </w:r>
      <w:r>
        <w:rPr>
          <w:rFonts w:ascii="Arial" w:hAnsi="Arial"/>
          <w:i/>
        </w:rPr>
        <w:t xml:space="preserve">ona beecheii </w:t>
      </w:r>
      <w:r>
        <w:t xml:space="preserve">solo produce entre 0.5 y 2 litros de miel al año. Comparado con otras especies es una capacidad productiva inferior. Además, los meliponicultores con conocimiento especializado </w:t>
      </w:r>
      <w:proofErr w:type="gramStart"/>
      <w:r>
        <w:t>es</w:t>
      </w:r>
      <w:proofErr w:type="gramEnd"/>
      <w:r>
        <w:t xml:space="preserve"> reducido y se concentran en comunidades específicas, lo que lim</w:t>
      </w:r>
      <w:r>
        <w:t>ita la posibilidad de expandir rápidamente la oferta.</w:t>
      </w:r>
    </w:p>
    <w:p w:rsidR="009B4BB4" w:rsidRDefault="00C44001">
      <w:pPr>
        <w:pStyle w:val="Textoindependiente"/>
        <w:spacing w:line="360" w:lineRule="auto"/>
        <w:ind w:left="425" w:right="609" w:firstLine="720"/>
        <w:jc w:val="both"/>
      </w:pPr>
      <w:r>
        <w:t>En este escenario, el crecimiento del negocio no puede depender solo de aumentar el volumen de producción. Es más una cuestión de enfocarse en</w:t>
      </w:r>
      <w:r>
        <w:rPr>
          <w:spacing w:val="-3"/>
        </w:rPr>
        <w:t xml:space="preserve"> </w:t>
      </w:r>
      <w:r>
        <w:t>maximizar</w:t>
      </w:r>
      <w:r>
        <w:rPr>
          <w:spacing w:val="-3"/>
        </w:rPr>
        <w:t xml:space="preserve"> </w:t>
      </w:r>
      <w:r>
        <w:t>el valor por cada unidad producida. Para lograrlo, será clave apuntar a segmentos de consumidores con mayor poder adquisitivo, ajustar el portafolio de productos y manejar cuidadosa y estratégicamente la relación con los productores.</w:t>
      </w:r>
    </w:p>
    <w:p w:rsidR="009B4BB4" w:rsidRDefault="00C44001">
      <w:pPr>
        <w:pStyle w:val="Textoindependiente"/>
        <w:spacing w:line="360" w:lineRule="auto"/>
        <w:ind w:left="425" w:right="603" w:firstLine="720"/>
        <w:jc w:val="both"/>
      </w:pPr>
      <w:r>
        <w:t>Por lo tanto, el tamañ</w:t>
      </w:r>
      <w:r>
        <w:t>o de mercado estimado debe interpretarse como un techo potencial para la demanda y no como una capacidad inmediata de captación. Está totalmente condicionado por cuán disponibles están</w:t>
      </w:r>
      <w:r>
        <w:rPr>
          <w:spacing w:val="-4"/>
        </w:rPr>
        <w:t xml:space="preserve"> </w:t>
      </w:r>
      <w:r>
        <w:t>los</w:t>
      </w:r>
      <w:r>
        <w:rPr>
          <w:spacing w:val="-4"/>
        </w:rPr>
        <w:t xml:space="preserve"> </w:t>
      </w:r>
      <w:r>
        <w:t>recursos</w:t>
      </w:r>
      <w:r>
        <w:rPr>
          <w:spacing w:val="-4"/>
        </w:rPr>
        <w:t xml:space="preserve"> </w:t>
      </w:r>
      <w:r>
        <w:t>y</w:t>
      </w:r>
      <w:r>
        <w:rPr>
          <w:spacing w:val="-4"/>
        </w:rPr>
        <w:t xml:space="preserve"> </w:t>
      </w:r>
      <w:r>
        <w:t>cómo</w:t>
      </w:r>
      <w:r>
        <w:rPr>
          <w:spacing w:val="-4"/>
        </w:rPr>
        <w:t xml:space="preserve"> </w:t>
      </w:r>
      <w:r>
        <w:t>funciona</w:t>
      </w:r>
      <w:r>
        <w:rPr>
          <w:spacing w:val="-4"/>
        </w:rPr>
        <w:t xml:space="preserve"> </w:t>
      </w:r>
      <w:r>
        <w:t>toda</w:t>
      </w:r>
      <w:r>
        <w:rPr>
          <w:spacing w:val="-4"/>
        </w:rPr>
        <w:t xml:space="preserve"> </w:t>
      </w:r>
      <w:r>
        <w:t>la cadena productiva. Esta limitación</w:t>
      </w:r>
      <w:r>
        <w:t xml:space="preserve"> subraya la necesidad de una estrategia basada en escasez</w:t>
      </w:r>
      <w:r>
        <w:rPr>
          <w:spacing w:val="40"/>
        </w:rPr>
        <w:t xml:space="preserve"> </w:t>
      </w:r>
      <w:r>
        <w:t>y diferenciación.</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60"/>
        </w:numPr>
        <w:tabs>
          <w:tab w:val="left" w:pos="1465"/>
        </w:tabs>
        <w:spacing w:before="79"/>
        <w:ind w:left="1465" w:hanging="545"/>
      </w:pPr>
      <w:bookmarkStart w:id="69" w:name="2.4.3_Análisis_de_la_oferta_"/>
      <w:bookmarkStart w:id="70" w:name="h.jn4f2p2w27l6"/>
      <w:bookmarkEnd w:id="69"/>
      <w:bookmarkEnd w:id="70"/>
      <w:r>
        <w:lastRenderedPageBreak/>
        <w:t>Análisis</w:t>
      </w:r>
      <w:r>
        <w:rPr>
          <w:spacing w:val="-4"/>
        </w:rPr>
        <w:t xml:space="preserve"> </w:t>
      </w:r>
      <w:r>
        <w:t>de</w:t>
      </w:r>
      <w:r>
        <w:rPr>
          <w:spacing w:val="-4"/>
        </w:rPr>
        <w:t xml:space="preserve"> </w:t>
      </w:r>
      <w:r>
        <w:t>la</w:t>
      </w:r>
      <w:r>
        <w:rPr>
          <w:spacing w:val="-4"/>
        </w:rPr>
        <w:t xml:space="preserve"> </w:t>
      </w:r>
      <w:r>
        <w:rPr>
          <w:spacing w:val="-2"/>
        </w:rPr>
        <w:t>oferta</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8" w:firstLine="720"/>
        <w:jc w:val="both"/>
      </w:pPr>
      <w:r>
        <w:t>La oferta de miel melipona en México se distingue por su escasez</w:t>
      </w:r>
      <w:r>
        <w:rPr>
          <w:spacing w:val="-3"/>
        </w:rPr>
        <w:t xml:space="preserve"> </w:t>
      </w:r>
      <w:r>
        <w:t>estructural,</w:t>
      </w:r>
      <w:r>
        <w:rPr>
          <w:spacing w:val="-3"/>
        </w:rPr>
        <w:t xml:space="preserve"> </w:t>
      </w:r>
      <w:r>
        <w:t>su carácter artesanal y su fuerte anclaje cultural. A diferen</w:t>
      </w:r>
      <w:r>
        <w:t>cia de la miel de Apis mellifera, que</w:t>
      </w:r>
      <w:r>
        <w:rPr>
          <w:spacing w:val="40"/>
        </w:rPr>
        <w:t xml:space="preserve"> </w:t>
      </w:r>
      <w:r>
        <w:t>presenta más de 90% de la producción nacional, la miel melipona constituye solo una fracción marginal del mercado apícola. Cada colmena</w:t>
      </w:r>
      <w:r>
        <w:rPr>
          <w:spacing w:val="-3"/>
        </w:rPr>
        <w:t xml:space="preserve"> </w:t>
      </w:r>
      <w:r>
        <w:t>produce</w:t>
      </w:r>
      <w:r>
        <w:rPr>
          <w:spacing w:val="-3"/>
        </w:rPr>
        <w:t xml:space="preserve"> </w:t>
      </w:r>
      <w:r>
        <w:t>entre</w:t>
      </w:r>
      <w:r>
        <w:rPr>
          <w:spacing w:val="-3"/>
        </w:rPr>
        <w:t xml:space="preserve"> </w:t>
      </w:r>
      <w:r>
        <w:t>0.5</w:t>
      </w:r>
      <w:r>
        <w:rPr>
          <w:spacing w:val="-3"/>
        </w:rPr>
        <w:t xml:space="preserve"> </w:t>
      </w:r>
      <w:r>
        <w:t>y</w:t>
      </w:r>
      <w:r>
        <w:rPr>
          <w:spacing w:val="-3"/>
        </w:rPr>
        <w:t xml:space="preserve"> </w:t>
      </w:r>
      <w:r>
        <w:t>2</w:t>
      </w:r>
      <w:r>
        <w:rPr>
          <w:spacing w:val="-3"/>
        </w:rPr>
        <w:t xml:space="preserve"> </w:t>
      </w:r>
      <w:r>
        <w:t>litros</w:t>
      </w:r>
      <w:r>
        <w:rPr>
          <w:spacing w:val="-3"/>
        </w:rPr>
        <w:t xml:space="preserve"> </w:t>
      </w:r>
      <w:r>
        <w:t>de miel al año, frente a los 20 a 30 litros de una co</w:t>
      </w:r>
      <w:r>
        <w:t>lmena convencional (García-Galindo, Díaz-Díaz &amp; Jiménez, 2023). Esta baja productividad limita la disponibilidad, pero</w:t>
      </w:r>
      <w:r>
        <w:rPr>
          <w:spacing w:val="-3"/>
        </w:rPr>
        <w:t xml:space="preserve"> </w:t>
      </w:r>
      <w:r>
        <w:t>otorga al producto un carácter de bien exclusivo con alto potencial de premiumización.</w:t>
      </w:r>
    </w:p>
    <w:p w:rsidR="009B4BB4" w:rsidRDefault="00C44001">
      <w:pPr>
        <w:pStyle w:val="Textoindependiente"/>
        <w:spacing w:line="360" w:lineRule="auto"/>
        <w:ind w:left="425" w:right="603" w:firstLine="720"/>
        <w:jc w:val="both"/>
      </w:pPr>
      <w:r>
        <w:t>La producción es artesanal, basada en técnicas tra</w:t>
      </w:r>
      <w:r>
        <w:t>nsmitidas por generaciones y sin procesos estandarizados de extracción, envasado</w:t>
      </w:r>
      <w:r>
        <w:rPr>
          <w:spacing w:val="-3"/>
        </w:rPr>
        <w:t xml:space="preserve"> </w:t>
      </w:r>
      <w:r>
        <w:t>o</w:t>
      </w:r>
      <w:r>
        <w:rPr>
          <w:spacing w:val="-3"/>
        </w:rPr>
        <w:t xml:space="preserve"> </w:t>
      </w:r>
      <w:r>
        <w:t>control</w:t>
      </w:r>
      <w:r>
        <w:rPr>
          <w:spacing w:val="-3"/>
        </w:rPr>
        <w:t xml:space="preserve"> </w:t>
      </w:r>
      <w:r>
        <w:t>de</w:t>
      </w:r>
      <w:r>
        <w:rPr>
          <w:spacing w:val="-3"/>
        </w:rPr>
        <w:t xml:space="preserve"> </w:t>
      </w:r>
      <w:r>
        <w:t>calidad.</w:t>
      </w:r>
      <w:r>
        <w:rPr>
          <w:spacing w:val="-3"/>
        </w:rPr>
        <w:t xml:space="preserve"> </w:t>
      </w:r>
      <w:r>
        <w:t>Gran</w:t>
      </w:r>
      <w:r>
        <w:rPr>
          <w:spacing w:val="-3"/>
        </w:rPr>
        <w:t xml:space="preserve"> </w:t>
      </w:r>
      <w:r>
        <w:t>parte</w:t>
      </w:r>
      <w:r>
        <w:rPr>
          <w:spacing w:val="-3"/>
        </w:rPr>
        <w:t xml:space="preserve"> </w:t>
      </w:r>
      <w:r>
        <w:t>de la miel que llega a mercados locales se comercializa sin diferenciación formal (Fairtrade Foundation, 2023). Eso limita el acceso a canales</w:t>
      </w:r>
      <w:r>
        <w:t xml:space="preserve"> de mayor valor, aunque refuerza la percepción de autenticidad y vínculo cultural que</w:t>
      </w:r>
      <w:r>
        <w:rPr>
          <w:spacing w:val="-3"/>
        </w:rPr>
        <w:t xml:space="preserve"> </w:t>
      </w:r>
      <w:r>
        <w:t>ninguna</w:t>
      </w:r>
      <w:r>
        <w:rPr>
          <w:spacing w:val="-3"/>
        </w:rPr>
        <w:t xml:space="preserve"> </w:t>
      </w:r>
      <w:r>
        <w:t>marca</w:t>
      </w:r>
      <w:r>
        <w:rPr>
          <w:spacing w:val="-3"/>
        </w:rPr>
        <w:t xml:space="preserve"> </w:t>
      </w:r>
      <w:r>
        <w:t>industrial</w:t>
      </w:r>
      <w:r>
        <w:rPr>
          <w:spacing w:val="-3"/>
        </w:rPr>
        <w:t xml:space="preserve"> </w:t>
      </w:r>
      <w:r>
        <w:t>puede</w:t>
      </w:r>
      <w:r>
        <w:rPr>
          <w:spacing w:val="-3"/>
        </w:rPr>
        <w:t xml:space="preserve"> </w:t>
      </w:r>
      <w:r>
        <w:t xml:space="preserve">replicar </w:t>
      </w:r>
      <w:r>
        <w:rPr>
          <w:spacing w:val="-2"/>
        </w:rPr>
        <w:t>fácilmente.</w:t>
      </w:r>
    </w:p>
    <w:p w:rsidR="009B4BB4" w:rsidRDefault="00C44001">
      <w:pPr>
        <w:pStyle w:val="Textoindependiente"/>
        <w:spacing w:line="360" w:lineRule="auto"/>
        <w:ind w:left="425" w:right="610" w:firstLine="720"/>
        <w:jc w:val="both"/>
      </w:pPr>
      <w:r>
        <w:t>La miel melipona es ampliamente valorada como un bien medicinal y cultural. Productores y consumidores destacan sus propiedades antibacterianas y cicatrizantes, así como su estrecha relación con el patrimonio maya (GIZ, 2023). Este carácter simbólico const</w:t>
      </w:r>
      <w:r>
        <w:t xml:space="preserve">ituye un activo estratégico para diferenciar la oferta frente a las mieles </w:t>
      </w:r>
      <w:r>
        <w:rPr>
          <w:rFonts w:ascii="Arial" w:hAnsi="Arial"/>
          <w:i/>
          <w:spacing w:val="-2"/>
        </w:rPr>
        <w:t>premium</w:t>
      </w:r>
      <w:r>
        <w:rPr>
          <w:spacing w:val="-2"/>
        </w:rPr>
        <w:t>.</w:t>
      </w:r>
    </w:p>
    <w:p w:rsidR="009B4BB4" w:rsidRDefault="00C44001">
      <w:pPr>
        <w:pStyle w:val="Textoindependiente"/>
        <w:spacing w:line="360" w:lineRule="auto"/>
        <w:ind w:left="425" w:right="606" w:firstLine="720"/>
        <w:jc w:val="both"/>
      </w:pPr>
      <w:r>
        <w:t>Uno de los principales desafíos es la falta de autenticidad certificada. Existen casos documentados de venta de miel adulterada o de miel de Apis mellifera comercializada c</w:t>
      </w:r>
      <w:r>
        <w:t>omo melipona, lo que afecta la confianza del consumidor y debilita la sostenibilidad de la cadena de valor</w:t>
      </w:r>
      <w:r>
        <w:rPr>
          <w:spacing w:val="80"/>
        </w:rPr>
        <w:t xml:space="preserve"> </w:t>
      </w:r>
      <w:r>
        <w:t>(GIZ, 2023).</w:t>
      </w:r>
      <w:r>
        <w:rPr>
          <w:spacing w:val="-3"/>
        </w:rPr>
        <w:t xml:space="preserve"> </w:t>
      </w:r>
      <w:r>
        <w:t>La</w:t>
      </w:r>
      <w:r>
        <w:rPr>
          <w:spacing w:val="-3"/>
        </w:rPr>
        <w:t xml:space="preserve"> </w:t>
      </w:r>
      <w:r>
        <w:t>ausencia</w:t>
      </w:r>
      <w:r>
        <w:rPr>
          <w:spacing w:val="-3"/>
        </w:rPr>
        <w:t xml:space="preserve"> </w:t>
      </w:r>
      <w:r>
        <w:t>de</w:t>
      </w:r>
      <w:r>
        <w:rPr>
          <w:spacing w:val="-3"/>
        </w:rPr>
        <w:t xml:space="preserve"> </w:t>
      </w:r>
      <w:r>
        <w:t>un</w:t>
      </w:r>
      <w:r>
        <w:rPr>
          <w:spacing w:val="-3"/>
        </w:rPr>
        <w:t xml:space="preserve"> </w:t>
      </w:r>
      <w:r>
        <w:t>sello</w:t>
      </w:r>
      <w:r>
        <w:rPr>
          <w:spacing w:val="-3"/>
        </w:rPr>
        <w:t xml:space="preserve"> </w:t>
      </w:r>
      <w:r>
        <w:t>de</w:t>
      </w:r>
      <w:r>
        <w:rPr>
          <w:spacing w:val="-3"/>
        </w:rPr>
        <w:t xml:space="preserve"> </w:t>
      </w:r>
      <w:r>
        <w:t>origen</w:t>
      </w:r>
      <w:r>
        <w:rPr>
          <w:spacing w:val="-3"/>
        </w:rPr>
        <w:t xml:space="preserve"> </w:t>
      </w:r>
      <w:r>
        <w:t>o</w:t>
      </w:r>
      <w:r>
        <w:rPr>
          <w:spacing w:val="-3"/>
        </w:rPr>
        <w:t xml:space="preserve"> </w:t>
      </w:r>
      <w:r>
        <w:t>de un esquema formal de trazabilidad representa una debilidad crítica.</w:t>
      </w:r>
    </w:p>
    <w:p w:rsidR="009B4BB4" w:rsidRDefault="00C44001">
      <w:pPr>
        <w:pStyle w:val="Textoindependiente"/>
        <w:spacing w:line="360" w:lineRule="auto"/>
        <w:ind w:left="425" w:right="607" w:firstLine="720"/>
        <w:jc w:val="both"/>
      </w:pPr>
      <w:r>
        <w:t>En términos económicos, la es</w:t>
      </w:r>
      <w:r>
        <w:t>tructura actual de precios revela una asimetría significativa</w:t>
      </w:r>
      <w:r>
        <w:rPr>
          <w:spacing w:val="-4"/>
        </w:rPr>
        <w:t xml:space="preserve"> </w:t>
      </w:r>
      <w:r>
        <w:t>en</w:t>
      </w:r>
      <w:r>
        <w:rPr>
          <w:spacing w:val="-4"/>
        </w:rPr>
        <w:t xml:space="preserve"> </w:t>
      </w:r>
      <w:r>
        <w:t>la</w:t>
      </w:r>
      <w:r>
        <w:rPr>
          <w:spacing w:val="-4"/>
        </w:rPr>
        <w:t xml:space="preserve"> </w:t>
      </w:r>
      <w:r>
        <w:t>cadena</w:t>
      </w:r>
      <w:r>
        <w:rPr>
          <w:spacing w:val="-4"/>
        </w:rPr>
        <w:t xml:space="preserve"> </w:t>
      </w:r>
      <w:r>
        <w:t>de</w:t>
      </w:r>
      <w:r>
        <w:rPr>
          <w:spacing w:val="-4"/>
        </w:rPr>
        <w:t xml:space="preserve"> </w:t>
      </w:r>
      <w:r>
        <w:t>valor.</w:t>
      </w:r>
      <w:r>
        <w:rPr>
          <w:spacing w:val="-4"/>
        </w:rPr>
        <w:t xml:space="preserve"> </w:t>
      </w:r>
      <w:r>
        <w:t>Un</w:t>
      </w:r>
      <w:r>
        <w:rPr>
          <w:spacing w:val="-4"/>
        </w:rPr>
        <w:t xml:space="preserve"> </w:t>
      </w:r>
      <w:r>
        <w:t>levantamiento</w:t>
      </w:r>
      <w:r>
        <w:rPr>
          <w:spacing w:val="-4"/>
        </w:rPr>
        <w:t xml:space="preserve"> </w:t>
      </w:r>
      <w:r>
        <w:t>de</w:t>
      </w:r>
      <w:r>
        <w:rPr>
          <w:spacing w:val="-4"/>
        </w:rPr>
        <w:t xml:space="preserve"> </w:t>
      </w:r>
      <w:r>
        <w:t>precios</w:t>
      </w:r>
      <w:r>
        <w:rPr>
          <w:spacing w:val="-4"/>
        </w:rPr>
        <w:t xml:space="preserve"> </w:t>
      </w:r>
      <w:r>
        <w:t>de</w:t>
      </w:r>
      <w:r>
        <w:rPr>
          <w:spacing w:val="-4"/>
        </w:rPr>
        <w:t xml:space="preserve"> </w:t>
      </w:r>
      <w:r>
        <w:t>mercado</w:t>
      </w:r>
      <w:r>
        <w:rPr>
          <w:spacing w:val="-4"/>
        </w:rPr>
        <w:t xml:space="preserve"> </w:t>
      </w:r>
      <w:r>
        <w:t>(2025)</w:t>
      </w:r>
      <w:r>
        <w:rPr>
          <w:spacing w:val="-4"/>
        </w:rPr>
        <w:t xml:space="preserve"> </w:t>
      </w:r>
      <w:r>
        <w:t>indica que, en canales de venta directa en Yucatán, el litro de miel melipona oscila</w:t>
      </w:r>
      <w:r>
        <w:rPr>
          <w:spacing w:val="-3"/>
        </w:rPr>
        <w:t xml:space="preserve"> </w:t>
      </w:r>
      <w:r>
        <w:t>entre</w:t>
      </w:r>
      <w:r>
        <w:rPr>
          <w:spacing w:val="-3"/>
        </w:rPr>
        <w:t xml:space="preserve"> </w:t>
      </w:r>
      <w:r>
        <w:t>$55</w:t>
      </w:r>
      <w:r>
        <w:rPr>
          <w:spacing w:val="-3"/>
        </w:rPr>
        <w:t xml:space="preserve"> </w:t>
      </w:r>
      <w:r>
        <w:t>y</w:t>
      </w:r>
    </w:p>
    <w:p w:rsidR="009B4BB4" w:rsidRDefault="00C44001">
      <w:pPr>
        <w:pStyle w:val="Textoindependiente"/>
        <w:spacing w:before="0" w:line="360" w:lineRule="auto"/>
        <w:ind w:left="425" w:right="609"/>
        <w:jc w:val="both"/>
      </w:pPr>
      <w:r>
        <w:t>$75 USD, mientras que en nichos especializados de exportación y boutiques de lujo alcanzan valoraciones superiores a $125 USD.</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2" w:firstLine="720"/>
        <w:jc w:val="both"/>
      </w:pPr>
      <w:r>
        <w:lastRenderedPageBreak/>
        <w:t xml:space="preserve">Esta brecha se acentúa en formatos retail, si bien el precio promedio en plataformas generalistas para frascos </w:t>
      </w:r>
      <w:r>
        <w:t>de 100 g ronda los $10 a $15 USD, marcas posicionadas en el segmento de lujo (Coqui Coqui, Miel Nativa) validan precios de mercado de entre $27 y $30 USD por formatos similares (90 - 100 g)</w:t>
      </w:r>
      <w:r>
        <w:rPr>
          <w:spacing w:val="-3"/>
        </w:rPr>
        <w:t xml:space="preserve"> </w:t>
      </w:r>
      <w:r>
        <w:t>Esta</w:t>
      </w:r>
      <w:r>
        <w:rPr>
          <w:spacing w:val="-3"/>
        </w:rPr>
        <w:t xml:space="preserve"> </w:t>
      </w:r>
      <w:r>
        <w:t>diferencia</w:t>
      </w:r>
      <w:r>
        <w:rPr>
          <w:spacing w:val="-3"/>
        </w:rPr>
        <w:t xml:space="preserve"> </w:t>
      </w:r>
      <w:r>
        <w:t>del 100-150% entre el precio commodity y el precio</w:t>
      </w:r>
      <w:r>
        <w:t xml:space="preserve"> </w:t>
      </w:r>
      <w:r>
        <w:rPr>
          <w:rFonts w:ascii="Arial" w:hAnsi="Arial"/>
          <w:i/>
        </w:rPr>
        <w:t xml:space="preserve">premium </w:t>
      </w:r>
      <w:r>
        <w:t>confirma la oportunidad para Guardiana de capturar valor mediante trazabilidad y narrativa, tal como sugieren las tendencias globales de premiumización ética (Euromonitor, 2024).</w:t>
      </w:r>
    </w:p>
    <w:p w:rsidR="009B4BB4" w:rsidRDefault="00C44001">
      <w:pPr>
        <w:pStyle w:val="Ttulo1"/>
        <w:spacing w:before="240"/>
        <w:ind w:left="425"/>
      </w:pPr>
      <w:r>
        <w:t>Figura</w:t>
      </w:r>
      <w:r>
        <w:rPr>
          <w:spacing w:val="-6"/>
        </w:rPr>
        <w:t xml:space="preserve"> </w:t>
      </w:r>
      <w:r>
        <w:rPr>
          <w:spacing w:val="-5"/>
        </w:rPr>
        <w:t>2.2</w:t>
      </w:r>
    </w:p>
    <w:p w:rsidR="009B4BB4" w:rsidRDefault="00C44001">
      <w:pPr>
        <w:spacing w:before="127"/>
        <w:ind w:left="425"/>
        <w:rPr>
          <w:rFonts w:ascii="Arial" w:hAnsi="Arial"/>
          <w:i/>
        </w:rPr>
      </w:pPr>
      <w:r>
        <w:rPr>
          <w:rFonts w:ascii="Arial" w:hAnsi="Arial"/>
          <w:i/>
        </w:rPr>
        <w:t>Panorama</w:t>
      </w:r>
      <w:r>
        <w:rPr>
          <w:rFonts w:ascii="Arial" w:hAnsi="Arial"/>
          <w:i/>
          <w:spacing w:val="-6"/>
        </w:rPr>
        <w:t xml:space="preserve"> </w:t>
      </w:r>
      <w:r>
        <w:rPr>
          <w:rFonts w:ascii="Arial" w:hAnsi="Arial"/>
          <w:i/>
        </w:rPr>
        <w:t>competitivo</w:t>
      </w:r>
      <w:r>
        <w:rPr>
          <w:rFonts w:ascii="Arial" w:hAnsi="Arial"/>
          <w:i/>
          <w:spacing w:val="-6"/>
        </w:rPr>
        <w:t xml:space="preserve"> </w:t>
      </w:r>
      <w:r>
        <w:rPr>
          <w:rFonts w:ascii="Arial" w:hAnsi="Arial"/>
          <w:i/>
        </w:rPr>
        <w:t>del</w:t>
      </w:r>
      <w:r>
        <w:rPr>
          <w:rFonts w:ascii="Arial" w:hAnsi="Arial"/>
          <w:i/>
          <w:spacing w:val="-6"/>
        </w:rPr>
        <w:t xml:space="preserve"> </w:t>
      </w:r>
      <w:r>
        <w:rPr>
          <w:rFonts w:ascii="Arial" w:hAnsi="Arial"/>
          <w:i/>
        </w:rPr>
        <w:t>mercado</w:t>
      </w:r>
      <w:r>
        <w:rPr>
          <w:rFonts w:ascii="Arial" w:hAnsi="Arial"/>
          <w:i/>
          <w:spacing w:val="-6"/>
        </w:rPr>
        <w:t xml:space="preserve"> </w:t>
      </w:r>
      <w:r>
        <w:rPr>
          <w:rFonts w:ascii="Arial" w:hAnsi="Arial"/>
          <w:i/>
        </w:rPr>
        <w:t>digital</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miel</w:t>
      </w:r>
      <w:r>
        <w:rPr>
          <w:rFonts w:ascii="Arial" w:hAnsi="Arial"/>
          <w:i/>
          <w:spacing w:val="-6"/>
        </w:rPr>
        <w:t xml:space="preserve"> </w:t>
      </w:r>
      <w:r>
        <w:rPr>
          <w:rFonts w:ascii="Arial" w:hAnsi="Arial"/>
          <w:i/>
        </w:rPr>
        <w:t>melipona</w:t>
      </w:r>
      <w:r>
        <w:rPr>
          <w:rFonts w:ascii="Arial" w:hAnsi="Arial"/>
          <w:i/>
          <w:spacing w:val="-6"/>
        </w:rPr>
        <w:t xml:space="preserve"> </w:t>
      </w:r>
      <w:r>
        <w:rPr>
          <w:rFonts w:ascii="Arial" w:hAnsi="Arial"/>
          <w:i/>
        </w:rPr>
        <w:t>en</w:t>
      </w:r>
      <w:r>
        <w:rPr>
          <w:rFonts w:ascii="Arial" w:hAnsi="Arial"/>
          <w:i/>
          <w:spacing w:val="-5"/>
        </w:rPr>
        <w:t xml:space="preserve"> </w:t>
      </w:r>
      <w:r>
        <w:rPr>
          <w:rFonts w:ascii="Arial" w:hAnsi="Arial"/>
          <w:i/>
          <w:spacing w:val="-2"/>
        </w:rPr>
        <w:t>México</w:t>
      </w:r>
    </w:p>
    <w:p w:rsidR="009B4BB4" w:rsidRDefault="00C44001">
      <w:pPr>
        <w:pStyle w:val="Textoindependiente"/>
        <w:spacing w:before="142"/>
        <w:rPr>
          <w:rFonts w:ascii="Arial"/>
          <w:i/>
          <w:sz w:val="20"/>
        </w:rPr>
      </w:pPr>
      <w:r>
        <w:rPr>
          <w:rFonts w:ascii="Arial"/>
          <w:i/>
          <w:noProof/>
          <w:sz w:val="20"/>
          <w:lang w:val="es-AR" w:eastAsia="es-AR"/>
        </w:rPr>
        <w:drawing>
          <wp:anchor distT="0" distB="0" distL="0" distR="0" simplePos="0" relativeHeight="487589376" behindDoc="1" locked="0" layoutInCell="1" allowOverlap="1">
            <wp:simplePos x="0" y="0"/>
            <wp:positionH relativeFrom="page">
              <wp:posOffset>1438687</wp:posOffset>
            </wp:positionH>
            <wp:positionV relativeFrom="paragraph">
              <wp:posOffset>251749</wp:posOffset>
            </wp:positionV>
            <wp:extent cx="4783582" cy="3633025"/>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4783582" cy="3633025"/>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35"/>
        <w:rPr>
          <w:rFonts w:ascii="Arial"/>
          <w:i/>
        </w:rPr>
      </w:pPr>
    </w:p>
    <w:p w:rsidR="009B4BB4" w:rsidRDefault="00C44001">
      <w:pPr>
        <w:pStyle w:val="Textoindependiente"/>
        <w:spacing w:before="1" w:line="360" w:lineRule="auto"/>
        <w:ind w:left="425" w:right="605"/>
        <w:jc w:val="both"/>
      </w:pPr>
      <w:r>
        <w:rPr>
          <w:rFonts w:ascii="Arial" w:hAnsi="Arial"/>
          <w:i/>
        </w:rPr>
        <w:t>Nota. C</w:t>
      </w:r>
      <w:r>
        <w:t>aptura de pantalla del motor de búsqueda Google Shopping (agosto 2025) que evidencia</w:t>
      </w:r>
      <w:r>
        <w:rPr>
          <w:spacing w:val="-4"/>
        </w:rPr>
        <w:t xml:space="preserve"> </w:t>
      </w:r>
      <w:r>
        <w:t>la</w:t>
      </w:r>
      <w:r>
        <w:rPr>
          <w:spacing w:val="-4"/>
        </w:rPr>
        <w:t xml:space="preserve"> </w:t>
      </w:r>
      <w:r>
        <w:t>dispersión</w:t>
      </w:r>
      <w:r>
        <w:rPr>
          <w:spacing w:val="-4"/>
        </w:rPr>
        <w:t xml:space="preserve"> </w:t>
      </w:r>
      <w:r>
        <w:t>de</w:t>
      </w:r>
      <w:r>
        <w:rPr>
          <w:spacing w:val="-4"/>
        </w:rPr>
        <w:t xml:space="preserve"> </w:t>
      </w:r>
      <w:r>
        <w:t>precios</w:t>
      </w:r>
      <w:r>
        <w:rPr>
          <w:spacing w:val="-4"/>
        </w:rPr>
        <w:t xml:space="preserve"> </w:t>
      </w:r>
      <w:r>
        <w:t>en</w:t>
      </w:r>
      <w:r>
        <w:rPr>
          <w:spacing w:val="-4"/>
        </w:rPr>
        <w:t xml:space="preserve"> </w:t>
      </w:r>
      <w:r>
        <w:t>el</w:t>
      </w:r>
      <w:r>
        <w:rPr>
          <w:spacing w:val="-4"/>
        </w:rPr>
        <w:t xml:space="preserve"> </w:t>
      </w:r>
      <w:r>
        <w:t>mercado</w:t>
      </w:r>
      <w:r>
        <w:rPr>
          <w:spacing w:val="-4"/>
        </w:rPr>
        <w:t xml:space="preserve"> </w:t>
      </w:r>
      <w:r>
        <w:t>digital</w:t>
      </w:r>
      <w:r>
        <w:rPr>
          <w:spacing w:val="-4"/>
        </w:rPr>
        <w:t xml:space="preserve"> </w:t>
      </w:r>
      <w:r>
        <w:t>de</w:t>
      </w:r>
      <w:r>
        <w:rPr>
          <w:spacing w:val="-4"/>
        </w:rPr>
        <w:t xml:space="preserve"> </w:t>
      </w:r>
      <w:r>
        <w:t>miel</w:t>
      </w:r>
      <w:r>
        <w:rPr>
          <w:spacing w:val="-4"/>
        </w:rPr>
        <w:t xml:space="preserve"> </w:t>
      </w:r>
      <w:r>
        <w:t>melipona</w:t>
      </w:r>
      <w:r>
        <w:rPr>
          <w:spacing w:val="-4"/>
        </w:rPr>
        <w:t xml:space="preserve"> </w:t>
      </w:r>
      <w:r>
        <w:t>en</w:t>
      </w:r>
      <w:r>
        <w:rPr>
          <w:spacing w:val="-4"/>
        </w:rPr>
        <w:t xml:space="preserve"> </w:t>
      </w:r>
      <w:r>
        <w:t>México.</w:t>
      </w:r>
      <w:r>
        <w:rPr>
          <w:spacing w:val="-4"/>
        </w:rPr>
        <w:t xml:space="preserve"> </w:t>
      </w:r>
      <w:r>
        <w:t>Para productos en formato comparable de 100g, los rangos oscilan entre MXN</w:t>
      </w:r>
      <w:r>
        <w:t xml:space="preserve"> $200 (Superalimento, sin diferenciación de marca) y MXN $1,950 (YucaBee, posicionamiento </w:t>
      </w:r>
      <w:r>
        <w:rPr>
          <w:rFonts w:ascii="Arial" w:hAnsi="Arial"/>
          <w:i/>
        </w:rPr>
        <w:t xml:space="preserve">premium </w:t>
      </w:r>
      <w:r>
        <w:t>consolidado), con un punto intermedio de MXN $303 en marcas con identidad regional como Ceimayá. El precio objetivo de Guardiana de MXN $500-700 por 100g se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12"/>
        <w:jc w:val="both"/>
      </w:pPr>
      <w:proofErr w:type="gramStart"/>
      <w:r>
        <w:lastRenderedPageBreak/>
        <w:t>posiciona</w:t>
      </w:r>
      <w:proofErr w:type="gramEnd"/>
      <w:r>
        <w:t xml:space="preserve"> deliberadamente por encima del segmento sin diferenciación y por debajo del techo de mercado, validando su estrategia de </w:t>
      </w:r>
      <w:r>
        <w:rPr>
          <w:rFonts w:ascii="Arial" w:hAnsi="Arial"/>
          <w:i/>
        </w:rPr>
        <w:t xml:space="preserve">premium </w:t>
      </w:r>
      <w:r>
        <w:t>accesible con narrativa biocultural. Fuente: Google Shopping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1"/>
      </w:pPr>
    </w:p>
    <w:p w:rsidR="009B4BB4" w:rsidRDefault="00C44001">
      <w:pPr>
        <w:pStyle w:val="Textoindependiente"/>
        <w:spacing w:before="0" w:line="360" w:lineRule="auto"/>
        <w:ind w:left="425" w:right="608" w:firstLine="720"/>
        <w:jc w:val="both"/>
      </w:pPr>
      <w:r>
        <w:t xml:space="preserve">Esta ineficiencia en la captura de valor dentro de la cadena de comercialización válida la hipótesis central del modelo Guardiana, basada en la transformación de un producto subvalorado en un bien </w:t>
      </w:r>
      <w:r>
        <w:rPr>
          <w:rFonts w:ascii="Arial" w:hAnsi="Arial"/>
          <w:i/>
        </w:rPr>
        <w:t xml:space="preserve">premium </w:t>
      </w:r>
      <w:r>
        <w:t>mediante trazabilidad, diferenciación y narrativa d</w:t>
      </w:r>
      <w:r>
        <w:t>e origen. La oportunidad no radica en incrementar el volumen de producción, sino en profesionalizar la comercialización y capturar el valor que actualmente se pierde en esquemas tradicionales.</w:t>
      </w:r>
    </w:p>
    <w:p w:rsidR="009B4BB4" w:rsidRDefault="00C44001">
      <w:pPr>
        <w:pStyle w:val="Ttulo1"/>
        <w:spacing w:before="240"/>
        <w:jc w:val="both"/>
      </w:pPr>
      <w:r>
        <w:t>Figura</w:t>
      </w:r>
      <w:r>
        <w:rPr>
          <w:spacing w:val="-6"/>
        </w:rPr>
        <w:t xml:space="preserve"> </w:t>
      </w:r>
      <w:r>
        <w:rPr>
          <w:spacing w:val="-5"/>
        </w:rPr>
        <w:t>2.3</w:t>
      </w:r>
    </w:p>
    <w:p w:rsidR="009B4BB4" w:rsidRDefault="00C44001">
      <w:pPr>
        <w:spacing w:before="126"/>
        <w:ind w:left="455"/>
        <w:jc w:val="both"/>
        <w:rPr>
          <w:rFonts w:ascii="Arial" w:hAnsi="Arial"/>
          <w:i/>
        </w:rPr>
      </w:pPr>
      <w:r>
        <w:rPr>
          <w:rFonts w:ascii="Arial" w:hAnsi="Arial"/>
          <w:i/>
        </w:rPr>
        <w:t>Disparidad</w:t>
      </w:r>
      <w:r>
        <w:rPr>
          <w:rFonts w:ascii="Arial" w:hAnsi="Arial"/>
          <w:i/>
          <w:spacing w:val="-7"/>
        </w:rPr>
        <w:t xml:space="preserve"> </w:t>
      </w:r>
      <w:r>
        <w:rPr>
          <w:rFonts w:ascii="Arial" w:hAnsi="Arial"/>
          <w:i/>
        </w:rPr>
        <w:t>de</w:t>
      </w:r>
      <w:r>
        <w:rPr>
          <w:rFonts w:ascii="Arial" w:hAnsi="Arial"/>
          <w:i/>
          <w:spacing w:val="-5"/>
        </w:rPr>
        <w:t xml:space="preserve"> </w:t>
      </w:r>
      <w:r>
        <w:rPr>
          <w:rFonts w:ascii="Arial" w:hAnsi="Arial"/>
          <w:i/>
        </w:rPr>
        <w:t>precios</w:t>
      </w:r>
      <w:r>
        <w:rPr>
          <w:rFonts w:ascii="Arial" w:hAnsi="Arial"/>
          <w:i/>
          <w:spacing w:val="-5"/>
        </w:rPr>
        <w:t xml:space="preserve"> </w:t>
      </w:r>
      <w:r>
        <w:rPr>
          <w:rFonts w:ascii="Arial" w:hAnsi="Arial"/>
          <w:i/>
        </w:rPr>
        <w:t>y</w:t>
      </w:r>
      <w:r>
        <w:rPr>
          <w:rFonts w:ascii="Arial" w:hAnsi="Arial"/>
          <w:i/>
          <w:spacing w:val="-5"/>
        </w:rPr>
        <w:t xml:space="preserve"> </w:t>
      </w:r>
      <w:r>
        <w:rPr>
          <w:rFonts w:ascii="Arial" w:hAnsi="Arial"/>
          <w:i/>
        </w:rPr>
        <w:t>oportunidad</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captura</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valor</w:t>
      </w:r>
      <w:r>
        <w:rPr>
          <w:rFonts w:ascii="Arial" w:hAnsi="Arial"/>
          <w:i/>
          <w:spacing w:val="-5"/>
        </w:rPr>
        <w:t xml:space="preserve"> </w:t>
      </w:r>
      <w:r>
        <w:rPr>
          <w:rFonts w:ascii="Arial" w:hAnsi="Arial"/>
          <w:i/>
        </w:rPr>
        <w:t>en</w:t>
      </w:r>
      <w:r>
        <w:rPr>
          <w:rFonts w:ascii="Arial" w:hAnsi="Arial"/>
          <w:i/>
          <w:spacing w:val="-5"/>
        </w:rPr>
        <w:t xml:space="preserve"> </w:t>
      </w:r>
      <w:r>
        <w:rPr>
          <w:rFonts w:ascii="Arial" w:hAnsi="Arial"/>
          <w:i/>
        </w:rPr>
        <w:t>dólares</w:t>
      </w:r>
      <w:r>
        <w:rPr>
          <w:rFonts w:ascii="Arial" w:hAnsi="Arial"/>
          <w:i/>
          <w:spacing w:val="-5"/>
        </w:rPr>
        <w:t xml:space="preserve"> </w:t>
      </w:r>
      <w:r>
        <w:rPr>
          <w:rFonts w:ascii="Arial" w:hAnsi="Arial"/>
          <w:i/>
        </w:rPr>
        <w:t>por</w:t>
      </w:r>
      <w:r>
        <w:rPr>
          <w:rFonts w:ascii="Arial" w:hAnsi="Arial"/>
          <w:i/>
          <w:spacing w:val="-4"/>
        </w:rPr>
        <w:t xml:space="preserve"> </w:t>
      </w:r>
      <w:r>
        <w:rPr>
          <w:rFonts w:ascii="Arial" w:hAnsi="Arial"/>
          <w:i/>
          <w:spacing w:val="-2"/>
        </w:rPr>
        <w:t>litro</w:t>
      </w:r>
    </w:p>
    <w:p w:rsidR="009B4BB4" w:rsidRDefault="009B4BB4">
      <w:pPr>
        <w:pStyle w:val="Textoindependiente"/>
        <w:spacing w:before="0"/>
        <w:rPr>
          <w:rFonts w:ascii="Arial"/>
          <w:i/>
          <w:sz w:val="20"/>
        </w:rPr>
      </w:pPr>
    </w:p>
    <w:p w:rsidR="009B4BB4" w:rsidRDefault="00C44001">
      <w:pPr>
        <w:pStyle w:val="Textoindependiente"/>
        <w:spacing w:before="183"/>
        <w:rPr>
          <w:rFonts w:ascii="Arial"/>
          <w:i/>
          <w:sz w:val="20"/>
        </w:rPr>
      </w:pPr>
      <w:r>
        <w:rPr>
          <w:rFonts w:ascii="Arial"/>
          <w:i/>
          <w:noProof/>
          <w:sz w:val="20"/>
          <w:lang w:val="es-AR" w:eastAsia="es-AR"/>
        </w:rPr>
        <w:drawing>
          <wp:anchor distT="0" distB="0" distL="0" distR="0" simplePos="0" relativeHeight="487589888" behindDoc="1" locked="0" layoutInCell="1" allowOverlap="1">
            <wp:simplePos x="0" y="0"/>
            <wp:positionH relativeFrom="page">
              <wp:posOffset>1529555</wp:posOffset>
            </wp:positionH>
            <wp:positionV relativeFrom="paragraph">
              <wp:posOffset>277600</wp:posOffset>
            </wp:positionV>
            <wp:extent cx="4709225" cy="275767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4709225" cy="2757678"/>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57"/>
        <w:rPr>
          <w:rFonts w:ascii="Arial"/>
          <w:i/>
        </w:rPr>
      </w:pPr>
    </w:p>
    <w:p w:rsidR="009B4BB4" w:rsidRDefault="00C44001">
      <w:pPr>
        <w:pStyle w:val="Textoindependiente"/>
        <w:spacing w:before="0" w:line="360" w:lineRule="auto"/>
        <w:ind w:left="425" w:right="604" w:firstLine="30"/>
        <w:jc w:val="both"/>
      </w:pPr>
      <w:r>
        <w:rPr>
          <w:rFonts w:ascii="Arial" w:hAnsi="Arial"/>
          <w:i/>
        </w:rPr>
        <w:t xml:space="preserve">Nota. </w:t>
      </w:r>
      <w:r>
        <w:t>Comparativa de precios entre el sector informal,</w:t>
      </w:r>
      <w:r>
        <w:rPr>
          <w:spacing w:val="-3"/>
        </w:rPr>
        <w:t xml:space="preserve"> </w:t>
      </w:r>
      <w:r>
        <w:t>retail</w:t>
      </w:r>
      <w:r>
        <w:rPr>
          <w:spacing w:val="-3"/>
        </w:rPr>
        <w:t xml:space="preserve"> </w:t>
      </w:r>
      <w:r>
        <w:t>estándar</w:t>
      </w:r>
      <w:r>
        <w:rPr>
          <w:spacing w:val="-3"/>
        </w:rPr>
        <w:t xml:space="preserve"> </w:t>
      </w:r>
      <w:r>
        <w:t>y</w:t>
      </w:r>
      <w:r>
        <w:rPr>
          <w:spacing w:val="-3"/>
        </w:rPr>
        <w:t xml:space="preserve"> </w:t>
      </w:r>
      <w:r>
        <w:t>boutiques</w:t>
      </w:r>
      <w:r>
        <w:rPr>
          <w:spacing w:val="-3"/>
        </w:rPr>
        <w:t xml:space="preserve"> </w:t>
      </w:r>
      <w:r>
        <w:t>de</w:t>
      </w:r>
      <w:r>
        <w:rPr>
          <w:spacing w:val="-3"/>
        </w:rPr>
        <w:t xml:space="preserve"> </w:t>
      </w:r>
      <w:r>
        <w:t>lujo frente a la propuesta de Guardiana. El gráfico evidencia que la comercialización tradicional desperdicia casi el 80% del valor poten</w:t>
      </w:r>
      <w:r>
        <w:t xml:space="preserve">cial del producto. Elaboración propia </w:t>
      </w:r>
      <w:r>
        <w:rPr>
          <w:spacing w:val="-2"/>
        </w:rPr>
        <w:t>(2025).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132"/>
      </w:pPr>
    </w:p>
    <w:p w:rsidR="009B4BB4" w:rsidRDefault="00C44001">
      <w:pPr>
        <w:pStyle w:val="Textoindependiente"/>
        <w:spacing w:before="0" w:line="360" w:lineRule="auto"/>
        <w:ind w:left="425" w:right="612" w:firstLine="720"/>
        <w:jc w:val="both"/>
      </w:pPr>
      <w:r>
        <w:t>El gráfico evidencia</w:t>
      </w:r>
      <w:r>
        <w:rPr>
          <w:spacing w:val="-5"/>
        </w:rPr>
        <w:t xml:space="preserve"> </w:t>
      </w:r>
      <w:r>
        <w:t>que</w:t>
      </w:r>
      <w:r>
        <w:rPr>
          <w:spacing w:val="-5"/>
        </w:rPr>
        <w:t xml:space="preserve"> </w:t>
      </w:r>
      <w:r>
        <w:t>la</w:t>
      </w:r>
      <w:r>
        <w:rPr>
          <w:spacing w:val="-5"/>
        </w:rPr>
        <w:t xml:space="preserve"> </w:t>
      </w:r>
      <w:r>
        <w:t>comercialización</w:t>
      </w:r>
      <w:r>
        <w:rPr>
          <w:spacing w:val="-5"/>
        </w:rPr>
        <w:t xml:space="preserve"> </w:t>
      </w:r>
      <w:r>
        <w:t>tradicional</w:t>
      </w:r>
      <w:r>
        <w:rPr>
          <w:spacing w:val="-5"/>
        </w:rPr>
        <w:t xml:space="preserve"> </w:t>
      </w:r>
      <w:r>
        <w:t>(granel)</w:t>
      </w:r>
      <w:r>
        <w:rPr>
          <w:spacing w:val="-5"/>
        </w:rPr>
        <w:t xml:space="preserve"> </w:t>
      </w:r>
      <w:r>
        <w:t>desperdicia</w:t>
      </w:r>
      <w:r>
        <w:rPr>
          <w:spacing w:val="-5"/>
        </w:rPr>
        <w:t xml:space="preserve"> </w:t>
      </w:r>
      <w:r>
        <w:t>casi</w:t>
      </w:r>
      <w:r>
        <w:rPr>
          <w:spacing w:val="-5"/>
        </w:rPr>
        <w:t xml:space="preserve"> </w:t>
      </w:r>
      <w:r>
        <w:t>el 80% del valor potencial del producto. La estrategia de Guardiana se centra en capturar este diferencial mediante branding y certificación.</w:t>
      </w:r>
    </w:p>
    <w:p w:rsidR="009B4BB4" w:rsidRDefault="00C44001" w:rsidP="00C44001">
      <w:pPr>
        <w:pStyle w:val="Ttulo2"/>
        <w:numPr>
          <w:ilvl w:val="2"/>
          <w:numId w:val="59"/>
        </w:numPr>
        <w:tabs>
          <w:tab w:val="left" w:pos="1465"/>
        </w:tabs>
        <w:ind w:left="1465" w:hanging="545"/>
      </w:pPr>
      <w:bookmarkStart w:id="71" w:name="2.4.3_Síntesis_sectorial_"/>
      <w:bookmarkStart w:id="72" w:name="h.mcghpdyt11fz"/>
      <w:bookmarkEnd w:id="71"/>
      <w:bookmarkEnd w:id="72"/>
      <w:r>
        <w:t>Síntesis</w:t>
      </w:r>
      <w:r>
        <w:rPr>
          <w:spacing w:val="-8"/>
        </w:rPr>
        <w:t xml:space="preserve"> </w:t>
      </w:r>
      <w:r>
        <w:rPr>
          <w:spacing w:val="-2"/>
        </w:rPr>
        <w:t>sectorial</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La oferta de miel melipona en México, aunque limitada y artesanal, representa</w:t>
      </w:r>
      <w:r>
        <w:rPr>
          <w:spacing w:val="40"/>
        </w:rPr>
        <w:t xml:space="preserve"> </w:t>
      </w:r>
      <w:r>
        <w:t>una oportunidad de</w:t>
      </w:r>
      <w:r>
        <w:rPr>
          <w:spacing w:val="-4"/>
        </w:rPr>
        <w:t xml:space="preserve"> </w:t>
      </w:r>
      <w:r>
        <w:t>alto</w:t>
      </w:r>
      <w:r>
        <w:rPr>
          <w:spacing w:val="-4"/>
        </w:rPr>
        <w:t xml:space="preserve"> </w:t>
      </w:r>
      <w:r>
        <w:t>valor</w:t>
      </w:r>
      <w:r>
        <w:rPr>
          <w:spacing w:val="-4"/>
        </w:rPr>
        <w:t xml:space="preserve"> </w:t>
      </w:r>
      <w:r>
        <w:t>estratégico</w:t>
      </w:r>
      <w:r>
        <w:rPr>
          <w:spacing w:val="-4"/>
        </w:rPr>
        <w:t xml:space="preserve"> </w:t>
      </w:r>
      <w:r>
        <w:t>para</w:t>
      </w:r>
      <w:r>
        <w:rPr>
          <w:spacing w:val="-4"/>
        </w:rPr>
        <w:t xml:space="preserve"> </w:t>
      </w:r>
      <w:r>
        <w:t>proyectos</w:t>
      </w:r>
      <w:r>
        <w:rPr>
          <w:spacing w:val="-4"/>
        </w:rPr>
        <w:t xml:space="preserve"> </w:t>
      </w:r>
      <w:r>
        <w:t>que</w:t>
      </w:r>
      <w:r>
        <w:rPr>
          <w:spacing w:val="-4"/>
        </w:rPr>
        <w:t xml:space="preserve"> </w:t>
      </w:r>
      <w:r>
        <w:t>apuesten</w:t>
      </w:r>
      <w:r>
        <w:rPr>
          <w:spacing w:val="-4"/>
        </w:rPr>
        <w:t xml:space="preserve"> </w:t>
      </w:r>
      <w:r>
        <w:t>por</w:t>
      </w:r>
      <w:r>
        <w:rPr>
          <w:spacing w:val="-4"/>
        </w:rPr>
        <w:t xml:space="preserve"> </w:t>
      </w:r>
      <w:r>
        <w:t>transparencia, trazabilidad y coherencia ética a lo largo de la</w:t>
      </w:r>
      <w:r>
        <w:rPr>
          <w:spacing w:val="-4"/>
        </w:rPr>
        <w:t xml:space="preserve"> </w:t>
      </w:r>
      <w:r>
        <w:t>cadena</w:t>
      </w:r>
      <w:r>
        <w:rPr>
          <w:spacing w:val="-4"/>
        </w:rPr>
        <w:t xml:space="preserve"> </w:t>
      </w:r>
      <w:r>
        <w:t>de</w:t>
      </w:r>
      <w:r>
        <w:rPr>
          <w:spacing w:val="-4"/>
        </w:rPr>
        <w:t xml:space="preserve"> </w:t>
      </w:r>
      <w:r>
        <w:t>valor.</w:t>
      </w:r>
      <w:r>
        <w:rPr>
          <w:spacing w:val="-4"/>
        </w:rPr>
        <w:t xml:space="preserve"> </w:t>
      </w:r>
      <w:r>
        <w:t>Su</w:t>
      </w:r>
      <w:r>
        <w:rPr>
          <w:spacing w:val="-4"/>
        </w:rPr>
        <w:t xml:space="preserve"> </w:t>
      </w:r>
      <w:r>
        <w:t>escasez,</w:t>
      </w:r>
      <w:r>
        <w:rPr>
          <w:spacing w:val="-4"/>
        </w:rPr>
        <w:t xml:space="preserve"> </w:t>
      </w:r>
      <w:r>
        <w:t>autenticidad</w:t>
      </w:r>
      <w:r>
        <w:rPr>
          <w:spacing w:val="40"/>
        </w:rPr>
        <w:t xml:space="preserve"> </w:t>
      </w:r>
      <w:r>
        <w:t>y simbolismo cultural la convierten en un producto con gran capacidad de con</w:t>
      </w:r>
      <w:r>
        <w:t>exión emocional con el consumidor consciente</w:t>
      </w:r>
      <w:r>
        <w:rPr>
          <w:spacing w:val="-4"/>
        </w:rPr>
        <w:t xml:space="preserve"> </w:t>
      </w:r>
      <w:r>
        <w:t>y</w:t>
      </w:r>
      <w:r>
        <w:rPr>
          <w:spacing w:val="-4"/>
        </w:rPr>
        <w:t xml:space="preserve"> </w:t>
      </w:r>
      <w:r>
        <w:t>el</w:t>
      </w:r>
      <w:r>
        <w:rPr>
          <w:spacing w:val="-4"/>
        </w:rPr>
        <w:t xml:space="preserve"> </w:t>
      </w:r>
      <w:r>
        <w:t>visitante</w:t>
      </w:r>
      <w:r>
        <w:rPr>
          <w:spacing w:val="-4"/>
        </w:rPr>
        <w:t xml:space="preserve"> </w:t>
      </w:r>
      <w:r>
        <w:t>cultural,</w:t>
      </w:r>
      <w:r>
        <w:rPr>
          <w:spacing w:val="-4"/>
        </w:rPr>
        <w:t xml:space="preserve"> </w:t>
      </w:r>
      <w:r>
        <w:t>ambos</w:t>
      </w:r>
      <w:r>
        <w:rPr>
          <w:spacing w:val="-4"/>
        </w:rPr>
        <w:t xml:space="preserve"> </w:t>
      </w:r>
      <w:r>
        <w:t>dispuestos</w:t>
      </w:r>
      <w:r>
        <w:rPr>
          <w:spacing w:val="-4"/>
        </w:rPr>
        <w:t xml:space="preserve"> </w:t>
      </w:r>
      <w:r>
        <w:t>a</w:t>
      </w:r>
      <w:r>
        <w:rPr>
          <w:spacing w:val="-4"/>
        </w:rPr>
        <w:t xml:space="preserve"> </w:t>
      </w:r>
      <w:r>
        <w:t>pagar más por experiencias y productos que generen bienestar personal, impacto social y respeto por el entorno natural.</w:t>
      </w:r>
    </w:p>
    <w:p w:rsidR="009B4BB4" w:rsidRDefault="00C44001">
      <w:pPr>
        <w:pStyle w:val="Textoindependiente"/>
        <w:spacing w:line="360" w:lineRule="auto"/>
        <w:ind w:left="425" w:right="611" w:firstLine="720"/>
        <w:jc w:val="both"/>
      </w:pPr>
      <w:r>
        <w:t>Estas condiciones refuerzan la viabilidad de un</w:t>
      </w:r>
      <w:r>
        <w:t xml:space="preserve">a estrategia </w:t>
      </w:r>
      <w:r>
        <w:rPr>
          <w:rFonts w:ascii="Arial" w:hAnsi="Arial"/>
          <w:i/>
        </w:rPr>
        <w:t xml:space="preserve">premium </w:t>
      </w:r>
      <w:r>
        <w:t>basada en diferenciación, confianza y</w:t>
      </w:r>
      <w:r>
        <w:rPr>
          <w:spacing w:val="-4"/>
        </w:rPr>
        <w:t xml:space="preserve"> </w:t>
      </w:r>
      <w:r>
        <w:t>narrativa</w:t>
      </w:r>
      <w:r>
        <w:rPr>
          <w:spacing w:val="-4"/>
        </w:rPr>
        <w:t xml:space="preserve"> </w:t>
      </w:r>
      <w:r>
        <w:t>de</w:t>
      </w:r>
      <w:r>
        <w:rPr>
          <w:spacing w:val="-4"/>
        </w:rPr>
        <w:t xml:space="preserve"> </w:t>
      </w:r>
      <w:r>
        <w:t>origen</w:t>
      </w:r>
      <w:r>
        <w:rPr>
          <w:spacing w:val="-4"/>
        </w:rPr>
        <w:t xml:space="preserve"> </w:t>
      </w:r>
      <w:r>
        <w:t>y</w:t>
      </w:r>
      <w:r>
        <w:rPr>
          <w:spacing w:val="-4"/>
        </w:rPr>
        <w:t xml:space="preserve"> </w:t>
      </w:r>
      <w:r>
        <w:t>son</w:t>
      </w:r>
      <w:r>
        <w:rPr>
          <w:spacing w:val="-4"/>
        </w:rPr>
        <w:t xml:space="preserve"> </w:t>
      </w:r>
      <w:r>
        <w:t>las</w:t>
      </w:r>
      <w:r>
        <w:rPr>
          <w:spacing w:val="-4"/>
        </w:rPr>
        <w:t xml:space="preserve"> </w:t>
      </w:r>
      <w:r>
        <w:t>bases</w:t>
      </w:r>
      <w:r>
        <w:rPr>
          <w:spacing w:val="-4"/>
        </w:rPr>
        <w:t xml:space="preserve"> </w:t>
      </w:r>
      <w:r>
        <w:t>para</w:t>
      </w:r>
      <w:r>
        <w:rPr>
          <w:spacing w:val="-4"/>
        </w:rPr>
        <w:t xml:space="preserve"> </w:t>
      </w:r>
      <w:r>
        <w:t>el</w:t>
      </w:r>
      <w:r>
        <w:rPr>
          <w:spacing w:val="-4"/>
        </w:rPr>
        <w:t xml:space="preserve"> </w:t>
      </w:r>
      <w:r>
        <w:t>análisis</w:t>
      </w:r>
      <w:r>
        <w:rPr>
          <w:spacing w:val="-4"/>
        </w:rPr>
        <w:t xml:space="preserve"> </w:t>
      </w:r>
      <w:r>
        <w:t>estratégico del sector en el siguiente apartado.</w:t>
      </w:r>
    </w:p>
    <w:p w:rsidR="009B4BB4" w:rsidRDefault="009B4BB4">
      <w:pPr>
        <w:pStyle w:val="Textoindependiente"/>
        <w:spacing w:before="106"/>
      </w:pPr>
    </w:p>
    <w:p w:rsidR="009B4BB4" w:rsidRDefault="00C44001" w:rsidP="00C44001">
      <w:pPr>
        <w:pStyle w:val="Ttulo1"/>
        <w:numPr>
          <w:ilvl w:val="1"/>
          <w:numId w:val="62"/>
        </w:numPr>
        <w:tabs>
          <w:tab w:val="left" w:pos="850"/>
        </w:tabs>
        <w:spacing w:before="1"/>
        <w:ind w:left="850" w:hanging="425"/>
        <w:jc w:val="left"/>
      </w:pPr>
      <w:bookmarkStart w:id="73" w:name="2.5__Presentación_de_la_Empresa:_Guardia"/>
      <w:bookmarkStart w:id="74" w:name="h.pa9hxx9rrfta"/>
      <w:bookmarkEnd w:id="73"/>
      <w:bookmarkEnd w:id="74"/>
      <w:r>
        <w:t>Presentación</w:t>
      </w:r>
      <w:r>
        <w:rPr>
          <w:spacing w:val="-6"/>
        </w:rPr>
        <w:t xml:space="preserve"> </w:t>
      </w:r>
      <w:r>
        <w:t>de</w:t>
      </w:r>
      <w:r>
        <w:rPr>
          <w:spacing w:val="-6"/>
        </w:rPr>
        <w:t xml:space="preserve"> </w:t>
      </w:r>
      <w:r>
        <w:t>la</w:t>
      </w:r>
      <w:r>
        <w:rPr>
          <w:spacing w:val="-6"/>
        </w:rPr>
        <w:t xml:space="preserve"> </w:t>
      </w:r>
      <w:r>
        <w:t>Empresa:</w:t>
      </w:r>
      <w:r>
        <w:rPr>
          <w:spacing w:val="-6"/>
        </w:rPr>
        <w:t xml:space="preserve"> </w:t>
      </w:r>
      <w:r>
        <w:rPr>
          <w:spacing w:val="-2"/>
        </w:rPr>
        <w:t>Guardiana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8" w:firstLine="720"/>
        <w:jc w:val="both"/>
      </w:pPr>
      <w:r>
        <w:t>El emprendimiento Guardiana nace como una respuesta estratégica a la subvaloración de la miel melipona en el mercado convencional. Se define como una empresa de triple impacto que actúa como un puente ético y profesional entre la</w:t>
      </w:r>
      <w:r>
        <w:rPr>
          <w:spacing w:val="40"/>
        </w:rPr>
        <w:t xml:space="preserve"> </w:t>
      </w:r>
      <w:r>
        <w:t>sabiduría ancestral de las</w:t>
      </w:r>
      <w:r>
        <w:t xml:space="preserve"> comunidades mayas y el mercado global de bienestar y </w:t>
      </w:r>
      <w:r>
        <w:rPr>
          <w:rFonts w:ascii="Arial" w:hAnsi="Arial"/>
          <w:i/>
        </w:rPr>
        <w:t xml:space="preserve">premium </w:t>
      </w:r>
      <w:r>
        <w:t>sostenible.</w:t>
      </w:r>
    </w:p>
    <w:p w:rsidR="009B4BB4" w:rsidRDefault="00C44001" w:rsidP="00C44001">
      <w:pPr>
        <w:pStyle w:val="Ttulo2"/>
        <w:numPr>
          <w:ilvl w:val="2"/>
          <w:numId w:val="62"/>
        </w:numPr>
        <w:tabs>
          <w:tab w:val="left" w:pos="1000"/>
        </w:tabs>
        <w:ind w:left="1000" w:hanging="545"/>
        <w:jc w:val="left"/>
      </w:pPr>
      <w:bookmarkStart w:id="75" w:name="2.5.1_Identidad_corporativa:_Misión,_Vis"/>
      <w:bookmarkStart w:id="76" w:name="h.wed9obmbjcqx"/>
      <w:bookmarkEnd w:id="75"/>
      <w:bookmarkEnd w:id="76"/>
      <w:r>
        <w:t>Identidad</w:t>
      </w:r>
      <w:r>
        <w:rPr>
          <w:spacing w:val="-9"/>
        </w:rPr>
        <w:t xml:space="preserve"> </w:t>
      </w:r>
      <w:r>
        <w:t>corporativa:</w:t>
      </w:r>
      <w:r>
        <w:rPr>
          <w:spacing w:val="-9"/>
        </w:rPr>
        <w:t xml:space="preserve"> </w:t>
      </w:r>
      <w:r>
        <w:t>Misión,</w:t>
      </w:r>
      <w:r>
        <w:rPr>
          <w:spacing w:val="-8"/>
        </w:rPr>
        <w:t xml:space="preserve"> </w:t>
      </w:r>
      <w:r>
        <w:t>Visión</w:t>
      </w:r>
      <w:r>
        <w:rPr>
          <w:spacing w:val="-9"/>
        </w:rPr>
        <w:t xml:space="preserve"> </w:t>
      </w:r>
      <w:r>
        <w:t>y</w:t>
      </w:r>
      <w:r>
        <w:rPr>
          <w:spacing w:val="-8"/>
        </w:rPr>
        <w:t xml:space="preserve"> </w:t>
      </w:r>
      <w:r>
        <w:rPr>
          <w:spacing w:val="-2"/>
        </w:rPr>
        <w:t>Valores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La filosofía</w:t>
      </w:r>
      <w:r>
        <w:rPr>
          <w:spacing w:val="-5"/>
        </w:rPr>
        <w:t xml:space="preserve"> </w:t>
      </w:r>
      <w:r>
        <w:t>de</w:t>
      </w:r>
      <w:r>
        <w:rPr>
          <w:spacing w:val="-5"/>
        </w:rPr>
        <w:t xml:space="preserve"> </w:t>
      </w:r>
      <w:r>
        <w:t>Guardiana</w:t>
      </w:r>
      <w:r>
        <w:rPr>
          <w:spacing w:val="-5"/>
        </w:rPr>
        <w:t xml:space="preserve"> </w:t>
      </w:r>
      <w:r>
        <w:t>trasciende</w:t>
      </w:r>
      <w:r>
        <w:rPr>
          <w:spacing w:val="-5"/>
        </w:rPr>
        <w:t xml:space="preserve"> </w:t>
      </w:r>
      <w:r>
        <w:t>la</w:t>
      </w:r>
      <w:r>
        <w:rPr>
          <w:spacing w:val="-5"/>
        </w:rPr>
        <w:t xml:space="preserve"> </w:t>
      </w:r>
      <w:r>
        <w:t>simple</w:t>
      </w:r>
      <w:r>
        <w:rPr>
          <w:spacing w:val="-5"/>
        </w:rPr>
        <w:t xml:space="preserve"> </w:t>
      </w:r>
      <w:r>
        <w:t>comercialización,</w:t>
      </w:r>
      <w:r>
        <w:rPr>
          <w:spacing w:val="-5"/>
        </w:rPr>
        <w:t xml:space="preserve"> </w:t>
      </w:r>
      <w:r>
        <w:t>se</w:t>
      </w:r>
      <w:r>
        <w:rPr>
          <w:spacing w:val="-5"/>
        </w:rPr>
        <w:t xml:space="preserve"> </w:t>
      </w:r>
      <w:r>
        <w:t>fundamenta</w:t>
      </w:r>
      <w:r>
        <w:rPr>
          <w:spacing w:val="-5"/>
        </w:rPr>
        <w:t xml:space="preserve"> </w:t>
      </w:r>
      <w:r>
        <w:t>en un modelo de Valor Compartido, donde el éxito</w:t>
      </w:r>
      <w:r>
        <w:rPr>
          <w:spacing w:val="-4"/>
        </w:rPr>
        <w:t xml:space="preserve"> </w:t>
      </w:r>
      <w:r>
        <w:t>finan</w:t>
      </w:r>
      <w:r>
        <w:t>ciero</w:t>
      </w:r>
      <w:r>
        <w:rPr>
          <w:spacing w:val="-4"/>
        </w:rPr>
        <w:t xml:space="preserve"> </w:t>
      </w:r>
      <w:r>
        <w:t>es</w:t>
      </w:r>
      <w:r>
        <w:rPr>
          <w:spacing w:val="-4"/>
        </w:rPr>
        <w:t xml:space="preserve"> </w:t>
      </w:r>
      <w:r>
        <w:t>el</w:t>
      </w:r>
      <w:r>
        <w:rPr>
          <w:spacing w:val="-4"/>
        </w:rPr>
        <w:t xml:space="preserve"> </w:t>
      </w:r>
      <w:r>
        <w:t>motor</w:t>
      </w:r>
      <w:r>
        <w:rPr>
          <w:spacing w:val="-4"/>
        </w:rPr>
        <w:t xml:space="preserve"> </w:t>
      </w:r>
      <w:r>
        <w:t>indispensable</w:t>
      </w:r>
      <w:r>
        <w:rPr>
          <w:spacing w:val="-4"/>
        </w:rPr>
        <w:t xml:space="preserve"> </w:t>
      </w:r>
      <w:r>
        <w:t>para la restauración ecológica y la justicia social.</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rsidP="00C44001">
      <w:pPr>
        <w:pStyle w:val="Prrafodelista"/>
        <w:numPr>
          <w:ilvl w:val="0"/>
          <w:numId w:val="58"/>
        </w:numPr>
        <w:tabs>
          <w:tab w:val="left" w:pos="1145"/>
        </w:tabs>
        <w:spacing w:before="79" w:line="360" w:lineRule="auto"/>
        <w:ind w:right="608"/>
        <w:jc w:val="both"/>
      </w:pPr>
      <w:r>
        <w:rPr>
          <w:rFonts w:ascii="Arial" w:hAnsi="Arial"/>
          <w:b/>
        </w:rPr>
        <w:lastRenderedPageBreak/>
        <w:t xml:space="preserve">Misión: </w:t>
      </w:r>
      <w:r>
        <w:t>Revalorizar la miel melipona a través de un modelo de</w:t>
      </w:r>
      <w:r>
        <w:rPr>
          <w:spacing w:val="-3"/>
        </w:rPr>
        <w:t xml:space="preserve"> </w:t>
      </w:r>
      <w:r>
        <w:t>negocio</w:t>
      </w:r>
      <w:r>
        <w:rPr>
          <w:spacing w:val="-3"/>
        </w:rPr>
        <w:t xml:space="preserve"> </w:t>
      </w:r>
      <w:r>
        <w:rPr>
          <w:rFonts w:ascii="Arial" w:hAnsi="Arial"/>
          <w:i/>
        </w:rPr>
        <w:t>premium</w:t>
      </w:r>
      <w:r>
        <w:rPr>
          <w:rFonts w:ascii="Arial" w:hAnsi="Arial"/>
          <w:i/>
          <w:spacing w:val="40"/>
        </w:rPr>
        <w:t xml:space="preserve"> </w:t>
      </w:r>
      <w:r>
        <w:t xml:space="preserve">y ético que garantice la conservación de la especie </w:t>
      </w:r>
      <w:r>
        <w:rPr>
          <w:rFonts w:ascii="Arial" w:hAnsi="Arial"/>
          <w:i/>
        </w:rPr>
        <w:t xml:space="preserve">Melipona beecheii, </w:t>
      </w:r>
      <w:r>
        <w:t>el</w:t>
      </w:r>
      <w:r>
        <w:rPr>
          <w:spacing w:val="40"/>
        </w:rPr>
        <w:t xml:space="preserve"> </w:t>
      </w:r>
      <w:r>
        <w:t>comercio justo para las familias productoras y una experiencia</w:t>
      </w:r>
      <w:r>
        <w:rPr>
          <w:spacing w:val="-4"/>
        </w:rPr>
        <w:t xml:space="preserve"> </w:t>
      </w:r>
      <w:r>
        <w:t>de</w:t>
      </w:r>
      <w:r>
        <w:rPr>
          <w:spacing w:val="-4"/>
        </w:rPr>
        <w:t xml:space="preserve"> </w:t>
      </w:r>
      <w:r>
        <w:t>salud</w:t>
      </w:r>
      <w:r>
        <w:rPr>
          <w:spacing w:val="-4"/>
        </w:rPr>
        <w:t xml:space="preserve"> </w:t>
      </w:r>
      <w:r>
        <w:t>auténtica para el consumidor contemporáneo.</w:t>
      </w:r>
    </w:p>
    <w:p w:rsidR="009B4BB4" w:rsidRDefault="00C44001" w:rsidP="00C44001">
      <w:pPr>
        <w:pStyle w:val="Prrafodelista"/>
        <w:numPr>
          <w:ilvl w:val="0"/>
          <w:numId w:val="58"/>
        </w:numPr>
        <w:tabs>
          <w:tab w:val="left" w:pos="1145"/>
        </w:tabs>
        <w:spacing w:line="360" w:lineRule="auto"/>
        <w:ind w:right="607"/>
        <w:jc w:val="both"/>
      </w:pPr>
      <w:proofErr w:type="gramStart"/>
      <w:r>
        <w:rPr>
          <w:rFonts w:ascii="Arial" w:hAnsi="Arial"/>
          <w:b/>
        </w:rPr>
        <w:t>Visión :</w:t>
      </w:r>
      <w:proofErr w:type="gramEnd"/>
      <w:r>
        <w:rPr>
          <w:rFonts w:ascii="Arial" w:hAnsi="Arial"/>
          <w:b/>
        </w:rPr>
        <w:t xml:space="preserve"> </w:t>
      </w:r>
      <w:r>
        <w:t>Consolidarse como la marca referente de productos nutracéuticos de origen maya en el sureste mexicano, reconocida internacionalment</w:t>
      </w:r>
      <w:r>
        <w:t xml:space="preserve">e por su transparencia, su impacto regenerativo en la biodiversidad y su capacidad de innovar en el segmento </w:t>
      </w:r>
      <w:r>
        <w:rPr>
          <w:rFonts w:ascii="Arial" w:hAnsi="Arial"/>
          <w:i/>
        </w:rPr>
        <w:t xml:space="preserve">premium </w:t>
      </w:r>
      <w:r>
        <w:t>con propósito.</w:t>
      </w:r>
    </w:p>
    <w:p w:rsidR="009B4BB4" w:rsidRDefault="00C44001" w:rsidP="00C44001">
      <w:pPr>
        <w:pStyle w:val="Ttulo1"/>
        <w:numPr>
          <w:ilvl w:val="0"/>
          <w:numId w:val="58"/>
        </w:numPr>
        <w:tabs>
          <w:tab w:val="left" w:pos="1145"/>
        </w:tabs>
        <w:spacing w:before="240"/>
      </w:pPr>
      <w:r>
        <w:rPr>
          <w:spacing w:val="-2"/>
        </w:rPr>
        <w:t>Valores</w:t>
      </w:r>
      <w:r>
        <w:rPr>
          <w:spacing w:val="-5"/>
        </w:rPr>
        <w:t xml:space="preserve"> </w:t>
      </w:r>
      <w:r>
        <w:rPr>
          <w:spacing w:val="-2"/>
        </w:rPr>
        <w:t>estratégicos:</w:t>
      </w:r>
    </w:p>
    <w:p w:rsidR="009B4BB4" w:rsidRDefault="009B4BB4">
      <w:pPr>
        <w:pStyle w:val="Textoindependiente"/>
        <w:spacing w:before="113"/>
        <w:rPr>
          <w:rFonts w:ascii="Arial"/>
          <w:b/>
        </w:rPr>
      </w:pPr>
    </w:p>
    <w:p w:rsidR="009B4BB4" w:rsidRDefault="00C44001" w:rsidP="00C44001">
      <w:pPr>
        <w:pStyle w:val="Prrafodelista"/>
        <w:numPr>
          <w:ilvl w:val="1"/>
          <w:numId w:val="58"/>
        </w:numPr>
        <w:tabs>
          <w:tab w:val="left" w:pos="1865"/>
        </w:tabs>
        <w:spacing w:before="1"/>
      </w:pPr>
      <w:r>
        <w:rPr>
          <w:rFonts w:ascii="Arial" w:hAnsi="Arial"/>
          <w:b/>
        </w:rPr>
        <w:t>Confianza</w:t>
      </w:r>
      <w:r>
        <w:rPr>
          <w:rFonts w:ascii="Arial" w:hAnsi="Arial"/>
          <w:b/>
          <w:spacing w:val="-5"/>
        </w:rPr>
        <w:t xml:space="preserve"> </w:t>
      </w:r>
      <w:r>
        <w:rPr>
          <w:rFonts w:ascii="Arial" w:hAnsi="Arial"/>
          <w:b/>
        </w:rPr>
        <w:t>,</w:t>
      </w:r>
      <w:r>
        <w:rPr>
          <w:rFonts w:ascii="Arial" w:hAnsi="Arial"/>
          <w:b/>
          <w:spacing w:val="-5"/>
        </w:rPr>
        <w:t xml:space="preserve"> </w:t>
      </w:r>
      <w:r>
        <w:t>a</w:t>
      </w:r>
      <w:r>
        <w:rPr>
          <w:spacing w:val="-5"/>
        </w:rPr>
        <w:t xml:space="preserve"> </w:t>
      </w:r>
      <w:r>
        <w:t>través</w:t>
      </w:r>
      <w:r>
        <w:rPr>
          <w:spacing w:val="-5"/>
        </w:rPr>
        <w:t xml:space="preserve"> </w:t>
      </w:r>
      <w:r>
        <w:t>de</w:t>
      </w:r>
      <w:r>
        <w:rPr>
          <w:spacing w:val="-5"/>
        </w:rPr>
        <w:t xml:space="preserve"> </w:t>
      </w:r>
      <w:r>
        <w:t>la</w:t>
      </w:r>
      <w:r>
        <w:rPr>
          <w:spacing w:val="-5"/>
        </w:rPr>
        <w:t xml:space="preserve"> </w:t>
      </w:r>
      <w:r>
        <w:t>trazabilidad</w:t>
      </w:r>
      <w:r>
        <w:rPr>
          <w:spacing w:val="-5"/>
        </w:rPr>
        <w:t xml:space="preserve"> </w:t>
      </w:r>
      <w:r>
        <w:t>absoluta</w:t>
      </w:r>
      <w:r>
        <w:rPr>
          <w:spacing w:val="-5"/>
        </w:rPr>
        <w:t xml:space="preserve"> </w:t>
      </w:r>
      <w:r>
        <w:t>del</w:t>
      </w:r>
      <w:r>
        <w:rPr>
          <w:spacing w:val="-4"/>
        </w:rPr>
        <w:t xml:space="preserve"> </w:t>
      </w:r>
      <w:r>
        <w:rPr>
          <w:spacing w:val="-2"/>
        </w:rPr>
        <w:t>origen</w:t>
      </w:r>
    </w:p>
    <w:p w:rsidR="009B4BB4" w:rsidRDefault="00C44001" w:rsidP="00C44001">
      <w:pPr>
        <w:pStyle w:val="Prrafodelista"/>
        <w:numPr>
          <w:ilvl w:val="1"/>
          <w:numId w:val="58"/>
        </w:numPr>
        <w:tabs>
          <w:tab w:val="left" w:pos="1865"/>
        </w:tabs>
        <w:spacing w:before="126"/>
      </w:pPr>
      <w:r>
        <w:rPr>
          <w:rFonts w:ascii="Arial" w:hAnsi="Arial"/>
          <w:b/>
        </w:rPr>
        <w:t>Equidad</w:t>
      </w:r>
      <w:r>
        <w:rPr>
          <w:rFonts w:ascii="Arial" w:hAnsi="Arial"/>
          <w:b/>
          <w:spacing w:val="-5"/>
        </w:rPr>
        <w:t xml:space="preserve"> </w:t>
      </w:r>
      <w:r>
        <w:t>territorial</w:t>
      </w:r>
      <w:r>
        <w:rPr>
          <w:spacing w:val="-5"/>
        </w:rPr>
        <w:t xml:space="preserve"> </w:t>
      </w:r>
      <w:r>
        <w:t>en</w:t>
      </w:r>
      <w:r>
        <w:rPr>
          <w:spacing w:val="-5"/>
        </w:rPr>
        <w:t xml:space="preserve"> </w:t>
      </w:r>
      <w:r>
        <w:t>la</w:t>
      </w:r>
      <w:r>
        <w:rPr>
          <w:spacing w:val="-5"/>
        </w:rPr>
        <w:t xml:space="preserve"> </w:t>
      </w:r>
      <w:r>
        <w:t>cadena</w:t>
      </w:r>
      <w:r>
        <w:rPr>
          <w:spacing w:val="-5"/>
        </w:rPr>
        <w:t xml:space="preserve"> </w:t>
      </w:r>
      <w:r>
        <w:t>de</w:t>
      </w:r>
      <w:r>
        <w:rPr>
          <w:spacing w:val="-5"/>
        </w:rPr>
        <w:t xml:space="preserve"> </w:t>
      </w:r>
      <w:r>
        <w:rPr>
          <w:spacing w:val="-2"/>
        </w:rPr>
        <w:t>sumin</w:t>
      </w:r>
      <w:r>
        <w:rPr>
          <w:spacing w:val="-2"/>
        </w:rPr>
        <w:t>istro</w:t>
      </w:r>
    </w:p>
    <w:p w:rsidR="009B4BB4" w:rsidRDefault="00C44001" w:rsidP="00C44001">
      <w:pPr>
        <w:pStyle w:val="Prrafodelista"/>
        <w:numPr>
          <w:ilvl w:val="1"/>
          <w:numId w:val="58"/>
        </w:numPr>
        <w:tabs>
          <w:tab w:val="left" w:pos="1865"/>
        </w:tabs>
        <w:spacing w:before="127"/>
      </w:pPr>
      <w:r>
        <w:rPr>
          <w:rFonts w:ascii="Arial" w:hAnsi="Arial"/>
          <w:b/>
        </w:rPr>
        <w:t>Resiliencia</w:t>
      </w:r>
      <w:r>
        <w:rPr>
          <w:rFonts w:ascii="Arial" w:hAnsi="Arial"/>
          <w:b/>
          <w:spacing w:val="-11"/>
        </w:rPr>
        <w:t xml:space="preserve"> </w:t>
      </w:r>
      <w:r>
        <w:t>ecosistémica,</w:t>
      </w:r>
      <w:r>
        <w:rPr>
          <w:spacing w:val="-8"/>
        </w:rPr>
        <w:t xml:space="preserve"> </w:t>
      </w:r>
      <w:r>
        <w:t>mediante</w:t>
      </w:r>
      <w:r>
        <w:rPr>
          <w:spacing w:val="-9"/>
        </w:rPr>
        <w:t xml:space="preserve"> </w:t>
      </w:r>
      <w:r>
        <w:t>la</w:t>
      </w:r>
      <w:r>
        <w:rPr>
          <w:spacing w:val="-8"/>
        </w:rPr>
        <w:t xml:space="preserve"> </w:t>
      </w:r>
      <w:r>
        <w:t>protección</w:t>
      </w:r>
      <w:r>
        <w:rPr>
          <w:spacing w:val="-9"/>
        </w:rPr>
        <w:t xml:space="preserve"> </w:t>
      </w:r>
      <w:r>
        <w:t>de</w:t>
      </w:r>
      <w:r>
        <w:rPr>
          <w:spacing w:val="-8"/>
        </w:rPr>
        <w:t xml:space="preserve"> </w:t>
      </w:r>
      <w:r>
        <w:t>polinizadores</w:t>
      </w:r>
      <w:r>
        <w:rPr>
          <w:spacing w:val="-8"/>
        </w:rPr>
        <w:t xml:space="preserve"> </w:t>
      </w:r>
      <w:r>
        <w:rPr>
          <w:spacing w:val="-2"/>
        </w:rPr>
        <w:t>nativos.</w:t>
      </w:r>
    </w:p>
    <w:p w:rsidR="009B4BB4" w:rsidRDefault="009B4BB4">
      <w:pPr>
        <w:pStyle w:val="Textoindependiente"/>
        <w:spacing w:before="113"/>
      </w:pPr>
    </w:p>
    <w:p w:rsidR="009B4BB4" w:rsidRDefault="00C44001" w:rsidP="00C44001">
      <w:pPr>
        <w:pStyle w:val="Ttulo2"/>
        <w:numPr>
          <w:ilvl w:val="2"/>
          <w:numId w:val="62"/>
        </w:numPr>
        <w:tabs>
          <w:tab w:val="left" w:pos="1000"/>
        </w:tabs>
        <w:spacing w:before="0"/>
        <w:ind w:left="1000" w:hanging="545"/>
        <w:jc w:val="left"/>
      </w:pPr>
      <w:bookmarkStart w:id="77" w:name="2.5.2_Propuesta_de_valor_estratégica_"/>
      <w:bookmarkStart w:id="78" w:name="h.jc6yhxajnrbx"/>
      <w:bookmarkEnd w:id="77"/>
      <w:bookmarkEnd w:id="78"/>
      <w:r>
        <w:t>Propuesta</w:t>
      </w:r>
      <w:r>
        <w:rPr>
          <w:spacing w:val="-6"/>
        </w:rPr>
        <w:t xml:space="preserve"> </w:t>
      </w:r>
      <w:r>
        <w:t>de</w:t>
      </w:r>
      <w:r>
        <w:rPr>
          <w:spacing w:val="-5"/>
        </w:rPr>
        <w:t xml:space="preserve"> </w:t>
      </w:r>
      <w:r>
        <w:t>valor</w:t>
      </w:r>
      <w:r>
        <w:rPr>
          <w:spacing w:val="-5"/>
        </w:rPr>
        <w:t xml:space="preserve"> </w:t>
      </w:r>
      <w:r>
        <w:rPr>
          <w:spacing w:val="-2"/>
        </w:rPr>
        <w:t>estratégica</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4" w:firstLine="720"/>
        <w:jc w:val="both"/>
      </w:pPr>
      <w:r>
        <w:t xml:space="preserve">La propuesta de valor de Guardiana trasciende la venta de un producto alimenticio, se posiciona en la unión de un producto </w:t>
      </w:r>
      <w:r>
        <w:rPr>
          <w:rFonts w:ascii="Arial" w:hAnsi="Arial"/>
          <w:i/>
        </w:rPr>
        <w:t xml:space="preserve">premium </w:t>
      </w:r>
      <w:r>
        <w:t>consciente y la medicina funcional. A diferencia de la miel convencional</w:t>
      </w:r>
      <w:r>
        <w:rPr>
          <w:spacing w:val="40"/>
        </w:rPr>
        <w:t xml:space="preserve"> </w:t>
      </w:r>
      <w:r>
        <w:t xml:space="preserve">de </w:t>
      </w:r>
      <w:r>
        <w:rPr>
          <w:rFonts w:ascii="Arial" w:hAnsi="Arial"/>
          <w:i/>
        </w:rPr>
        <w:t>Apis mellifera</w:t>
      </w:r>
      <w:r>
        <w:t>, el producto de Guardiana se define como un activo biocultural de alta especialidad. Esta diferenciación se sostiene sobre tres pilares estratégicos.</w:t>
      </w:r>
    </w:p>
    <w:p w:rsidR="009B4BB4" w:rsidRDefault="00C44001" w:rsidP="00C44001">
      <w:pPr>
        <w:pStyle w:val="Prrafodelista"/>
        <w:numPr>
          <w:ilvl w:val="0"/>
          <w:numId w:val="57"/>
        </w:numPr>
        <w:tabs>
          <w:tab w:val="left" w:pos="1143"/>
          <w:tab w:val="left" w:pos="1145"/>
        </w:tabs>
        <w:spacing w:line="360" w:lineRule="auto"/>
        <w:ind w:right="603"/>
        <w:jc w:val="both"/>
      </w:pPr>
      <w:r>
        <w:rPr>
          <w:rFonts w:ascii="Arial" w:hAnsi="Arial"/>
          <w:b/>
        </w:rPr>
        <w:t xml:space="preserve">Grado medicinal y rigor técnico: </w:t>
      </w:r>
      <w:r>
        <w:t>Se garantiza una miel cruda, sin procesos de pasteurización que degraden sus enzimas y compuestos. La propuesta se</w:t>
      </w:r>
      <w:r>
        <w:rPr>
          <w:spacing w:val="-4"/>
        </w:rPr>
        <w:t xml:space="preserve"> </w:t>
      </w:r>
      <w:r>
        <w:t>centra en la eficacia comprobada del producto para la salud ocular, dermatológica y del sistema inmune, elev</w:t>
      </w:r>
      <w:r>
        <w:t>ando el valor percibido de un “endulzante” a un nutracéutico.</w:t>
      </w:r>
    </w:p>
    <w:p w:rsidR="009B4BB4" w:rsidRDefault="00C44001" w:rsidP="00C44001">
      <w:pPr>
        <w:pStyle w:val="Prrafodelista"/>
        <w:numPr>
          <w:ilvl w:val="0"/>
          <w:numId w:val="57"/>
        </w:numPr>
        <w:tabs>
          <w:tab w:val="left" w:pos="1143"/>
          <w:tab w:val="left" w:pos="1145"/>
        </w:tabs>
        <w:spacing w:line="360" w:lineRule="auto"/>
        <w:ind w:right="605"/>
        <w:jc w:val="both"/>
      </w:pPr>
      <w:r>
        <w:rPr>
          <w:rFonts w:ascii="Arial" w:hAnsi="Arial"/>
          <w:b/>
        </w:rPr>
        <w:t xml:space="preserve">Trazabilidad radical mediante </w:t>
      </w:r>
      <w:r>
        <w:rPr>
          <w:rFonts w:ascii="Arial" w:hAnsi="Arial"/>
          <w:b/>
          <w:i/>
        </w:rPr>
        <w:t xml:space="preserve">smart-labeling: </w:t>
      </w:r>
      <w:r>
        <w:t>A través de un sistema de códigos QR, el consumidor accede a un pasaporte digital del producto. Esta transparencia elimina la asimetría de informaci</w:t>
      </w:r>
      <w:r>
        <w:t>ón y la desconfianza del mercado respecto a la adulteración, permitiendo auditar el meliponario de origen, la fecha de cosecha y el análisis de laboratorio de cada lote.</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57"/>
        </w:numPr>
        <w:tabs>
          <w:tab w:val="left" w:pos="1143"/>
          <w:tab w:val="left" w:pos="1145"/>
        </w:tabs>
        <w:spacing w:before="79" w:line="360" w:lineRule="auto"/>
        <w:ind w:right="602"/>
        <w:jc w:val="both"/>
      </w:pPr>
      <w:r>
        <w:rPr>
          <w:rFonts w:ascii="Arial" w:hAnsi="Arial"/>
          <w:b/>
        </w:rPr>
        <w:lastRenderedPageBreak/>
        <w:t xml:space="preserve">Narrativa de conservación activa: </w:t>
      </w:r>
      <w:r>
        <w:t xml:space="preserve">El cliente adquiere más que miel, </w:t>
      </w:r>
      <w:r>
        <w:t xml:space="preserve">financia la preservación de la abeja </w:t>
      </w:r>
      <w:r>
        <w:rPr>
          <w:rFonts w:ascii="Arial" w:hAnsi="Arial"/>
          <w:i/>
        </w:rPr>
        <w:t xml:space="preserve">Melipona beecheii. </w:t>
      </w:r>
      <w:r>
        <w:t>El impacto social se cuantifica y se comunica, transformando la transacción en una inversión ética que protege el patrimonio biológico de Yucatán.</w:t>
      </w:r>
    </w:p>
    <w:p w:rsidR="009B4BB4" w:rsidRDefault="00C44001">
      <w:pPr>
        <w:pStyle w:val="Textoindependiente"/>
        <w:spacing w:line="360" w:lineRule="auto"/>
        <w:ind w:left="425" w:right="605" w:firstLine="720"/>
        <w:jc w:val="both"/>
      </w:pPr>
      <w:r>
        <w:t>Este ecosistema de atributos justifica un posicionami</w:t>
      </w:r>
      <w:r>
        <w:t>ento de precio superior, basado en la escasez biológica del insumo y la complejidad de su cadena de custodia, capturando un segmento de mercado con baja sensibilidad al precio pero alta exigencia de autenticidad.</w:t>
      </w:r>
    </w:p>
    <w:p w:rsidR="009B4BB4" w:rsidRDefault="00C44001">
      <w:pPr>
        <w:pStyle w:val="Ttulo1"/>
        <w:spacing w:before="240"/>
        <w:ind w:left="425"/>
      </w:pPr>
      <w:r>
        <w:t>Traducción</w:t>
      </w:r>
      <w:r>
        <w:rPr>
          <w:spacing w:val="-8"/>
        </w:rPr>
        <w:t xml:space="preserve"> </w:t>
      </w:r>
      <w:r>
        <w:t>económica</w:t>
      </w:r>
      <w:r>
        <w:rPr>
          <w:spacing w:val="-8"/>
        </w:rPr>
        <w:t xml:space="preserve"> </w:t>
      </w:r>
      <w:r>
        <w:t>de</w:t>
      </w:r>
      <w:r>
        <w:rPr>
          <w:spacing w:val="-7"/>
        </w:rPr>
        <w:t xml:space="preserve"> </w:t>
      </w:r>
      <w:r>
        <w:t>la</w:t>
      </w:r>
      <w:r>
        <w:rPr>
          <w:spacing w:val="-8"/>
        </w:rPr>
        <w:t xml:space="preserve"> </w:t>
      </w:r>
      <w:r>
        <w:t>propuesta</w:t>
      </w:r>
      <w:r>
        <w:rPr>
          <w:spacing w:val="-8"/>
        </w:rPr>
        <w:t xml:space="preserve"> </w:t>
      </w:r>
      <w:r>
        <w:t>de</w:t>
      </w:r>
      <w:r>
        <w:rPr>
          <w:spacing w:val="-7"/>
        </w:rPr>
        <w:t xml:space="preserve"> </w:t>
      </w:r>
      <w:r>
        <w:rPr>
          <w:spacing w:val="-2"/>
        </w:rPr>
        <w:t>val</w:t>
      </w:r>
      <w:r>
        <w:rPr>
          <w:spacing w:val="-2"/>
        </w:rPr>
        <w:t>or</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La</w:t>
      </w:r>
      <w:r>
        <w:rPr>
          <w:spacing w:val="-4"/>
        </w:rPr>
        <w:t xml:space="preserve"> </w:t>
      </w:r>
      <w:r>
        <w:t>propuesta</w:t>
      </w:r>
      <w:r>
        <w:rPr>
          <w:spacing w:val="-4"/>
        </w:rPr>
        <w:t xml:space="preserve"> </w:t>
      </w:r>
      <w:r>
        <w:t>de</w:t>
      </w:r>
      <w:r>
        <w:rPr>
          <w:spacing w:val="-4"/>
        </w:rPr>
        <w:t xml:space="preserve"> </w:t>
      </w:r>
      <w:r>
        <w:t>valor</w:t>
      </w:r>
      <w:r>
        <w:rPr>
          <w:spacing w:val="-4"/>
        </w:rPr>
        <w:t xml:space="preserve"> </w:t>
      </w:r>
      <w:r>
        <w:t>de</w:t>
      </w:r>
      <w:r>
        <w:rPr>
          <w:spacing w:val="-4"/>
        </w:rPr>
        <w:t xml:space="preserve"> </w:t>
      </w:r>
      <w:r>
        <w:t>Guardiana</w:t>
      </w:r>
      <w:r>
        <w:rPr>
          <w:spacing w:val="-4"/>
        </w:rPr>
        <w:t xml:space="preserve"> </w:t>
      </w:r>
      <w:r>
        <w:t>tiene</w:t>
      </w:r>
      <w:r>
        <w:rPr>
          <w:spacing w:val="-4"/>
        </w:rPr>
        <w:t xml:space="preserve"> </w:t>
      </w:r>
      <w:r>
        <w:t>implicaciones</w:t>
      </w:r>
      <w:r>
        <w:rPr>
          <w:spacing w:val="-4"/>
        </w:rPr>
        <w:t xml:space="preserve"> </w:t>
      </w:r>
      <w:r>
        <w:t>económicas</w:t>
      </w:r>
      <w:r>
        <w:rPr>
          <w:spacing w:val="-4"/>
        </w:rPr>
        <w:t xml:space="preserve"> </w:t>
      </w:r>
      <w:r>
        <w:t>directas</w:t>
      </w:r>
      <w:r>
        <w:rPr>
          <w:spacing w:val="-4"/>
        </w:rPr>
        <w:t xml:space="preserve"> </w:t>
      </w:r>
      <w:r>
        <w:t>en</w:t>
      </w:r>
      <w:r>
        <w:rPr>
          <w:spacing w:val="-4"/>
        </w:rPr>
        <w:t xml:space="preserve"> </w:t>
      </w:r>
      <w:r>
        <w:t xml:space="preserve">la estructura del negocio. El posicionamiento </w:t>
      </w:r>
      <w:r>
        <w:rPr>
          <w:rFonts w:ascii="Arial" w:hAnsi="Arial"/>
          <w:i/>
        </w:rPr>
        <w:t>premium</w:t>
      </w:r>
      <w:r>
        <w:t>, sustentado en autenticidad, trazabilidad y valor</w:t>
      </w:r>
      <w:r>
        <w:rPr>
          <w:spacing w:val="-4"/>
        </w:rPr>
        <w:t xml:space="preserve"> </w:t>
      </w:r>
      <w:r>
        <w:t>cultural,</w:t>
      </w:r>
      <w:r>
        <w:rPr>
          <w:spacing w:val="-4"/>
        </w:rPr>
        <w:t xml:space="preserve"> </w:t>
      </w:r>
      <w:r>
        <w:t>permite</w:t>
      </w:r>
      <w:r>
        <w:rPr>
          <w:spacing w:val="-4"/>
        </w:rPr>
        <w:t xml:space="preserve"> </w:t>
      </w:r>
      <w:r>
        <w:t>establecer</w:t>
      </w:r>
      <w:r>
        <w:rPr>
          <w:spacing w:val="-4"/>
        </w:rPr>
        <w:t xml:space="preserve"> </w:t>
      </w:r>
      <w:r>
        <w:t>precios</w:t>
      </w:r>
      <w:r>
        <w:rPr>
          <w:spacing w:val="-4"/>
        </w:rPr>
        <w:t xml:space="preserve"> </w:t>
      </w:r>
      <w:r>
        <w:t>significativamente</w:t>
      </w:r>
      <w:r>
        <w:rPr>
          <w:spacing w:val="-4"/>
        </w:rPr>
        <w:t xml:space="preserve"> </w:t>
      </w:r>
      <w:r>
        <w:t>superiores</w:t>
      </w:r>
      <w:r>
        <w:rPr>
          <w:spacing w:val="-4"/>
        </w:rPr>
        <w:t xml:space="preserve"> </w:t>
      </w:r>
      <w:r>
        <w:t>a</w:t>
      </w:r>
      <w:r>
        <w:rPr>
          <w:spacing w:val="-4"/>
        </w:rPr>
        <w:t xml:space="preserve"> </w:t>
      </w:r>
      <w:r>
        <w:t>los de la miel convencional sin depender de economías de escala.</w:t>
      </w:r>
    </w:p>
    <w:p w:rsidR="009B4BB4" w:rsidRDefault="00C44001">
      <w:pPr>
        <w:pStyle w:val="Textoindependiente"/>
        <w:spacing w:before="0" w:line="360" w:lineRule="auto"/>
        <w:ind w:left="425" w:right="603" w:firstLine="720"/>
        <w:jc w:val="both"/>
      </w:pPr>
      <w:r>
        <w:t>Asimismo, la diferenciación del producto opera en</w:t>
      </w:r>
      <w:r>
        <w:rPr>
          <w:spacing w:val="-3"/>
        </w:rPr>
        <w:t xml:space="preserve"> </w:t>
      </w:r>
      <w:r>
        <w:t>un</w:t>
      </w:r>
      <w:r>
        <w:rPr>
          <w:spacing w:val="-3"/>
        </w:rPr>
        <w:t xml:space="preserve"> </w:t>
      </w:r>
      <w:r>
        <w:t>contexto</w:t>
      </w:r>
      <w:r>
        <w:rPr>
          <w:spacing w:val="-3"/>
        </w:rPr>
        <w:t xml:space="preserve"> </w:t>
      </w:r>
      <w:r>
        <w:t>de</w:t>
      </w:r>
      <w:r>
        <w:rPr>
          <w:spacing w:val="-3"/>
        </w:rPr>
        <w:t xml:space="preserve"> </w:t>
      </w:r>
      <w:r>
        <w:t>baja</w:t>
      </w:r>
      <w:r>
        <w:rPr>
          <w:spacing w:val="-3"/>
        </w:rPr>
        <w:t xml:space="preserve"> </w:t>
      </w:r>
      <w:r>
        <w:t xml:space="preserve">elasticidad precio en los segmentos objetivo, especialmente en consumidores turísticos y de bienestar, donde la decisión </w:t>
      </w:r>
      <w:r>
        <w:t xml:space="preserve">de compra está influida por factores simbólicos y </w:t>
      </w:r>
      <w:r>
        <w:rPr>
          <w:spacing w:val="-2"/>
        </w:rPr>
        <w:t>experienciales.</w:t>
      </w:r>
    </w:p>
    <w:p w:rsidR="009B4BB4" w:rsidRDefault="00C44001">
      <w:pPr>
        <w:pStyle w:val="Textoindependiente"/>
        <w:spacing w:before="0" w:line="360" w:lineRule="auto"/>
        <w:ind w:left="425" w:right="603" w:firstLine="720"/>
        <w:jc w:val="both"/>
      </w:pPr>
      <w:r>
        <w:t>En consecuencia, el modelo favorece la captura de márgenes superiores por unidad, alineándose con una lógica de crecimiento basada en valor y no en volumen, coherente con la restricción estr</w:t>
      </w:r>
      <w:r>
        <w:t>uctural de la oferta.</w:t>
      </w:r>
    </w:p>
    <w:p w:rsidR="009B4BB4" w:rsidRDefault="00C44001" w:rsidP="00C44001">
      <w:pPr>
        <w:pStyle w:val="Ttulo2"/>
        <w:numPr>
          <w:ilvl w:val="2"/>
          <w:numId w:val="62"/>
        </w:numPr>
        <w:tabs>
          <w:tab w:val="left" w:pos="1000"/>
        </w:tabs>
        <w:ind w:left="1000" w:hanging="545"/>
        <w:jc w:val="left"/>
      </w:pPr>
      <w:bookmarkStart w:id="79" w:name="2.5.3_Modelo_de_Negocio_"/>
      <w:bookmarkStart w:id="80" w:name="h.7wsdupfpj09k"/>
      <w:bookmarkEnd w:id="79"/>
      <w:bookmarkEnd w:id="80"/>
      <w:r>
        <w:t>Modelo</w:t>
      </w:r>
      <w:r>
        <w:rPr>
          <w:spacing w:val="-4"/>
        </w:rPr>
        <w:t xml:space="preserve"> </w:t>
      </w:r>
      <w:r>
        <w:t>de</w:t>
      </w:r>
      <w:r>
        <w:rPr>
          <w:spacing w:val="-4"/>
        </w:rPr>
        <w:t xml:space="preserve"> </w:t>
      </w:r>
      <w:r>
        <w:rPr>
          <w:spacing w:val="-2"/>
        </w:rPr>
        <w:t>Negocio</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6" w:firstLine="720"/>
        <w:jc w:val="both"/>
      </w:pPr>
      <w:r>
        <w:t xml:space="preserve">Para asegurar la viabilidad económica de un entorno de alta incertidumbre y escasez de recursos, Guardiana un modelo de negocio </w:t>
      </w:r>
      <w:r>
        <w:rPr>
          <w:rFonts w:ascii="Arial" w:hAnsi="Arial"/>
          <w:i/>
        </w:rPr>
        <w:t>asset-light</w:t>
      </w:r>
      <w:r>
        <w:t>. Esta decisión estratégica permite que la empresa mantenga una estructura de costos fijos reducida, delegando la producción primera a expertos locales y concentrando el capital en las</w:t>
      </w:r>
      <w:r>
        <w:rPr>
          <w:spacing w:val="40"/>
        </w:rPr>
        <w:t xml:space="preserve"> </w:t>
      </w:r>
      <w:r>
        <w:t>áreas de mayor generación de valor:</w:t>
      </w:r>
    </w:p>
    <w:p w:rsidR="009B4BB4" w:rsidRDefault="00C44001" w:rsidP="00C44001">
      <w:pPr>
        <w:pStyle w:val="Prrafodelista"/>
        <w:numPr>
          <w:ilvl w:val="0"/>
          <w:numId w:val="56"/>
        </w:numPr>
        <w:tabs>
          <w:tab w:val="left" w:pos="1145"/>
        </w:tabs>
        <w:spacing w:line="360" w:lineRule="auto"/>
        <w:ind w:right="602"/>
        <w:jc w:val="both"/>
      </w:pPr>
      <w:r>
        <w:rPr>
          <w:rFonts w:ascii="Arial" w:hAnsi="Arial"/>
          <w:b/>
        </w:rPr>
        <w:t>Descentralización de la producción:</w:t>
      </w:r>
      <w:r>
        <w:rPr>
          <w:rFonts w:ascii="Arial" w:hAnsi="Arial"/>
          <w:b/>
        </w:rPr>
        <w:t xml:space="preserve"> </w:t>
      </w:r>
      <w:r>
        <w:t>En lugar de invertir en tierras y mantenimiento de colmenas propias, Guardiana actúa como un integrador comercial. Esto permite una escalabilidad orgánica por medio de</w:t>
      </w:r>
      <w:r>
        <w:rPr>
          <w:spacing w:val="-4"/>
        </w:rPr>
        <w:t xml:space="preserve"> </w:t>
      </w:r>
      <w:r>
        <w:t>la</w:t>
      </w:r>
      <w:r>
        <w:rPr>
          <w:spacing w:val="-4"/>
        </w:rPr>
        <w:t xml:space="preserve"> </w:t>
      </w:r>
      <w:r>
        <w:t>incorporación</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13"/>
        <w:jc w:val="both"/>
      </w:pPr>
      <w:proofErr w:type="gramStart"/>
      <w:r>
        <w:lastRenderedPageBreak/>
        <w:t>de</w:t>
      </w:r>
      <w:proofErr w:type="gramEnd"/>
      <w:r>
        <w:t xml:space="preserve"> más meliponicultores</w:t>
      </w:r>
      <w:r>
        <w:rPr>
          <w:spacing w:val="-4"/>
        </w:rPr>
        <w:t xml:space="preserve"> </w:t>
      </w:r>
      <w:r>
        <w:t>a</w:t>
      </w:r>
      <w:r>
        <w:rPr>
          <w:spacing w:val="-4"/>
        </w:rPr>
        <w:t xml:space="preserve"> </w:t>
      </w:r>
      <w:r>
        <w:t>la</w:t>
      </w:r>
      <w:r>
        <w:rPr>
          <w:spacing w:val="-4"/>
        </w:rPr>
        <w:t xml:space="preserve"> </w:t>
      </w:r>
      <w:r>
        <w:t>red,</w:t>
      </w:r>
      <w:r>
        <w:rPr>
          <w:spacing w:val="-4"/>
        </w:rPr>
        <w:t xml:space="preserve"> </w:t>
      </w:r>
      <w:r>
        <w:t>mitigando</w:t>
      </w:r>
      <w:r>
        <w:rPr>
          <w:spacing w:val="-4"/>
        </w:rPr>
        <w:t xml:space="preserve"> </w:t>
      </w:r>
      <w:r>
        <w:t>los</w:t>
      </w:r>
      <w:r>
        <w:rPr>
          <w:spacing w:val="-4"/>
        </w:rPr>
        <w:t xml:space="preserve"> </w:t>
      </w:r>
      <w:r>
        <w:t>riesgos</w:t>
      </w:r>
      <w:r>
        <w:rPr>
          <w:spacing w:val="-4"/>
        </w:rPr>
        <w:t xml:space="preserve"> </w:t>
      </w:r>
      <w:r>
        <w:t>agrícolas</w:t>
      </w:r>
      <w:r>
        <w:rPr>
          <w:spacing w:val="-4"/>
        </w:rPr>
        <w:t xml:space="preserve"> </w:t>
      </w:r>
      <w:r>
        <w:t>y</w:t>
      </w:r>
      <w:r>
        <w:rPr>
          <w:spacing w:val="-4"/>
        </w:rPr>
        <w:t xml:space="preserve"> </w:t>
      </w:r>
      <w:r>
        <w:t>climáticos</w:t>
      </w:r>
      <w:r>
        <w:rPr>
          <w:spacing w:val="-4"/>
        </w:rPr>
        <w:t xml:space="preserve"> </w:t>
      </w:r>
      <w:r>
        <w:t>para la empresa.</w:t>
      </w:r>
    </w:p>
    <w:p w:rsidR="009B4BB4" w:rsidRDefault="00C44001" w:rsidP="00C44001">
      <w:pPr>
        <w:pStyle w:val="Prrafodelista"/>
        <w:numPr>
          <w:ilvl w:val="0"/>
          <w:numId w:val="56"/>
        </w:numPr>
        <w:tabs>
          <w:tab w:val="left" w:pos="1145"/>
        </w:tabs>
        <w:spacing w:before="0" w:line="360" w:lineRule="auto"/>
        <w:ind w:right="603"/>
        <w:jc w:val="both"/>
      </w:pPr>
      <w:r>
        <w:rPr>
          <w:rFonts w:ascii="Arial" w:hAnsi="Arial"/>
          <w:b/>
        </w:rPr>
        <w:t xml:space="preserve">Foco en el </w:t>
      </w:r>
      <w:r>
        <w:rPr>
          <w:rFonts w:ascii="Arial" w:hAnsi="Arial"/>
          <w:b/>
          <w:i/>
        </w:rPr>
        <w:t xml:space="preserve">Brand Equity </w:t>
      </w:r>
      <w:r>
        <w:rPr>
          <w:rFonts w:ascii="Arial" w:hAnsi="Arial"/>
          <w:b/>
        </w:rPr>
        <w:t xml:space="preserve">y </w:t>
      </w:r>
      <w:r>
        <w:rPr>
          <w:rFonts w:ascii="Arial" w:hAnsi="Arial"/>
          <w:b/>
          <w:i/>
        </w:rPr>
        <w:t>Storytelling</w:t>
      </w:r>
      <w:r>
        <w:rPr>
          <w:rFonts w:ascii="Arial" w:hAnsi="Arial"/>
          <w:b/>
        </w:rPr>
        <w:t xml:space="preserve">: </w:t>
      </w:r>
      <w:r>
        <w:t>El núcleo de la empresa se concentra en el diseño de marca, el marketing de contenidos y la gestión de la comunidad digital. El valor real de Guardiana reside en su cap</w:t>
      </w:r>
      <w:r>
        <w:t xml:space="preserve">acidad de transformar un </w:t>
      </w:r>
      <w:r>
        <w:rPr>
          <w:rFonts w:ascii="Arial" w:hAnsi="Arial"/>
          <w:i/>
        </w:rPr>
        <w:t xml:space="preserve">commodity </w:t>
      </w:r>
      <w:r>
        <w:t>en un producto de deseo mediante una narrativa poderosa.</w:t>
      </w:r>
    </w:p>
    <w:p w:rsidR="009B4BB4" w:rsidRDefault="00C44001" w:rsidP="00C44001">
      <w:pPr>
        <w:pStyle w:val="Prrafodelista"/>
        <w:numPr>
          <w:ilvl w:val="0"/>
          <w:numId w:val="56"/>
        </w:numPr>
        <w:tabs>
          <w:tab w:val="left" w:pos="1145"/>
        </w:tabs>
        <w:spacing w:before="0" w:line="360" w:lineRule="auto"/>
        <w:ind w:right="605"/>
        <w:jc w:val="both"/>
      </w:pPr>
      <w:r>
        <w:rPr>
          <w:rFonts w:ascii="Arial" w:hAnsi="Arial"/>
          <w:b/>
        </w:rPr>
        <w:t xml:space="preserve">Estrategia omnicanal: </w:t>
      </w:r>
      <w:r>
        <w:t xml:space="preserve">Al reducir intermediarios innecesarios en la cadena de distribución, Guardiana captura un mayor margen de contribución. El modelo prioriza la </w:t>
      </w:r>
      <w:r>
        <w:t>venta directa en puntos físicos y la recompra</w:t>
      </w:r>
      <w:r>
        <w:rPr>
          <w:spacing w:val="-3"/>
        </w:rPr>
        <w:t xml:space="preserve"> </w:t>
      </w:r>
      <w:r>
        <w:t>automatizada</w:t>
      </w:r>
      <w:r>
        <w:rPr>
          <w:spacing w:val="-3"/>
        </w:rPr>
        <w:t xml:space="preserve"> </w:t>
      </w:r>
      <w:r>
        <w:t>a</w:t>
      </w:r>
      <w:r>
        <w:rPr>
          <w:spacing w:val="-3"/>
        </w:rPr>
        <w:t xml:space="preserve"> </w:t>
      </w:r>
      <w:r>
        <w:t>través</w:t>
      </w:r>
      <w:r>
        <w:rPr>
          <w:spacing w:val="-3"/>
        </w:rPr>
        <w:t xml:space="preserve"> </w:t>
      </w:r>
      <w:r>
        <w:t>de plataformas digitales, optimizando el ciclo de conversión.</w:t>
      </w:r>
    </w:p>
    <w:p w:rsidR="009B4BB4" w:rsidRDefault="00C44001">
      <w:pPr>
        <w:pStyle w:val="Textoindependiente"/>
        <w:spacing w:before="0" w:line="360" w:lineRule="auto"/>
        <w:ind w:left="425" w:right="609" w:firstLine="720"/>
        <w:jc w:val="both"/>
      </w:pPr>
      <w:r>
        <w:t>Esta configuración operativa busca</w:t>
      </w:r>
      <w:r>
        <w:rPr>
          <w:spacing w:val="-5"/>
        </w:rPr>
        <w:t xml:space="preserve"> </w:t>
      </w:r>
      <w:r>
        <w:t>garantizar</w:t>
      </w:r>
      <w:r>
        <w:rPr>
          <w:spacing w:val="-5"/>
        </w:rPr>
        <w:t xml:space="preserve"> </w:t>
      </w:r>
      <w:r>
        <w:t>agilidad</w:t>
      </w:r>
      <w:r>
        <w:rPr>
          <w:spacing w:val="-5"/>
        </w:rPr>
        <w:t xml:space="preserve"> </w:t>
      </w:r>
      <w:r>
        <w:t>financiera,</w:t>
      </w:r>
      <w:r>
        <w:rPr>
          <w:spacing w:val="-5"/>
        </w:rPr>
        <w:t xml:space="preserve"> </w:t>
      </w:r>
      <w:r>
        <w:t>permitiendo</w:t>
      </w:r>
      <w:r>
        <w:rPr>
          <w:spacing w:val="-5"/>
        </w:rPr>
        <w:t xml:space="preserve"> </w:t>
      </w:r>
      <w:r>
        <w:t>que Guardiana responda ágilmente</w:t>
      </w:r>
      <w:r>
        <w:rPr>
          <w:spacing w:val="-4"/>
        </w:rPr>
        <w:t xml:space="preserve"> </w:t>
      </w:r>
      <w:r>
        <w:t>a</w:t>
      </w:r>
      <w:r>
        <w:rPr>
          <w:spacing w:val="-4"/>
        </w:rPr>
        <w:t xml:space="preserve"> </w:t>
      </w:r>
      <w:r>
        <w:t>las</w:t>
      </w:r>
      <w:r>
        <w:rPr>
          <w:spacing w:val="-4"/>
        </w:rPr>
        <w:t xml:space="preserve"> </w:t>
      </w:r>
      <w:r>
        <w:t>tendenci</w:t>
      </w:r>
      <w:r>
        <w:t>as</w:t>
      </w:r>
      <w:r>
        <w:rPr>
          <w:spacing w:val="-4"/>
        </w:rPr>
        <w:t xml:space="preserve"> </w:t>
      </w:r>
      <w:r>
        <w:t>de</w:t>
      </w:r>
      <w:r>
        <w:rPr>
          <w:spacing w:val="-4"/>
        </w:rPr>
        <w:t xml:space="preserve"> </w:t>
      </w:r>
      <w:r>
        <w:t>mercado</w:t>
      </w:r>
      <w:r>
        <w:rPr>
          <w:spacing w:val="-4"/>
        </w:rPr>
        <w:t xml:space="preserve"> </w:t>
      </w:r>
      <w:r>
        <w:t>y</w:t>
      </w:r>
      <w:r>
        <w:rPr>
          <w:spacing w:val="-4"/>
        </w:rPr>
        <w:t xml:space="preserve"> </w:t>
      </w:r>
      <w:r>
        <w:t>reinvierte</w:t>
      </w:r>
      <w:r>
        <w:rPr>
          <w:spacing w:val="-4"/>
        </w:rPr>
        <w:t xml:space="preserve"> </w:t>
      </w:r>
      <w:r>
        <w:t>sus</w:t>
      </w:r>
      <w:r>
        <w:rPr>
          <w:spacing w:val="-4"/>
        </w:rPr>
        <w:t xml:space="preserve"> </w:t>
      </w:r>
      <w:r>
        <w:t>utilidades</w:t>
      </w:r>
      <w:r>
        <w:rPr>
          <w:spacing w:val="-4"/>
        </w:rPr>
        <w:t xml:space="preserve"> </w:t>
      </w:r>
      <w:r>
        <w:t>en la tecnificación de sus socios productores y en la expansión de su huella digital.</w:t>
      </w:r>
    </w:p>
    <w:p w:rsidR="009B4BB4" w:rsidRDefault="009B4BB4">
      <w:pPr>
        <w:pStyle w:val="Textoindependiente"/>
        <w:spacing w:before="126"/>
      </w:pPr>
    </w:p>
    <w:p w:rsidR="009B4BB4" w:rsidRDefault="00C44001">
      <w:pPr>
        <w:pStyle w:val="Ttulo1"/>
        <w:spacing w:before="1"/>
      </w:pPr>
      <w:r>
        <w:t>Unit</w:t>
      </w:r>
      <w:r>
        <w:rPr>
          <w:spacing w:val="-8"/>
        </w:rPr>
        <w:t xml:space="preserve"> </w:t>
      </w:r>
      <w:r>
        <w:t>Economics</w:t>
      </w:r>
      <w:r>
        <w:rPr>
          <w:spacing w:val="-8"/>
        </w:rPr>
        <w:t xml:space="preserve"> </w:t>
      </w:r>
      <w:r>
        <w:t>(estructura</w:t>
      </w:r>
      <w:r>
        <w:rPr>
          <w:spacing w:val="-8"/>
        </w:rPr>
        <w:t xml:space="preserve"> </w:t>
      </w:r>
      <w:r>
        <w:rPr>
          <w:spacing w:val="-2"/>
        </w:rPr>
        <w:t>simplificada)</w:t>
      </w:r>
    </w:p>
    <w:p w:rsidR="009B4BB4" w:rsidRDefault="00C44001">
      <w:pPr>
        <w:pStyle w:val="Textoindependiente"/>
        <w:spacing w:before="126" w:line="360" w:lineRule="auto"/>
        <w:ind w:left="425" w:right="607" w:firstLine="720"/>
        <w:jc w:val="both"/>
      </w:pPr>
      <w:r>
        <w:t xml:space="preserve">Para evaluar la viabilidad económica del modelo, se presenta una estructura simplificada de </w:t>
      </w:r>
      <w:r>
        <w:rPr>
          <w:rFonts w:ascii="Arial" w:hAnsi="Arial"/>
          <w:i/>
        </w:rPr>
        <w:t xml:space="preserve">unit economics </w:t>
      </w:r>
      <w:r>
        <w:t>que refleja la lógica de captura de valor por unidad:</w:t>
      </w:r>
    </w:p>
    <w:p w:rsidR="009B4BB4" w:rsidRDefault="009B4BB4">
      <w:pPr>
        <w:pStyle w:val="Textoindependiente"/>
        <w:spacing w:before="126"/>
      </w:pPr>
    </w:p>
    <w:p w:rsidR="009B4BB4" w:rsidRDefault="00C44001">
      <w:pPr>
        <w:pStyle w:val="Ttulo1"/>
        <w:spacing w:before="1"/>
        <w:ind w:left="425"/>
      </w:pPr>
      <w:r>
        <w:rPr>
          <w:spacing w:val="-2"/>
        </w:rPr>
        <w:t>Tabla</w:t>
      </w:r>
      <w:r>
        <w:rPr>
          <w:spacing w:val="-11"/>
        </w:rPr>
        <w:t xml:space="preserve"> </w:t>
      </w:r>
      <w:r>
        <w:rPr>
          <w:spacing w:val="-5"/>
        </w:rPr>
        <w:t>2.2</w:t>
      </w:r>
    </w:p>
    <w:p w:rsidR="009B4BB4" w:rsidRDefault="00C44001">
      <w:pPr>
        <w:spacing w:before="126"/>
        <w:ind w:left="425"/>
        <w:rPr>
          <w:rFonts w:ascii="Arial"/>
          <w:i/>
        </w:rPr>
      </w:pPr>
      <w:r>
        <w:rPr>
          <w:rFonts w:ascii="Arial"/>
          <w:i/>
        </w:rPr>
        <w:t>Estructura</w:t>
      </w:r>
      <w:r>
        <w:rPr>
          <w:rFonts w:ascii="Arial"/>
          <w:i/>
          <w:spacing w:val="-6"/>
        </w:rPr>
        <w:t xml:space="preserve"> </w:t>
      </w:r>
      <w:r>
        <w:rPr>
          <w:rFonts w:ascii="Arial"/>
          <w:i/>
        </w:rPr>
        <w:t>simplificada</w:t>
      </w:r>
      <w:r>
        <w:rPr>
          <w:rFonts w:ascii="Arial"/>
          <w:i/>
          <w:spacing w:val="-6"/>
        </w:rPr>
        <w:t xml:space="preserve"> </w:t>
      </w:r>
      <w:r>
        <w:rPr>
          <w:rFonts w:ascii="Arial"/>
          <w:i/>
        </w:rPr>
        <w:t>de</w:t>
      </w:r>
      <w:r>
        <w:rPr>
          <w:rFonts w:ascii="Arial"/>
          <w:i/>
          <w:spacing w:val="-6"/>
        </w:rPr>
        <w:t xml:space="preserve"> </w:t>
      </w:r>
      <w:r>
        <w:rPr>
          <w:rFonts w:ascii="Arial"/>
          <w:i/>
        </w:rPr>
        <w:t>unit</w:t>
      </w:r>
      <w:r>
        <w:rPr>
          <w:rFonts w:ascii="Arial"/>
          <w:i/>
          <w:spacing w:val="-6"/>
        </w:rPr>
        <w:t xml:space="preserve"> </w:t>
      </w:r>
      <w:r>
        <w:rPr>
          <w:rFonts w:ascii="Arial"/>
          <w:i/>
        </w:rPr>
        <w:t>economics</w:t>
      </w:r>
      <w:r>
        <w:rPr>
          <w:rFonts w:ascii="Arial"/>
          <w:i/>
          <w:spacing w:val="-6"/>
        </w:rPr>
        <w:t xml:space="preserve"> </w:t>
      </w:r>
      <w:r>
        <w:rPr>
          <w:rFonts w:ascii="Arial"/>
          <w:i/>
        </w:rPr>
        <w:t>por</w:t>
      </w:r>
      <w:r>
        <w:rPr>
          <w:rFonts w:ascii="Arial"/>
          <w:i/>
          <w:spacing w:val="-6"/>
        </w:rPr>
        <w:t xml:space="preserve"> </w:t>
      </w:r>
      <w:r>
        <w:rPr>
          <w:rFonts w:ascii="Arial"/>
          <w:i/>
        </w:rPr>
        <w:t>unidad</w:t>
      </w:r>
      <w:r>
        <w:rPr>
          <w:rFonts w:ascii="Arial"/>
          <w:i/>
          <w:spacing w:val="-6"/>
        </w:rPr>
        <w:t xml:space="preserve"> </w:t>
      </w:r>
      <w:r>
        <w:rPr>
          <w:rFonts w:ascii="Arial"/>
          <w:i/>
        </w:rPr>
        <w:t>de</w:t>
      </w:r>
      <w:r>
        <w:rPr>
          <w:rFonts w:ascii="Arial"/>
          <w:i/>
          <w:spacing w:val="-6"/>
        </w:rPr>
        <w:t xml:space="preserve"> </w:t>
      </w:r>
      <w:r>
        <w:rPr>
          <w:rFonts w:ascii="Arial"/>
          <w:i/>
        </w:rPr>
        <w:t>producto</w:t>
      </w:r>
      <w:r>
        <w:rPr>
          <w:rFonts w:ascii="Arial"/>
          <w:i/>
          <w:spacing w:val="-6"/>
        </w:rPr>
        <w:t xml:space="preserve"> </w:t>
      </w:r>
      <w:r>
        <w:rPr>
          <w:rFonts w:ascii="Arial"/>
          <w:i/>
        </w:rPr>
        <w:t>(100</w:t>
      </w:r>
      <w:r>
        <w:rPr>
          <w:rFonts w:ascii="Arial"/>
          <w:i/>
          <w:spacing w:val="-6"/>
        </w:rPr>
        <w:t xml:space="preserve"> </w:t>
      </w:r>
      <w:r>
        <w:rPr>
          <w:rFonts w:ascii="Arial"/>
          <w:i/>
          <w:spacing w:val="-5"/>
        </w:rPr>
        <w:t>g)</w:t>
      </w:r>
    </w:p>
    <w:p w:rsidR="009B4BB4" w:rsidRDefault="009B4BB4">
      <w:pPr>
        <w:pStyle w:val="Textoindependiente"/>
        <w:spacing w:before="3"/>
        <w:rPr>
          <w:rFonts w:ascii="Arial"/>
          <w:i/>
          <w:sz w:val="10"/>
        </w:rPr>
      </w:pPr>
    </w:p>
    <w:tbl>
      <w:tblPr>
        <w:tblStyle w:val="TableNormal"/>
        <w:tblW w:w="0" w:type="auto"/>
        <w:tblInd w:w="432" w:type="dxa"/>
        <w:tblLayout w:type="fixed"/>
        <w:tblLook w:val="01E0" w:firstRow="1" w:lastRow="1" w:firstColumn="1" w:lastColumn="1" w:noHBand="0" w:noVBand="0"/>
      </w:tblPr>
      <w:tblGrid>
        <w:gridCol w:w="3842"/>
        <w:gridCol w:w="4919"/>
      </w:tblGrid>
      <w:tr w:rsidR="009B4BB4">
        <w:trPr>
          <w:trHeight w:val="459"/>
        </w:trPr>
        <w:tc>
          <w:tcPr>
            <w:tcW w:w="3842" w:type="dxa"/>
            <w:tcBorders>
              <w:top w:val="single" w:sz="8" w:space="0" w:color="000000"/>
              <w:bottom w:val="single" w:sz="8" w:space="0" w:color="000000"/>
            </w:tcBorders>
          </w:tcPr>
          <w:p w:rsidR="009B4BB4" w:rsidRDefault="00C44001">
            <w:pPr>
              <w:pStyle w:val="TableParagraph"/>
              <w:spacing w:before="109"/>
              <w:ind w:left="105"/>
              <w:rPr>
                <w:rFonts w:ascii="Arial"/>
                <w:b/>
              </w:rPr>
            </w:pPr>
            <w:r>
              <w:rPr>
                <w:rFonts w:ascii="Arial"/>
                <w:b/>
                <w:spacing w:val="-2"/>
              </w:rPr>
              <w:t>Concepto</w:t>
            </w:r>
          </w:p>
        </w:tc>
        <w:tc>
          <w:tcPr>
            <w:tcW w:w="4919" w:type="dxa"/>
            <w:tcBorders>
              <w:top w:val="single" w:sz="8" w:space="0" w:color="000000"/>
              <w:bottom w:val="single" w:sz="8" w:space="0" w:color="000000"/>
            </w:tcBorders>
          </w:tcPr>
          <w:p w:rsidR="009B4BB4" w:rsidRDefault="00C44001">
            <w:pPr>
              <w:pStyle w:val="TableParagraph"/>
              <w:spacing w:before="109"/>
              <w:ind w:left="643"/>
              <w:rPr>
                <w:rFonts w:ascii="Arial" w:hAnsi="Arial"/>
                <w:b/>
              </w:rPr>
            </w:pPr>
            <w:r>
              <w:rPr>
                <w:rFonts w:ascii="Arial" w:hAnsi="Arial"/>
                <w:b/>
              </w:rPr>
              <w:t>Estimación</w:t>
            </w:r>
            <w:r>
              <w:rPr>
                <w:rFonts w:ascii="Arial" w:hAnsi="Arial"/>
                <w:b/>
                <w:spacing w:val="-6"/>
              </w:rPr>
              <w:t xml:space="preserve"> </w:t>
            </w:r>
            <w:r>
              <w:rPr>
                <w:rFonts w:ascii="Arial" w:hAnsi="Arial"/>
                <w:b/>
              </w:rPr>
              <w:t>por</w:t>
            </w:r>
            <w:r>
              <w:rPr>
                <w:rFonts w:ascii="Arial" w:hAnsi="Arial"/>
                <w:b/>
                <w:spacing w:val="-6"/>
              </w:rPr>
              <w:t xml:space="preserve"> </w:t>
            </w:r>
            <w:r>
              <w:rPr>
                <w:rFonts w:ascii="Arial" w:hAnsi="Arial"/>
                <w:b/>
              </w:rPr>
              <w:t>unidad</w:t>
            </w:r>
            <w:r>
              <w:rPr>
                <w:rFonts w:ascii="Arial" w:hAnsi="Arial"/>
                <w:b/>
                <w:spacing w:val="-6"/>
              </w:rPr>
              <w:t xml:space="preserve"> </w:t>
            </w:r>
            <w:r>
              <w:rPr>
                <w:rFonts w:ascii="Arial" w:hAnsi="Arial"/>
                <w:b/>
              </w:rPr>
              <w:t>(100</w:t>
            </w:r>
            <w:r>
              <w:rPr>
                <w:rFonts w:ascii="Arial" w:hAnsi="Arial"/>
                <w:b/>
                <w:spacing w:val="-5"/>
              </w:rPr>
              <w:t xml:space="preserve"> g)</w:t>
            </w:r>
          </w:p>
        </w:tc>
      </w:tr>
      <w:tr w:rsidR="009B4BB4">
        <w:trPr>
          <w:trHeight w:val="468"/>
        </w:trPr>
        <w:tc>
          <w:tcPr>
            <w:tcW w:w="3842" w:type="dxa"/>
            <w:tcBorders>
              <w:top w:val="single" w:sz="8" w:space="0" w:color="000000"/>
            </w:tcBorders>
          </w:tcPr>
          <w:p w:rsidR="009B4BB4" w:rsidRDefault="00C44001">
            <w:pPr>
              <w:pStyle w:val="TableParagraph"/>
              <w:spacing w:before="106"/>
              <w:ind w:left="105"/>
            </w:pPr>
            <w:r>
              <w:t>Costo</w:t>
            </w:r>
            <w:r>
              <w:rPr>
                <w:spacing w:val="-5"/>
              </w:rPr>
              <w:t xml:space="preserve"> </w:t>
            </w:r>
            <w:r>
              <w:t>de</w:t>
            </w:r>
            <w:r>
              <w:rPr>
                <w:spacing w:val="-5"/>
              </w:rPr>
              <w:t xml:space="preserve"> </w:t>
            </w:r>
            <w:r>
              <w:t>adquisición</w:t>
            </w:r>
            <w:r>
              <w:rPr>
                <w:spacing w:val="-5"/>
              </w:rPr>
              <w:t xml:space="preserve"> </w:t>
            </w:r>
            <w:r>
              <w:t>de</w:t>
            </w:r>
            <w:r>
              <w:rPr>
                <w:spacing w:val="-5"/>
              </w:rPr>
              <w:t xml:space="preserve"> </w:t>
            </w:r>
            <w:r>
              <w:rPr>
                <w:spacing w:val="-4"/>
              </w:rPr>
              <w:t>miel</w:t>
            </w:r>
          </w:p>
        </w:tc>
        <w:tc>
          <w:tcPr>
            <w:tcW w:w="4919" w:type="dxa"/>
            <w:tcBorders>
              <w:top w:val="single" w:sz="8" w:space="0" w:color="000000"/>
            </w:tcBorders>
          </w:tcPr>
          <w:p w:rsidR="009B4BB4" w:rsidRDefault="00C44001">
            <w:pPr>
              <w:pStyle w:val="TableParagraph"/>
              <w:spacing w:before="106"/>
              <w:ind w:left="2062"/>
            </w:pPr>
            <w:r>
              <w:t>$8</w:t>
            </w:r>
            <w:r>
              <w:rPr>
                <w:spacing w:val="-2"/>
              </w:rPr>
              <w:t xml:space="preserve"> </w:t>
            </w:r>
            <w:r>
              <w:t>-</w:t>
            </w:r>
            <w:r>
              <w:rPr>
                <w:spacing w:val="-2"/>
              </w:rPr>
              <w:t xml:space="preserve"> </w:t>
            </w:r>
            <w:r>
              <w:t>$10</w:t>
            </w:r>
            <w:r>
              <w:rPr>
                <w:spacing w:val="-2"/>
              </w:rPr>
              <w:t xml:space="preserve"> </w:t>
            </w:r>
            <w:r>
              <w:rPr>
                <w:spacing w:val="-5"/>
              </w:rPr>
              <w:t>USD</w:t>
            </w:r>
          </w:p>
        </w:tc>
      </w:tr>
      <w:tr w:rsidR="009B4BB4">
        <w:trPr>
          <w:trHeight w:val="463"/>
        </w:trPr>
        <w:tc>
          <w:tcPr>
            <w:tcW w:w="3842" w:type="dxa"/>
          </w:tcPr>
          <w:p w:rsidR="009B4BB4" w:rsidRDefault="00C44001">
            <w:pPr>
              <w:pStyle w:val="TableParagraph"/>
              <w:spacing w:before="101"/>
              <w:ind w:left="105"/>
            </w:pPr>
            <w:r>
              <w:t>Costo</w:t>
            </w:r>
            <w:r>
              <w:rPr>
                <w:spacing w:val="-4"/>
              </w:rPr>
              <w:t xml:space="preserve"> </w:t>
            </w:r>
            <w:r>
              <w:t>de</w:t>
            </w:r>
            <w:r>
              <w:rPr>
                <w:spacing w:val="-4"/>
              </w:rPr>
              <w:t xml:space="preserve"> </w:t>
            </w:r>
            <w:r>
              <w:t>empaque</w:t>
            </w:r>
            <w:r>
              <w:rPr>
                <w:spacing w:val="-4"/>
              </w:rPr>
              <w:t xml:space="preserve"> </w:t>
            </w:r>
            <w:r>
              <w:t>y</w:t>
            </w:r>
            <w:r>
              <w:rPr>
                <w:spacing w:val="-3"/>
              </w:rPr>
              <w:t xml:space="preserve"> </w:t>
            </w:r>
            <w:r>
              <w:rPr>
                <w:spacing w:val="-2"/>
              </w:rPr>
              <w:t>diseño</w:t>
            </w:r>
          </w:p>
        </w:tc>
        <w:tc>
          <w:tcPr>
            <w:tcW w:w="4919" w:type="dxa"/>
          </w:tcPr>
          <w:p w:rsidR="009B4BB4" w:rsidRDefault="00C44001">
            <w:pPr>
              <w:pStyle w:val="TableParagraph"/>
              <w:spacing w:before="101"/>
              <w:ind w:left="2123"/>
            </w:pPr>
            <w:r>
              <w:t>$3</w:t>
            </w:r>
            <w:r>
              <w:rPr>
                <w:spacing w:val="-2"/>
              </w:rPr>
              <w:t xml:space="preserve"> </w:t>
            </w:r>
            <w:r>
              <w:t>-</w:t>
            </w:r>
            <w:r>
              <w:rPr>
                <w:spacing w:val="-2"/>
              </w:rPr>
              <w:t xml:space="preserve"> </w:t>
            </w:r>
            <w:r>
              <w:t>$5</w:t>
            </w:r>
            <w:r>
              <w:rPr>
                <w:spacing w:val="-1"/>
              </w:rPr>
              <w:t xml:space="preserve"> </w:t>
            </w:r>
            <w:r>
              <w:rPr>
                <w:spacing w:val="-5"/>
              </w:rPr>
              <w:t>USD</w:t>
            </w:r>
          </w:p>
        </w:tc>
      </w:tr>
      <w:tr w:rsidR="009B4BB4">
        <w:trPr>
          <w:trHeight w:val="462"/>
        </w:trPr>
        <w:tc>
          <w:tcPr>
            <w:tcW w:w="3842" w:type="dxa"/>
          </w:tcPr>
          <w:p w:rsidR="009B4BB4" w:rsidRDefault="00C44001">
            <w:pPr>
              <w:pStyle w:val="TableParagraph"/>
              <w:spacing w:before="101"/>
              <w:ind w:left="105"/>
            </w:pPr>
            <w:r>
              <w:t>Costo</w:t>
            </w:r>
            <w:r>
              <w:rPr>
                <w:spacing w:val="-5"/>
              </w:rPr>
              <w:t xml:space="preserve"> </w:t>
            </w:r>
            <w:r>
              <w:t>de</w:t>
            </w:r>
            <w:r>
              <w:rPr>
                <w:spacing w:val="-4"/>
              </w:rPr>
              <w:t xml:space="preserve"> </w:t>
            </w:r>
            <w:r>
              <w:t>logística</w:t>
            </w:r>
            <w:r>
              <w:rPr>
                <w:spacing w:val="-4"/>
              </w:rPr>
              <w:t xml:space="preserve"> </w:t>
            </w:r>
            <w:r>
              <w:t>y</w:t>
            </w:r>
            <w:r>
              <w:rPr>
                <w:spacing w:val="-4"/>
              </w:rPr>
              <w:t xml:space="preserve"> </w:t>
            </w:r>
            <w:r>
              <w:rPr>
                <w:spacing w:val="-2"/>
              </w:rPr>
              <w:t>distribución</w:t>
            </w:r>
          </w:p>
        </w:tc>
        <w:tc>
          <w:tcPr>
            <w:tcW w:w="4919" w:type="dxa"/>
          </w:tcPr>
          <w:p w:rsidR="009B4BB4" w:rsidRDefault="00C44001">
            <w:pPr>
              <w:pStyle w:val="TableParagraph"/>
              <w:spacing w:before="101"/>
              <w:ind w:left="2123"/>
            </w:pPr>
            <w:r>
              <w:t>$2</w:t>
            </w:r>
            <w:r>
              <w:rPr>
                <w:spacing w:val="-2"/>
              </w:rPr>
              <w:t xml:space="preserve"> </w:t>
            </w:r>
            <w:r>
              <w:t>-</w:t>
            </w:r>
            <w:r>
              <w:rPr>
                <w:spacing w:val="-2"/>
              </w:rPr>
              <w:t xml:space="preserve"> </w:t>
            </w:r>
            <w:r>
              <w:t>$3</w:t>
            </w:r>
            <w:r>
              <w:rPr>
                <w:spacing w:val="-1"/>
              </w:rPr>
              <w:t xml:space="preserve"> </w:t>
            </w:r>
            <w:r>
              <w:rPr>
                <w:spacing w:val="-5"/>
              </w:rPr>
              <w:t>USD</w:t>
            </w:r>
          </w:p>
        </w:tc>
      </w:tr>
      <w:tr w:rsidR="009B4BB4">
        <w:trPr>
          <w:trHeight w:val="462"/>
        </w:trPr>
        <w:tc>
          <w:tcPr>
            <w:tcW w:w="3842" w:type="dxa"/>
          </w:tcPr>
          <w:p w:rsidR="009B4BB4" w:rsidRDefault="00C44001">
            <w:pPr>
              <w:pStyle w:val="TableParagraph"/>
              <w:spacing w:before="101"/>
              <w:ind w:left="105"/>
            </w:pPr>
            <w:r>
              <w:t>Costo</w:t>
            </w:r>
            <w:r>
              <w:rPr>
                <w:spacing w:val="-5"/>
              </w:rPr>
              <w:t xml:space="preserve"> </w:t>
            </w:r>
            <w:r>
              <w:t>total</w:t>
            </w:r>
            <w:r>
              <w:rPr>
                <w:spacing w:val="-5"/>
              </w:rPr>
              <w:t xml:space="preserve"> </w:t>
            </w:r>
            <w:r>
              <w:rPr>
                <w:spacing w:val="-2"/>
              </w:rPr>
              <w:t>estimado</w:t>
            </w:r>
          </w:p>
        </w:tc>
        <w:tc>
          <w:tcPr>
            <w:tcW w:w="4919" w:type="dxa"/>
          </w:tcPr>
          <w:p w:rsidR="009B4BB4" w:rsidRDefault="00C44001">
            <w:pPr>
              <w:pStyle w:val="TableParagraph"/>
              <w:spacing w:before="101"/>
              <w:ind w:left="1983"/>
            </w:pPr>
            <w:r>
              <w:t>$13</w:t>
            </w:r>
            <w:r>
              <w:rPr>
                <w:spacing w:val="-3"/>
              </w:rPr>
              <w:t xml:space="preserve"> </w:t>
            </w:r>
            <w:r>
              <w:t>y</w:t>
            </w:r>
            <w:r>
              <w:rPr>
                <w:spacing w:val="-2"/>
              </w:rPr>
              <w:t xml:space="preserve"> </w:t>
            </w:r>
            <w:r>
              <w:t>$18</w:t>
            </w:r>
            <w:r>
              <w:rPr>
                <w:spacing w:val="-2"/>
              </w:rPr>
              <w:t xml:space="preserve"> </w:t>
            </w:r>
            <w:r>
              <w:rPr>
                <w:spacing w:val="-5"/>
              </w:rPr>
              <w:t>USD</w:t>
            </w:r>
          </w:p>
        </w:tc>
      </w:tr>
      <w:tr w:rsidR="009B4BB4">
        <w:trPr>
          <w:trHeight w:val="442"/>
        </w:trPr>
        <w:tc>
          <w:tcPr>
            <w:tcW w:w="3842" w:type="dxa"/>
            <w:tcBorders>
              <w:bottom w:val="single" w:sz="8" w:space="0" w:color="000000"/>
            </w:tcBorders>
          </w:tcPr>
          <w:p w:rsidR="009B4BB4" w:rsidRDefault="00C44001">
            <w:pPr>
              <w:pStyle w:val="TableParagraph"/>
              <w:spacing w:before="101"/>
              <w:ind w:left="105"/>
            </w:pPr>
            <w:r>
              <w:t>Precio</w:t>
            </w:r>
            <w:r>
              <w:rPr>
                <w:spacing w:val="-5"/>
              </w:rPr>
              <w:t xml:space="preserve"> </w:t>
            </w:r>
            <w:r>
              <w:t>de</w:t>
            </w:r>
            <w:r>
              <w:rPr>
                <w:spacing w:val="-4"/>
              </w:rPr>
              <w:t xml:space="preserve"> </w:t>
            </w:r>
            <w:r>
              <w:t>venta</w:t>
            </w:r>
            <w:r>
              <w:rPr>
                <w:spacing w:val="-4"/>
              </w:rPr>
              <w:t xml:space="preserve"> </w:t>
            </w:r>
            <w:r>
              <w:rPr>
                <w:spacing w:val="-2"/>
              </w:rPr>
              <w:t>estimado</w:t>
            </w:r>
          </w:p>
        </w:tc>
        <w:tc>
          <w:tcPr>
            <w:tcW w:w="4919" w:type="dxa"/>
            <w:tcBorders>
              <w:bottom w:val="single" w:sz="8" w:space="0" w:color="000000"/>
            </w:tcBorders>
          </w:tcPr>
          <w:p w:rsidR="009B4BB4" w:rsidRDefault="00C44001">
            <w:pPr>
              <w:pStyle w:val="TableParagraph"/>
              <w:spacing w:before="101"/>
              <w:ind w:left="2001"/>
            </w:pPr>
            <w:r>
              <w:t>$25</w:t>
            </w:r>
            <w:r>
              <w:rPr>
                <w:spacing w:val="-3"/>
              </w:rPr>
              <w:t xml:space="preserve"> </w:t>
            </w:r>
            <w:r>
              <w:t>-</w:t>
            </w:r>
            <w:r>
              <w:rPr>
                <w:spacing w:val="-2"/>
              </w:rPr>
              <w:t xml:space="preserve"> </w:t>
            </w:r>
            <w:r>
              <w:t>$30</w:t>
            </w:r>
            <w:r>
              <w:rPr>
                <w:spacing w:val="-2"/>
              </w:rPr>
              <w:t xml:space="preserve"> </w:t>
            </w:r>
            <w:r>
              <w:rPr>
                <w:spacing w:val="-5"/>
              </w:rPr>
              <w:t>USD</w:t>
            </w:r>
          </w:p>
        </w:tc>
      </w:tr>
      <w:tr w:rsidR="009B4BB4">
        <w:trPr>
          <w:trHeight w:val="460"/>
        </w:trPr>
        <w:tc>
          <w:tcPr>
            <w:tcW w:w="3842" w:type="dxa"/>
            <w:tcBorders>
              <w:top w:val="single" w:sz="8" w:space="0" w:color="000000"/>
              <w:bottom w:val="single" w:sz="8" w:space="0" w:color="000000"/>
            </w:tcBorders>
          </w:tcPr>
          <w:p w:rsidR="009B4BB4" w:rsidRDefault="00C44001">
            <w:pPr>
              <w:pStyle w:val="TableParagraph"/>
              <w:spacing w:before="116"/>
              <w:ind w:left="105"/>
              <w:rPr>
                <w:rFonts w:ascii="Arial"/>
                <w:b/>
              </w:rPr>
            </w:pPr>
            <w:r>
              <w:rPr>
                <w:rFonts w:ascii="Arial"/>
                <w:b/>
              </w:rPr>
              <w:t>Margen</w:t>
            </w:r>
            <w:r>
              <w:rPr>
                <w:rFonts w:ascii="Arial"/>
                <w:b/>
                <w:spacing w:val="-6"/>
              </w:rPr>
              <w:t xml:space="preserve"> </w:t>
            </w:r>
            <w:r>
              <w:rPr>
                <w:rFonts w:ascii="Arial"/>
                <w:b/>
              </w:rPr>
              <w:t>bruto</w:t>
            </w:r>
            <w:r>
              <w:rPr>
                <w:rFonts w:ascii="Arial"/>
                <w:b/>
                <w:spacing w:val="-5"/>
              </w:rPr>
              <w:t xml:space="preserve"> </w:t>
            </w:r>
            <w:r>
              <w:rPr>
                <w:rFonts w:ascii="Arial"/>
                <w:b/>
                <w:spacing w:val="-2"/>
              </w:rPr>
              <w:t>estimado</w:t>
            </w:r>
          </w:p>
        </w:tc>
        <w:tc>
          <w:tcPr>
            <w:tcW w:w="4919" w:type="dxa"/>
            <w:tcBorders>
              <w:top w:val="single" w:sz="8" w:space="0" w:color="000000"/>
              <w:bottom w:val="single" w:sz="8" w:space="0" w:color="000000"/>
            </w:tcBorders>
          </w:tcPr>
          <w:p w:rsidR="009B4BB4" w:rsidRDefault="00C44001">
            <w:pPr>
              <w:pStyle w:val="TableParagraph"/>
              <w:spacing w:before="116"/>
              <w:ind w:left="2001"/>
              <w:rPr>
                <w:rFonts w:ascii="Arial"/>
                <w:b/>
              </w:rPr>
            </w:pPr>
            <w:r>
              <w:rPr>
                <w:rFonts w:ascii="Arial"/>
                <w:b/>
              </w:rPr>
              <w:t>$10</w:t>
            </w:r>
            <w:r>
              <w:rPr>
                <w:rFonts w:ascii="Arial"/>
                <w:b/>
                <w:spacing w:val="-3"/>
              </w:rPr>
              <w:t xml:space="preserve"> </w:t>
            </w:r>
            <w:r>
              <w:rPr>
                <w:rFonts w:ascii="Arial"/>
                <w:b/>
              </w:rPr>
              <w:t>-</w:t>
            </w:r>
            <w:r>
              <w:rPr>
                <w:rFonts w:ascii="Arial"/>
                <w:b/>
                <w:spacing w:val="-2"/>
              </w:rPr>
              <w:t xml:space="preserve"> </w:t>
            </w:r>
            <w:r>
              <w:rPr>
                <w:rFonts w:ascii="Arial"/>
                <w:b/>
              </w:rPr>
              <w:t>$15</w:t>
            </w:r>
            <w:r>
              <w:rPr>
                <w:rFonts w:ascii="Arial"/>
                <w:b/>
                <w:spacing w:val="-2"/>
              </w:rPr>
              <w:t xml:space="preserve"> </w:t>
            </w:r>
            <w:r>
              <w:rPr>
                <w:rFonts w:ascii="Arial"/>
                <w:b/>
                <w:spacing w:val="-5"/>
              </w:rPr>
              <w:t>USD</w:t>
            </w:r>
          </w:p>
        </w:tc>
      </w:tr>
    </w:tbl>
    <w:p w:rsidR="009B4BB4" w:rsidRDefault="009B4BB4">
      <w:pPr>
        <w:pStyle w:val="Textoindependiente"/>
        <w:spacing w:before="0"/>
        <w:rPr>
          <w:rFonts w:ascii="Arial"/>
          <w:i/>
        </w:rPr>
      </w:pPr>
    </w:p>
    <w:p w:rsidR="009B4BB4" w:rsidRDefault="00C44001">
      <w:pPr>
        <w:pStyle w:val="Textoindependiente"/>
        <w:spacing w:before="0" w:line="360" w:lineRule="auto"/>
        <w:ind w:left="425" w:right="603"/>
        <w:jc w:val="both"/>
      </w:pPr>
      <w:r>
        <w:rPr>
          <w:rFonts w:ascii="Arial" w:hAnsi="Arial"/>
          <w:i/>
        </w:rPr>
        <w:t xml:space="preserve">Nota. </w:t>
      </w:r>
      <w:r>
        <w:t>Los valores presentados corresponden a estimaciones preliminares elaboradas antes del trabajo de campo. El</w:t>
      </w:r>
      <w:r>
        <w:rPr>
          <w:spacing w:val="-4"/>
        </w:rPr>
        <w:t xml:space="preserve"> </w:t>
      </w:r>
      <w:r>
        <w:t>desglose</w:t>
      </w:r>
      <w:r>
        <w:rPr>
          <w:spacing w:val="-4"/>
        </w:rPr>
        <w:t xml:space="preserve"> </w:t>
      </w:r>
      <w:r>
        <w:t>definitivo</w:t>
      </w:r>
      <w:r>
        <w:rPr>
          <w:spacing w:val="-4"/>
        </w:rPr>
        <w:t xml:space="preserve"> </w:t>
      </w:r>
      <w:r>
        <w:t>del</w:t>
      </w:r>
      <w:r>
        <w:rPr>
          <w:spacing w:val="-4"/>
        </w:rPr>
        <w:t xml:space="preserve"> </w:t>
      </w:r>
      <w:r>
        <w:t>costo</w:t>
      </w:r>
      <w:r>
        <w:rPr>
          <w:spacing w:val="-4"/>
        </w:rPr>
        <w:t xml:space="preserve"> </w:t>
      </w:r>
      <w:r>
        <w:t>unitario,</w:t>
      </w:r>
      <w:r>
        <w:rPr>
          <w:spacing w:val="-4"/>
        </w:rPr>
        <w:t xml:space="preserve"> </w:t>
      </w:r>
      <w:r>
        <w:t>validado</w:t>
      </w:r>
      <w:r>
        <w:rPr>
          <w:spacing w:val="-4"/>
        </w:rPr>
        <w:t xml:space="preserve"> </w:t>
      </w:r>
      <w:r>
        <w:t>con</w:t>
      </w:r>
      <w:r>
        <w:rPr>
          <w:spacing w:val="-4"/>
        </w:rPr>
        <w:t xml:space="preserve"> </w:t>
      </w:r>
      <w:r>
        <w:t>precios reales de mercado, se presenta en el Capítulo 7</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425"/>
      </w:pPr>
      <w:r>
        <w:lastRenderedPageBreak/>
        <w:t>Figura</w:t>
      </w:r>
      <w:r>
        <w:rPr>
          <w:spacing w:val="-6"/>
        </w:rPr>
        <w:t xml:space="preserve"> </w:t>
      </w:r>
      <w:r>
        <w:rPr>
          <w:spacing w:val="-5"/>
        </w:rPr>
        <w:t>2.4</w:t>
      </w:r>
    </w:p>
    <w:p w:rsidR="009B4BB4" w:rsidRDefault="00C44001">
      <w:pPr>
        <w:spacing w:before="127"/>
        <w:ind w:left="425"/>
        <w:rPr>
          <w:rFonts w:ascii="Arial"/>
          <w:i/>
        </w:rPr>
      </w:pPr>
      <w:r>
        <w:rPr>
          <w:rFonts w:ascii="Arial"/>
          <w:i/>
        </w:rPr>
        <w:t>Business</w:t>
      </w:r>
      <w:r>
        <w:rPr>
          <w:rFonts w:ascii="Arial"/>
          <w:i/>
          <w:spacing w:val="-8"/>
        </w:rPr>
        <w:t xml:space="preserve"> </w:t>
      </w:r>
      <w:r>
        <w:rPr>
          <w:rFonts w:ascii="Arial"/>
          <w:i/>
        </w:rPr>
        <w:t>Model</w:t>
      </w:r>
      <w:r>
        <w:rPr>
          <w:rFonts w:ascii="Arial"/>
          <w:i/>
          <w:spacing w:val="-8"/>
        </w:rPr>
        <w:t xml:space="preserve"> </w:t>
      </w:r>
      <w:r>
        <w:rPr>
          <w:rFonts w:ascii="Arial"/>
          <w:i/>
        </w:rPr>
        <w:t>Canvas:</w:t>
      </w:r>
      <w:r>
        <w:rPr>
          <w:rFonts w:ascii="Arial"/>
          <w:i/>
          <w:spacing w:val="-8"/>
        </w:rPr>
        <w:t xml:space="preserve"> </w:t>
      </w:r>
      <w:r>
        <w:rPr>
          <w:rFonts w:ascii="Arial"/>
          <w:i/>
        </w:rPr>
        <w:t>Guardiana</w:t>
      </w:r>
      <w:r>
        <w:rPr>
          <w:rFonts w:ascii="Arial"/>
          <w:i/>
          <w:spacing w:val="-8"/>
        </w:rPr>
        <w:t xml:space="preserve"> </w:t>
      </w:r>
      <w:r>
        <w:rPr>
          <w:rFonts w:ascii="Arial"/>
          <w:i/>
        </w:rPr>
        <w:t>(Estructura</w:t>
      </w:r>
      <w:r>
        <w:rPr>
          <w:rFonts w:ascii="Arial"/>
          <w:i/>
          <w:spacing w:val="-8"/>
        </w:rPr>
        <w:t xml:space="preserve"> </w:t>
      </w:r>
      <w:r>
        <w:rPr>
          <w:rFonts w:ascii="Arial"/>
          <w:i/>
          <w:spacing w:val="-2"/>
        </w:rPr>
        <w:t>Conceptual)</w:t>
      </w:r>
    </w:p>
    <w:p w:rsidR="009B4BB4" w:rsidRDefault="00C44001">
      <w:pPr>
        <w:pStyle w:val="Textoindependiente"/>
        <w:spacing w:before="156"/>
        <w:rPr>
          <w:rFonts w:ascii="Arial"/>
          <w:i/>
          <w:sz w:val="20"/>
        </w:rPr>
      </w:pPr>
      <w:r>
        <w:rPr>
          <w:rFonts w:ascii="Arial"/>
          <w:i/>
          <w:noProof/>
          <w:sz w:val="20"/>
          <w:lang w:val="es-AR" w:eastAsia="es-AR"/>
        </w:rPr>
        <w:drawing>
          <wp:anchor distT="0" distB="0" distL="0" distR="0" simplePos="0" relativeHeight="487590400" behindDoc="1" locked="0" layoutInCell="1" allowOverlap="1">
            <wp:simplePos x="0" y="0"/>
            <wp:positionH relativeFrom="page">
              <wp:posOffset>2613895</wp:posOffset>
            </wp:positionH>
            <wp:positionV relativeFrom="paragraph">
              <wp:posOffset>260689</wp:posOffset>
            </wp:positionV>
            <wp:extent cx="3426377" cy="648109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3426377" cy="6481095"/>
                    </a:xfrm>
                    <a:prstGeom prst="rect">
                      <a:avLst/>
                    </a:prstGeom>
                  </pic:spPr>
                </pic:pic>
              </a:graphicData>
            </a:graphic>
          </wp:anchor>
        </w:drawing>
      </w:r>
    </w:p>
    <w:p w:rsidR="009B4BB4" w:rsidRDefault="00C44001">
      <w:pPr>
        <w:pStyle w:val="Textoindependiente"/>
        <w:spacing w:before="79" w:line="360" w:lineRule="auto"/>
        <w:ind w:left="425" w:right="603"/>
        <w:jc w:val="both"/>
      </w:pPr>
      <w:r>
        <w:rPr>
          <w:rFonts w:ascii="Arial" w:hAnsi="Arial"/>
          <w:i/>
        </w:rPr>
        <w:t xml:space="preserve">Nota. </w:t>
      </w:r>
      <w:r>
        <w:t>Modelo de negocio de Guardiana basado</w:t>
      </w:r>
      <w:r>
        <w:rPr>
          <w:spacing w:val="-3"/>
        </w:rPr>
        <w:t xml:space="preserve"> </w:t>
      </w:r>
      <w:r>
        <w:t>en</w:t>
      </w:r>
      <w:r>
        <w:rPr>
          <w:spacing w:val="-3"/>
        </w:rPr>
        <w:t xml:space="preserve"> </w:t>
      </w:r>
      <w:r>
        <w:t>el</w:t>
      </w:r>
      <w:r>
        <w:rPr>
          <w:spacing w:val="-3"/>
        </w:rPr>
        <w:t xml:space="preserve"> </w:t>
      </w:r>
      <w:r>
        <w:t>esquema</w:t>
      </w:r>
      <w:r>
        <w:rPr>
          <w:spacing w:val="-3"/>
        </w:rPr>
        <w:t xml:space="preserve"> </w:t>
      </w:r>
      <w:r>
        <w:t>de</w:t>
      </w:r>
      <w:r>
        <w:rPr>
          <w:spacing w:val="-3"/>
        </w:rPr>
        <w:t xml:space="preserve"> </w:t>
      </w:r>
      <w:r>
        <w:t>Osterwalder</w:t>
      </w:r>
      <w:r>
        <w:rPr>
          <w:spacing w:val="-3"/>
        </w:rPr>
        <w:t xml:space="preserve"> </w:t>
      </w:r>
      <w:r>
        <w:t>y</w:t>
      </w:r>
      <w:r>
        <w:rPr>
          <w:spacing w:val="-3"/>
        </w:rPr>
        <w:t xml:space="preserve"> </w:t>
      </w:r>
      <w:r>
        <w:t>Pigneur (2010). Refleja la estrategia asset-light, la</w:t>
      </w:r>
      <w:r>
        <w:rPr>
          <w:spacing w:val="-4"/>
        </w:rPr>
        <w:t xml:space="preserve"> </w:t>
      </w:r>
      <w:r>
        <w:t>propuesta</w:t>
      </w:r>
      <w:r>
        <w:rPr>
          <w:spacing w:val="-4"/>
        </w:rPr>
        <w:t xml:space="preserve"> </w:t>
      </w:r>
      <w:r>
        <w:t>de</w:t>
      </w:r>
      <w:r>
        <w:rPr>
          <w:spacing w:val="-4"/>
        </w:rPr>
        <w:t xml:space="preserve"> </w:t>
      </w:r>
      <w:r>
        <w:t>valor</w:t>
      </w:r>
      <w:r>
        <w:rPr>
          <w:spacing w:val="-4"/>
        </w:rPr>
        <w:t xml:space="preserve"> </w:t>
      </w:r>
      <w:r>
        <w:t>biocultural</w:t>
      </w:r>
      <w:r>
        <w:rPr>
          <w:spacing w:val="-4"/>
        </w:rPr>
        <w:t xml:space="preserve"> </w:t>
      </w:r>
      <w:r>
        <w:t>y</w:t>
      </w:r>
      <w:r>
        <w:rPr>
          <w:spacing w:val="-4"/>
        </w:rPr>
        <w:t xml:space="preserve"> </w:t>
      </w:r>
      <w:r>
        <w:t>la</w:t>
      </w:r>
      <w:r>
        <w:rPr>
          <w:spacing w:val="-4"/>
        </w:rPr>
        <w:t xml:space="preserve"> </w:t>
      </w:r>
      <w:r>
        <w:t>optimización de márgenes mediante canales directos.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62"/>
        </w:numPr>
        <w:tabs>
          <w:tab w:val="left" w:pos="1000"/>
        </w:tabs>
        <w:spacing w:before="79"/>
        <w:ind w:left="1000" w:hanging="545"/>
        <w:jc w:val="left"/>
      </w:pPr>
      <w:bookmarkStart w:id="81" w:name="2.5.4_Propuesta_de_valor_visual_y_diseño"/>
      <w:bookmarkStart w:id="82" w:name="h.ltwi3fwlr3pq"/>
      <w:bookmarkEnd w:id="81"/>
      <w:bookmarkEnd w:id="82"/>
      <w:r>
        <w:lastRenderedPageBreak/>
        <w:t>Propuesta</w:t>
      </w:r>
      <w:r>
        <w:rPr>
          <w:spacing w:val="-7"/>
        </w:rPr>
        <w:t xml:space="preserve"> </w:t>
      </w:r>
      <w:r>
        <w:t>de</w:t>
      </w:r>
      <w:r>
        <w:rPr>
          <w:spacing w:val="-4"/>
        </w:rPr>
        <w:t xml:space="preserve"> </w:t>
      </w:r>
      <w:r>
        <w:t>valor</w:t>
      </w:r>
      <w:r>
        <w:rPr>
          <w:spacing w:val="-5"/>
        </w:rPr>
        <w:t xml:space="preserve"> </w:t>
      </w:r>
      <w:r>
        <w:t>visual</w:t>
      </w:r>
      <w:r>
        <w:rPr>
          <w:spacing w:val="-4"/>
        </w:rPr>
        <w:t xml:space="preserve"> </w:t>
      </w:r>
      <w:r>
        <w:t>y</w:t>
      </w:r>
      <w:r>
        <w:rPr>
          <w:spacing w:val="-5"/>
        </w:rPr>
        <w:t xml:space="preserve"> </w:t>
      </w:r>
      <w:r>
        <w:t>diseño</w:t>
      </w:r>
      <w:r>
        <w:rPr>
          <w:spacing w:val="-4"/>
        </w:rPr>
        <w:t xml:space="preserve"> </w:t>
      </w:r>
      <w:r>
        <w:t>de</w:t>
      </w:r>
      <w:r>
        <w:rPr>
          <w:spacing w:val="-4"/>
        </w:rPr>
        <w:t xml:space="preserve"> </w:t>
      </w:r>
      <w:r>
        <w:rPr>
          <w:spacing w:val="-2"/>
        </w:rPr>
        <w:t>producto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Previo a la validación de mercado, se desarrollan tres</w:t>
      </w:r>
      <w:r>
        <w:rPr>
          <w:spacing w:val="-4"/>
        </w:rPr>
        <w:t xml:space="preserve"> </w:t>
      </w:r>
      <w:r>
        <w:t>prototipos</w:t>
      </w:r>
      <w:r>
        <w:rPr>
          <w:spacing w:val="-4"/>
        </w:rPr>
        <w:t xml:space="preserve"> </w:t>
      </w:r>
      <w:r>
        <w:t>conceptuales</w:t>
      </w:r>
      <w:r>
        <w:rPr>
          <w:spacing w:val="-4"/>
        </w:rPr>
        <w:t xml:space="preserve"> </w:t>
      </w:r>
      <w:r>
        <w:t>de empaque traducen visualmente las distintas dimensiones de la propuesta de valor de Guardiana. Cada prototipo representa una hipótesis sobre qué</w:t>
      </w:r>
      <w:r>
        <w:rPr>
          <w:spacing w:val="-4"/>
        </w:rPr>
        <w:t xml:space="preserve"> </w:t>
      </w:r>
      <w:r>
        <w:t>narrativa</w:t>
      </w:r>
      <w:r>
        <w:rPr>
          <w:spacing w:val="-4"/>
        </w:rPr>
        <w:t xml:space="preserve"> </w:t>
      </w:r>
      <w:r>
        <w:t>resuena</w:t>
      </w:r>
      <w:r>
        <w:rPr>
          <w:spacing w:val="-4"/>
        </w:rPr>
        <w:t xml:space="preserve"> </w:t>
      </w:r>
      <w:r>
        <w:t>más</w:t>
      </w:r>
      <w:r>
        <w:rPr>
          <w:spacing w:val="-4"/>
        </w:rPr>
        <w:t xml:space="preserve"> </w:t>
      </w:r>
      <w:r>
        <w:t xml:space="preserve">en el consumidor objetivo y se somete a evaluación durante el trabajo de campo en </w:t>
      </w:r>
      <w:r>
        <w:rPr>
          <w:spacing w:val="-2"/>
        </w:rPr>
        <w:t>Valla</w:t>
      </w:r>
      <w:r>
        <w:rPr>
          <w:spacing w:val="-2"/>
        </w:rPr>
        <w:t>dolid.</w:t>
      </w:r>
    </w:p>
    <w:p w:rsidR="009B4BB4" w:rsidRDefault="00C44001">
      <w:pPr>
        <w:pStyle w:val="Textoindependiente"/>
        <w:spacing w:line="360" w:lineRule="auto"/>
        <w:ind w:left="425" w:right="604" w:firstLine="720"/>
        <w:jc w:val="both"/>
      </w:pPr>
      <w:r>
        <w:t>El primer concepto, Esencia Maya, adopta un lenguaje minimalista de corto farmacéutico, con etiqueta</w:t>
      </w:r>
      <w:r>
        <w:rPr>
          <w:spacing w:val="-4"/>
        </w:rPr>
        <w:t xml:space="preserve"> </w:t>
      </w:r>
      <w:r>
        <w:t>blanca</w:t>
      </w:r>
      <w:r>
        <w:rPr>
          <w:spacing w:val="-4"/>
        </w:rPr>
        <w:t xml:space="preserve"> </w:t>
      </w:r>
      <w:r>
        <w:t>y</w:t>
      </w:r>
      <w:r>
        <w:rPr>
          <w:spacing w:val="-4"/>
        </w:rPr>
        <w:t xml:space="preserve"> </w:t>
      </w:r>
      <w:r>
        <w:t>tipografía</w:t>
      </w:r>
      <w:r>
        <w:rPr>
          <w:spacing w:val="-4"/>
        </w:rPr>
        <w:t xml:space="preserve"> </w:t>
      </w:r>
      <w:r>
        <w:t>en</w:t>
      </w:r>
      <w:r>
        <w:rPr>
          <w:spacing w:val="-4"/>
        </w:rPr>
        <w:t xml:space="preserve"> </w:t>
      </w:r>
      <w:r>
        <w:t>azul</w:t>
      </w:r>
      <w:r>
        <w:rPr>
          <w:spacing w:val="-4"/>
        </w:rPr>
        <w:t xml:space="preserve"> </w:t>
      </w:r>
      <w:r>
        <w:t>marino.</w:t>
      </w:r>
      <w:r>
        <w:rPr>
          <w:spacing w:val="-4"/>
        </w:rPr>
        <w:t xml:space="preserve"> </w:t>
      </w:r>
      <w:r>
        <w:t>Comunica</w:t>
      </w:r>
      <w:r>
        <w:rPr>
          <w:spacing w:val="-4"/>
        </w:rPr>
        <w:t xml:space="preserve"> </w:t>
      </w:r>
      <w:r>
        <w:t>directamente</w:t>
      </w:r>
      <w:r>
        <w:rPr>
          <w:spacing w:val="-4"/>
        </w:rPr>
        <w:t xml:space="preserve"> </w:t>
      </w:r>
      <w:r>
        <w:t>los atributos funcionales del producto: pureza, poder antibacteriano y probióticos. Su pre</w:t>
      </w:r>
      <w:r>
        <w:t>sentación bilingüe lo posiciona como un producto de alto rigor técnico dirigido al consumidor de bienestar.</w:t>
      </w:r>
    </w:p>
    <w:p w:rsidR="009B4BB4" w:rsidRDefault="00C44001">
      <w:pPr>
        <w:pStyle w:val="Ttulo1"/>
        <w:spacing w:before="240"/>
        <w:ind w:left="425"/>
      </w:pPr>
      <w:r>
        <w:t>Figura</w:t>
      </w:r>
      <w:r>
        <w:rPr>
          <w:spacing w:val="-6"/>
        </w:rPr>
        <w:t xml:space="preserve"> </w:t>
      </w:r>
      <w:r>
        <w:rPr>
          <w:spacing w:val="-5"/>
        </w:rPr>
        <w:t>2.5</w:t>
      </w:r>
    </w:p>
    <w:p w:rsidR="009B4BB4" w:rsidRDefault="00C44001">
      <w:pPr>
        <w:spacing w:before="126"/>
        <w:ind w:left="425"/>
        <w:rPr>
          <w:rFonts w:ascii="Arial"/>
          <w:i/>
        </w:rPr>
      </w:pPr>
      <w:r>
        <w:rPr>
          <w:rFonts w:ascii="Arial"/>
          <w:i/>
        </w:rPr>
        <w:t>Prototipo</w:t>
      </w:r>
      <w:r>
        <w:rPr>
          <w:rFonts w:ascii="Arial"/>
          <w:i/>
          <w:spacing w:val="-7"/>
        </w:rPr>
        <w:t xml:space="preserve"> </w:t>
      </w:r>
      <w:r>
        <w:rPr>
          <w:rFonts w:ascii="Arial"/>
          <w:i/>
        </w:rPr>
        <w:t>conceptual</w:t>
      </w:r>
      <w:r>
        <w:rPr>
          <w:rFonts w:ascii="Arial"/>
          <w:i/>
          <w:spacing w:val="-7"/>
        </w:rPr>
        <w:t xml:space="preserve"> </w:t>
      </w:r>
      <w:r>
        <w:rPr>
          <w:rFonts w:ascii="Arial"/>
          <w:i/>
        </w:rPr>
        <w:t>1:</w:t>
      </w:r>
      <w:r>
        <w:rPr>
          <w:rFonts w:ascii="Arial"/>
          <w:i/>
          <w:spacing w:val="-7"/>
        </w:rPr>
        <w:t xml:space="preserve"> </w:t>
      </w:r>
      <w:r>
        <w:rPr>
          <w:rFonts w:ascii="Arial"/>
          <w:i/>
        </w:rPr>
        <w:t>Esencia</w:t>
      </w:r>
      <w:r>
        <w:rPr>
          <w:rFonts w:ascii="Arial"/>
          <w:i/>
          <w:spacing w:val="-7"/>
        </w:rPr>
        <w:t xml:space="preserve"> </w:t>
      </w:r>
      <w:r>
        <w:rPr>
          <w:rFonts w:ascii="Arial"/>
          <w:i/>
          <w:spacing w:val="-4"/>
        </w:rPr>
        <w:t>Maya</w:t>
      </w:r>
    </w:p>
    <w:p w:rsidR="009B4BB4" w:rsidRDefault="00C44001">
      <w:pPr>
        <w:pStyle w:val="Textoindependiente"/>
        <w:spacing w:before="6"/>
        <w:rPr>
          <w:rFonts w:ascii="Arial"/>
          <w:i/>
          <w:sz w:val="11"/>
        </w:rPr>
      </w:pPr>
      <w:r>
        <w:rPr>
          <w:rFonts w:ascii="Arial"/>
          <w:i/>
          <w:noProof/>
          <w:sz w:val="11"/>
          <w:lang w:val="es-AR" w:eastAsia="es-AR"/>
        </w:rPr>
        <w:drawing>
          <wp:anchor distT="0" distB="0" distL="0" distR="0" simplePos="0" relativeHeight="487590912" behindDoc="1" locked="0" layoutInCell="1" allowOverlap="1">
            <wp:simplePos x="0" y="0"/>
            <wp:positionH relativeFrom="page">
              <wp:posOffset>2243549</wp:posOffset>
            </wp:positionH>
            <wp:positionV relativeFrom="paragraph">
              <wp:posOffset>99686</wp:posOffset>
            </wp:positionV>
            <wp:extent cx="3218688" cy="3218688"/>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3218688" cy="3218688"/>
                    </a:xfrm>
                    <a:prstGeom prst="rect">
                      <a:avLst/>
                    </a:prstGeom>
                  </pic:spPr>
                </pic:pic>
              </a:graphicData>
            </a:graphic>
          </wp:anchor>
        </w:drawing>
      </w:r>
    </w:p>
    <w:p w:rsidR="009B4BB4" w:rsidRDefault="00C44001">
      <w:pPr>
        <w:pStyle w:val="Textoindependiente"/>
        <w:spacing w:before="204" w:line="360" w:lineRule="auto"/>
        <w:ind w:left="425" w:right="604"/>
        <w:jc w:val="both"/>
      </w:pPr>
      <w:r>
        <w:rPr>
          <w:rFonts w:ascii="Arial" w:hAnsi="Arial"/>
          <w:i/>
        </w:rPr>
        <w:t xml:space="preserve">Nota. </w:t>
      </w:r>
      <w:r>
        <w:t>Etiqueta minimalista con lenguaje farmacéutico. Comunicación directa de atributos funcionales: pureza, poder antibacteriano y probióticos. Hipótesis de diseño sometida a validación de mercado en Valladolid, agosto 2025.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line="360" w:lineRule="auto"/>
        <w:ind w:left="425" w:right="607" w:firstLine="720"/>
        <w:jc w:val="both"/>
      </w:pPr>
      <w:r>
        <w:t>El segundo concepto, Vitalidad Familiar, utiliza una paleta cálida en naranjas y verde con iconografía familiar. Su narrativa se centra</w:t>
      </w:r>
      <w:r>
        <w:rPr>
          <w:spacing w:val="-4"/>
        </w:rPr>
        <w:t xml:space="preserve"> </w:t>
      </w:r>
      <w:r>
        <w:t>en</w:t>
      </w:r>
      <w:r>
        <w:rPr>
          <w:spacing w:val="-4"/>
        </w:rPr>
        <w:t xml:space="preserve"> </w:t>
      </w:r>
      <w:r>
        <w:t>la</w:t>
      </w:r>
      <w:r>
        <w:rPr>
          <w:spacing w:val="-4"/>
        </w:rPr>
        <w:t xml:space="preserve"> </w:t>
      </w:r>
      <w:r>
        <w:t>nutrición</w:t>
      </w:r>
      <w:r>
        <w:rPr>
          <w:spacing w:val="-4"/>
        </w:rPr>
        <w:t xml:space="preserve"> </w:t>
      </w:r>
      <w:r>
        <w:t>accesible</w:t>
      </w:r>
      <w:r>
        <w:rPr>
          <w:spacing w:val="-4"/>
        </w:rPr>
        <w:t xml:space="preserve"> </w:t>
      </w:r>
      <w:r>
        <w:t>para</w:t>
      </w:r>
      <w:r>
        <w:rPr>
          <w:spacing w:val="-4"/>
        </w:rPr>
        <w:t xml:space="preserve"> </w:t>
      </w:r>
      <w:r>
        <w:t xml:space="preserve">todas las etapas de vida, apunta a un segmento de consumo recurrente </w:t>
      </w:r>
      <w:r>
        <w:t>y doméstico.</w:t>
      </w:r>
    </w:p>
    <w:p w:rsidR="009B4BB4" w:rsidRDefault="00C44001">
      <w:pPr>
        <w:pStyle w:val="Ttulo1"/>
        <w:spacing w:before="240"/>
        <w:ind w:left="425"/>
      </w:pPr>
      <w:r>
        <w:t>Figura</w:t>
      </w:r>
      <w:r>
        <w:rPr>
          <w:spacing w:val="-6"/>
        </w:rPr>
        <w:t xml:space="preserve"> </w:t>
      </w:r>
      <w:r>
        <w:rPr>
          <w:spacing w:val="-5"/>
        </w:rPr>
        <w:t>2.6</w:t>
      </w:r>
    </w:p>
    <w:p w:rsidR="009B4BB4" w:rsidRDefault="00C44001">
      <w:pPr>
        <w:spacing w:before="126"/>
        <w:ind w:left="425"/>
        <w:rPr>
          <w:rFonts w:ascii="Arial"/>
          <w:i/>
        </w:rPr>
      </w:pPr>
      <w:r>
        <w:rPr>
          <w:rFonts w:ascii="Arial"/>
          <w:i/>
        </w:rPr>
        <w:t>Prototipo</w:t>
      </w:r>
      <w:r>
        <w:rPr>
          <w:rFonts w:ascii="Arial"/>
          <w:i/>
          <w:spacing w:val="-9"/>
        </w:rPr>
        <w:t xml:space="preserve"> </w:t>
      </w:r>
      <w:r>
        <w:rPr>
          <w:rFonts w:ascii="Arial"/>
          <w:i/>
        </w:rPr>
        <w:t>conceptual</w:t>
      </w:r>
      <w:r>
        <w:rPr>
          <w:rFonts w:ascii="Arial"/>
          <w:i/>
          <w:spacing w:val="-8"/>
        </w:rPr>
        <w:t xml:space="preserve"> </w:t>
      </w:r>
      <w:r>
        <w:rPr>
          <w:rFonts w:ascii="Arial"/>
          <w:i/>
        </w:rPr>
        <w:t>2:</w:t>
      </w:r>
      <w:r>
        <w:rPr>
          <w:rFonts w:ascii="Arial"/>
          <w:i/>
          <w:spacing w:val="-9"/>
        </w:rPr>
        <w:t xml:space="preserve"> </w:t>
      </w:r>
      <w:r>
        <w:rPr>
          <w:rFonts w:ascii="Arial"/>
          <w:i/>
        </w:rPr>
        <w:t>Vitalidad</w:t>
      </w:r>
      <w:r>
        <w:rPr>
          <w:rFonts w:ascii="Arial"/>
          <w:i/>
          <w:spacing w:val="-8"/>
        </w:rPr>
        <w:t xml:space="preserve"> </w:t>
      </w:r>
      <w:r>
        <w:rPr>
          <w:rFonts w:ascii="Arial"/>
          <w:i/>
          <w:spacing w:val="-2"/>
        </w:rPr>
        <w:t>Familiar</w:t>
      </w:r>
    </w:p>
    <w:p w:rsidR="009B4BB4" w:rsidRDefault="009B4BB4">
      <w:pPr>
        <w:pStyle w:val="Textoindependiente"/>
        <w:spacing w:before="0"/>
        <w:rPr>
          <w:rFonts w:ascii="Arial"/>
          <w:i/>
          <w:sz w:val="20"/>
        </w:rPr>
      </w:pPr>
    </w:p>
    <w:p w:rsidR="009B4BB4" w:rsidRDefault="009B4BB4">
      <w:pPr>
        <w:pStyle w:val="Textoindependiente"/>
        <w:spacing w:before="0"/>
        <w:rPr>
          <w:rFonts w:ascii="Arial"/>
          <w:i/>
          <w:sz w:val="20"/>
        </w:rPr>
      </w:pPr>
    </w:p>
    <w:p w:rsidR="009B4BB4" w:rsidRDefault="009B4BB4">
      <w:pPr>
        <w:pStyle w:val="Textoindependiente"/>
        <w:spacing w:before="0"/>
        <w:rPr>
          <w:rFonts w:ascii="Arial"/>
          <w:i/>
          <w:sz w:val="20"/>
        </w:rPr>
      </w:pPr>
    </w:p>
    <w:p w:rsidR="009B4BB4" w:rsidRDefault="00C44001">
      <w:pPr>
        <w:pStyle w:val="Textoindependiente"/>
        <w:spacing w:before="72"/>
        <w:rPr>
          <w:rFonts w:ascii="Arial"/>
          <w:i/>
          <w:sz w:val="20"/>
        </w:rPr>
      </w:pPr>
      <w:r>
        <w:rPr>
          <w:rFonts w:ascii="Arial"/>
          <w:i/>
          <w:noProof/>
          <w:sz w:val="20"/>
          <w:lang w:val="es-AR" w:eastAsia="es-AR"/>
        </w:rPr>
        <w:drawing>
          <wp:anchor distT="0" distB="0" distL="0" distR="0" simplePos="0" relativeHeight="487591424" behindDoc="1" locked="0" layoutInCell="1" allowOverlap="1">
            <wp:simplePos x="0" y="0"/>
            <wp:positionH relativeFrom="page">
              <wp:posOffset>2243549</wp:posOffset>
            </wp:positionH>
            <wp:positionV relativeFrom="paragraph">
              <wp:posOffset>207328</wp:posOffset>
            </wp:positionV>
            <wp:extent cx="3218688" cy="3218688"/>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3218688" cy="3218688"/>
                    </a:xfrm>
                    <a:prstGeom prst="rect">
                      <a:avLst/>
                    </a:prstGeom>
                  </pic:spPr>
                </pic:pic>
              </a:graphicData>
            </a:graphic>
          </wp:anchor>
        </w:drawing>
      </w:r>
    </w:p>
    <w:p w:rsidR="009B4BB4" w:rsidRDefault="009B4BB4">
      <w:pPr>
        <w:pStyle w:val="Textoindependiente"/>
        <w:spacing w:before="191"/>
        <w:rPr>
          <w:rFonts w:ascii="Arial"/>
          <w:i/>
        </w:rPr>
      </w:pPr>
    </w:p>
    <w:p w:rsidR="009B4BB4" w:rsidRDefault="00C44001">
      <w:pPr>
        <w:pStyle w:val="Textoindependiente"/>
        <w:spacing w:before="0" w:line="360" w:lineRule="auto"/>
        <w:ind w:left="425" w:right="1094"/>
        <w:jc w:val="both"/>
      </w:pPr>
      <w:r>
        <w:rPr>
          <w:rFonts w:ascii="Arial" w:hAnsi="Arial"/>
          <w:i/>
        </w:rPr>
        <w:t>Nota.</w:t>
      </w:r>
      <w:r>
        <w:rPr>
          <w:rFonts w:ascii="Arial" w:hAnsi="Arial"/>
          <w:i/>
          <w:spacing w:val="-6"/>
        </w:rPr>
        <w:t xml:space="preserve"> </w:t>
      </w:r>
      <w:r>
        <w:t>Paleta</w:t>
      </w:r>
      <w:r>
        <w:rPr>
          <w:spacing w:val="-6"/>
        </w:rPr>
        <w:t xml:space="preserve"> </w:t>
      </w:r>
      <w:r>
        <w:t>cálida</w:t>
      </w:r>
      <w:r>
        <w:rPr>
          <w:spacing w:val="-6"/>
        </w:rPr>
        <w:t xml:space="preserve"> </w:t>
      </w:r>
      <w:r>
        <w:t>con</w:t>
      </w:r>
      <w:r>
        <w:rPr>
          <w:spacing w:val="-6"/>
        </w:rPr>
        <w:t xml:space="preserve"> </w:t>
      </w:r>
      <w:r>
        <w:t>iconografía</w:t>
      </w:r>
      <w:r>
        <w:rPr>
          <w:spacing w:val="-6"/>
        </w:rPr>
        <w:t xml:space="preserve"> </w:t>
      </w:r>
      <w:r>
        <w:t>familiar.</w:t>
      </w:r>
      <w:r>
        <w:rPr>
          <w:spacing w:val="-6"/>
        </w:rPr>
        <w:t xml:space="preserve"> </w:t>
      </w:r>
      <w:r>
        <w:t>Narrativa</w:t>
      </w:r>
      <w:r>
        <w:rPr>
          <w:spacing w:val="-6"/>
        </w:rPr>
        <w:t xml:space="preserve"> </w:t>
      </w:r>
      <w:r>
        <w:t>centrada</w:t>
      </w:r>
      <w:r>
        <w:rPr>
          <w:spacing w:val="-6"/>
        </w:rPr>
        <w:t xml:space="preserve"> </w:t>
      </w:r>
      <w:r>
        <w:t>en</w:t>
      </w:r>
      <w:r>
        <w:rPr>
          <w:spacing w:val="-6"/>
        </w:rPr>
        <w:t xml:space="preserve"> </w:t>
      </w:r>
      <w:r>
        <w:t>nutrición</w:t>
      </w:r>
      <w:r>
        <w:rPr>
          <w:spacing w:val="-6"/>
        </w:rPr>
        <w:t xml:space="preserve"> </w:t>
      </w:r>
      <w:r>
        <w:t>accesible para consumo recurrente y doméstico. Hipótesis de diseño sometida a validación de mercado en Valladolid, agosto 2025. Elaboración propia (2025).</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71" w:firstLine="720"/>
      </w:pPr>
      <w:r>
        <w:lastRenderedPageBreak/>
        <w:t>El</w:t>
      </w:r>
      <w:r>
        <w:rPr>
          <w:spacing w:val="-5"/>
        </w:rPr>
        <w:t xml:space="preserve"> </w:t>
      </w:r>
      <w:r>
        <w:t>tercer</w:t>
      </w:r>
      <w:r>
        <w:rPr>
          <w:spacing w:val="-5"/>
        </w:rPr>
        <w:t xml:space="preserve"> </w:t>
      </w:r>
      <w:r>
        <w:t>concepto,</w:t>
      </w:r>
      <w:r>
        <w:rPr>
          <w:spacing w:val="-5"/>
        </w:rPr>
        <w:t xml:space="preserve"> </w:t>
      </w:r>
      <w:r>
        <w:t>Edición</w:t>
      </w:r>
      <w:r>
        <w:rPr>
          <w:spacing w:val="-5"/>
        </w:rPr>
        <w:t xml:space="preserve"> </w:t>
      </w:r>
      <w:r>
        <w:t>Colaborativa,</w:t>
      </w:r>
      <w:r>
        <w:rPr>
          <w:spacing w:val="-5"/>
        </w:rPr>
        <w:t xml:space="preserve"> </w:t>
      </w:r>
      <w:r>
        <w:t>integra</w:t>
      </w:r>
      <w:r>
        <w:rPr>
          <w:spacing w:val="-5"/>
        </w:rPr>
        <w:t xml:space="preserve"> </w:t>
      </w:r>
      <w:r>
        <w:t>motivos</w:t>
      </w:r>
      <w:r>
        <w:rPr>
          <w:spacing w:val="-5"/>
        </w:rPr>
        <w:t xml:space="preserve"> </w:t>
      </w:r>
      <w:r>
        <w:t>mayas</w:t>
      </w:r>
      <w:r>
        <w:rPr>
          <w:spacing w:val="-5"/>
        </w:rPr>
        <w:t xml:space="preserve"> </w:t>
      </w:r>
      <w:r>
        <w:t>en</w:t>
      </w:r>
      <w:r>
        <w:rPr>
          <w:spacing w:val="-5"/>
        </w:rPr>
        <w:t xml:space="preserve"> </w:t>
      </w:r>
      <w:r>
        <w:t>oro</w:t>
      </w:r>
      <w:r>
        <w:rPr>
          <w:spacing w:val="-5"/>
        </w:rPr>
        <w:t xml:space="preserve"> </w:t>
      </w:r>
      <w:r>
        <w:t xml:space="preserve">sobre fondo </w:t>
      </w:r>
      <w:r>
        <w:t>blanco, comunicado exclusividad cultural y apoyo directo a meliponarios. Su estética evoca un objeto de colección más que un producto de consumo.</w:t>
      </w:r>
    </w:p>
    <w:p w:rsidR="009B4BB4" w:rsidRDefault="00C44001">
      <w:pPr>
        <w:pStyle w:val="Ttulo1"/>
        <w:spacing w:before="240"/>
        <w:ind w:left="425"/>
      </w:pPr>
      <w:r>
        <w:t>Figura</w:t>
      </w:r>
      <w:r>
        <w:rPr>
          <w:spacing w:val="-6"/>
        </w:rPr>
        <w:t xml:space="preserve"> </w:t>
      </w:r>
      <w:r>
        <w:rPr>
          <w:spacing w:val="-5"/>
        </w:rPr>
        <w:t>2.7</w:t>
      </w:r>
    </w:p>
    <w:p w:rsidR="009B4BB4" w:rsidRDefault="00C44001">
      <w:pPr>
        <w:spacing w:before="127"/>
        <w:ind w:left="425"/>
        <w:rPr>
          <w:rFonts w:ascii="Arial" w:hAnsi="Arial"/>
          <w:i/>
        </w:rPr>
      </w:pPr>
      <w:r>
        <w:rPr>
          <w:rFonts w:ascii="Arial" w:hAnsi="Arial"/>
          <w:i/>
        </w:rPr>
        <w:t>Prototipo</w:t>
      </w:r>
      <w:r>
        <w:rPr>
          <w:rFonts w:ascii="Arial" w:hAnsi="Arial"/>
          <w:i/>
          <w:spacing w:val="-7"/>
        </w:rPr>
        <w:t xml:space="preserve"> </w:t>
      </w:r>
      <w:r>
        <w:rPr>
          <w:rFonts w:ascii="Arial" w:hAnsi="Arial"/>
          <w:i/>
        </w:rPr>
        <w:t>conceptual</w:t>
      </w:r>
      <w:r>
        <w:rPr>
          <w:rFonts w:ascii="Arial" w:hAnsi="Arial"/>
          <w:i/>
          <w:spacing w:val="-7"/>
        </w:rPr>
        <w:t xml:space="preserve"> </w:t>
      </w:r>
      <w:r>
        <w:rPr>
          <w:rFonts w:ascii="Arial" w:hAnsi="Arial"/>
          <w:i/>
        </w:rPr>
        <w:t>3:</w:t>
      </w:r>
      <w:r>
        <w:rPr>
          <w:rFonts w:ascii="Arial" w:hAnsi="Arial"/>
          <w:i/>
          <w:spacing w:val="-7"/>
        </w:rPr>
        <w:t xml:space="preserve"> </w:t>
      </w:r>
      <w:r>
        <w:rPr>
          <w:rFonts w:ascii="Arial" w:hAnsi="Arial"/>
          <w:i/>
        </w:rPr>
        <w:t>Edición</w:t>
      </w:r>
      <w:r>
        <w:rPr>
          <w:rFonts w:ascii="Arial" w:hAnsi="Arial"/>
          <w:i/>
          <w:spacing w:val="-7"/>
        </w:rPr>
        <w:t xml:space="preserve"> </w:t>
      </w:r>
      <w:r>
        <w:rPr>
          <w:rFonts w:ascii="Arial" w:hAnsi="Arial"/>
          <w:i/>
          <w:spacing w:val="-2"/>
        </w:rPr>
        <w:t>Colaborativa</w:t>
      </w:r>
    </w:p>
    <w:p w:rsidR="009B4BB4" w:rsidRDefault="00C44001">
      <w:pPr>
        <w:pStyle w:val="Textoindependiente"/>
        <w:spacing w:before="142"/>
        <w:rPr>
          <w:rFonts w:ascii="Arial"/>
          <w:i/>
          <w:sz w:val="20"/>
        </w:rPr>
      </w:pPr>
      <w:r>
        <w:rPr>
          <w:rFonts w:ascii="Arial"/>
          <w:i/>
          <w:noProof/>
          <w:sz w:val="20"/>
          <w:lang w:val="es-AR" w:eastAsia="es-AR"/>
        </w:rPr>
        <w:drawing>
          <wp:anchor distT="0" distB="0" distL="0" distR="0" simplePos="0" relativeHeight="487591936" behindDoc="1" locked="0" layoutInCell="1" allowOverlap="1">
            <wp:simplePos x="0" y="0"/>
            <wp:positionH relativeFrom="page">
              <wp:posOffset>2243549</wp:posOffset>
            </wp:positionH>
            <wp:positionV relativeFrom="paragraph">
              <wp:posOffset>251786</wp:posOffset>
            </wp:positionV>
            <wp:extent cx="3218688" cy="3218688"/>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3218688" cy="3218688"/>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5"/>
        <w:rPr>
          <w:rFonts w:ascii="Arial"/>
          <w:i/>
        </w:rPr>
      </w:pPr>
    </w:p>
    <w:p w:rsidR="009B4BB4" w:rsidRDefault="00C44001">
      <w:pPr>
        <w:pStyle w:val="Textoindependiente"/>
        <w:spacing w:before="0" w:line="360" w:lineRule="auto"/>
        <w:ind w:left="425" w:right="606"/>
        <w:jc w:val="both"/>
      </w:pPr>
      <w:r>
        <w:rPr>
          <w:rFonts w:ascii="Arial" w:hAnsi="Arial"/>
          <w:i/>
        </w:rPr>
        <w:t xml:space="preserve">Nota. </w:t>
      </w:r>
      <w:r>
        <w:t>Motivos mayas en oro</w:t>
      </w:r>
      <w:r>
        <w:rPr>
          <w:spacing w:val="-4"/>
        </w:rPr>
        <w:t xml:space="preserve"> </w:t>
      </w:r>
      <w:r>
        <w:t>sobre</w:t>
      </w:r>
      <w:r>
        <w:rPr>
          <w:spacing w:val="-4"/>
        </w:rPr>
        <w:t xml:space="preserve"> </w:t>
      </w:r>
      <w:r>
        <w:t>fondo</w:t>
      </w:r>
      <w:r>
        <w:rPr>
          <w:spacing w:val="-4"/>
        </w:rPr>
        <w:t xml:space="preserve"> </w:t>
      </w:r>
      <w:r>
        <w:t>blanco.</w:t>
      </w:r>
      <w:r>
        <w:rPr>
          <w:spacing w:val="-4"/>
        </w:rPr>
        <w:t xml:space="preserve"> </w:t>
      </w:r>
      <w:r>
        <w:t>Estética</w:t>
      </w:r>
      <w:r>
        <w:rPr>
          <w:spacing w:val="-4"/>
        </w:rPr>
        <w:t xml:space="preserve"> </w:t>
      </w:r>
      <w:r>
        <w:t>de</w:t>
      </w:r>
      <w:r>
        <w:rPr>
          <w:spacing w:val="-4"/>
        </w:rPr>
        <w:t xml:space="preserve"> </w:t>
      </w:r>
      <w:r>
        <w:t>objeto</w:t>
      </w:r>
      <w:r>
        <w:rPr>
          <w:spacing w:val="-4"/>
        </w:rPr>
        <w:t xml:space="preserve"> </w:t>
      </w:r>
      <w:r>
        <w:t>cultural</w:t>
      </w:r>
      <w:r>
        <w:rPr>
          <w:spacing w:val="-4"/>
        </w:rPr>
        <w:t xml:space="preserve"> </w:t>
      </w:r>
      <w:r>
        <w:t>coleccionable con narrativa de apoyo directo a comunidades meliponicultoras. Hipótesis de diseño sometida a validación de mercado en Valladolid, agosto 2025.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62"/>
        </w:numPr>
        <w:tabs>
          <w:tab w:val="left" w:pos="970"/>
        </w:tabs>
        <w:spacing w:before="79"/>
        <w:ind w:left="970" w:hanging="545"/>
        <w:jc w:val="left"/>
      </w:pPr>
      <w:bookmarkStart w:id="83" w:name="2.5.5_Alianzas_Estratégicas_y_enfoque_so"/>
      <w:bookmarkStart w:id="84" w:name="h.s493axwl42lt"/>
      <w:bookmarkEnd w:id="83"/>
      <w:bookmarkEnd w:id="84"/>
      <w:r>
        <w:lastRenderedPageBreak/>
        <w:t>Alianzas</w:t>
      </w:r>
      <w:r>
        <w:rPr>
          <w:spacing w:val="-7"/>
        </w:rPr>
        <w:t xml:space="preserve"> </w:t>
      </w:r>
      <w:r>
        <w:t>Estratégicas</w:t>
      </w:r>
      <w:r>
        <w:rPr>
          <w:spacing w:val="-7"/>
        </w:rPr>
        <w:t xml:space="preserve"> </w:t>
      </w:r>
      <w:r>
        <w:t>y</w:t>
      </w:r>
      <w:r>
        <w:rPr>
          <w:spacing w:val="-7"/>
        </w:rPr>
        <w:t xml:space="preserve"> </w:t>
      </w:r>
      <w:r>
        <w:t>e</w:t>
      </w:r>
      <w:r>
        <w:t>nfoque</w:t>
      </w:r>
      <w:r>
        <w:rPr>
          <w:spacing w:val="-7"/>
        </w:rPr>
        <w:t xml:space="preserve"> </w:t>
      </w:r>
      <w:r>
        <w:rPr>
          <w:spacing w:val="-2"/>
        </w:rPr>
        <w:t>social</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2" w:firstLine="720"/>
        <w:jc w:val="both"/>
      </w:pPr>
      <w:r>
        <w:t>El núcleo operativo de Guardiana son sus alianzas de largo plazo con comunidades productoras. El emprendimiento no se limita a la adquisición del insumo, establece un Protocolo de Comercio Justo que respeta el ciclo biológico de cosecha y reposo de 4 meses</w:t>
      </w:r>
      <w:r>
        <w:t>, así ofrece un sobreprecio del 20% respecto al mercado informal.</w:t>
      </w:r>
      <w:r>
        <w:rPr>
          <w:spacing w:val="40"/>
        </w:rPr>
        <w:t xml:space="preserve"> </w:t>
      </w:r>
      <w:r>
        <w:t>Este enfoque asegura un suministro ético, trazable</w:t>
      </w:r>
      <w:r>
        <w:rPr>
          <w:spacing w:val="-3"/>
        </w:rPr>
        <w:t xml:space="preserve"> </w:t>
      </w:r>
      <w:r>
        <w:t>y</w:t>
      </w:r>
      <w:r>
        <w:rPr>
          <w:spacing w:val="-3"/>
        </w:rPr>
        <w:t xml:space="preserve"> </w:t>
      </w:r>
      <w:r>
        <w:t>de</w:t>
      </w:r>
      <w:r>
        <w:rPr>
          <w:spacing w:val="-3"/>
        </w:rPr>
        <w:t xml:space="preserve"> </w:t>
      </w:r>
      <w:r>
        <w:t>alta</w:t>
      </w:r>
      <w:r>
        <w:rPr>
          <w:spacing w:val="-3"/>
        </w:rPr>
        <w:t xml:space="preserve"> </w:t>
      </w:r>
      <w:r>
        <w:t>calidad,</w:t>
      </w:r>
      <w:r>
        <w:rPr>
          <w:spacing w:val="-3"/>
        </w:rPr>
        <w:t xml:space="preserve"> </w:t>
      </w:r>
      <w:r>
        <w:t>transformando</w:t>
      </w:r>
      <w:r>
        <w:rPr>
          <w:spacing w:val="-3"/>
        </w:rPr>
        <w:t xml:space="preserve"> </w:t>
      </w:r>
      <w:r>
        <w:t>a</w:t>
      </w:r>
      <w:r>
        <w:rPr>
          <w:spacing w:val="-3"/>
        </w:rPr>
        <w:t xml:space="preserve"> </w:t>
      </w:r>
      <w:r>
        <w:t>los productores en socios estratégicos del éxito y la sostenibilidad de la marca a largo plazo.</w:t>
      </w:r>
    </w:p>
    <w:p w:rsidR="009B4BB4" w:rsidRDefault="00C44001">
      <w:pPr>
        <w:pStyle w:val="Ttulo1"/>
        <w:spacing w:before="240"/>
        <w:ind w:left="425"/>
      </w:pPr>
      <w:r>
        <w:t>Estructu</w:t>
      </w:r>
      <w:r>
        <w:t>ra</w:t>
      </w:r>
      <w:r>
        <w:rPr>
          <w:spacing w:val="-6"/>
        </w:rPr>
        <w:t xml:space="preserve"> </w:t>
      </w:r>
      <w:r>
        <w:t>operativa</w:t>
      </w:r>
      <w:r>
        <w:rPr>
          <w:spacing w:val="-6"/>
        </w:rPr>
        <w:t xml:space="preserve"> </w:t>
      </w:r>
      <w:r>
        <w:t>de</w:t>
      </w:r>
      <w:r>
        <w:rPr>
          <w:spacing w:val="-6"/>
        </w:rPr>
        <w:t xml:space="preserve"> </w:t>
      </w:r>
      <w:r>
        <w:t>las</w:t>
      </w:r>
      <w:r>
        <w:rPr>
          <w:spacing w:val="-6"/>
        </w:rPr>
        <w:t xml:space="preserve"> </w:t>
      </w:r>
      <w:r>
        <w:rPr>
          <w:spacing w:val="-2"/>
        </w:rPr>
        <w:t>alianzas</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11" w:firstLine="720"/>
        <w:jc w:val="both"/>
      </w:pPr>
      <w:r>
        <w:t>Para garantizar la sostenibilidad del modelo y la estabilidad del suministro, las alianzas con meliponicultores se estructuran bajo criterios operativos definidos:</w:t>
      </w:r>
    </w:p>
    <w:p w:rsidR="009B4BB4" w:rsidRDefault="00C44001" w:rsidP="00C44001">
      <w:pPr>
        <w:pStyle w:val="Prrafodelista"/>
        <w:numPr>
          <w:ilvl w:val="0"/>
          <w:numId w:val="55"/>
        </w:numPr>
        <w:tabs>
          <w:tab w:val="left" w:pos="1145"/>
        </w:tabs>
        <w:spacing w:line="360" w:lineRule="auto"/>
        <w:ind w:right="604"/>
        <w:jc w:val="both"/>
      </w:pPr>
      <w:r>
        <w:rPr>
          <w:rFonts w:ascii="Arial" w:hAnsi="Arial"/>
          <w:b/>
        </w:rPr>
        <w:t xml:space="preserve">Esquema de sobreprecio: </w:t>
      </w:r>
      <w:r>
        <w:t>Guardiana establece un pago superior a</w:t>
      </w:r>
      <w:r>
        <w:t>l mercado informal,</w:t>
      </w:r>
      <w:r>
        <w:rPr>
          <w:spacing w:val="-4"/>
        </w:rPr>
        <w:t xml:space="preserve"> </w:t>
      </w:r>
      <w:r>
        <w:t>estimado</w:t>
      </w:r>
      <w:r>
        <w:rPr>
          <w:spacing w:val="-4"/>
        </w:rPr>
        <w:t xml:space="preserve"> </w:t>
      </w:r>
      <w:r>
        <w:t>entre</w:t>
      </w:r>
      <w:r>
        <w:rPr>
          <w:spacing w:val="-4"/>
        </w:rPr>
        <w:t xml:space="preserve"> </w:t>
      </w:r>
      <w:r>
        <w:t>un</w:t>
      </w:r>
      <w:r>
        <w:rPr>
          <w:spacing w:val="-4"/>
        </w:rPr>
        <w:t xml:space="preserve"> </w:t>
      </w:r>
      <w:r>
        <w:t>15%</w:t>
      </w:r>
      <w:r>
        <w:rPr>
          <w:spacing w:val="-4"/>
        </w:rPr>
        <w:t xml:space="preserve"> </w:t>
      </w:r>
      <w:r>
        <w:t>y</w:t>
      </w:r>
      <w:r>
        <w:rPr>
          <w:spacing w:val="-4"/>
        </w:rPr>
        <w:t xml:space="preserve"> </w:t>
      </w:r>
      <w:r>
        <w:t>25%,</w:t>
      </w:r>
      <w:r>
        <w:rPr>
          <w:spacing w:val="-4"/>
        </w:rPr>
        <w:t xml:space="preserve"> </w:t>
      </w:r>
      <w:r>
        <w:t>con</w:t>
      </w:r>
      <w:r>
        <w:rPr>
          <w:spacing w:val="-4"/>
        </w:rPr>
        <w:t xml:space="preserve"> </w:t>
      </w:r>
      <w:r>
        <w:t>el</w:t>
      </w:r>
      <w:r>
        <w:rPr>
          <w:spacing w:val="-4"/>
        </w:rPr>
        <w:t xml:space="preserve"> </w:t>
      </w:r>
      <w:r>
        <w:t>objetivo</w:t>
      </w:r>
      <w:r>
        <w:rPr>
          <w:spacing w:val="-4"/>
        </w:rPr>
        <w:t xml:space="preserve"> </w:t>
      </w:r>
      <w:r>
        <w:t>de</w:t>
      </w:r>
      <w:r>
        <w:rPr>
          <w:spacing w:val="-4"/>
        </w:rPr>
        <w:t xml:space="preserve"> </w:t>
      </w:r>
      <w:r>
        <w:t>incentivar</w:t>
      </w:r>
      <w:r>
        <w:rPr>
          <w:spacing w:val="-4"/>
        </w:rPr>
        <w:t xml:space="preserve"> </w:t>
      </w:r>
      <w:r>
        <w:t>la</w:t>
      </w:r>
      <w:r>
        <w:rPr>
          <w:spacing w:val="-4"/>
        </w:rPr>
        <w:t xml:space="preserve"> </w:t>
      </w:r>
      <w:r>
        <w:t>producción responsable y asegurar la calidad del producto.</w:t>
      </w:r>
    </w:p>
    <w:p w:rsidR="009B4BB4" w:rsidRDefault="00C44001" w:rsidP="00C44001">
      <w:pPr>
        <w:pStyle w:val="Prrafodelista"/>
        <w:numPr>
          <w:ilvl w:val="0"/>
          <w:numId w:val="55"/>
        </w:numPr>
        <w:tabs>
          <w:tab w:val="left" w:pos="1145"/>
        </w:tabs>
        <w:spacing w:line="360" w:lineRule="auto"/>
        <w:ind w:right="610"/>
        <w:jc w:val="both"/>
      </w:pPr>
      <w:r>
        <w:rPr>
          <w:rFonts w:ascii="Arial" w:hAnsi="Arial"/>
          <w:b/>
        </w:rPr>
        <w:t xml:space="preserve">Relación contractual: </w:t>
      </w:r>
      <w:r>
        <w:t>Se establecen acuerdos de</w:t>
      </w:r>
      <w:r>
        <w:rPr>
          <w:spacing w:val="-4"/>
        </w:rPr>
        <w:t xml:space="preserve"> </w:t>
      </w:r>
      <w:r>
        <w:t>suministro</w:t>
      </w:r>
      <w:r>
        <w:rPr>
          <w:spacing w:val="-4"/>
        </w:rPr>
        <w:t xml:space="preserve"> </w:t>
      </w:r>
      <w:r>
        <w:t>de</w:t>
      </w:r>
      <w:r>
        <w:rPr>
          <w:spacing w:val="-4"/>
        </w:rPr>
        <w:t xml:space="preserve"> </w:t>
      </w:r>
      <w:r>
        <w:t>mediano</w:t>
      </w:r>
      <w:r>
        <w:rPr>
          <w:spacing w:val="-4"/>
        </w:rPr>
        <w:t xml:space="preserve"> </w:t>
      </w:r>
      <w:r>
        <w:t>y</w:t>
      </w:r>
      <w:r>
        <w:rPr>
          <w:spacing w:val="-4"/>
        </w:rPr>
        <w:t xml:space="preserve"> </w:t>
      </w:r>
      <w:r>
        <w:t>largo plazo que establecen volúmenes estimados, estándares de calidad</w:t>
      </w:r>
      <w:r>
        <w:rPr>
          <w:spacing w:val="-5"/>
        </w:rPr>
        <w:t xml:space="preserve"> </w:t>
      </w:r>
      <w:r>
        <w:t>y</w:t>
      </w:r>
      <w:r>
        <w:rPr>
          <w:spacing w:val="-5"/>
        </w:rPr>
        <w:t xml:space="preserve"> </w:t>
      </w:r>
      <w:r>
        <w:t xml:space="preserve">condiciones de trazabilidad, reduciendo la incertidumbre tanto para el productor como para la </w:t>
      </w:r>
      <w:r>
        <w:rPr>
          <w:spacing w:val="-2"/>
        </w:rPr>
        <w:t>empresa.</w:t>
      </w:r>
    </w:p>
    <w:p w:rsidR="009B4BB4" w:rsidRDefault="00C44001" w:rsidP="00C44001">
      <w:pPr>
        <w:pStyle w:val="Prrafodelista"/>
        <w:numPr>
          <w:ilvl w:val="0"/>
          <w:numId w:val="55"/>
        </w:numPr>
        <w:tabs>
          <w:tab w:val="left" w:pos="1145"/>
        </w:tabs>
        <w:spacing w:line="360" w:lineRule="auto"/>
        <w:ind w:right="603"/>
        <w:jc w:val="both"/>
      </w:pPr>
      <w:r>
        <w:rPr>
          <w:rFonts w:ascii="Arial" w:hAnsi="Arial"/>
          <w:b/>
        </w:rPr>
        <w:t xml:space="preserve">Incentivos productivos: </w:t>
      </w:r>
      <w:r>
        <w:t>Se promueve la continuidad y expansión de la meliponicult</w:t>
      </w:r>
      <w:r>
        <w:t>ura mediante acompañamiento técnico, visibilidad comercial y participación en la cadena de valor, alineando los intereses económicos con la conservación del recurso.</w:t>
      </w:r>
    </w:p>
    <w:p w:rsidR="009B4BB4" w:rsidRDefault="00C44001">
      <w:pPr>
        <w:pStyle w:val="Textoindependiente"/>
        <w:spacing w:line="360" w:lineRule="auto"/>
        <w:ind w:left="425" w:right="605" w:firstLine="720"/>
        <w:jc w:val="both"/>
      </w:pPr>
      <w:r>
        <w:t xml:space="preserve">Esta estructura permite transformar la relación con proveedores en una red estratégica de </w:t>
      </w:r>
      <w:r>
        <w:t>colaboración, asegurando consistencia en el suministro y coherencia con</w:t>
      </w:r>
      <w:r>
        <w:rPr>
          <w:spacing w:val="40"/>
        </w:rPr>
        <w:t xml:space="preserve"> </w:t>
      </w:r>
      <w:r>
        <w:t>el posicionamiento ético de la marca.</w:t>
      </w:r>
    </w:p>
    <w:p w:rsidR="009B4BB4" w:rsidRDefault="009B4BB4">
      <w:pPr>
        <w:pStyle w:val="Textoindependiente"/>
        <w:spacing w:before="107"/>
      </w:pPr>
    </w:p>
    <w:p w:rsidR="009B4BB4" w:rsidRDefault="00C44001" w:rsidP="00C44001">
      <w:pPr>
        <w:pStyle w:val="Ttulo1"/>
        <w:numPr>
          <w:ilvl w:val="1"/>
          <w:numId w:val="62"/>
        </w:numPr>
        <w:tabs>
          <w:tab w:val="left" w:pos="850"/>
        </w:tabs>
        <w:ind w:left="850" w:hanging="425"/>
        <w:jc w:val="left"/>
      </w:pPr>
      <w:bookmarkStart w:id="85" w:name="2.6__Análisis_estratégico_del_sector_"/>
      <w:bookmarkStart w:id="86" w:name="h.wcieky5w23mf"/>
      <w:bookmarkEnd w:id="85"/>
      <w:bookmarkEnd w:id="86"/>
      <w:r>
        <w:t>Análisis</w:t>
      </w:r>
      <w:r>
        <w:rPr>
          <w:spacing w:val="-8"/>
        </w:rPr>
        <w:t xml:space="preserve"> </w:t>
      </w:r>
      <w:r>
        <w:t>estratégico</w:t>
      </w:r>
      <w:r>
        <w:rPr>
          <w:spacing w:val="-7"/>
        </w:rPr>
        <w:t xml:space="preserve"> </w:t>
      </w:r>
      <w:r>
        <w:t>del</w:t>
      </w:r>
      <w:r>
        <w:rPr>
          <w:spacing w:val="-7"/>
        </w:rPr>
        <w:t xml:space="preserve"> </w:t>
      </w:r>
      <w:r>
        <w:rPr>
          <w:spacing w:val="-2"/>
        </w:rPr>
        <w:t>sector</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4" w:firstLine="720"/>
        <w:jc w:val="both"/>
      </w:pPr>
      <w:r>
        <w:t>El análisis estratégico del entorno permite comprender</w:t>
      </w:r>
      <w:r>
        <w:rPr>
          <w:spacing w:val="-3"/>
        </w:rPr>
        <w:t xml:space="preserve"> </w:t>
      </w:r>
      <w:r>
        <w:t>por</w:t>
      </w:r>
      <w:r>
        <w:rPr>
          <w:spacing w:val="-3"/>
        </w:rPr>
        <w:t xml:space="preserve"> </w:t>
      </w:r>
      <w:r>
        <w:t>qué</w:t>
      </w:r>
      <w:r>
        <w:rPr>
          <w:spacing w:val="-3"/>
        </w:rPr>
        <w:t xml:space="preserve"> </w:t>
      </w:r>
      <w:r>
        <w:t>la</w:t>
      </w:r>
      <w:r>
        <w:rPr>
          <w:spacing w:val="-3"/>
        </w:rPr>
        <w:t xml:space="preserve"> </w:t>
      </w:r>
      <w:r>
        <w:t>miel</w:t>
      </w:r>
      <w:r>
        <w:rPr>
          <w:spacing w:val="-3"/>
        </w:rPr>
        <w:t xml:space="preserve"> </w:t>
      </w:r>
      <w:r>
        <w:t>melipona</w:t>
      </w:r>
      <w:r>
        <w:rPr>
          <w:spacing w:val="-3"/>
        </w:rPr>
        <w:t xml:space="preserve"> </w:t>
      </w:r>
      <w:r>
        <w:t xml:space="preserve">y particularmente el modelo de Guardiana encuentran en la estrategia </w:t>
      </w:r>
      <w:r>
        <w:rPr>
          <w:rFonts w:ascii="Arial" w:hAnsi="Arial"/>
          <w:i/>
        </w:rPr>
        <w:t>premium</w:t>
      </w:r>
      <w:r>
        <w:rPr>
          <w:rFonts w:ascii="Arial" w:hAnsi="Arial"/>
          <w:i/>
          <w:spacing w:val="-4"/>
        </w:rPr>
        <w:t xml:space="preserve"> </w:t>
      </w:r>
      <w:r>
        <w:t>la</w:t>
      </w:r>
      <w:r>
        <w:rPr>
          <w:spacing w:val="-4"/>
        </w:rPr>
        <w:t xml:space="preserve"> </w:t>
      </w:r>
      <w:r>
        <w:t>vía</w:t>
      </w:r>
      <w:r>
        <w:rPr>
          <w:spacing w:val="-4"/>
        </w:rPr>
        <w:t xml:space="preserve"> </w:t>
      </w:r>
      <w:r>
        <w:t>más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8"/>
        <w:jc w:val="both"/>
      </w:pPr>
      <w:proofErr w:type="gramStart"/>
      <w:r>
        <w:lastRenderedPageBreak/>
        <w:t>coherente</w:t>
      </w:r>
      <w:proofErr w:type="gramEnd"/>
      <w:r>
        <w:t xml:space="preserve"> para su crecimiento. La escasez estructural</w:t>
      </w:r>
      <w:r>
        <w:rPr>
          <w:spacing w:val="-3"/>
        </w:rPr>
        <w:t xml:space="preserve"> </w:t>
      </w:r>
      <w:r>
        <w:t>del</w:t>
      </w:r>
      <w:r>
        <w:rPr>
          <w:spacing w:val="-3"/>
        </w:rPr>
        <w:t xml:space="preserve"> </w:t>
      </w:r>
      <w:r>
        <w:t>producto,</w:t>
      </w:r>
      <w:r>
        <w:rPr>
          <w:spacing w:val="-3"/>
        </w:rPr>
        <w:t xml:space="preserve"> </w:t>
      </w:r>
      <w:r>
        <w:t>su</w:t>
      </w:r>
      <w:r>
        <w:rPr>
          <w:spacing w:val="-3"/>
        </w:rPr>
        <w:t xml:space="preserve"> </w:t>
      </w:r>
      <w:r>
        <w:t>carga</w:t>
      </w:r>
      <w:r>
        <w:rPr>
          <w:spacing w:val="-3"/>
        </w:rPr>
        <w:t xml:space="preserve"> </w:t>
      </w:r>
      <w:r>
        <w:t>simbólica</w:t>
      </w:r>
      <w:r>
        <w:rPr>
          <w:spacing w:val="-3"/>
        </w:rPr>
        <w:t xml:space="preserve"> </w:t>
      </w:r>
      <w:r>
        <w:t>y su relación con tendencias globales de salud y</w:t>
      </w:r>
      <w:r>
        <w:rPr>
          <w:spacing w:val="-4"/>
        </w:rPr>
        <w:t xml:space="preserve"> </w:t>
      </w:r>
      <w:r>
        <w:t>sostenibilidad</w:t>
      </w:r>
      <w:r>
        <w:rPr>
          <w:spacing w:val="-4"/>
        </w:rPr>
        <w:t xml:space="preserve"> </w:t>
      </w:r>
      <w:r>
        <w:t>configuran</w:t>
      </w:r>
      <w:r>
        <w:rPr>
          <w:spacing w:val="-4"/>
        </w:rPr>
        <w:t xml:space="preserve"> </w:t>
      </w:r>
      <w:r>
        <w:t>un</w:t>
      </w:r>
      <w:r>
        <w:rPr>
          <w:spacing w:val="-4"/>
        </w:rPr>
        <w:t xml:space="preserve"> </w:t>
      </w:r>
      <w:r>
        <w:t>escenario</w:t>
      </w:r>
      <w:r>
        <w:rPr>
          <w:spacing w:val="-4"/>
        </w:rPr>
        <w:t xml:space="preserve"> </w:t>
      </w:r>
      <w:r>
        <w:t>en el que competir por volumen es inviable, pero donde la diferenciación por valor, autenticidad y propósito puede garantizar márgenes sostenibles.</w:t>
      </w:r>
    </w:p>
    <w:p w:rsidR="009B4BB4" w:rsidRDefault="00C44001">
      <w:pPr>
        <w:pStyle w:val="Textoindependiente"/>
        <w:spacing w:line="360" w:lineRule="auto"/>
        <w:ind w:left="425" w:right="610" w:firstLine="720"/>
        <w:jc w:val="both"/>
      </w:pPr>
      <w:r>
        <w:t>A continuación se analiza el contexto del sector mediante las herramientas PESTEL y</w:t>
      </w:r>
      <w:r>
        <w:t xml:space="preserve"> las Cinco Fuerzas de Porter, con el fin de justificar la viabilidad del posicionamiento de alto valor de Guardiana.</w:t>
      </w:r>
    </w:p>
    <w:p w:rsidR="009B4BB4" w:rsidRDefault="00C44001" w:rsidP="00C44001">
      <w:pPr>
        <w:pStyle w:val="Ttulo2"/>
        <w:numPr>
          <w:ilvl w:val="2"/>
          <w:numId w:val="62"/>
        </w:numPr>
        <w:tabs>
          <w:tab w:val="left" w:pos="970"/>
        </w:tabs>
        <w:ind w:left="970" w:hanging="545"/>
        <w:jc w:val="left"/>
      </w:pPr>
      <w:bookmarkStart w:id="87" w:name="2.6.1_Análisis_PESTEL_"/>
      <w:bookmarkStart w:id="88" w:name="h.vn1rffgm6ra6"/>
      <w:bookmarkEnd w:id="87"/>
      <w:bookmarkEnd w:id="88"/>
      <w:r>
        <w:t>Análisis</w:t>
      </w:r>
      <w:r>
        <w:rPr>
          <w:spacing w:val="-8"/>
        </w:rPr>
        <w:t xml:space="preserve"> </w:t>
      </w:r>
      <w:r>
        <w:rPr>
          <w:spacing w:val="-2"/>
        </w:rPr>
        <w:t>PESTEL</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6" w:firstLine="720"/>
        <w:jc w:val="both"/>
      </w:pPr>
      <w:r>
        <w:t>El análisis del entorno macroeconómico, estructurado bajo el marco PESTEL, revela una coyuntura favorable para el surgimie</w:t>
      </w:r>
      <w:r>
        <w:t>nto de Guardiana. Las fuerzas externas actuales convergen hacia la valorización de propuestas que buscan capitalizar la autenticidad, la salud preventiva y la sostenibilidad regenerativa.</w:t>
      </w:r>
    </w:p>
    <w:p w:rsidR="009B4BB4" w:rsidRDefault="00C44001">
      <w:pPr>
        <w:pStyle w:val="Textoindependiente"/>
        <w:spacing w:line="360" w:lineRule="auto"/>
        <w:ind w:left="425" w:right="609" w:firstLine="720"/>
        <w:jc w:val="both"/>
      </w:pPr>
      <w:r>
        <w:t>Este diagnóstico confirma</w:t>
      </w:r>
      <w:r>
        <w:rPr>
          <w:spacing w:val="-4"/>
        </w:rPr>
        <w:t xml:space="preserve"> </w:t>
      </w:r>
      <w:r>
        <w:t>que</w:t>
      </w:r>
      <w:r>
        <w:rPr>
          <w:spacing w:val="-4"/>
        </w:rPr>
        <w:t xml:space="preserve"> </w:t>
      </w:r>
      <w:r>
        <w:t>el</w:t>
      </w:r>
      <w:r>
        <w:rPr>
          <w:spacing w:val="-4"/>
        </w:rPr>
        <w:t xml:space="preserve"> </w:t>
      </w:r>
      <w:r>
        <w:t>mercado</w:t>
      </w:r>
      <w:r>
        <w:rPr>
          <w:spacing w:val="-4"/>
        </w:rPr>
        <w:t xml:space="preserve"> </w:t>
      </w:r>
      <w:r>
        <w:t>no</w:t>
      </w:r>
      <w:r>
        <w:rPr>
          <w:spacing w:val="-4"/>
        </w:rPr>
        <w:t xml:space="preserve"> </w:t>
      </w:r>
      <w:r>
        <w:t>premia</w:t>
      </w:r>
      <w:r>
        <w:rPr>
          <w:spacing w:val="-4"/>
        </w:rPr>
        <w:t xml:space="preserve"> </w:t>
      </w:r>
      <w:r>
        <w:t>la</w:t>
      </w:r>
      <w:r>
        <w:rPr>
          <w:spacing w:val="-4"/>
        </w:rPr>
        <w:t xml:space="preserve"> </w:t>
      </w:r>
      <w:r>
        <w:t>competencia</w:t>
      </w:r>
      <w:r>
        <w:rPr>
          <w:spacing w:val="-4"/>
        </w:rPr>
        <w:t xml:space="preserve"> </w:t>
      </w:r>
      <w:r>
        <w:t>po</w:t>
      </w:r>
      <w:r>
        <w:t>r</w:t>
      </w:r>
      <w:r>
        <w:rPr>
          <w:spacing w:val="-4"/>
        </w:rPr>
        <w:t xml:space="preserve"> </w:t>
      </w:r>
      <w:r>
        <w:t>volumen, sino modelos de</w:t>
      </w:r>
      <w:r>
        <w:rPr>
          <w:spacing w:val="-3"/>
        </w:rPr>
        <w:t xml:space="preserve"> </w:t>
      </w:r>
      <w:r>
        <w:t>negocio</w:t>
      </w:r>
      <w:r>
        <w:rPr>
          <w:spacing w:val="-3"/>
        </w:rPr>
        <w:t xml:space="preserve"> </w:t>
      </w:r>
      <w:r>
        <w:t>consolidados</w:t>
      </w:r>
      <w:r>
        <w:rPr>
          <w:spacing w:val="-3"/>
        </w:rPr>
        <w:t xml:space="preserve"> </w:t>
      </w:r>
      <w:r>
        <w:t>en</w:t>
      </w:r>
      <w:r>
        <w:rPr>
          <w:spacing w:val="-3"/>
        </w:rPr>
        <w:t xml:space="preserve"> </w:t>
      </w:r>
      <w:r>
        <w:t>torno</w:t>
      </w:r>
      <w:r>
        <w:rPr>
          <w:spacing w:val="-3"/>
        </w:rPr>
        <w:t xml:space="preserve"> </w:t>
      </w:r>
      <w:r>
        <w:t>al</w:t>
      </w:r>
      <w:r>
        <w:rPr>
          <w:spacing w:val="-3"/>
        </w:rPr>
        <w:t xml:space="preserve"> </w:t>
      </w:r>
      <w:r>
        <w:t>valor</w:t>
      </w:r>
      <w:r>
        <w:rPr>
          <w:spacing w:val="-3"/>
        </w:rPr>
        <w:t xml:space="preserve"> </w:t>
      </w:r>
      <w:r>
        <w:t>simbólico,</w:t>
      </w:r>
      <w:r>
        <w:rPr>
          <w:spacing w:val="-3"/>
        </w:rPr>
        <w:t xml:space="preserve"> </w:t>
      </w:r>
      <w:r>
        <w:t>funcional</w:t>
      </w:r>
      <w:r>
        <w:rPr>
          <w:spacing w:val="-3"/>
        </w:rPr>
        <w:t xml:space="preserve"> </w:t>
      </w:r>
      <w:r>
        <w:t>y</w:t>
      </w:r>
      <w:r>
        <w:rPr>
          <w:spacing w:val="-3"/>
        </w:rPr>
        <w:t xml:space="preserve"> </w:t>
      </w:r>
      <w:r>
        <w:t>social</w:t>
      </w:r>
      <w:r>
        <w:rPr>
          <w:spacing w:val="-3"/>
        </w:rPr>
        <w:t xml:space="preserve"> </w:t>
      </w:r>
      <w:r>
        <w:t>de</w:t>
      </w:r>
      <w:r>
        <w:rPr>
          <w:spacing w:val="-3"/>
        </w:rPr>
        <w:t xml:space="preserve"> </w:t>
      </w:r>
      <w:r>
        <w:t>la miel melipona. A continuación, se desglosan los</w:t>
      </w:r>
      <w:r>
        <w:rPr>
          <w:spacing w:val="-4"/>
        </w:rPr>
        <w:t xml:space="preserve"> </w:t>
      </w:r>
      <w:r>
        <w:t>factores</w:t>
      </w:r>
      <w:r>
        <w:rPr>
          <w:spacing w:val="-4"/>
        </w:rPr>
        <w:t xml:space="preserve"> </w:t>
      </w:r>
      <w:r>
        <w:t>políticos,</w:t>
      </w:r>
      <w:r>
        <w:rPr>
          <w:spacing w:val="-4"/>
        </w:rPr>
        <w:t xml:space="preserve"> </w:t>
      </w:r>
      <w:r>
        <w:t>económicos,</w:t>
      </w:r>
      <w:r>
        <w:rPr>
          <w:spacing w:val="-4"/>
        </w:rPr>
        <w:t xml:space="preserve"> </w:t>
      </w:r>
      <w:r>
        <w:t>sociales, tecnológicos, ecológicos y legales que configuran este escenario</w:t>
      </w:r>
      <w:r>
        <w:rPr>
          <w:spacing w:val="-4"/>
        </w:rPr>
        <w:t xml:space="preserve"> </w:t>
      </w:r>
      <w:r>
        <w:t>de</w:t>
      </w:r>
      <w:r>
        <w:rPr>
          <w:spacing w:val="-4"/>
        </w:rPr>
        <w:t xml:space="preserve"> </w:t>
      </w:r>
      <w:r>
        <w:t>oportunidad</w:t>
      </w:r>
      <w:r>
        <w:rPr>
          <w:spacing w:val="-4"/>
        </w:rPr>
        <w:t xml:space="preserve"> </w:t>
      </w:r>
      <w:r>
        <w:t>para</w:t>
      </w:r>
      <w:r>
        <w:rPr>
          <w:spacing w:val="-4"/>
        </w:rPr>
        <w:t xml:space="preserve"> </w:t>
      </w:r>
      <w:r>
        <w:t xml:space="preserve">un posicionamiento </w:t>
      </w:r>
      <w:r>
        <w:rPr>
          <w:rFonts w:ascii="Arial" w:hAnsi="Arial"/>
          <w:i/>
        </w:rPr>
        <w:t>premium</w:t>
      </w:r>
      <w:r>
        <w:t>.</w:t>
      </w:r>
    </w:p>
    <w:p w:rsidR="009B4BB4" w:rsidRDefault="009B4BB4">
      <w:pPr>
        <w:pStyle w:val="Textoindependiente"/>
        <w:spacing w:before="126"/>
      </w:pPr>
    </w:p>
    <w:p w:rsidR="009B4BB4" w:rsidRDefault="00C44001" w:rsidP="00C44001">
      <w:pPr>
        <w:pStyle w:val="Ttulo1"/>
        <w:numPr>
          <w:ilvl w:val="0"/>
          <w:numId w:val="54"/>
        </w:numPr>
        <w:tabs>
          <w:tab w:val="left" w:pos="1145"/>
        </w:tabs>
      </w:pPr>
      <w:r>
        <w:rPr>
          <w:spacing w:val="-2"/>
        </w:rPr>
        <w:t>Político:</w:t>
      </w:r>
    </w:p>
    <w:p w:rsidR="009B4BB4" w:rsidRDefault="00C44001" w:rsidP="00C44001">
      <w:pPr>
        <w:pStyle w:val="Prrafodelista"/>
        <w:numPr>
          <w:ilvl w:val="1"/>
          <w:numId w:val="54"/>
        </w:numPr>
        <w:tabs>
          <w:tab w:val="left" w:pos="1865"/>
        </w:tabs>
        <w:spacing w:before="127" w:line="360" w:lineRule="auto"/>
        <w:ind w:right="610"/>
        <w:jc w:val="both"/>
      </w:pPr>
      <w:r>
        <w:t>El sector apícola mexicano recibe apoyo institucional de la Secretaría de Agricultura y Desarrollo Rural (SADER), la FAO y programas</w:t>
      </w:r>
      <w:r>
        <w:rPr>
          <w:spacing w:val="-5"/>
        </w:rPr>
        <w:t xml:space="preserve"> </w:t>
      </w:r>
      <w:r>
        <w:t>vinculados</w:t>
      </w:r>
      <w:r>
        <w:rPr>
          <w:spacing w:val="-5"/>
        </w:rPr>
        <w:t xml:space="preserve"> </w:t>
      </w:r>
      <w:r>
        <w:t>a los Objetivos de Desarrollo Sostenible.</w:t>
      </w:r>
    </w:p>
    <w:p w:rsidR="009B4BB4" w:rsidRDefault="00C44001" w:rsidP="00C44001">
      <w:pPr>
        <w:pStyle w:val="Prrafodelista"/>
        <w:numPr>
          <w:ilvl w:val="1"/>
          <w:numId w:val="54"/>
        </w:numPr>
        <w:tabs>
          <w:tab w:val="left" w:pos="1865"/>
        </w:tabs>
        <w:spacing w:before="0" w:line="360" w:lineRule="auto"/>
        <w:ind w:right="617"/>
        <w:jc w:val="both"/>
      </w:pPr>
      <w:r>
        <w:t>Se promueven prácticas sustentables, la protección de polinizadores y el desarrollo de productos con denominación de origen.</w:t>
      </w:r>
    </w:p>
    <w:p w:rsidR="009B4BB4" w:rsidRDefault="00C44001" w:rsidP="00C44001">
      <w:pPr>
        <w:pStyle w:val="Prrafodelista"/>
        <w:numPr>
          <w:ilvl w:val="1"/>
          <w:numId w:val="54"/>
        </w:numPr>
        <w:tabs>
          <w:tab w:val="left" w:pos="1865"/>
        </w:tabs>
        <w:spacing w:before="0" w:line="360" w:lineRule="auto"/>
        <w:ind w:right="615"/>
        <w:jc w:val="both"/>
      </w:pPr>
      <w:r>
        <w:t>Políticas que incentiven la formalización y favorezcan modelos como Guardiana,</w:t>
      </w:r>
      <w:r>
        <w:rPr>
          <w:spacing w:val="24"/>
        </w:rPr>
        <w:t xml:space="preserve"> </w:t>
      </w:r>
      <w:r>
        <w:t>que fortalezcan la producción responsable y el comer</w:t>
      </w:r>
      <w:r>
        <w:t>cio ético y justo.</w:t>
      </w:r>
    </w:p>
    <w:p w:rsidR="009B4BB4" w:rsidRDefault="00C44001" w:rsidP="00C44001">
      <w:pPr>
        <w:pStyle w:val="Ttulo1"/>
        <w:numPr>
          <w:ilvl w:val="0"/>
          <w:numId w:val="54"/>
        </w:numPr>
        <w:tabs>
          <w:tab w:val="left" w:pos="1145"/>
        </w:tabs>
      </w:pPr>
      <w:r>
        <w:rPr>
          <w:spacing w:val="-2"/>
        </w:rPr>
        <w:t>Económico:</w:t>
      </w:r>
    </w:p>
    <w:p w:rsidR="009B4BB4" w:rsidRDefault="00C44001" w:rsidP="00C44001">
      <w:pPr>
        <w:pStyle w:val="Prrafodelista"/>
        <w:numPr>
          <w:ilvl w:val="1"/>
          <w:numId w:val="54"/>
        </w:numPr>
        <w:tabs>
          <w:tab w:val="left" w:pos="1865"/>
        </w:tabs>
        <w:spacing w:before="126"/>
      </w:pPr>
      <w:r>
        <w:t>El</w:t>
      </w:r>
      <w:r>
        <w:rPr>
          <w:spacing w:val="-8"/>
        </w:rPr>
        <w:t xml:space="preserve"> </w:t>
      </w:r>
      <w:r>
        <w:t>crecimiento</w:t>
      </w:r>
      <w:r>
        <w:rPr>
          <w:spacing w:val="-5"/>
        </w:rPr>
        <w:t xml:space="preserve"> </w:t>
      </w:r>
      <w:r>
        <w:t>sostenido</w:t>
      </w:r>
      <w:r>
        <w:rPr>
          <w:spacing w:val="-5"/>
        </w:rPr>
        <w:t xml:space="preserve"> </w:t>
      </w:r>
      <w:r>
        <w:t>del</w:t>
      </w:r>
      <w:r>
        <w:rPr>
          <w:spacing w:val="-5"/>
        </w:rPr>
        <w:t xml:space="preserve"> </w:t>
      </w:r>
      <w:r>
        <w:t>mercado</w:t>
      </w:r>
      <w:r>
        <w:rPr>
          <w:spacing w:val="-6"/>
        </w:rPr>
        <w:t xml:space="preserve"> </w:t>
      </w:r>
      <w:r>
        <w:t>global</w:t>
      </w:r>
      <w:r>
        <w:rPr>
          <w:spacing w:val="-5"/>
        </w:rPr>
        <w:t xml:space="preserve"> </w:t>
      </w:r>
      <w:r>
        <w:t>de</w:t>
      </w:r>
      <w:r>
        <w:rPr>
          <w:spacing w:val="-5"/>
        </w:rPr>
        <w:t xml:space="preserve"> </w:t>
      </w:r>
      <w:r>
        <w:t>la</w:t>
      </w:r>
      <w:r>
        <w:rPr>
          <w:spacing w:val="-5"/>
        </w:rPr>
        <w:t xml:space="preserve"> </w:t>
      </w:r>
      <w:r>
        <w:rPr>
          <w:spacing w:val="-2"/>
        </w:rPr>
        <w:t>miel.</w:t>
      </w:r>
    </w:p>
    <w:p w:rsidR="009B4BB4" w:rsidRDefault="00C44001" w:rsidP="00C44001">
      <w:pPr>
        <w:pStyle w:val="Prrafodelista"/>
        <w:numPr>
          <w:ilvl w:val="1"/>
          <w:numId w:val="54"/>
        </w:numPr>
        <w:tabs>
          <w:tab w:val="left" w:pos="1865"/>
        </w:tabs>
        <w:spacing w:before="127"/>
      </w:pPr>
      <w:r>
        <w:t>Mayor</w:t>
      </w:r>
      <w:r>
        <w:rPr>
          <w:spacing w:val="-6"/>
        </w:rPr>
        <w:t xml:space="preserve"> </w:t>
      </w:r>
      <w:r>
        <w:t>disposición</w:t>
      </w:r>
      <w:r>
        <w:rPr>
          <w:spacing w:val="-6"/>
        </w:rPr>
        <w:t xml:space="preserve"> </w:t>
      </w:r>
      <w:r>
        <w:t>de</w:t>
      </w:r>
      <w:r>
        <w:rPr>
          <w:spacing w:val="-5"/>
        </w:rPr>
        <w:t xml:space="preserve"> </w:t>
      </w:r>
      <w:r>
        <w:t>los</w:t>
      </w:r>
      <w:r>
        <w:rPr>
          <w:spacing w:val="-6"/>
        </w:rPr>
        <w:t xml:space="preserve"> </w:t>
      </w:r>
      <w:r>
        <w:t>consumidores</w:t>
      </w:r>
      <w:r>
        <w:rPr>
          <w:spacing w:val="-6"/>
        </w:rPr>
        <w:t xml:space="preserve"> </w:t>
      </w:r>
      <w:r>
        <w:t>a</w:t>
      </w:r>
      <w:r>
        <w:rPr>
          <w:spacing w:val="-5"/>
        </w:rPr>
        <w:t xml:space="preserve"> </w:t>
      </w:r>
      <w:r>
        <w:t>pagar</w:t>
      </w:r>
      <w:r>
        <w:rPr>
          <w:spacing w:val="-6"/>
        </w:rPr>
        <w:t xml:space="preserve"> </w:t>
      </w:r>
      <w:r>
        <w:t>por</w:t>
      </w:r>
      <w:r>
        <w:rPr>
          <w:spacing w:val="-6"/>
        </w:rPr>
        <w:t xml:space="preserve"> </w:t>
      </w:r>
      <w:r>
        <w:t>productos</w:t>
      </w:r>
      <w:r>
        <w:rPr>
          <w:spacing w:val="-5"/>
        </w:rPr>
        <w:t xml:space="preserve"> </w:t>
      </w:r>
      <w:r>
        <w:rPr>
          <w:spacing w:val="-2"/>
        </w:rPr>
        <w:t>naturales.</w:t>
      </w:r>
    </w:p>
    <w:p w:rsidR="009B4BB4" w:rsidRDefault="009B4BB4">
      <w:pPr>
        <w:pStyle w:val="Prrafodelista"/>
        <w:sectPr w:rsidR="009B4BB4">
          <w:pgSz w:w="11920" w:h="16840"/>
          <w:pgMar w:top="1500" w:right="850" w:bottom="1940" w:left="1275" w:header="0" w:footer="1747" w:gutter="0"/>
          <w:cols w:space="720"/>
        </w:sectPr>
      </w:pPr>
    </w:p>
    <w:p w:rsidR="009B4BB4" w:rsidRDefault="00C44001" w:rsidP="00C44001">
      <w:pPr>
        <w:pStyle w:val="Prrafodelista"/>
        <w:numPr>
          <w:ilvl w:val="1"/>
          <w:numId w:val="54"/>
        </w:numPr>
        <w:tabs>
          <w:tab w:val="left" w:pos="1865"/>
        </w:tabs>
        <w:spacing w:before="79" w:line="360" w:lineRule="auto"/>
        <w:ind w:right="608"/>
        <w:jc w:val="both"/>
      </w:pPr>
      <w:r>
        <w:lastRenderedPageBreak/>
        <w:t>El bajo consumo interno de miel en México, es evidencia de un mercado aún poco ex</w:t>
      </w:r>
      <w:r>
        <w:t>plotado.</w:t>
      </w:r>
    </w:p>
    <w:p w:rsidR="009B4BB4" w:rsidRDefault="00C44001" w:rsidP="00C44001">
      <w:pPr>
        <w:pStyle w:val="Prrafodelista"/>
        <w:numPr>
          <w:ilvl w:val="1"/>
          <w:numId w:val="54"/>
        </w:numPr>
        <w:tabs>
          <w:tab w:val="left" w:pos="1865"/>
        </w:tabs>
        <w:spacing w:before="0" w:line="360" w:lineRule="auto"/>
        <w:ind w:right="614"/>
        <w:jc w:val="both"/>
      </w:pPr>
      <w:r>
        <w:t>Entorno con menor competencia masiva y un amplio potencial para introducción de</w:t>
      </w:r>
      <w:r>
        <w:rPr>
          <w:spacing w:val="-4"/>
        </w:rPr>
        <w:t xml:space="preserve"> </w:t>
      </w:r>
      <w:r>
        <w:t>propuestas</w:t>
      </w:r>
      <w:r>
        <w:rPr>
          <w:spacing w:val="-4"/>
        </w:rPr>
        <w:t xml:space="preserve"> </w:t>
      </w:r>
      <w:r>
        <w:t>de</w:t>
      </w:r>
      <w:r>
        <w:rPr>
          <w:spacing w:val="-4"/>
        </w:rPr>
        <w:t xml:space="preserve"> </w:t>
      </w:r>
      <w:r>
        <w:t>valor</w:t>
      </w:r>
      <w:r>
        <w:rPr>
          <w:spacing w:val="-4"/>
        </w:rPr>
        <w:t xml:space="preserve"> </w:t>
      </w:r>
      <w:r>
        <w:t>con</w:t>
      </w:r>
      <w:r>
        <w:rPr>
          <w:spacing w:val="-4"/>
        </w:rPr>
        <w:t xml:space="preserve"> </w:t>
      </w:r>
      <w:r>
        <w:t>márgenes</w:t>
      </w:r>
      <w:r>
        <w:rPr>
          <w:spacing w:val="-4"/>
        </w:rPr>
        <w:t xml:space="preserve"> </w:t>
      </w:r>
      <w:r>
        <w:t>altos,</w:t>
      </w:r>
      <w:r>
        <w:rPr>
          <w:spacing w:val="-4"/>
        </w:rPr>
        <w:t xml:space="preserve"> </w:t>
      </w:r>
      <w:r>
        <w:t>tanto</w:t>
      </w:r>
      <w:r>
        <w:rPr>
          <w:spacing w:val="-4"/>
        </w:rPr>
        <w:t xml:space="preserve"> </w:t>
      </w:r>
      <w:r>
        <w:t>en</w:t>
      </w:r>
      <w:r>
        <w:rPr>
          <w:spacing w:val="-4"/>
        </w:rPr>
        <w:t xml:space="preserve"> </w:t>
      </w:r>
      <w:r>
        <w:t>mercado nacional como en segmentos internacionales especializados.</w:t>
      </w:r>
    </w:p>
    <w:p w:rsidR="009B4BB4" w:rsidRDefault="00C44001" w:rsidP="00C44001">
      <w:pPr>
        <w:pStyle w:val="Ttulo1"/>
        <w:numPr>
          <w:ilvl w:val="0"/>
          <w:numId w:val="54"/>
        </w:numPr>
        <w:tabs>
          <w:tab w:val="left" w:pos="1145"/>
        </w:tabs>
      </w:pPr>
      <w:r>
        <w:rPr>
          <w:spacing w:val="-2"/>
        </w:rPr>
        <w:t>Social:</w:t>
      </w:r>
    </w:p>
    <w:p w:rsidR="009B4BB4" w:rsidRDefault="00C44001" w:rsidP="00C44001">
      <w:pPr>
        <w:pStyle w:val="Prrafodelista"/>
        <w:numPr>
          <w:ilvl w:val="1"/>
          <w:numId w:val="54"/>
        </w:numPr>
        <w:tabs>
          <w:tab w:val="left" w:pos="1865"/>
        </w:tabs>
        <w:spacing w:before="127"/>
      </w:pPr>
      <w:r>
        <w:t>El</w:t>
      </w:r>
      <w:r>
        <w:rPr>
          <w:spacing w:val="-7"/>
        </w:rPr>
        <w:t xml:space="preserve"> </w:t>
      </w:r>
      <w:r>
        <w:t>consumidor</w:t>
      </w:r>
      <w:r>
        <w:rPr>
          <w:spacing w:val="-7"/>
        </w:rPr>
        <w:t xml:space="preserve"> </w:t>
      </w:r>
      <w:r>
        <w:t>actual</w:t>
      </w:r>
      <w:r>
        <w:rPr>
          <w:spacing w:val="-7"/>
        </w:rPr>
        <w:t xml:space="preserve"> </w:t>
      </w:r>
      <w:r>
        <w:t>prioriza</w:t>
      </w:r>
      <w:r>
        <w:rPr>
          <w:spacing w:val="-6"/>
        </w:rPr>
        <w:t xml:space="preserve"> </w:t>
      </w:r>
      <w:r>
        <w:t>salud,</w:t>
      </w:r>
      <w:r>
        <w:rPr>
          <w:spacing w:val="-7"/>
        </w:rPr>
        <w:t xml:space="preserve"> </w:t>
      </w:r>
      <w:r>
        <w:t>sostenibilidad</w:t>
      </w:r>
      <w:r>
        <w:rPr>
          <w:spacing w:val="-7"/>
        </w:rPr>
        <w:t xml:space="preserve"> </w:t>
      </w:r>
      <w:r>
        <w:t>y</w:t>
      </w:r>
      <w:r>
        <w:rPr>
          <w:spacing w:val="-6"/>
        </w:rPr>
        <w:t xml:space="preserve"> </w:t>
      </w:r>
      <w:r>
        <w:rPr>
          <w:spacing w:val="-2"/>
        </w:rPr>
        <w:t>autenticidad.</w:t>
      </w:r>
    </w:p>
    <w:p w:rsidR="009B4BB4" w:rsidRDefault="00C44001" w:rsidP="00C44001">
      <w:pPr>
        <w:pStyle w:val="Prrafodelista"/>
        <w:numPr>
          <w:ilvl w:val="1"/>
          <w:numId w:val="54"/>
        </w:numPr>
        <w:tabs>
          <w:tab w:val="left" w:pos="1865"/>
        </w:tabs>
        <w:spacing w:before="126" w:line="360" w:lineRule="auto"/>
        <w:ind w:right="613"/>
      </w:pPr>
      <w:r>
        <w:t>El</w:t>
      </w:r>
      <w:r>
        <w:rPr>
          <w:spacing w:val="40"/>
        </w:rPr>
        <w:t xml:space="preserve"> </w:t>
      </w:r>
      <w:r>
        <w:t>cambio</w:t>
      </w:r>
      <w:r>
        <w:rPr>
          <w:spacing w:val="40"/>
        </w:rPr>
        <w:t xml:space="preserve"> </w:t>
      </w:r>
      <w:r>
        <w:t xml:space="preserve">cultural crea un escenario ideal para productos con historia y </w:t>
      </w:r>
      <w:r>
        <w:rPr>
          <w:spacing w:val="-2"/>
        </w:rPr>
        <w:t>origen.</w:t>
      </w:r>
    </w:p>
    <w:p w:rsidR="009B4BB4" w:rsidRDefault="00C44001" w:rsidP="00C44001">
      <w:pPr>
        <w:pStyle w:val="Prrafodelista"/>
        <w:numPr>
          <w:ilvl w:val="1"/>
          <w:numId w:val="54"/>
        </w:numPr>
        <w:tabs>
          <w:tab w:val="left" w:pos="1865"/>
        </w:tabs>
        <w:spacing w:before="0" w:line="360" w:lineRule="auto"/>
        <w:ind w:right="608"/>
      </w:pPr>
      <w:r>
        <w:t>La</w:t>
      </w:r>
      <w:r>
        <w:rPr>
          <w:spacing w:val="80"/>
        </w:rPr>
        <w:t xml:space="preserve"> </w:t>
      </w:r>
      <w:r>
        <w:t>revalorización</w:t>
      </w:r>
      <w:r>
        <w:rPr>
          <w:spacing w:val="80"/>
        </w:rPr>
        <w:t xml:space="preserve"> </w:t>
      </w:r>
      <w:r>
        <w:t>de</w:t>
      </w:r>
      <w:r>
        <w:rPr>
          <w:spacing w:val="80"/>
        </w:rPr>
        <w:t xml:space="preserve"> </w:t>
      </w:r>
      <w:r>
        <w:t>lo</w:t>
      </w:r>
      <w:r>
        <w:rPr>
          <w:spacing w:val="80"/>
        </w:rPr>
        <w:t xml:space="preserve"> </w:t>
      </w:r>
      <w:r>
        <w:t>ancestral</w:t>
      </w:r>
      <w:r>
        <w:rPr>
          <w:spacing w:val="80"/>
        </w:rPr>
        <w:t xml:space="preserve"> </w:t>
      </w:r>
      <w:r>
        <w:t>y</w:t>
      </w:r>
      <w:r>
        <w:rPr>
          <w:spacing w:val="80"/>
        </w:rPr>
        <w:t xml:space="preserve"> </w:t>
      </w:r>
      <w:r>
        <w:t>de</w:t>
      </w:r>
      <w:r>
        <w:rPr>
          <w:spacing w:val="80"/>
        </w:rPr>
        <w:t xml:space="preserve"> </w:t>
      </w:r>
      <w:r>
        <w:t>la</w:t>
      </w:r>
      <w:r>
        <w:rPr>
          <w:spacing w:val="80"/>
        </w:rPr>
        <w:t xml:space="preserve"> </w:t>
      </w:r>
      <w:r>
        <w:t>identidad</w:t>
      </w:r>
      <w:r>
        <w:rPr>
          <w:spacing w:val="80"/>
        </w:rPr>
        <w:t xml:space="preserve"> </w:t>
      </w:r>
      <w:r>
        <w:t>maya</w:t>
      </w:r>
      <w:r>
        <w:rPr>
          <w:spacing w:val="80"/>
        </w:rPr>
        <w:t xml:space="preserve"> </w:t>
      </w:r>
      <w:r>
        <w:t>refuerzan legitimidad de Guardiana como marca con raíz territorial y propósito social</w:t>
      </w:r>
    </w:p>
    <w:p w:rsidR="009B4BB4" w:rsidRDefault="00C44001" w:rsidP="00C44001">
      <w:pPr>
        <w:pStyle w:val="Ttulo1"/>
        <w:numPr>
          <w:ilvl w:val="0"/>
          <w:numId w:val="53"/>
        </w:numPr>
        <w:tabs>
          <w:tab w:val="left" w:pos="1145"/>
        </w:tabs>
      </w:pPr>
      <w:r>
        <w:rPr>
          <w:spacing w:val="-2"/>
        </w:rPr>
        <w:t>Tecnológico:</w:t>
      </w:r>
    </w:p>
    <w:p w:rsidR="009B4BB4" w:rsidRDefault="00C44001" w:rsidP="00C44001">
      <w:pPr>
        <w:pStyle w:val="Prrafodelista"/>
        <w:numPr>
          <w:ilvl w:val="1"/>
          <w:numId w:val="53"/>
        </w:numPr>
        <w:tabs>
          <w:tab w:val="left" w:pos="1865"/>
        </w:tabs>
        <w:spacing w:before="127" w:line="360" w:lineRule="auto"/>
        <w:ind w:right="615"/>
      </w:pPr>
      <w:r>
        <w:t>Los</w:t>
      </w:r>
      <w:r>
        <w:rPr>
          <w:spacing w:val="80"/>
          <w:w w:val="150"/>
        </w:rPr>
        <w:t xml:space="preserve"> </w:t>
      </w:r>
      <w:r>
        <w:t>avances</w:t>
      </w:r>
      <w:r>
        <w:rPr>
          <w:spacing w:val="80"/>
          <w:w w:val="150"/>
        </w:rPr>
        <w:t xml:space="preserve"> </w:t>
      </w:r>
      <w:r>
        <w:t>en</w:t>
      </w:r>
      <w:r>
        <w:rPr>
          <w:spacing w:val="80"/>
          <w:w w:val="150"/>
        </w:rPr>
        <w:t xml:space="preserve"> </w:t>
      </w:r>
      <w:r>
        <w:t>trazabilidad,</w:t>
      </w:r>
      <w:r>
        <w:rPr>
          <w:spacing w:val="80"/>
          <w:w w:val="150"/>
        </w:rPr>
        <w:t xml:space="preserve"> </w:t>
      </w:r>
      <w:r>
        <w:t>certificaciones</w:t>
      </w:r>
      <w:r>
        <w:rPr>
          <w:spacing w:val="80"/>
          <w:w w:val="150"/>
        </w:rPr>
        <w:t xml:space="preserve"> </w:t>
      </w:r>
      <w:r>
        <w:t>digitales</w:t>
      </w:r>
      <w:r>
        <w:rPr>
          <w:spacing w:val="80"/>
          <w:w w:val="150"/>
        </w:rPr>
        <w:t xml:space="preserve"> </w:t>
      </w:r>
      <w:r>
        <w:t>y</w:t>
      </w:r>
      <w:r>
        <w:rPr>
          <w:spacing w:val="80"/>
          <w:w w:val="150"/>
        </w:rPr>
        <w:t xml:space="preserve"> </w:t>
      </w:r>
      <w:r>
        <w:t>empaques biodegradables</w:t>
      </w:r>
      <w:r>
        <w:rPr>
          <w:spacing w:val="-3"/>
        </w:rPr>
        <w:t xml:space="preserve"> </w:t>
      </w:r>
      <w:r>
        <w:t>permiten</w:t>
      </w:r>
      <w:r>
        <w:rPr>
          <w:spacing w:val="-3"/>
        </w:rPr>
        <w:t xml:space="preserve"> </w:t>
      </w:r>
      <w:r>
        <w:t>comunicar</w:t>
      </w:r>
      <w:r>
        <w:rPr>
          <w:spacing w:val="-3"/>
        </w:rPr>
        <w:t xml:space="preserve"> </w:t>
      </w:r>
      <w:r>
        <w:t>transparencia,</w:t>
      </w:r>
      <w:r>
        <w:rPr>
          <w:spacing w:val="-3"/>
        </w:rPr>
        <w:t xml:space="preserve"> </w:t>
      </w:r>
      <w:r>
        <w:t>sostenibilidad</w:t>
      </w:r>
      <w:r>
        <w:rPr>
          <w:spacing w:val="-3"/>
        </w:rPr>
        <w:t xml:space="preserve"> </w:t>
      </w:r>
      <w:r>
        <w:t>y</w:t>
      </w:r>
      <w:r>
        <w:rPr>
          <w:spacing w:val="-3"/>
        </w:rPr>
        <w:t xml:space="preserve"> </w:t>
      </w:r>
      <w:r>
        <w:t>diseño.</w:t>
      </w:r>
    </w:p>
    <w:p w:rsidR="009B4BB4" w:rsidRDefault="00C44001" w:rsidP="00C44001">
      <w:pPr>
        <w:pStyle w:val="Prrafodelista"/>
        <w:numPr>
          <w:ilvl w:val="1"/>
          <w:numId w:val="53"/>
        </w:numPr>
        <w:tabs>
          <w:tab w:val="left" w:pos="1865"/>
        </w:tabs>
        <w:spacing w:before="0" w:line="360" w:lineRule="auto"/>
        <w:ind w:right="613"/>
      </w:pPr>
      <w:r>
        <w:t>La</w:t>
      </w:r>
      <w:r>
        <w:rPr>
          <w:spacing w:val="80"/>
        </w:rPr>
        <w:t xml:space="preserve"> </w:t>
      </w:r>
      <w:r>
        <w:t>digitalización</w:t>
      </w:r>
      <w:r>
        <w:rPr>
          <w:spacing w:val="80"/>
        </w:rPr>
        <w:t xml:space="preserve"> </w:t>
      </w:r>
      <w:r>
        <w:t>de</w:t>
      </w:r>
      <w:r>
        <w:rPr>
          <w:spacing w:val="80"/>
        </w:rPr>
        <w:t xml:space="preserve"> </w:t>
      </w:r>
      <w:r>
        <w:t>procesos</w:t>
      </w:r>
      <w:r>
        <w:rPr>
          <w:spacing w:val="80"/>
        </w:rPr>
        <w:t xml:space="preserve"> </w:t>
      </w:r>
      <w:r>
        <w:t>abre</w:t>
      </w:r>
      <w:r>
        <w:rPr>
          <w:spacing w:val="80"/>
        </w:rPr>
        <w:t xml:space="preserve"> </w:t>
      </w:r>
      <w:r>
        <w:t>canales</w:t>
      </w:r>
      <w:r>
        <w:rPr>
          <w:spacing w:val="80"/>
        </w:rPr>
        <w:t xml:space="preserve"> </w:t>
      </w:r>
      <w:r>
        <w:t>de</w:t>
      </w:r>
      <w:r>
        <w:rPr>
          <w:spacing w:val="80"/>
        </w:rPr>
        <w:t xml:space="preserve"> </w:t>
      </w:r>
      <w:r>
        <w:t>venta</w:t>
      </w:r>
      <w:r>
        <w:rPr>
          <w:spacing w:val="80"/>
        </w:rPr>
        <w:t xml:space="preserve"> </w:t>
      </w:r>
      <w:r>
        <w:t>directa,</w:t>
      </w:r>
      <w:r>
        <w:rPr>
          <w:spacing w:val="80"/>
        </w:rPr>
        <w:t xml:space="preserve"> </w:t>
      </w:r>
      <w:r>
        <w:t>como e-commerce o marketplaces de productos éticos.</w:t>
      </w:r>
    </w:p>
    <w:p w:rsidR="009B4BB4" w:rsidRDefault="00C44001" w:rsidP="00C44001">
      <w:pPr>
        <w:pStyle w:val="Ttulo1"/>
        <w:numPr>
          <w:ilvl w:val="0"/>
          <w:numId w:val="53"/>
        </w:numPr>
        <w:tabs>
          <w:tab w:val="left" w:pos="1145"/>
        </w:tabs>
      </w:pPr>
      <w:r>
        <w:rPr>
          <w:spacing w:val="-2"/>
        </w:rPr>
        <w:t>Ecológico:</w:t>
      </w:r>
    </w:p>
    <w:p w:rsidR="009B4BB4" w:rsidRDefault="00C44001" w:rsidP="00C44001">
      <w:pPr>
        <w:pStyle w:val="Prrafodelista"/>
        <w:numPr>
          <w:ilvl w:val="1"/>
          <w:numId w:val="53"/>
        </w:numPr>
        <w:tabs>
          <w:tab w:val="left" w:pos="1865"/>
        </w:tabs>
        <w:spacing w:before="126" w:line="360" w:lineRule="auto"/>
        <w:ind w:right="605"/>
        <w:jc w:val="both"/>
      </w:pPr>
      <w:r>
        <w:t>Pérdida de polinizadores y deterioro ambiental, impulsan una creciente demanda por modelos de producción de bajo impacto.</w:t>
      </w:r>
    </w:p>
    <w:p w:rsidR="009B4BB4" w:rsidRDefault="00C44001" w:rsidP="00C44001">
      <w:pPr>
        <w:pStyle w:val="Prrafodelista"/>
        <w:numPr>
          <w:ilvl w:val="1"/>
          <w:numId w:val="53"/>
        </w:numPr>
        <w:tabs>
          <w:tab w:val="left" w:pos="1865"/>
        </w:tabs>
        <w:spacing w:before="0" w:line="360" w:lineRule="auto"/>
        <w:ind w:right="603"/>
        <w:jc w:val="both"/>
      </w:pPr>
      <w:r>
        <w:t>La meliponicultura se posiciona como práctica regenerativa al conservar</w:t>
      </w:r>
      <w:r>
        <w:t xml:space="preserve"> abejas nativas y favorecer la regeneración</w:t>
      </w:r>
      <w:r>
        <w:rPr>
          <w:spacing w:val="-4"/>
        </w:rPr>
        <w:t xml:space="preserve"> </w:t>
      </w:r>
      <w:r>
        <w:t>de</w:t>
      </w:r>
      <w:r>
        <w:rPr>
          <w:spacing w:val="-4"/>
        </w:rPr>
        <w:t xml:space="preserve"> </w:t>
      </w:r>
      <w:r>
        <w:t>flora</w:t>
      </w:r>
      <w:r>
        <w:rPr>
          <w:spacing w:val="-4"/>
        </w:rPr>
        <w:t xml:space="preserve"> </w:t>
      </w:r>
      <w:r>
        <w:t>local.</w:t>
      </w:r>
      <w:r>
        <w:rPr>
          <w:spacing w:val="-4"/>
        </w:rPr>
        <w:t xml:space="preserve"> </w:t>
      </w:r>
      <w:r>
        <w:t>Esta</w:t>
      </w:r>
      <w:r>
        <w:rPr>
          <w:spacing w:val="-4"/>
        </w:rPr>
        <w:t xml:space="preserve"> </w:t>
      </w:r>
      <w:r>
        <w:t>contribución convierte a la miel melipona en un producto de alto valor ecológico y legitimidad ambiental.</w:t>
      </w:r>
    </w:p>
    <w:p w:rsidR="009B4BB4" w:rsidRDefault="00C44001" w:rsidP="00C44001">
      <w:pPr>
        <w:pStyle w:val="Ttulo1"/>
        <w:numPr>
          <w:ilvl w:val="0"/>
          <w:numId w:val="52"/>
        </w:numPr>
        <w:tabs>
          <w:tab w:val="left" w:pos="1145"/>
        </w:tabs>
      </w:pPr>
      <w:r>
        <w:rPr>
          <w:spacing w:val="-2"/>
        </w:rPr>
        <w:t>Legal:</w:t>
      </w:r>
    </w:p>
    <w:p w:rsidR="009B4BB4" w:rsidRDefault="00C44001" w:rsidP="00C44001">
      <w:pPr>
        <w:pStyle w:val="Prrafodelista"/>
        <w:numPr>
          <w:ilvl w:val="1"/>
          <w:numId w:val="52"/>
        </w:numPr>
        <w:tabs>
          <w:tab w:val="left" w:pos="1865"/>
        </w:tabs>
        <w:spacing w:before="127" w:line="360" w:lineRule="auto"/>
        <w:ind w:right="614"/>
        <w:jc w:val="both"/>
      </w:pPr>
      <w:r>
        <w:t>Normativas como la NOM-004-SAG/GAN-2018, que regula las especificaciones de pr</w:t>
      </w:r>
      <w:r>
        <w:t xml:space="preserve">oducción, envasado y etiquetado de la miel en </w:t>
      </w:r>
      <w:r>
        <w:rPr>
          <w:spacing w:val="-2"/>
        </w:rPr>
        <w:t>México.</w:t>
      </w:r>
    </w:p>
    <w:p w:rsidR="009B4BB4" w:rsidRDefault="00C44001" w:rsidP="00C44001">
      <w:pPr>
        <w:pStyle w:val="Prrafodelista"/>
        <w:numPr>
          <w:ilvl w:val="1"/>
          <w:numId w:val="52"/>
        </w:numPr>
        <w:tabs>
          <w:tab w:val="left" w:pos="1865"/>
        </w:tabs>
        <w:spacing w:before="0" w:line="360" w:lineRule="auto"/>
        <w:ind w:right="611"/>
        <w:jc w:val="both"/>
      </w:pPr>
      <w:r>
        <w:t>Estándares de certificación orgánica y de comercio justo, que garanticen autenticidad, calidad y trazabilidad.</w:t>
      </w:r>
    </w:p>
    <w:p w:rsidR="009B4BB4" w:rsidRDefault="00C44001">
      <w:pPr>
        <w:pStyle w:val="Textoindependiente"/>
        <w:spacing w:line="360" w:lineRule="auto"/>
        <w:ind w:left="425" w:right="611" w:firstLine="720"/>
        <w:jc w:val="both"/>
      </w:pPr>
      <w:r>
        <w:t>El PESTEL muestra un entorno favorable para propuestas como Guardiana. La competitividad en este sector no se define por volumen, sino por la capacidad de</w:t>
      </w:r>
      <w:r>
        <w:rPr>
          <w:spacing w:val="40"/>
        </w:rPr>
        <w:t xml:space="preserve"> </w:t>
      </w:r>
      <w:r>
        <w:t>construir valor a partir de la autenticidad, la escasez y la confianza del consumidor.</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62"/>
        </w:numPr>
        <w:tabs>
          <w:tab w:val="left" w:pos="1465"/>
        </w:tabs>
        <w:spacing w:before="79"/>
        <w:ind w:left="1465" w:hanging="545"/>
        <w:jc w:val="left"/>
      </w:pPr>
      <w:bookmarkStart w:id="89" w:name="2.6.2_Análisis_de_las_Cinco_Fuerzas_de_P"/>
      <w:bookmarkStart w:id="90" w:name="h.bmmes9kq33yu"/>
      <w:bookmarkEnd w:id="89"/>
      <w:bookmarkEnd w:id="90"/>
      <w:r>
        <w:lastRenderedPageBreak/>
        <w:t>Análisis</w:t>
      </w:r>
      <w:r>
        <w:rPr>
          <w:spacing w:val="-7"/>
        </w:rPr>
        <w:t xml:space="preserve"> </w:t>
      </w:r>
      <w:r>
        <w:t>de</w:t>
      </w:r>
      <w:r>
        <w:rPr>
          <w:spacing w:val="-4"/>
        </w:rPr>
        <w:t xml:space="preserve"> </w:t>
      </w:r>
      <w:r>
        <w:t>las</w:t>
      </w:r>
      <w:r>
        <w:rPr>
          <w:spacing w:val="-5"/>
        </w:rPr>
        <w:t xml:space="preserve"> </w:t>
      </w:r>
      <w:r>
        <w:t>Cinco</w:t>
      </w:r>
      <w:r>
        <w:rPr>
          <w:spacing w:val="-4"/>
        </w:rPr>
        <w:t xml:space="preserve"> </w:t>
      </w:r>
      <w:r>
        <w:t>Fuerzas</w:t>
      </w:r>
      <w:r>
        <w:rPr>
          <w:spacing w:val="-5"/>
        </w:rPr>
        <w:t xml:space="preserve"> </w:t>
      </w:r>
      <w:r>
        <w:t>de</w:t>
      </w:r>
      <w:r>
        <w:rPr>
          <w:spacing w:val="-4"/>
        </w:rPr>
        <w:t xml:space="preserve"> </w:t>
      </w:r>
      <w:r>
        <w:rPr>
          <w:spacing w:val="-2"/>
        </w:rPr>
        <w:t>Porter</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El análisis de la estructura industrial, bajo el marco de Porter, confirma que el sector de la miel melipona posee un atractivo intrínseco para modelos de nicho. A diferencia de la apicultura conv</w:t>
      </w:r>
      <w:r>
        <w:t>encional, esta industria se caracteriza por altas barreras</w:t>
      </w:r>
      <w:r>
        <w:rPr>
          <w:spacing w:val="40"/>
        </w:rPr>
        <w:t xml:space="preserve"> </w:t>
      </w:r>
      <w:r>
        <w:t>de entrada, tanto biológicas como culturales y una amenaza casi nula de sustitutos perfectos en el ámbito terapéutico.</w:t>
      </w:r>
    </w:p>
    <w:p w:rsidR="009B4BB4" w:rsidRDefault="00C44001">
      <w:pPr>
        <w:pStyle w:val="Textoindependiente"/>
        <w:spacing w:line="360" w:lineRule="auto"/>
        <w:ind w:left="425" w:right="605" w:firstLine="720"/>
        <w:jc w:val="both"/>
      </w:pPr>
      <w:r>
        <w:t>Esta configuración competitiva valida la estrategia de Guardiana:</w:t>
      </w:r>
      <w:r>
        <w:rPr>
          <w:spacing w:val="-4"/>
        </w:rPr>
        <w:t xml:space="preserve"> </w:t>
      </w:r>
      <w:r>
        <w:t>al</w:t>
      </w:r>
      <w:r>
        <w:rPr>
          <w:spacing w:val="-4"/>
        </w:rPr>
        <w:t xml:space="preserve"> </w:t>
      </w:r>
      <w:r>
        <w:t>no</w:t>
      </w:r>
      <w:r>
        <w:rPr>
          <w:spacing w:val="-4"/>
        </w:rPr>
        <w:t xml:space="preserve"> </w:t>
      </w:r>
      <w:r>
        <w:t>existi</w:t>
      </w:r>
      <w:r>
        <w:t>r</w:t>
      </w:r>
      <w:r>
        <w:rPr>
          <w:spacing w:val="-4"/>
        </w:rPr>
        <w:t xml:space="preserve"> </w:t>
      </w:r>
      <w:r>
        <w:t>una guerra de precios por commodities, la rentabilidad del proyecto se protege mediante la diferenciación y la escasez, permitiendo la captura de márgenes superiores sostenibles en el tiempo.</w:t>
      </w:r>
    </w:p>
    <w:p w:rsidR="009B4BB4" w:rsidRDefault="00C44001" w:rsidP="00C44001">
      <w:pPr>
        <w:pStyle w:val="Ttulo1"/>
        <w:numPr>
          <w:ilvl w:val="0"/>
          <w:numId w:val="52"/>
        </w:numPr>
        <w:tabs>
          <w:tab w:val="left" w:pos="1145"/>
        </w:tabs>
      </w:pPr>
      <w:r>
        <w:t>Rivalidad</w:t>
      </w:r>
      <w:r>
        <w:rPr>
          <w:spacing w:val="-9"/>
        </w:rPr>
        <w:t xml:space="preserve"> </w:t>
      </w:r>
      <w:r>
        <w:t>entre</w:t>
      </w:r>
      <w:r>
        <w:rPr>
          <w:spacing w:val="-9"/>
        </w:rPr>
        <w:t xml:space="preserve"> </w:t>
      </w:r>
      <w:r>
        <w:t>competidores</w:t>
      </w:r>
      <w:r>
        <w:rPr>
          <w:spacing w:val="-8"/>
        </w:rPr>
        <w:t xml:space="preserve"> </w:t>
      </w:r>
      <w:r>
        <w:rPr>
          <w:spacing w:val="-2"/>
        </w:rPr>
        <w:t>existentes:</w:t>
      </w:r>
    </w:p>
    <w:p w:rsidR="009B4BB4" w:rsidRDefault="00C44001" w:rsidP="00C44001">
      <w:pPr>
        <w:pStyle w:val="Prrafodelista"/>
        <w:numPr>
          <w:ilvl w:val="1"/>
          <w:numId w:val="52"/>
        </w:numPr>
        <w:tabs>
          <w:tab w:val="left" w:pos="1865"/>
        </w:tabs>
        <w:spacing w:before="126" w:line="360" w:lineRule="auto"/>
        <w:ind w:right="610"/>
        <w:jc w:val="both"/>
      </w:pPr>
      <w:r>
        <w:t>La estructura artesan</w:t>
      </w:r>
      <w:r>
        <w:t>al y de baja escuela reduce la presión competitiva basada en precios.</w:t>
      </w:r>
    </w:p>
    <w:p w:rsidR="009B4BB4" w:rsidRDefault="00C44001" w:rsidP="00C44001">
      <w:pPr>
        <w:pStyle w:val="Prrafodelista"/>
        <w:numPr>
          <w:ilvl w:val="1"/>
          <w:numId w:val="52"/>
        </w:numPr>
        <w:tabs>
          <w:tab w:val="left" w:pos="1865"/>
        </w:tabs>
        <w:spacing w:before="0" w:line="360" w:lineRule="auto"/>
        <w:ind w:right="607"/>
        <w:jc w:val="both"/>
      </w:pPr>
      <w:r>
        <w:t>Cooperativas y emprendimientos existentes operan con frecuencia como aliados culturales antes que como rivales directos, priorizando la conservación, identidad, justicia económica como c</w:t>
      </w:r>
      <w:r>
        <w:t>ausa común y una competencia abierta.</w:t>
      </w:r>
    </w:p>
    <w:p w:rsidR="009B4BB4" w:rsidRDefault="00C44001" w:rsidP="00C44001">
      <w:pPr>
        <w:pStyle w:val="Ttulo1"/>
        <w:numPr>
          <w:ilvl w:val="0"/>
          <w:numId w:val="52"/>
        </w:numPr>
        <w:tabs>
          <w:tab w:val="left" w:pos="1145"/>
        </w:tabs>
      </w:pPr>
      <w:r>
        <w:t>Amenaza</w:t>
      </w:r>
      <w:r>
        <w:rPr>
          <w:spacing w:val="-5"/>
        </w:rPr>
        <w:t xml:space="preserve"> </w:t>
      </w:r>
      <w:r>
        <w:t>de</w:t>
      </w:r>
      <w:r>
        <w:rPr>
          <w:spacing w:val="-5"/>
        </w:rPr>
        <w:t xml:space="preserve"> </w:t>
      </w:r>
      <w:r>
        <w:t>nuevos</w:t>
      </w:r>
      <w:r>
        <w:rPr>
          <w:spacing w:val="-5"/>
        </w:rPr>
        <w:t xml:space="preserve"> </w:t>
      </w:r>
      <w:r>
        <w:rPr>
          <w:spacing w:val="-2"/>
        </w:rPr>
        <w:t>entrantes:</w:t>
      </w:r>
    </w:p>
    <w:p w:rsidR="009B4BB4" w:rsidRDefault="00C44001" w:rsidP="00C44001">
      <w:pPr>
        <w:pStyle w:val="Prrafodelista"/>
        <w:numPr>
          <w:ilvl w:val="1"/>
          <w:numId w:val="52"/>
        </w:numPr>
        <w:tabs>
          <w:tab w:val="left" w:pos="1865"/>
        </w:tabs>
        <w:spacing w:before="127" w:line="360" w:lineRule="auto"/>
        <w:ind w:right="606"/>
        <w:jc w:val="both"/>
      </w:pPr>
      <w:r>
        <w:t>La barrera de entrada es alta debido a la escasez de colmenas, la necesidad de conocimientos técnicos y culturales especializados, los</w:t>
      </w:r>
      <w:r>
        <w:rPr>
          <w:spacing w:val="40"/>
        </w:rPr>
        <w:t xml:space="preserve"> </w:t>
      </w:r>
      <w:r>
        <w:t>ciclos de producción de la</w:t>
      </w:r>
      <w:r>
        <w:rPr>
          <w:spacing w:val="-4"/>
        </w:rPr>
        <w:t xml:space="preserve"> </w:t>
      </w:r>
      <w:r>
        <w:t>miel</w:t>
      </w:r>
      <w:r>
        <w:rPr>
          <w:spacing w:val="-4"/>
        </w:rPr>
        <w:t xml:space="preserve"> </w:t>
      </w:r>
      <w:r>
        <w:t>melipona</w:t>
      </w:r>
      <w:r>
        <w:rPr>
          <w:spacing w:val="-4"/>
        </w:rPr>
        <w:t xml:space="preserve"> </w:t>
      </w:r>
      <w:r>
        <w:t>y</w:t>
      </w:r>
      <w:r>
        <w:rPr>
          <w:spacing w:val="-4"/>
        </w:rPr>
        <w:t xml:space="preserve"> </w:t>
      </w:r>
      <w:r>
        <w:t>la</w:t>
      </w:r>
      <w:r>
        <w:rPr>
          <w:spacing w:val="-4"/>
        </w:rPr>
        <w:t xml:space="preserve"> </w:t>
      </w:r>
      <w:r>
        <w:t>dependencia</w:t>
      </w:r>
      <w:r>
        <w:rPr>
          <w:spacing w:val="-4"/>
        </w:rPr>
        <w:t xml:space="preserve"> </w:t>
      </w:r>
      <w:r>
        <w:t>de</w:t>
      </w:r>
      <w:r>
        <w:rPr>
          <w:spacing w:val="-4"/>
        </w:rPr>
        <w:t xml:space="preserve"> </w:t>
      </w:r>
      <w:r>
        <w:t xml:space="preserve">ecosistemas </w:t>
      </w:r>
      <w:r>
        <w:rPr>
          <w:spacing w:val="-2"/>
        </w:rPr>
        <w:t>frágiles.</w:t>
      </w:r>
    </w:p>
    <w:p w:rsidR="009B4BB4" w:rsidRDefault="00C44001" w:rsidP="00C44001">
      <w:pPr>
        <w:pStyle w:val="Prrafodelista"/>
        <w:numPr>
          <w:ilvl w:val="1"/>
          <w:numId w:val="52"/>
        </w:numPr>
        <w:tabs>
          <w:tab w:val="left" w:pos="1865"/>
        </w:tabs>
        <w:spacing w:before="0" w:line="360" w:lineRule="auto"/>
        <w:ind w:right="613"/>
        <w:jc w:val="both"/>
      </w:pPr>
      <w:r>
        <w:t>Se dificulta la entrada rápida de imitadores y protegen los márgenes de proyectos establecidos.</w:t>
      </w:r>
    </w:p>
    <w:p w:rsidR="009B4BB4" w:rsidRDefault="00C44001" w:rsidP="00C44001">
      <w:pPr>
        <w:pStyle w:val="Ttulo1"/>
        <w:numPr>
          <w:ilvl w:val="0"/>
          <w:numId w:val="52"/>
        </w:numPr>
        <w:tabs>
          <w:tab w:val="left" w:pos="1145"/>
        </w:tabs>
      </w:pPr>
      <w:r>
        <w:t>Poder</w:t>
      </w:r>
      <w:r>
        <w:rPr>
          <w:spacing w:val="-4"/>
        </w:rPr>
        <w:t xml:space="preserve"> </w:t>
      </w:r>
      <w:r>
        <w:t>de</w:t>
      </w:r>
      <w:r>
        <w:rPr>
          <w:spacing w:val="-3"/>
        </w:rPr>
        <w:t xml:space="preserve"> </w:t>
      </w:r>
      <w:r>
        <w:t>los</w:t>
      </w:r>
      <w:r>
        <w:rPr>
          <w:spacing w:val="-3"/>
        </w:rPr>
        <w:t xml:space="preserve"> </w:t>
      </w:r>
      <w:r>
        <w:rPr>
          <w:spacing w:val="-2"/>
        </w:rPr>
        <w:t>proveedores:</w:t>
      </w:r>
    </w:p>
    <w:p w:rsidR="009B4BB4" w:rsidRDefault="00C44001" w:rsidP="00C44001">
      <w:pPr>
        <w:pStyle w:val="Prrafodelista"/>
        <w:numPr>
          <w:ilvl w:val="1"/>
          <w:numId w:val="52"/>
        </w:numPr>
        <w:tabs>
          <w:tab w:val="left" w:pos="1865"/>
        </w:tabs>
        <w:spacing w:before="126" w:line="360" w:lineRule="auto"/>
        <w:ind w:right="607"/>
        <w:jc w:val="both"/>
      </w:pPr>
      <w:r>
        <w:t>El poder de los proveedores es moderado. Las comunidades meliponicultores concentran saberes y</w:t>
      </w:r>
      <w:r>
        <w:rPr>
          <w:spacing w:val="-4"/>
        </w:rPr>
        <w:t xml:space="preserve"> </w:t>
      </w:r>
      <w:r>
        <w:t>co</w:t>
      </w:r>
      <w:r>
        <w:t>ntrolan</w:t>
      </w:r>
      <w:r>
        <w:rPr>
          <w:spacing w:val="-4"/>
        </w:rPr>
        <w:t xml:space="preserve"> </w:t>
      </w:r>
      <w:r>
        <w:t>el</w:t>
      </w:r>
      <w:r>
        <w:rPr>
          <w:spacing w:val="-4"/>
        </w:rPr>
        <w:t xml:space="preserve"> </w:t>
      </w:r>
      <w:r>
        <w:t>acceso</w:t>
      </w:r>
      <w:r>
        <w:rPr>
          <w:spacing w:val="-4"/>
        </w:rPr>
        <w:t xml:space="preserve"> </w:t>
      </w:r>
      <w:r>
        <w:t>al</w:t>
      </w:r>
      <w:r>
        <w:rPr>
          <w:spacing w:val="-4"/>
        </w:rPr>
        <w:t xml:space="preserve"> </w:t>
      </w:r>
      <w:r>
        <w:t>recurso,</w:t>
      </w:r>
      <w:r>
        <w:rPr>
          <w:spacing w:val="-4"/>
        </w:rPr>
        <w:t xml:space="preserve"> </w:t>
      </w:r>
      <w:r>
        <w:t>esto aumenta su influencia.</w:t>
      </w:r>
    </w:p>
    <w:p w:rsidR="009B4BB4" w:rsidRDefault="00C44001" w:rsidP="00C44001">
      <w:pPr>
        <w:pStyle w:val="Prrafodelista"/>
        <w:numPr>
          <w:ilvl w:val="1"/>
          <w:numId w:val="52"/>
        </w:numPr>
        <w:tabs>
          <w:tab w:val="left" w:pos="1865"/>
        </w:tabs>
        <w:spacing w:before="0" w:line="360" w:lineRule="auto"/>
        <w:ind w:right="603"/>
        <w:jc w:val="both"/>
      </w:pPr>
      <w:r>
        <w:t>Esquemas de comercio justo, contratos a largo plazo y relaciones de colaboración transparente, como propone Guardiana, permiten equilibrar</w:t>
      </w:r>
      <w:r>
        <w:rPr>
          <w:spacing w:val="40"/>
        </w:rPr>
        <w:t xml:space="preserve"> </w:t>
      </w:r>
      <w:r>
        <w:t>la relación y asegurar estabilidad del suministro.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0"/>
          <w:numId w:val="52"/>
        </w:numPr>
        <w:tabs>
          <w:tab w:val="left" w:pos="1145"/>
        </w:tabs>
        <w:spacing w:before="79"/>
      </w:pPr>
      <w:r>
        <w:lastRenderedPageBreak/>
        <w:t>Poder</w:t>
      </w:r>
      <w:r>
        <w:rPr>
          <w:spacing w:val="-4"/>
        </w:rPr>
        <w:t xml:space="preserve"> </w:t>
      </w:r>
      <w:r>
        <w:t>de</w:t>
      </w:r>
      <w:r>
        <w:rPr>
          <w:spacing w:val="-3"/>
        </w:rPr>
        <w:t xml:space="preserve"> </w:t>
      </w:r>
      <w:r>
        <w:t>los</w:t>
      </w:r>
      <w:r>
        <w:rPr>
          <w:spacing w:val="-3"/>
        </w:rPr>
        <w:t xml:space="preserve"> </w:t>
      </w:r>
      <w:r>
        <w:rPr>
          <w:spacing w:val="-2"/>
        </w:rPr>
        <w:t>compradores:</w:t>
      </w:r>
    </w:p>
    <w:p w:rsidR="009B4BB4" w:rsidRDefault="00C44001" w:rsidP="00C44001">
      <w:pPr>
        <w:pStyle w:val="Prrafodelista"/>
        <w:numPr>
          <w:ilvl w:val="1"/>
          <w:numId w:val="52"/>
        </w:numPr>
        <w:tabs>
          <w:tab w:val="left" w:pos="1865"/>
        </w:tabs>
        <w:spacing w:before="127" w:line="360" w:lineRule="auto"/>
        <w:ind w:right="607"/>
        <w:jc w:val="both"/>
      </w:pPr>
      <w:r>
        <w:t>El poder de los compradores es limitado en nichos gourmet y turísticos, donde el valor percibido del producto, su carácter medicinal y su carácter medicinal y su narrativa reducen la sensibilidad al precio.</w:t>
      </w:r>
    </w:p>
    <w:p w:rsidR="009B4BB4" w:rsidRDefault="00C44001" w:rsidP="00C44001">
      <w:pPr>
        <w:pStyle w:val="Prrafodelista"/>
        <w:numPr>
          <w:ilvl w:val="1"/>
          <w:numId w:val="52"/>
        </w:numPr>
        <w:tabs>
          <w:tab w:val="left" w:pos="1865"/>
        </w:tabs>
        <w:spacing w:before="0" w:line="360" w:lineRule="auto"/>
        <w:ind w:right="615"/>
        <w:jc w:val="both"/>
      </w:pPr>
      <w:r>
        <w:t>La d</w:t>
      </w:r>
      <w:r>
        <w:t>ecisión de compra está más asociada a una experiencia o</w:t>
      </w:r>
      <w:r>
        <w:rPr>
          <w:spacing w:val="-4"/>
        </w:rPr>
        <w:t xml:space="preserve"> </w:t>
      </w:r>
      <w:r>
        <w:t>causa</w:t>
      </w:r>
      <w:r>
        <w:rPr>
          <w:spacing w:val="-4"/>
        </w:rPr>
        <w:t xml:space="preserve"> </w:t>
      </w:r>
      <w:r>
        <w:t>que</w:t>
      </w:r>
      <w:r>
        <w:rPr>
          <w:spacing w:val="40"/>
        </w:rPr>
        <w:t xml:space="preserve"> </w:t>
      </w:r>
      <w:r>
        <w:t>a una transacción funcional.</w:t>
      </w:r>
    </w:p>
    <w:p w:rsidR="009B4BB4" w:rsidRDefault="00C44001" w:rsidP="00C44001">
      <w:pPr>
        <w:pStyle w:val="Ttulo1"/>
        <w:numPr>
          <w:ilvl w:val="0"/>
          <w:numId w:val="52"/>
        </w:numPr>
        <w:tabs>
          <w:tab w:val="left" w:pos="1145"/>
        </w:tabs>
      </w:pPr>
      <w:r>
        <w:t>Amenaza</w:t>
      </w:r>
      <w:r>
        <w:rPr>
          <w:spacing w:val="-5"/>
        </w:rPr>
        <w:t xml:space="preserve"> </w:t>
      </w:r>
      <w:r>
        <w:t>de</w:t>
      </w:r>
      <w:r>
        <w:rPr>
          <w:spacing w:val="-4"/>
        </w:rPr>
        <w:t xml:space="preserve"> </w:t>
      </w:r>
      <w:r>
        <w:rPr>
          <w:spacing w:val="-2"/>
        </w:rPr>
        <w:t>sustitutos:</w:t>
      </w:r>
    </w:p>
    <w:p w:rsidR="009B4BB4" w:rsidRDefault="00C44001" w:rsidP="00C44001">
      <w:pPr>
        <w:pStyle w:val="Prrafodelista"/>
        <w:numPr>
          <w:ilvl w:val="1"/>
          <w:numId w:val="52"/>
        </w:numPr>
        <w:tabs>
          <w:tab w:val="left" w:pos="1865"/>
        </w:tabs>
        <w:spacing w:before="126" w:line="360" w:lineRule="auto"/>
        <w:ind w:right="613"/>
        <w:jc w:val="both"/>
      </w:pPr>
      <w:r>
        <w:t>La amenaza de sustitutos es baja. Ninguna otra miel iguala simultáneamente la composición bioactiva, las propiedades terapéuticas</w:t>
      </w:r>
      <w:r>
        <w:rPr>
          <w:spacing w:val="-5"/>
        </w:rPr>
        <w:t xml:space="preserve"> </w:t>
      </w:r>
      <w:r>
        <w:t>y la dimensión simbólica de la miel melipona.</w:t>
      </w:r>
    </w:p>
    <w:p w:rsidR="009B4BB4" w:rsidRDefault="00C44001" w:rsidP="00C44001">
      <w:pPr>
        <w:pStyle w:val="Prrafodelista"/>
        <w:numPr>
          <w:ilvl w:val="1"/>
          <w:numId w:val="52"/>
        </w:numPr>
        <w:tabs>
          <w:tab w:val="left" w:pos="1865"/>
        </w:tabs>
        <w:spacing w:before="0" w:line="360" w:lineRule="auto"/>
        <w:ind w:right="609"/>
        <w:jc w:val="both"/>
      </w:pPr>
      <w:r>
        <w:t>Su valor medicinal y vínculo cultural maya, la posición fuera del rango de sustitución tradicional, lo que favorece la viabilidad de una estrategia de diferenciación extrema.</w:t>
      </w:r>
    </w:p>
    <w:p w:rsidR="009B4BB4" w:rsidRDefault="00C44001">
      <w:pPr>
        <w:pStyle w:val="Ttulo1"/>
        <w:ind w:left="425"/>
      </w:pPr>
      <w:r>
        <w:t>Figura</w:t>
      </w:r>
      <w:r>
        <w:rPr>
          <w:spacing w:val="-6"/>
        </w:rPr>
        <w:t xml:space="preserve"> </w:t>
      </w:r>
      <w:r>
        <w:rPr>
          <w:spacing w:val="-5"/>
        </w:rPr>
        <w:t>2.8</w:t>
      </w:r>
    </w:p>
    <w:p w:rsidR="009B4BB4" w:rsidRDefault="009B4BB4">
      <w:pPr>
        <w:pStyle w:val="Textoindependiente"/>
        <w:spacing w:before="0"/>
        <w:rPr>
          <w:rFonts w:ascii="Arial"/>
          <w:b/>
        </w:rPr>
      </w:pPr>
    </w:p>
    <w:p w:rsidR="009B4BB4" w:rsidRDefault="00C44001">
      <w:pPr>
        <w:ind w:left="425"/>
        <w:rPr>
          <w:rFonts w:ascii="Arial"/>
          <w:i/>
        </w:rPr>
      </w:pPr>
      <w:r>
        <w:rPr>
          <w:rFonts w:ascii="Arial"/>
          <w:i/>
        </w:rPr>
        <w:t>Perfil</w:t>
      </w:r>
      <w:r>
        <w:rPr>
          <w:rFonts w:ascii="Arial"/>
          <w:i/>
          <w:spacing w:val="-8"/>
        </w:rPr>
        <w:t xml:space="preserve"> </w:t>
      </w:r>
      <w:r>
        <w:rPr>
          <w:rFonts w:ascii="Arial"/>
          <w:i/>
        </w:rPr>
        <w:t>de</w:t>
      </w:r>
      <w:r>
        <w:rPr>
          <w:rFonts w:ascii="Arial"/>
          <w:i/>
          <w:spacing w:val="-6"/>
        </w:rPr>
        <w:t xml:space="preserve"> </w:t>
      </w:r>
      <w:r>
        <w:rPr>
          <w:rFonts w:ascii="Arial"/>
          <w:i/>
        </w:rPr>
        <w:t>intensidad</w:t>
      </w:r>
      <w:r>
        <w:rPr>
          <w:rFonts w:ascii="Arial"/>
          <w:i/>
          <w:spacing w:val="-5"/>
        </w:rPr>
        <w:t xml:space="preserve"> </w:t>
      </w:r>
      <w:r>
        <w:rPr>
          <w:rFonts w:ascii="Arial"/>
          <w:i/>
        </w:rPr>
        <w:t>competitiva</w:t>
      </w:r>
      <w:r>
        <w:rPr>
          <w:rFonts w:ascii="Arial"/>
          <w:i/>
          <w:spacing w:val="-6"/>
        </w:rPr>
        <w:t xml:space="preserve"> </w:t>
      </w:r>
      <w:r>
        <w:rPr>
          <w:rFonts w:ascii="Arial"/>
          <w:i/>
        </w:rPr>
        <w:t>del</w:t>
      </w:r>
      <w:r>
        <w:rPr>
          <w:rFonts w:ascii="Arial"/>
          <w:i/>
          <w:spacing w:val="-5"/>
        </w:rPr>
        <w:t xml:space="preserve"> </w:t>
      </w:r>
      <w:r>
        <w:rPr>
          <w:rFonts w:ascii="Arial"/>
          <w:i/>
        </w:rPr>
        <w:t>sector</w:t>
      </w:r>
      <w:r>
        <w:rPr>
          <w:rFonts w:ascii="Arial"/>
          <w:i/>
          <w:spacing w:val="-6"/>
        </w:rPr>
        <w:t xml:space="preserve"> </w:t>
      </w:r>
      <w:r>
        <w:rPr>
          <w:rFonts w:ascii="Arial"/>
          <w:i/>
        </w:rPr>
        <w:t>de</w:t>
      </w:r>
      <w:r>
        <w:rPr>
          <w:rFonts w:ascii="Arial"/>
          <w:i/>
          <w:spacing w:val="-6"/>
        </w:rPr>
        <w:t xml:space="preserve"> </w:t>
      </w:r>
      <w:r>
        <w:rPr>
          <w:rFonts w:ascii="Arial"/>
          <w:i/>
        </w:rPr>
        <w:t>miel</w:t>
      </w:r>
      <w:r>
        <w:rPr>
          <w:rFonts w:ascii="Arial"/>
          <w:i/>
          <w:spacing w:val="-5"/>
        </w:rPr>
        <w:t xml:space="preserve"> </w:t>
      </w:r>
      <w:r>
        <w:rPr>
          <w:rFonts w:ascii="Arial"/>
          <w:i/>
        </w:rPr>
        <w:t>melipona</w:t>
      </w:r>
      <w:r>
        <w:rPr>
          <w:rFonts w:ascii="Arial"/>
          <w:i/>
          <w:spacing w:val="-6"/>
        </w:rPr>
        <w:t xml:space="preserve"> </w:t>
      </w:r>
      <w:r>
        <w:rPr>
          <w:rFonts w:ascii="Arial"/>
          <w:i/>
        </w:rPr>
        <w:t>para</w:t>
      </w:r>
      <w:r>
        <w:rPr>
          <w:rFonts w:ascii="Arial"/>
          <w:i/>
          <w:spacing w:val="-5"/>
        </w:rPr>
        <w:t xml:space="preserve"> </w:t>
      </w:r>
      <w:r>
        <w:rPr>
          <w:rFonts w:ascii="Arial"/>
          <w:i/>
          <w:spacing w:val="-2"/>
        </w:rPr>
        <w:t>Guardiana</w:t>
      </w:r>
    </w:p>
    <w:p w:rsidR="009B4BB4" w:rsidRDefault="009B4BB4">
      <w:pPr>
        <w:pStyle w:val="Textoindependiente"/>
        <w:spacing w:before="0"/>
        <w:rPr>
          <w:rFonts w:ascii="Arial"/>
          <w:i/>
          <w:sz w:val="20"/>
        </w:rPr>
      </w:pPr>
    </w:p>
    <w:p w:rsidR="009B4BB4" w:rsidRDefault="009B4BB4">
      <w:pPr>
        <w:pStyle w:val="Textoindependiente"/>
        <w:spacing w:before="0"/>
        <w:rPr>
          <w:rFonts w:ascii="Arial"/>
          <w:i/>
          <w:sz w:val="20"/>
        </w:rPr>
      </w:pPr>
    </w:p>
    <w:p w:rsidR="009B4BB4" w:rsidRDefault="00C44001">
      <w:pPr>
        <w:pStyle w:val="Textoindependiente"/>
        <w:spacing w:before="105"/>
        <w:rPr>
          <w:rFonts w:ascii="Arial"/>
          <w:i/>
          <w:sz w:val="20"/>
        </w:rPr>
      </w:pPr>
      <w:r>
        <w:rPr>
          <w:rFonts w:ascii="Arial"/>
          <w:i/>
          <w:noProof/>
          <w:sz w:val="20"/>
          <w:lang w:val="es-AR" w:eastAsia="es-AR"/>
        </w:rPr>
        <w:drawing>
          <wp:anchor distT="0" distB="0" distL="0" distR="0" simplePos="0" relativeHeight="487592448" behindDoc="1" locked="0" layoutInCell="1" allowOverlap="1">
            <wp:simplePos x="0" y="0"/>
            <wp:positionH relativeFrom="page">
              <wp:posOffset>2285825</wp:posOffset>
            </wp:positionH>
            <wp:positionV relativeFrom="paragraph">
              <wp:posOffset>228376</wp:posOffset>
            </wp:positionV>
            <wp:extent cx="3150540" cy="2126932"/>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stretch>
                      <a:fillRect/>
                    </a:stretch>
                  </pic:blipFill>
                  <pic:spPr>
                    <a:xfrm>
                      <a:off x="0" y="0"/>
                      <a:ext cx="3150540" cy="2126932"/>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94"/>
        <w:rPr>
          <w:rFonts w:ascii="Arial"/>
          <w:i/>
        </w:rPr>
      </w:pPr>
    </w:p>
    <w:p w:rsidR="009B4BB4" w:rsidRDefault="00C44001">
      <w:pPr>
        <w:pStyle w:val="Textoindependiente"/>
        <w:spacing w:before="1" w:line="480" w:lineRule="auto"/>
        <w:ind w:left="425" w:right="605" w:firstLine="30"/>
        <w:jc w:val="both"/>
      </w:pPr>
      <w:r>
        <w:rPr>
          <w:rFonts w:ascii="Arial" w:hAnsi="Arial"/>
          <w:i/>
        </w:rPr>
        <w:t xml:space="preserve">Nota. </w:t>
      </w:r>
      <w:r>
        <w:t>Análisis basado en el modelo de las cinco fuerzas de Porter, donde se evalúa el poder de proveedores, clientes, productos sustitutos y rivalidad competitiva. Elaboración propia (2025).</w:t>
      </w:r>
    </w:p>
    <w:p w:rsidR="009B4BB4" w:rsidRDefault="009B4BB4">
      <w:pPr>
        <w:pStyle w:val="Textoindependiente"/>
        <w:spacing w:line="48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7" w:firstLine="720"/>
        <w:jc w:val="both"/>
      </w:pPr>
      <w:r>
        <w:lastRenderedPageBreak/>
        <w:t>El análisis de las Cinco Fuerzas confirma que Guardiana no debe competir en volumen ni en precio. La singularidad</w:t>
      </w:r>
      <w:r>
        <w:rPr>
          <w:spacing w:val="-3"/>
        </w:rPr>
        <w:t xml:space="preserve"> </w:t>
      </w:r>
      <w:r>
        <w:t>del</w:t>
      </w:r>
      <w:r>
        <w:rPr>
          <w:spacing w:val="-3"/>
        </w:rPr>
        <w:t xml:space="preserve"> </w:t>
      </w:r>
      <w:r>
        <w:t>producto</w:t>
      </w:r>
      <w:r>
        <w:rPr>
          <w:spacing w:val="-3"/>
        </w:rPr>
        <w:t xml:space="preserve"> </w:t>
      </w:r>
      <w:r>
        <w:t>y</w:t>
      </w:r>
      <w:r>
        <w:rPr>
          <w:spacing w:val="-3"/>
        </w:rPr>
        <w:t xml:space="preserve"> </w:t>
      </w:r>
      <w:r>
        <w:t>el</w:t>
      </w:r>
      <w:r>
        <w:rPr>
          <w:spacing w:val="-3"/>
        </w:rPr>
        <w:t xml:space="preserve"> </w:t>
      </w:r>
      <w:r>
        <w:t>compromiso</w:t>
      </w:r>
      <w:r>
        <w:rPr>
          <w:spacing w:val="-3"/>
        </w:rPr>
        <w:t xml:space="preserve"> </w:t>
      </w:r>
      <w:r>
        <w:t>con</w:t>
      </w:r>
      <w:r>
        <w:rPr>
          <w:spacing w:val="-3"/>
        </w:rPr>
        <w:t xml:space="preserve"> </w:t>
      </w:r>
      <w:r>
        <w:t>el</w:t>
      </w:r>
      <w:r>
        <w:rPr>
          <w:spacing w:val="-3"/>
        </w:rPr>
        <w:t xml:space="preserve"> </w:t>
      </w:r>
      <w:r>
        <w:t>impacto</w:t>
      </w:r>
      <w:r>
        <w:rPr>
          <w:spacing w:val="-3"/>
        </w:rPr>
        <w:t xml:space="preserve"> </w:t>
      </w:r>
      <w:r>
        <w:t xml:space="preserve">social son los pilares de una estrategia </w:t>
      </w:r>
      <w:r>
        <w:rPr>
          <w:rFonts w:ascii="Arial" w:hAnsi="Arial"/>
          <w:i/>
        </w:rPr>
        <w:t xml:space="preserve">premium </w:t>
      </w:r>
      <w:r>
        <w:t>que los competidores convencio</w:t>
      </w:r>
      <w:r>
        <w:t>nales no pueden replicar con facilidad.</w:t>
      </w:r>
    </w:p>
    <w:p w:rsidR="009B4BB4" w:rsidRDefault="00C44001">
      <w:pPr>
        <w:pStyle w:val="Ttulo1"/>
        <w:spacing w:before="240"/>
        <w:ind w:left="425"/>
      </w:pPr>
      <w:r>
        <w:t>Implicaciones</w:t>
      </w:r>
      <w:r>
        <w:rPr>
          <w:spacing w:val="-10"/>
        </w:rPr>
        <w:t xml:space="preserve"> </w:t>
      </w:r>
      <w:r>
        <w:t>estratégicas</w:t>
      </w:r>
      <w:r>
        <w:rPr>
          <w:spacing w:val="-8"/>
        </w:rPr>
        <w:t xml:space="preserve"> </w:t>
      </w:r>
      <w:r>
        <w:t>del</w:t>
      </w:r>
      <w:r>
        <w:rPr>
          <w:spacing w:val="-7"/>
        </w:rPr>
        <w:t xml:space="preserve"> </w:t>
      </w:r>
      <w:r>
        <w:t>análisis</w:t>
      </w:r>
      <w:r>
        <w:rPr>
          <w:spacing w:val="-8"/>
        </w:rPr>
        <w:t xml:space="preserve"> </w:t>
      </w:r>
      <w:r>
        <w:t>de</w:t>
      </w:r>
      <w:r>
        <w:rPr>
          <w:spacing w:val="-7"/>
        </w:rPr>
        <w:t xml:space="preserve"> </w:t>
      </w:r>
      <w:r>
        <w:rPr>
          <w:spacing w:val="-2"/>
        </w:rPr>
        <w:t>Porter</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2" w:firstLine="720"/>
        <w:jc w:val="both"/>
      </w:pPr>
      <w:r>
        <w:t>El análisis de las Cinco Fuerzas de</w:t>
      </w:r>
      <w:r>
        <w:rPr>
          <w:spacing w:val="-4"/>
        </w:rPr>
        <w:t xml:space="preserve"> </w:t>
      </w:r>
      <w:r>
        <w:t>Porter</w:t>
      </w:r>
      <w:r>
        <w:rPr>
          <w:spacing w:val="-4"/>
        </w:rPr>
        <w:t xml:space="preserve"> </w:t>
      </w:r>
      <w:r>
        <w:t>permite</w:t>
      </w:r>
      <w:r>
        <w:rPr>
          <w:spacing w:val="-4"/>
        </w:rPr>
        <w:t xml:space="preserve"> </w:t>
      </w:r>
      <w:r>
        <w:t>traducir</w:t>
      </w:r>
      <w:r>
        <w:rPr>
          <w:spacing w:val="-4"/>
        </w:rPr>
        <w:t xml:space="preserve"> </w:t>
      </w:r>
      <w:r>
        <w:t>la</w:t>
      </w:r>
      <w:r>
        <w:rPr>
          <w:spacing w:val="-4"/>
        </w:rPr>
        <w:t xml:space="preserve"> </w:t>
      </w:r>
      <w:r>
        <w:t>estructura</w:t>
      </w:r>
      <w:r>
        <w:rPr>
          <w:spacing w:val="-4"/>
        </w:rPr>
        <w:t xml:space="preserve"> </w:t>
      </w:r>
      <w:r>
        <w:t>del</w:t>
      </w:r>
      <w:r>
        <w:rPr>
          <w:spacing w:val="-4"/>
        </w:rPr>
        <w:t xml:space="preserve"> </w:t>
      </w:r>
      <w:r>
        <w:t>sector en decisiones estratégicas concretas para Guardiana. A partir de este marco, se identifican las siguientes implicaciones:</w:t>
      </w:r>
    </w:p>
    <w:p w:rsidR="009B4BB4" w:rsidRDefault="00C44001" w:rsidP="00C44001">
      <w:pPr>
        <w:pStyle w:val="Prrafodelista"/>
        <w:numPr>
          <w:ilvl w:val="0"/>
          <w:numId w:val="51"/>
        </w:numPr>
        <w:tabs>
          <w:tab w:val="left" w:pos="1145"/>
        </w:tabs>
        <w:spacing w:line="360" w:lineRule="auto"/>
        <w:ind w:right="609"/>
        <w:jc w:val="both"/>
      </w:pPr>
      <w:r>
        <w:t>La baja presión competitiva basada en precio refuerza la viabilidad de una estrategia centrada en diferenciación,</w:t>
      </w:r>
      <w:r>
        <w:rPr>
          <w:spacing w:val="-5"/>
        </w:rPr>
        <w:t xml:space="preserve"> </w:t>
      </w:r>
      <w:r>
        <w:t>evitando</w:t>
      </w:r>
      <w:r>
        <w:rPr>
          <w:spacing w:val="-5"/>
        </w:rPr>
        <w:t xml:space="preserve"> </w:t>
      </w:r>
      <w:r>
        <w:t>comp</w:t>
      </w:r>
      <w:r>
        <w:t>etir</w:t>
      </w:r>
      <w:r>
        <w:rPr>
          <w:spacing w:val="-5"/>
        </w:rPr>
        <w:t xml:space="preserve"> </w:t>
      </w:r>
      <w:r>
        <w:t>en</w:t>
      </w:r>
      <w:r>
        <w:rPr>
          <w:spacing w:val="-5"/>
        </w:rPr>
        <w:t xml:space="preserve"> </w:t>
      </w:r>
      <w:r>
        <w:t>mercados</w:t>
      </w:r>
      <w:r>
        <w:rPr>
          <w:spacing w:val="-5"/>
        </w:rPr>
        <w:t xml:space="preserve"> </w:t>
      </w:r>
      <w:r>
        <w:t>de</w:t>
      </w:r>
      <w:r>
        <w:rPr>
          <w:spacing w:val="-5"/>
        </w:rPr>
        <w:t xml:space="preserve"> </w:t>
      </w:r>
      <w:r>
        <w:t>volumen o commodities.</w:t>
      </w:r>
    </w:p>
    <w:p w:rsidR="009B4BB4" w:rsidRDefault="00C44001" w:rsidP="00C44001">
      <w:pPr>
        <w:pStyle w:val="Prrafodelista"/>
        <w:numPr>
          <w:ilvl w:val="0"/>
          <w:numId w:val="51"/>
        </w:numPr>
        <w:tabs>
          <w:tab w:val="left" w:pos="1145"/>
        </w:tabs>
        <w:spacing w:line="360" w:lineRule="auto"/>
        <w:ind w:right="614"/>
        <w:jc w:val="both"/>
      </w:pPr>
      <w:r>
        <w:t>La relevancia del valor percibido en los segmentos objetivo orienta la estrategia hacia la construcción de narrativa, identidad de marca y experiencia de consumo.</w:t>
      </w:r>
    </w:p>
    <w:p w:rsidR="009B4BB4" w:rsidRDefault="00C44001" w:rsidP="00C44001">
      <w:pPr>
        <w:pStyle w:val="Prrafodelista"/>
        <w:numPr>
          <w:ilvl w:val="0"/>
          <w:numId w:val="51"/>
        </w:numPr>
        <w:tabs>
          <w:tab w:val="left" w:pos="1145"/>
        </w:tabs>
        <w:spacing w:line="360" w:lineRule="auto"/>
        <w:ind w:right="602"/>
        <w:jc w:val="both"/>
      </w:pPr>
      <w:r>
        <w:t xml:space="preserve">El alto poder de los proveedores y la escasez del </w:t>
      </w:r>
      <w:r>
        <w:t>recurso hacen necesario un enfoque estratégico en el control del suministro,</w:t>
      </w:r>
      <w:r>
        <w:rPr>
          <w:spacing w:val="-3"/>
        </w:rPr>
        <w:t xml:space="preserve"> </w:t>
      </w:r>
      <w:r>
        <w:t>mediante</w:t>
      </w:r>
      <w:r>
        <w:rPr>
          <w:spacing w:val="-3"/>
        </w:rPr>
        <w:t xml:space="preserve"> </w:t>
      </w:r>
      <w:r>
        <w:t>alianzas</w:t>
      </w:r>
      <w:r>
        <w:rPr>
          <w:spacing w:val="-3"/>
        </w:rPr>
        <w:t xml:space="preserve"> </w:t>
      </w:r>
      <w:r>
        <w:t>de</w:t>
      </w:r>
      <w:r>
        <w:rPr>
          <w:spacing w:val="-3"/>
        </w:rPr>
        <w:t xml:space="preserve"> </w:t>
      </w:r>
      <w:r>
        <w:t>largo</w:t>
      </w:r>
      <w:r>
        <w:rPr>
          <w:spacing w:val="-3"/>
        </w:rPr>
        <w:t xml:space="preserve"> </w:t>
      </w:r>
      <w:r>
        <w:t>plazo y relaciones de colaboración.</w:t>
      </w:r>
    </w:p>
    <w:p w:rsidR="009B4BB4" w:rsidRDefault="00C44001">
      <w:pPr>
        <w:pStyle w:val="Textoindependiente"/>
        <w:spacing w:line="360" w:lineRule="auto"/>
        <w:ind w:left="425" w:right="610" w:firstLine="720"/>
        <w:jc w:val="both"/>
      </w:pPr>
      <w:r>
        <w:t>En conjunto, estas implicaciones consolidan un posicionamiento donde</w:t>
      </w:r>
      <w:r>
        <w:rPr>
          <w:spacing w:val="-5"/>
        </w:rPr>
        <w:t xml:space="preserve"> </w:t>
      </w:r>
      <w:r>
        <w:t>la</w:t>
      </w:r>
      <w:r>
        <w:rPr>
          <w:spacing w:val="-5"/>
        </w:rPr>
        <w:t xml:space="preserve"> </w:t>
      </w:r>
      <w:r>
        <w:t>ventaja competitiva se sustenta</w:t>
      </w:r>
      <w:r>
        <w:rPr>
          <w:spacing w:val="-3"/>
        </w:rPr>
        <w:t xml:space="preserve"> </w:t>
      </w:r>
      <w:r>
        <w:t>en</w:t>
      </w:r>
      <w:r>
        <w:rPr>
          <w:spacing w:val="-3"/>
        </w:rPr>
        <w:t xml:space="preserve"> </w:t>
      </w:r>
      <w:r>
        <w:t>la</w:t>
      </w:r>
      <w:r>
        <w:rPr>
          <w:spacing w:val="-3"/>
        </w:rPr>
        <w:t xml:space="preserve"> </w:t>
      </w:r>
      <w:r>
        <w:t>autent</w:t>
      </w:r>
      <w:r>
        <w:t>icidad,</w:t>
      </w:r>
      <w:r>
        <w:rPr>
          <w:spacing w:val="-3"/>
        </w:rPr>
        <w:t xml:space="preserve"> </w:t>
      </w:r>
      <w:r>
        <w:t>la</w:t>
      </w:r>
      <w:r>
        <w:rPr>
          <w:spacing w:val="-3"/>
        </w:rPr>
        <w:t xml:space="preserve"> </w:t>
      </w:r>
      <w:r>
        <w:t>escasez</w:t>
      </w:r>
      <w:r>
        <w:rPr>
          <w:spacing w:val="-3"/>
        </w:rPr>
        <w:t xml:space="preserve"> </w:t>
      </w:r>
      <w:r>
        <w:t>y</w:t>
      </w:r>
      <w:r>
        <w:rPr>
          <w:spacing w:val="-3"/>
        </w:rPr>
        <w:t xml:space="preserve"> </w:t>
      </w:r>
      <w:r>
        <w:t>la</w:t>
      </w:r>
      <w:r>
        <w:rPr>
          <w:spacing w:val="-3"/>
        </w:rPr>
        <w:t xml:space="preserve"> </w:t>
      </w:r>
      <w:r>
        <w:t>capacidad</w:t>
      </w:r>
      <w:r>
        <w:rPr>
          <w:spacing w:val="-3"/>
        </w:rPr>
        <w:t xml:space="preserve"> </w:t>
      </w:r>
      <w:r>
        <w:t>de</w:t>
      </w:r>
      <w:r>
        <w:rPr>
          <w:spacing w:val="-3"/>
        </w:rPr>
        <w:t xml:space="preserve"> </w:t>
      </w:r>
      <w:r>
        <w:t>capturar</w:t>
      </w:r>
      <w:r>
        <w:rPr>
          <w:spacing w:val="-3"/>
        </w:rPr>
        <w:t xml:space="preserve"> </w:t>
      </w:r>
      <w:r>
        <w:t>valor</w:t>
      </w:r>
      <w:r>
        <w:rPr>
          <w:spacing w:val="-3"/>
        </w:rPr>
        <w:t xml:space="preserve"> </w:t>
      </w:r>
      <w:r>
        <w:t>en nichos especializados.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1"/>
          <w:numId w:val="62"/>
        </w:numPr>
        <w:tabs>
          <w:tab w:val="left" w:pos="1283"/>
        </w:tabs>
        <w:spacing w:before="79"/>
        <w:ind w:left="1283" w:hanging="363"/>
        <w:jc w:val="left"/>
      </w:pPr>
      <w:bookmarkStart w:id="91" w:name="2.7_Conclusiones_estratégicas_del_sector"/>
      <w:bookmarkStart w:id="92" w:name="h.8txqows6hwjt"/>
      <w:bookmarkEnd w:id="91"/>
      <w:bookmarkEnd w:id="92"/>
      <w:r>
        <w:lastRenderedPageBreak/>
        <w:t>Conclusiones</w:t>
      </w:r>
      <w:r>
        <w:rPr>
          <w:spacing w:val="-11"/>
        </w:rPr>
        <w:t xml:space="preserve"> </w:t>
      </w:r>
      <w:r>
        <w:t>estratégicas</w:t>
      </w:r>
      <w:r>
        <w:rPr>
          <w:spacing w:val="-9"/>
        </w:rPr>
        <w:t xml:space="preserve"> </w:t>
      </w:r>
      <w:r>
        <w:t>del</w:t>
      </w:r>
      <w:r>
        <w:rPr>
          <w:spacing w:val="-9"/>
        </w:rPr>
        <w:t xml:space="preserve"> </w:t>
      </w:r>
      <w:r>
        <w:rPr>
          <w:spacing w:val="-2"/>
        </w:rPr>
        <w:t>sector</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El</w:t>
      </w:r>
      <w:r>
        <w:rPr>
          <w:spacing w:val="40"/>
        </w:rPr>
        <w:t xml:space="preserve"> </w:t>
      </w:r>
      <w:r>
        <w:t>análisis del sector confirma que la miel melipona no es un producto masivo, sino un bien escaso y de alto valor cultural. Las limitaciones biológicas de la abeja y la fragilidad de su ecosistema impiden competir por volumen o precio bajo. Por tanto, la úni</w:t>
      </w:r>
      <w:r>
        <w:t>ca estrategia viable para Guardiana es la diferenciación: enfocarse en un nicho de mercado dispuesto a pagar por la autenticidad, la funcionalidad terapéutica y el impacto positivo del producto.</w:t>
      </w:r>
    </w:p>
    <w:p w:rsidR="009B4BB4" w:rsidRDefault="00C44001">
      <w:pPr>
        <w:pStyle w:val="Textoindependiente"/>
        <w:spacing w:line="360" w:lineRule="auto"/>
        <w:ind w:left="425" w:right="604" w:firstLine="720"/>
        <w:jc w:val="both"/>
      </w:pPr>
      <w:r>
        <w:t>El entorno actual favorece esta dirección. Las tendencias glo</w:t>
      </w:r>
      <w:r>
        <w:t>bales muestran un consumidor que prioriza la salud y el origen ético, mientras que el turismo en Valladolid ofrece un flujo constante de clientes potenciales con alto poder adquisitivo. En este contexto, la estructura del sector sugiere que Guardiana no de</w:t>
      </w:r>
      <w:r>
        <w:t>be competir con los productores locales, sino actuar como un aliado estratégico que profesionaliza la comercialización y conecta su trabajo artesanal con mercados de mayor valor.</w:t>
      </w:r>
    </w:p>
    <w:p w:rsidR="009B4BB4" w:rsidRDefault="00C44001">
      <w:pPr>
        <w:pStyle w:val="Textoindependiente"/>
        <w:spacing w:line="360" w:lineRule="auto"/>
        <w:ind w:left="425" w:right="605" w:firstLine="720"/>
        <w:jc w:val="both"/>
      </w:pPr>
      <w:r>
        <w:t>Desde el punto de vista económico, la oportunidad es concreta. Hay una brecha</w:t>
      </w:r>
      <w:r>
        <w:t xml:space="preserve"> significativa entre el precio al que se vende la miel a granel y el precio que</w:t>
      </w:r>
      <w:r>
        <w:rPr>
          <w:spacing w:val="-2"/>
        </w:rPr>
        <w:t xml:space="preserve"> </w:t>
      </w:r>
      <w:r>
        <w:t>alcanzan</w:t>
      </w:r>
      <w:r>
        <w:rPr>
          <w:spacing w:val="-2"/>
        </w:rPr>
        <w:t xml:space="preserve"> </w:t>
      </w:r>
      <w:r>
        <w:t>las marcas posicionadas en tiendas especializadas. El modelo de negocio de Guardiana se basa en capturar ese diferencial a través de la marca, el diseño y la certifica</w:t>
      </w:r>
      <w:r>
        <w:t>ción, generando</w:t>
      </w:r>
      <w:r>
        <w:rPr>
          <w:spacing w:val="-2"/>
        </w:rPr>
        <w:t xml:space="preserve"> </w:t>
      </w:r>
      <w:r>
        <w:t>rentabilidad</w:t>
      </w:r>
      <w:r>
        <w:rPr>
          <w:spacing w:val="-2"/>
        </w:rPr>
        <w:t xml:space="preserve"> </w:t>
      </w:r>
      <w:r>
        <w:t>para</w:t>
      </w:r>
      <w:r>
        <w:rPr>
          <w:spacing w:val="-2"/>
        </w:rPr>
        <w:t xml:space="preserve"> </w:t>
      </w:r>
      <w:r>
        <w:t>la</w:t>
      </w:r>
      <w:r>
        <w:rPr>
          <w:spacing w:val="-2"/>
        </w:rPr>
        <w:t xml:space="preserve"> </w:t>
      </w:r>
      <w:r>
        <w:t>empresa</w:t>
      </w:r>
      <w:r>
        <w:rPr>
          <w:spacing w:val="-2"/>
        </w:rPr>
        <w:t xml:space="preserve"> </w:t>
      </w:r>
      <w:r>
        <w:t>y</w:t>
      </w:r>
      <w:r>
        <w:rPr>
          <w:spacing w:val="-2"/>
        </w:rPr>
        <w:t xml:space="preserve"> </w:t>
      </w:r>
      <w:r>
        <w:t>mejores</w:t>
      </w:r>
      <w:r>
        <w:rPr>
          <w:spacing w:val="-2"/>
        </w:rPr>
        <w:t xml:space="preserve"> </w:t>
      </w:r>
      <w:r>
        <w:t>ingresos</w:t>
      </w:r>
      <w:r>
        <w:rPr>
          <w:spacing w:val="-2"/>
        </w:rPr>
        <w:t xml:space="preserve"> </w:t>
      </w:r>
      <w:r>
        <w:t>para</w:t>
      </w:r>
      <w:r>
        <w:rPr>
          <w:spacing w:val="-2"/>
        </w:rPr>
        <w:t xml:space="preserve"> </w:t>
      </w:r>
      <w:r>
        <w:t>las</w:t>
      </w:r>
      <w:r>
        <w:rPr>
          <w:spacing w:val="-2"/>
        </w:rPr>
        <w:t xml:space="preserve"> </w:t>
      </w:r>
      <w:r>
        <w:t>familias</w:t>
      </w:r>
      <w:r>
        <w:rPr>
          <w:spacing w:val="-2"/>
        </w:rPr>
        <w:t xml:space="preserve"> </w:t>
      </w:r>
      <w:r>
        <w:t>productoras.</w:t>
      </w:r>
    </w:p>
    <w:p w:rsidR="009B4BB4" w:rsidRDefault="00C44001">
      <w:pPr>
        <w:pStyle w:val="Textoindependiente"/>
        <w:spacing w:line="360" w:lineRule="auto"/>
        <w:ind w:left="425" w:right="605" w:firstLine="720"/>
        <w:jc w:val="both"/>
      </w:pPr>
      <w:r>
        <w:t>Con este diagnóstico estratégico validado, el siguiente paso es</w:t>
      </w:r>
      <w:r>
        <w:rPr>
          <w:spacing w:val="-4"/>
        </w:rPr>
        <w:t xml:space="preserve"> </w:t>
      </w:r>
      <w:r>
        <w:t>confirmar</w:t>
      </w:r>
      <w:r>
        <w:rPr>
          <w:spacing w:val="-4"/>
        </w:rPr>
        <w:t xml:space="preserve"> </w:t>
      </w:r>
      <w:r>
        <w:t>si</w:t>
      </w:r>
      <w:r>
        <w:rPr>
          <w:spacing w:val="-4"/>
        </w:rPr>
        <w:t xml:space="preserve"> </w:t>
      </w:r>
      <w:r>
        <w:t>estas oportunidades teóricas se traducen en una intención de compra real. Para ello,</w:t>
      </w:r>
      <w:r>
        <w:t xml:space="preserve"> es necesario escuchar directamente al consumidor. El Capítulo 3 detalla la metodología utilizada en la investigación de campo en Valladolid, describiendo cómo se validó la propuesta de valor y la disposición a pagar antes de las proyecciones financieras </w:t>
      </w:r>
      <w:r>
        <w:rPr>
          <w:spacing w:val="-2"/>
        </w:rPr>
        <w:t>d</w:t>
      </w:r>
      <w:r>
        <w:rPr>
          <w:spacing w:val="-2"/>
        </w:rPr>
        <w:t>efinitivas.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line="360" w:lineRule="auto"/>
        <w:ind w:left="3739" w:right="3913" w:firstLine="552"/>
      </w:pPr>
      <w:bookmarkStart w:id="93" w:name="Capítulo_3​Marco_Metodológico_"/>
      <w:bookmarkStart w:id="94" w:name="h.xwf2q8x4bi7a"/>
      <w:bookmarkEnd w:id="93"/>
      <w:bookmarkEnd w:id="94"/>
      <w:r>
        <w:lastRenderedPageBreak/>
        <w:t>Capítulo 3 Marco</w:t>
      </w:r>
      <w:r>
        <w:rPr>
          <w:spacing w:val="-16"/>
        </w:rPr>
        <w:t xml:space="preserve"> </w:t>
      </w:r>
      <w:r>
        <w:t>Metodológico</w:t>
      </w:r>
    </w:p>
    <w:p w:rsidR="009B4BB4" w:rsidRDefault="00C44001">
      <w:pPr>
        <w:pStyle w:val="Textoindependiente"/>
        <w:spacing w:line="360" w:lineRule="auto"/>
        <w:ind w:left="425" w:right="605" w:firstLine="720"/>
        <w:jc w:val="both"/>
      </w:pPr>
      <w:r>
        <w:t>Este capítulo describe el diseño metodológico de la investigación de mercado,</w:t>
      </w:r>
      <w:r>
        <w:rPr>
          <w:spacing w:val="40"/>
        </w:rPr>
        <w:t xml:space="preserve"> </w:t>
      </w:r>
      <w:r>
        <w:t>que sirve como base para la elaboración del plan</w:t>
      </w:r>
      <w:r>
        <w:rPr>
          <w:spacing w:val="-3"/>
        </w:rPr>
        <w:t xml:space="preserve"> </w:t>
      </w:r>
      <w:r>
        <w:t>de</w:t>
      </w:r>
      <w:r>
        <w:rPr>
          <w:spacing w:val="-3"/>
        </w:rPr>
        <w:t xml:space="preserve"> </w:t>
      </w:r>
      <w:r>
        <w:t>negocios</w:t>
      </w:r>
      <w:r>
        <w:rPr>
          <w:spacing w:val="-3"/>
        </w:rPr>
        <w:t xml:space="preserve"> </w:t>
      </w:r>
      <w:r>
        <w:t>y</w:t>
      </w:r>
      <w:r>
        <w:rPr>
          <w:spacing w:val="-3"/>
        </w:rPr>
        <w:t xml:space="preserve"> </w:t>
      </w:r>
      <w:r>
        <w:t>el</w:t>
      </w:r>
      <w:r>
        <w:rPr>
          <w:spacing w:val="-3"/>
        </w:rPr>
        <w:t xml:space="preserve"> </w:t>
      </w:r>
      <w:r>
        <w:t>análisis</w:t>
      </w:r>
      <w:r>
        <w:rPr>
          <w:spacing w:val="-3"/>
        </w:rPr>
        <w:t xml:space="preserve"> </w:t>
      </w:r>
      <w:r>
        <w:t>de</w:t>
      </w:r>
      <w:r>
        <w:rPr>
          <w:spacing w:val="-3"/>
        </w:rPr>
        <w:t xml:space="preserve"> </w:t>
      </w:r>
      <w:r>
        <w:t>factibilidad de Guardiana.</w:t>
      </w:r>
      <w:r>
        <w:rPr>
          <w:spacing w:val="-6"/>
        </w:rPr>
        <w:t xml:space="preserve"> </w:t>
      </w:r>
      <w:r>
        <w:t>El</w:t>
      </w:r>
      <w:r>
        <w:rPr>
          <w:spacing w:val="-6"/>
        </w:rPr>
        <w:t xml:space="preserve"> </w:t>
      </w:r>
      <w:r>
        <w:t>estudio</w:t>
      </w:r>
      <w:r>
        <w:rPr>
          <w:spacing w:val="-6"/>
        </w:rPr>
        <w:t xml:space="preserve"> </w:t>
      </w:r>
      <w:r>
        <w:t>se</w:t>
      </w:r>
      <w:r>
        <w:rPr>
          <w:spacing w:val="-6"/>
        </w:rPr>
        <w:t xml:space="preserve"> </w:t>
      </w:r>
      <w:r>
        <w:t>desarrolla</w:t>
      </w:r>
      <w:r>
        <w:rPr>
          <w:spacing w:val="-6"/>
        </w:rPr>
        <w:t xml:space="preserve"> </w:t>
      </w:r>
      <w:r>
        <w:t>en</w:t>
      </w:r>
      <w:r>
        <w:rPr>
          <w:spacing w:val="-6"/>
        </w:rPr>
        <w:t xml:space="preserve"> </w:t>
      </w:r>
      <w:r>
        <w:t>Valladolid,</w:t>
      </w:r>
      <w:r>
        <w:rPr>
          <w:spacing w:val="-6"/>
        </w:rPr>
        <w:t xml:space="preserve"> </w:t>
      </w:r>
      <w:r>
        <w:t>Yucatán,</w:t>
      </w:r>
      <w:r>
        <w:rPr>
          <w:spacing w:val="-6"/>
        </w:rPr>
        <w:t xml:space="preserve"> </w:t>
      </w:r>
      <w:r>
        <w:t>un</w:t>
      </w:r>
      <w:r>
        <w:rPr>
          <w:spacing w:val="-6"/>
        </w:rPr>
        <w:t xml:space="preserve"> </w:t>
      </w:r>
      <w:r>
        <w:t>punto</w:t>
      </w:r>
      <w:r>
        <w:rPr>
          <w:spacing w:val="-6"/>
        </w:rPr>
        <w:t xml:space="preserve"> </w:t>
      </w:r>
      <w:r>
        <w:t>estratégico</w:t>
      </w:r>
      <w:r>
        <w:rPr>
          <w:spacing w:val="-6"/>
        </w:rPr>
        <w:t xml:space="preserve"> </w:t>
      </w:r>
      <w:r>
        <w:t>donde convergen</w:t>
      </w:r>
      <w:r>
        <w:rPr>
          <w:spacing w:val="-3"/>
        </w:rPr>
        <w:t xml:space="preserve"> </w:t>
      </w:r>
      <w:r>
        <w:t>flujos</w:t>
      </w:r>
      <w:r>
        <w:rPr>
          <w:spacing w:val="-3"/>
        </w:rPr>
        <w:t xml:space="preserve"> </w:t>
      </w:r>
      <w:r>
        <w:t>turísticos</w:t>
      </w:r>
      <w:r>
        <w:rPr>
          <w:spacing w:val="-3"/>
        </w:rPr>
        <w:t xml:space="preserve"> </w:t>
      </w:r>
      <w:r>
        <w:t>internacionales,</w:t>
      </w:r>
      <w:r>
        <w:rPr>
          <w:spacing w:val="-3"/>
        </w:rPr>
        <w:t xml:space="preserve"> </w:t>
      </w:r>
      <w:r>
        <w:t>una</w:t>
      </w:r>
      <w:r>
        <w:rPr>
          <w:spacing w:val="-3"/>
        </w:rPr>
        <w:t xml:space="preserve"> </w:t>
      </w:r>
      <w:r>
        <w:t>sólida</w:t>
      </w:r>
      <w:r>
        <w:rPr>
          <w:spacing w:val="-3"/>
        </w:rPr>
        <w:t xml:space="preserve"> </w:t>
      </w:r>
      <w:r>
        <w:t>identidad</w:t>
      </w:r>
      <w:r>
        <w:rPr>
          <w:spacing w:val="-3"/>
        </w:rPr>
        <w:t xml:space="preserve"> </w:t>
      </w:r>
      <w:r>
        <w:t>cultural</w:t>
      </w:r>
      <w:r>
        <w:rPr>
          <w:spacing w:val="-3"/>
        </w:rPr>
        <w:t xml:space="preserve"> </w:t>
      </w:r>
      <w:r>
        <w:t>maya</w:t>
      </w:r>
      <w:r>
        <w:rPr>
          <w:spacing w:val="-3"/>
        </w:rPr>
        <w:t xml:space="preserve"> </w:t>
      </w:r>
      <w:r>
        <w:t>y</w:t>
      </w:r>
      <w:r>
        <w:rPr>
          <w:spacing w:val="-3"/>
        </w:rPr>
        <w:t xml:space="preserve"> </w:t>
      </w:r>
      <w:r>
        <w:t>una</w:t>
      </w:r>
      <w:r>
        <w:rPr>
          <w:spacing w:val="-3"/>
        </w:rPr>
        <w:t xml:space="preserve"> </w:t>
      </w:r>
      <w:r>
        <w:t>oferta artesanal vinculada a la meliponicultura.</w:t>
      </w:r>
    </w:p>
    <w:p w:rsidR="009B4BB4" w:rsidRDefault="00C44001">
      <w:pPr>
        <w:pStyle w:val="Textoindependiente"/>
        <w:spacing w:line="360" w:lineRule="auto"/>
        <w:ind w:left="425" w:right="604" w:firstLine="720"/>
        <w:jc w:val="both"/>
      </w:pPr>
      <w:r>
        <w:t>La</w:t>
      </w:r>
      <w:r>
        <w:rPr>
          <w:spacing w:val="-4"/>
        </w:rPr>
        <w:t xml:space="preserve"> </w:t>
      </w:r>
      <w:r>
        <w:t>metodología</w:t>
      </w:r>
      <w:r>
        <w:rPr>
          <w:spacing w:val="-4"/>
        </w:rPr>
        <w:t xml:space="preserve"> </w:t>
      </w:r>
      <w:r>
        <w:t>se</w:t>
      </w:r>
      <w:r>
        <w:rPr>
          <w:spacing w:val="-4"/>
        </w:rPr>
        <w:t xml:space="preserve"> </w:t>
      </w:r>
      <w:r>
        <w:t>basa</w:t>
      </w:r>
      <w:r>
        <w:rPr>
          <w:spacing w:val="-4"/>
        </w:rPr>
        <w:t xml:space="preserve"> </w:t>
      </w:r>
      <w:r>
        <w:t>en</w:t>
      </w:r>
      <w:r>
        <w:rPr>
          <w:spacing w:val="-4"/>
        </w:rPr>
        <w:t xml:space="preserve"> </w:t>
      </w:r>
      <w:r>
        <w:t>un</w:t>
      </w:r>
      <w:r>
        <w:rPr>
          <w:spacing w:val="-4"/>
        </w:rPr>
        <w:t xml:space="preserve"> </w:t>
      </w:r>
      <w:r>
        <w:t>enfoque</w:t>
      </w:r>
      <w:r>
        <w:rPr>
          <w:spacing w:val="-4"/>
        </w:rPr>
        <w:t xml:space="preserve"> </w:t>
      </w:r>
      <w:r>
        <w:t>mixto</w:t>
      </w:r>
      <w:r>
        <w:rPr>
          <w:spacing w:val="-4"/>
        </w:rPr>
        <w:t xml:space="preserve"> </w:t>
      </w:r>
      <w:r>
        <w:t>que</w:t>
      </w:r>
      <w:r>
        <w:rPr>
          <w:spacing w:val="-4"/>
        </w:rPr>
        <w:t xml:space="preserve"> </w:t>
      </w:r>
      <w:r>
        <w:t>combina</w:t>
      </w:r>
      <w:r>
        <w:rPr>
          <w:spacing w:val="-4"/>
        </w:rPr>
        <w:t xml:space="preserve"> </w:t>
      </w:r>
      <w:r>
        <w:t>técnicas</w:t>
      </w:r>
      <w:r>
        <w:rPr>
          <w:spacing w:val="-4"/>
        </w:rPr>
        <w:t xml:space="preserve"> </w:t>
      </w:r>
      <w:r>
        <w:t>cuantitativas</w:t>
      </w:r>
      <w:r>
        <w:rPr>
          <w:spacing w:val="-4"/>
        </w:rPr>
        <w:t xml:space="preserve"> </w:t>
      </w:r>
      <w:r>
        <w:t>y cualitativas. De acuerdo con Creswell (2009), el enfoque de métodos mixtos permite analizar fenómenos complejos al combinar la medición estadística con la interpretación</w:t>
      </w:r>
      <w:r>
        <w:rPr>
          <w:spacing w:val="40"/>
        </w:rPr>
        <w:t xml:space="preserve"> </w:t>
      </w:r>
      <w:r>
        <w:t>de percepciones y contextos culturales. Este enfoque es coher</w:t>
      </w:r>
      <w:r>
        <w:t>ente con la naturaleza biocultural del proyecto, el cual requiere comprender el</w:t>
      </w:r>
      <w:r>
        <w:rPr>
          <w:spacing w:val="-4"/>
        </w:rPr>
        <w:t xml:space="preserve"> </w:t>
      </w:r>
      <w:r>
        <w:t>comportamiento</w:t>
      </w:r>
      <w:r>
        <w:rPr>
          <w:spacing w:val="-4"/>
        </w:rPr>
        <w:t xml:space="preserve"> </w:t>
      </w:r>
      <w:r>
        <w:t>de</w:t>
      </w:r>
      <w:r>
        <w:rPr>
          <w:spacing w:val="-4"/>
        </w:rPr>
        <w:t xml:space="preserve"> </w:t>
      </w:r>
      <w:r>
        <w:t>consumo,</w:t>
      </w:r>
      <w:r>
        <w:rPr>
          <w:spacing w:val="-4"/>
        </w:rPr>
        <w:t xml:space="preserve"> </w:t>
      </w:r>
      <w:r>
        <w:t>los motivadores simbólicos, la disposición a pagar y la experiencia turística.</w:t>
      </w:r>
    </w:p>
    <w:p w:rsidR="009B4BB4" w:rsidRDefault="00C44001">
      <w:pPr>
        <w:pStyle w:val="Textoindependiente"/>
        <w:spacing w:line="360" w:lineRule="auto"/>
        <w:ind w:left="425" w:right="603" w:firstLine="720"/>
        <w:jc w:val="both"/>
      </w:pPr>
      <w:r>
        <w:t>Los hallazgos de esta investigación alimentan todas las dimensiones de</w:t>
      </w:r>
      <w:r>
        <w:t>l plan de negocio. La propuesta de valor, la segmentación, el diseño del</w:t>
      </w:r>
      <w:r>
        <w:rPr>
          <w:spacing w:val="-4"/>
        </w:rPr>
        <w:t xml:space="preserve"> </w:t>
      </w:r>
      <w:r>
        <w:t>producto,</w:t>
      </w:r>
      <w:r>
        <w:rPr>
          <w:spacing w:val="-4"/>
        </w:rPr>
        <w:t xml:space="preserve"> </w:t>
      </w:r>
      <w:r>
        <w:t>la</w:t>
      </w:r>
      <w:r>
        <w:rPr>
          <w:spacing w:val="-4"/>
        </w:rPr>
        <w:t xml:space="preserve"> </w:t>
      </w:r>
      <w:r>
        <w:t>estrategia</w:t>
      </w:r>
      <w:r>
        <w:rPr>
          <w:spacing w:val="-4"/>
        </w:rPr>
        <w:t xml:space="preserve"> </w:t>
      </w:r>
      <w:r>
        <w:t xml:space="preserve">de posicionamiento y las proyecciones financieras están </w:t>
      </w:r>
      <w:proofErr w:type="gramStart"/>
      <w:r>
        <w:t>construidas</w:t>
      </w:r>
      <w:proofErr w:type="gramEnd"/>
      <w:r>
        <w:t xml:space="preserve"> sobre los datos obtenidos en campo.</w:t>
      </w:r>
    </w:p>
    <w:p w:rsidR="009B4BB4" w:rsidRDefault="009B4BB4">
      <w:pPr>
        <w:pStyle w:val="Textoindependiente"/>
        <w:spacing w:before="107"/>
      </w:pPr>
    </w:p>
    <w:p w:rsidR="009B4BB4" w:rsidRDefault="00C44001" w:rsidP="00C44001">
      <w:pPr>
        <w:pStyle w:val="Ttulo1"/>
        <w:numPr>
          <w:ilvl w:val="0"/>
          <w:numId w:val="50"/>
        </w:numPr>
        <w:tabs>
          <w:tab w:val="left" w:pos="1387"/>
        </w:tabs>
        <w:ind w:left="1387" w:hanging="242"/>
      </w:pPr>
      <w:bookmarkStart w:id="95" w:name="3._1_Justificación_de_la_investigación_"/>
      <w:bookmarkStart w:id="96" w:name="h.8ia2xewd4fcj"/>
      <w:bookmarkEnd w:id="95"/>
      <w:bookmarkEnd w:id="96"/>
      <w:r>
        <w:t>1</w:t>
      </w:r>
      <w:r>
        <w:rPr>
          <w:spacing w:val="-5"/>
        </w:rPr>
        <w:t xml:space="preserve"> </w:t>
      </w:r>
      <w:r>
        <w:t>Justificación</w:t>
      </w:r>
      <w:r>
        <w:rPr>
          <w:spacing w:val="-4"/>
        </w:rPr>
        <w:t xml:space="preserve"> </w:t>
      </w:r>
      <w:r>
        <w:t>de</w:t>
      </w:r>
      <w:r>
        <w:rPr>
          <w:spacing w:val="-5"/>
        </w:rPr>
        <w:t xml:space="preserve"> </w:t>
      </w:r>
      <w:r>
        <w:t>la</w:t>
      </w:r>
      <w:r>
        <w:rPr>
          <w:spacing w:val="-4"/>
        </w:rPr>
        <w:t xml:space="preserve"> </w:t>
      </w:r>
      <w:r>
        <w:rPr>
          <w:spacing w:val="-2"/>
        </w:rPr>
        <w:t>investigación</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La investigación de mercado es clave para reducir la incertidumbre</w:t>
      </w:r>
      <w:r>
        <w:rPr>
          <w:spacing w:val="-4"/>
        </w:rPr>
        <w:t xml:space="preserve"> </w:t>
      </w:r>
      <w:r>
        <w:t>y</w:t>
      </w:r>
      <w:r>
        <w:rPr>
          <w:spacing w:val="-4"/>
        </w:rPr>
        <w:t xml:space="preserve"> </w:t>
      </w:r>
      <w:r>
        <w:t>respaldar</w:t>
      </w:r>
      <w:r>
        <w:rPr>
          <w:spacing w:val="-4"/>
        </w:rPr>
        <w:t xml:space="preserve"> </w:t>
      </w:r>
      <w:r>
        <w:t>la toma de decisiones en emprendimientos. Tal como señala Sampieri (2014), “la investigación de mercados permite obtener y analizar información relevante y confiable para la tom</w:t>
      </w:r>
      <w:r>
        <w:t>a de decisiones comerciales”. Esta evaluación resulta imprescindible para</w:t>
      </w:r>
      <w:r>
        <w:rPr>
          <w:spacing w:val="-3"/>
        </w:rPr>
        <w:t xml:space="preserve"> </w:t>
      </w:r>
      <w:r>
        <w:t xml:space="preserve">un producto de nicho como la miel melipona, cuya demanda no responde a una lógica de commodity, sino a valores intangibles de </w:t>
      </w:r>
      <w:proofErr w:type="gramStart"/>
      <w:r>
        <w:t>carácter cultural, terapéuticos y sostenible</w:t>
      </w:r>
      <w:proofErr w:type="gramEnd"/>
      <w:r>
        <w:t>.</w:t>
      </w:r>
    </w:p>
    <w:p w:rsidR="009B4BB4" w:rsidRDefault="00C44001">
      <w:pPr>
        <w:pStyle w:val="Textoindependiente"/>
        <w:spacing w:line="360" w:lineRule="auto"/>
        <w:ind w:left="425" w:right="614" w:firstLine="720"/>
        <w:jc w:val="both"/>
      </w:pPr>
      <w:r>
        <w:t>En el cont</w:t>
      </w:r>
      <w:r>
        <w:t>exto específico de Guardiana, la investigación se justifica por su capacidad para:</w:t>
      </w:r>
    </w:p>
    <w:p w:rsidR="009B4BB4" w:rsidRDefault="00C44001" w:rsidP="00C44001">
      <w:pPr>
        <w:pStyle w:val="Prrafodelista"/>
        <w:numPr>
          <w:ilvl w:val="0"/>
          <w:numId w:val="49"/>
        </w:numPr>
        <w:tabs>
          <w:tab w:val="left" w:pos="1143"/>
          <w:tab w:val="left" w:pos="1145"/>
        </w:tabs>
        <w:spacing w:line="360" w:lineRule="auto"/>
        <w:ind w:right="611"/>
      </w:pPr>
      <w:r>
        <w:rPr>
          <w:rFonts w:ascii="Arial" w:hAnsi="Arial"/>
          <w:b/>
        </w:rPr>
        <w:t xml:space="preserve">Validar la demanda: </w:t>
      </w:r>
      <w:r>
        <w:t>medir con precisión la aceptación</w:t>
      </w:r>
      <w:r>
        <w:rPr>
          <w:spacing w:val="-5"/>
        </w:rPr>
        <w:t xml:space="preserve"> </w:t>
      </w:r>
      <w:r>
        <w:t>del</w:t>
      </w:r>
      <w:r>
        <w:rPr>
          <w:spacing w:val="-5"/>
        </w:rPr>
        <w:t xml:space="preserve"> </w:t>
      </w:r>
      <w:r>
        <w:t>concepto,</w:t>
      </w:r>
      <w:r>
        <w:rPr>
          <w:spacing w:val="-5"/>
        </w:rPr>
        <w:t xml:space="preserve"> </w:t>
      </w:r>
      <w:r>
        <w:t>la</w:t>
      </w:r>
      <w:r>
        <w:rPr>
          <w:spacing w:val="-5"/>
        </w:rPr>
        <w:t xml:space="preserve"> </w:t>
      </w:r>
      <w:r>
        <w:t>intención de compra y crucialmente, la disposición a pagar del mercado objetivo.</w:t>
      </w:r>
    </w:p>
    <w:p w:rsidR="009B4BB4" w:rsidRDefault="009B4BB4">
      <w:pPr>
        <w:pStyle w:val="Prrafodelista"/>
        <w:spacing w:line="360" w:lineRule="auto"/>
        <w:sectPr w:rsidR="009B4BB4">
          <w:pgSz w:w="11920" w:h="16840"/>
          <w:pgMar w:top="1500" w:right="850" w:bottom="1940" w:left="1275" w:header="0" w:footer="1747" w:gutter="0"/>
          <w:cols w:space="720"/>
        </w:sectPr>
      </w:pPr>
    </w:p>
    <w:p w:rsidR="009B4BB4" w:rsidRDefault="00C44001" w:rsidP="00C44001">
      <w:pPr>
        <w:pStyle w:val="Prrafodelista"/>
        <w:numPr>
          <w:ilvl w:val="0"/>
          <w:numId w:val="49"/>
        </w:numPr>
        <w:tabs>
          <w:tab w:val="left" w:pos="1143"/>
          <w:tab w:val="left" w:pos="1145"/>
        </w:tabs>
        <w:spacing w:before="79" w:line="360" w:lineRule="auto"/>
        <w:ind w:right="611"/>
        <w:jc w:val="both"/>
      </w:pPr>
      <w:r>
        <w:rPr>
          <w:rFonts w:ascii="Arial" w:hAnsi="Arial"/>
          <w:b/>
        </w:rPr>
        <w:lastRenderedPageBreak/>
        <w:t xml:space="preserve">Definir la propuesta de valor: </w:t>
      </w:r>
      <w:r>
        <w:t>identificar los atributos tangibles del producto e intangibles</w:t>
      </w:r>
      <w:r>
        <w:rPr>
          <w:spacing w:val="25"/>
        </w:rPr>
        <w:t xml:space="preserve"> </w:t>
      </w:r>
      <w:r>
        <w:t>de la narrativa cultural que actúan como diferenciadores reales frente a la competencia.</w:t>
      </w:r>
    </w:p>
    <w:p w:rsidR="009B4BB4" w:rsidRDefault="00C44001" w:rsidP="00C44001">
      <w:pPr>
        <w:pStyle w:val="Prrafodelista"/>
        <w:numPr>
          <w:ilvl w:val="0"/>
          <w:numId w:val="49"/>
        </w:numPr>
        <w:tabs>
          <w:tab w:val="left" w:pos="1143"/>
          <w:tab w:val="left" w:pos="1145"/>
        </w:tabs>
        <w:spacing w:line="360" w:lineRule="auto"/>
        <w:ind w:right="603"/>
        <w:jc w:val="both"/>
      </w:pPr>
      <w:r>
        <w:rPr>
          <w:rFonts w:ascii="Arial" w:hAnsi="Arial"/>
          <w:b/>
        </w:rPr>
        <w:t xml:space="preserve">Dimensionar el mercado: </w:t>
      </w:r>
      <w:r>
        <w:t>Comprender las dinámicas del flujo turístico en V</w:t>
      </w:r>
      <w:r>
        <w:t>alladolid, utilizándolo como un micromercado representativo para validar la escalabilidad del modelo.</w:t>
      </w:r>
    </w:p>
    <w:p w:rsidR="009B4BB4" w:rsidRDefault="00C44001" w:rsidP="00C44001">
      <w:pPr>
        <w:pStyle w:val="Prrafodelista"/>
        <w:numPr>
          <w:ilvl w:val="0"/>
          <w:numId w:val="49"/>
        </w:numPr>
        <w:tabs>
          <w:tab w:val="left" w:pos="1143"/>
          <w:tab w:val="left" w:pos="1145"/>
        </w:tabs>
        <w:spacing w:line="360" w:lineRule="auto"/>
        <w:ind w:right="604"/>
        <w:jc w:val="both"/>
      </w:pPr>
      <w:r>
        <w:rPr>
          <w:rFonts w:ascii="Arial" w:hAnsi="Arial"/>
          <w:b/>
        </w:rPr>
        <w:t xml:space="preserve">Optimizar el producto: </w:t>
      </w:r>
      <w:r>
        <w:t>determinar el formato de comercialización, en términos</w:t>
      </w:r>
      <w:r>
        <w:rPr>
          <w:spacing w:val="40"/>
        </w:rPr>
        <w:t xml:space="preserve"> </w:t>
      </w:r>
      <w:r>
        <w:t xml:space="preserve">de presentación, volumen, envase, que más se alineen con las expectativas y </w:t>
      </w:r>
      <w:r>
        <w:t>ocasiones de uso del consumidor.</w:t>
      </w:r>
    </w:p>
    <w:p w:rsidR="009B4BB4" w:rsidRDefault="00C44001" w:rsidP="00C44001">
      <w:pPr>
        <w:pStyle w:val="Prrafodelista"/>
        <w:numPr>
          <w:ilvl w:val="0"/>
          <w:numId w:val="49"/>
        </w:numPr>
        <w:tabs>
          <w:tab w:val="left" w:pos="1143"/>
          <w:tab w:val="left" w:pos="1145"/>
        </w:tabs>
        <w:spacing w:line="360" w:lineRule="auto"/>
        <w:ind w:right="602"/>
        <w:jc w:val="both"/>
      </w:pPr>
      <w:r>
        <w:rPr>
          <w:rFonts w:ascii="Arial" w:hAnsi="Arial"/>
          <w:b/>
        </w:rPr>
        <w:t xml:space="preserve">Fundamentar la viabilidad financiera: </w:t>
      </w:r>
      <w:r>
        <w:t>Proveer los datos</w:t>
      </w:r>
      <w:r>
        <w:rPr>
          <w:spacing w:val="-4"/>
        </w:rPr>
        <w:t xml:space="preserve"> </w:t>
      </w:r>
      <w:r>
        <w:t>de</w:t>
      </w:r>
      <w:r>
        <w:rPr>
          <w:spacing w:val="-4"/>
        </w:rPr>
        <w:t xml:space="preserve"> </w:t>
      </w:r>
      <w:r>
        <w:t>entrada</w:t>
      </w:r>
      <w:r>
        <w:rPr>
          <w:spacing w:val="40"/>
        </w:rPr>
        <w:t xml:space="preserve"> </w:t>
      </w:r>
      <w:r>
        <w:t>necesarios para el análisis económico, permitiendo proyecciones de ventas y estrategias de precios basadas en la realidad del mercado y no en supuestos.</w:t>
      </w:r>
    </w:p>
    <w:p w:rsidR="009B4BB4" w:rsidRDefault="009B4BB4">
      <w:pPr>
        <w:pStyle w:val="Textoindependiente"/>
        <w:spacing w:before="107"/>
      </w:pPr>
    </w:p>
    <w:p w:rsidR="009B4BB4" w:rsidRDefault="00C44001" w:rsidP="00C44001">
      <w:pPr>
        <w:pStyle w:val="Ttulo1"/>
        <w:numPr>
          <w:ilvl w:val="1"/>
          <w:numId w:val="48"/>
        </w:numPr>
        <w:tabs>
          <w:tab w:val="left" w:pos="1508"/>
        </w:tabs>
        <w:ind w:left="1508" w:hanging="363"/>
        <w:jc w:val="left"/>
      </w:pPr>
      <w:bookmarkStart w:id="97" w:name="3.2_Problema_de_Investigación_"/>
      <w:bookmarkStart w:id="98" w:name="h.4oia0j89d2v0"/>
      <w:bookmarkEnd w:id="97"/>
      <w:bookmarkEnd w:id="98"/>
      <w:r>
        <w:t>Problema</w:t>
      </w:r>
      <w:r>
        <w:rPr>
          <w:spacing w:val="-5"/>
        </w:rPr>
        <w:t xml:space="preserve"> </w:t>
      </w:r>
      <w:r>
        <w:t>de</w:t>
      </w:r>
      <w:r>
        <w:rPr>
          <w:spacing w:val="-5"/>
        </w:rPr>
        <w:t xml:space="preserve"> </w:t>
      </w:r>
      <w:r>
        <w:rPr>
          <w:spacing w:val="-2"/>
        </w:rPr>
        <w:t>Investigación</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3" w:firstLine="720"/>
        <w:jc w:val="both"/>
      </w:pPr>
      <w:r>
        <w:t>Si bien la miel melipona posee un alto valor</w:t>
      </w:r>
      <w:r>
        <w:rPr>
          <w:spacing w:val="-3"/>
        </w:rPr>
        <w:t xml:space="preserve"> </w:t>
      </w:r>
      <w:r>
        <w:t>cultural,</w:t>
      </w:r>
      <w:r>
        <w:rPr>
          <w:spacing w:val="-3"/>
        </w:rPr>
        <w:t xml:space="preserve"> </w:t>
      </w:r>
      <w:r>
        <w:t>medicinal</w:t>
      </w:r>
      <w:r>
        <w:rPr>
          <w:spacing w:val="-3"/>
        </w:rPr>
        <w:t xml:space="preserve"> </w:t>
      </w:r>
      <w:r>
        <w:t>y</w:t>
      </w:r>
      <w:r>
        <w:rPr>
          <w:spacing w:val="-3"/>
        </w:rPr>
        <w:t xml:space="preserve"> </w:t>
      </w:r>
      <w:r>
        <w:t>ecológico,</w:t>
      </w:r>
      <w:r>
        <w:rPr>
          <w:spacing w:val="-3"/>
        </w:rPr>
        <w:t xml:space="preserve"> </w:t>
      </w:r>
      <w:r>
        <w:t>existe una desconexión significativa entre su potencial y su posicionamiento actual en el mercado. El nivel de conocimiento del producto entre el públi</w:t>
      </w:r>
      <w:r>
        <w:t>co general es limitado, y el ecosistema productivo enfrenta barreras estructurales de comercialización y baja formalización que dificultan su acceso a nichos de mayor valor.</w:t>
      </w:r>
    </w:p>
    <w:p w:rsidR="009B4BB4" w:rsidRDefault="00C44001">
      <w:pPr>
        <w:pStyle w:val="Textoindependiente"/>
        <w:spacing w:line="360" w:lineRule="auto"/>
        <w:ind w:left="425" w:right="603" w:firstLine="720"/>
        <w:jc w:val="both"/>
      </w:pPr>
      <w:r>
        <w:t>Para estructurar</w:t>
      </w:r>
      <w:r>
        <w:rPr>
          <w:spacing w:val="-4"/>
        </w:rPr>
        <w:t xml:space="preserve"> </w:t>
      </w:r>
      <w:r>
        <w:t>un</w:t>
      </w:r>
      <w:r>
        <w:rPr>
          <w:spacing w:val="-4"/>
        </w:rPr>
        <w:t xml:space="preserve"> </w:t>
      </w:r>
      <w:r>
        <w:t>modelo</w:t>
      </w:r>
      <w:r>
        <w:rPr>
          <w:spacing w:val="-4"/>
        </w:rPr>
        <w:t xml:space="preserve"> </w:t>
      </w:r>
      <w:r>
        <w:t>de</w:t>
      </w:r>
      <w:r>
        <w:rPr>
          <w:spacing w:val="-4"/>
        </w:rPr>
        <w:t xml:space="preserve"> </w:t>
      </w:r>
      <w:r>
        <w:t>negocio</w:t>
      </w:r>
      <w:r>
        <w:rPr>
          <w:spacing w:val="-4"/>
        </w:rPr>
        <w:t xml:space="preserve"> </w:t>
      </w:r>
      <w:r>
        <w:t>viable</w:t>
      </w:r>
      <w:r>
        <w:rPr>
          <w:spacing w:val="-4"/>
        </w:rPr>
        <w:t xml:space="preserve"> </w:t>
      </w:r>
      <w:r>
        <w:t>como</w:t>
      </w:r>
      <w:r>
        <w:rPr>
          <w:spacing w:val="-4"/>
        </w:rPr>
        <w:t xml:space="preserve"> </w:t>
      </w:r>
      <w:r>
        <w:t>el</w:t>
      </w:r>
      <w:r>
        <w:rPr>
          <w:spacing w:val="-4"/>
        </w:rPr>
        <w:t xml:space="preserve"> </w:t>
      </w:r>
      <w:r>
        <w:t>de</w:t>
      </w:r>
      <w:r>
        <w:rPr>
          <w:spacing w:val="-4"/>
        </w:rPr>
        <w:t xml:space="preserve"> </w:t>
      </w:r>
      <w:r>
        <w:t>Guardiana,</w:t>
      </w:r>
      <w:r>
        <w:rPr>
          <w:spacing w:val="-4"/>
        </w:rPr>
        <w:t xml:space="preserve"> </w:t>
      </w:r>
      <w:r>
        <w:t>es</w:t>
      </w:r>
      <w:r>
        <w:rPr>
          <w:spacing w:val="-4"/>
        </w:rPr>
        <w:t xml:space="preserve"> </w:t>
      </w:r>
      <w:r>
        <w:t>necesario su</w:t>
      </w:r>
      <w:r>
        <w:t>bsanar tres vacíos de información críticos que la teoría no logra responder por sí sola:</w:t>
      </w:r>
    </w:p>
    <w:p w:rsidR="009B4BB4" w:rsidRDefault="00C44001" w:rsidP="00C44001">
      <w:pPr>
        <w:pStyle w:val="Prrafodelista"/>
        <w:numPr>
          <w:ilvl w:val="0"/>
          <w:numId w:val="47"/>
        </w:numPr>
        <w:tabs>
          <w:tab w:val="left" w:pos="1143"/>
          <w:tab w:val="left" w:pos="1145"/>
        </w:tabs>
        <w:spacing w:line="360" w:lineRule="auto"/>
        <w:ind w:right="604"/>
        <w:jc w:val="both"/>
      </w:pPr>
      <w:r>
        <w:rPr>
          <w:rFonts w:ascii="Arial" w:hAnsi="Arial"/>
          <w:b/>
        </w:rPr>
        <w:t xml:space="preserve">Indefinición del perfil del consumidor: </w:t>
      </w:r>
      <w:r>
        <w:t xml:space="preserve">Falta de claridad sobre quién es el cliente real y cuáles son sus motivadores de compra frente a sus barreras de </w:t>
      </w:r>
      <w:r>
        <w:rPr>
          <w:spacing w:val="-2"/>
        </w:rPr>
        <w:t>consumo.</w:t>
      </w:r>
    </w:p>
    <w:p w:rsidR="009B4BB4" w:rsidRDefault="00C44001" w:rsidP="00C44001">
      <w:pPr>
        <w:pStyle w:val="Prrafodelista"/>
        <w:numPr>
          <w:ilvl w:val="0"/>
          <w:numId w:val="47"/>
        </w:numPr>
        <w:tabs>
          <w:tab w:val="left" w:pos="1143"/>
          <w:tab w:val="left" w:pos="1145"/>
        </w:tabs>
        <w:spacing w:line="360" w:lineRule="auto"/>
        <w:ind w:right="603"/>
        <w:jc w:val="both"/>
      </w:pPr>
      <w:r>
        <w:rPr>
          <w:rFonts w:ascii="Arial" w:hAnsi="Arial"/>
          <w:b/>
        </w:rPr>
        <w:t xml:space="preserve">Incertidumbre en la valoración económica: </w:t>
      </w:r>
      <w:r>
        <w:t xml:space="preserve">Escaso conocimiento sobre la sensibilidad al precio y la disposición a pagar real del mercado por un producto que incorpora atributos de certificación y diseño </w:t>
      </w:r>
      <w:r>
        <w:rPr>
          <w:rFonts w:ascii="Arial" w:hAnsi="Arial"/>
          <w:i/>
        </w:rPr>
        <w:t>premium</w:t>
      </w:r>
      <w:r>
        <w:t>.</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47"/>
        </w:numPr>
        <w:tabs>
          <w:tab w:val="left" w:pos="1143"/>
          <w:tab w:val="left" w:pos="1145"/>
        </w:tabs>
        <w:spacing w:before="79" w:line="360" w:lineRule="auto"/>
        <w:ind w:right="611"/>
        <w:jc w:val="both"/>
      </w:pPr>
      <w:r>
        <w:rPr>
          <w:rFonts w:ascii="Arial" w:hAnsi="Arial"/>
          <w:b/>
        </w:rPr>
        <w:lastRenderedPageBreak/>
        <w:t>Contextualización turística</w:t>
      </w:r>
      <w:r>
        <w:t>: Ausencia de estudios aplicados en micro-destinos turísticos como Valladolid, donde la narrativa cultural y la interacción directa con los productores son factores determinantes de la decisión de compra.</w:t>
      </w:r>
    </w:p>
    <w:p w:rsidR="009B4BB4" w:rsidRDefault="00C44001">
      <w:pPr>
        <w:pStyle w:val="Textoindependiente"/>
        <w:spacing w:line="360" w:lineRule="auto"/>
        <w:ind w:left="425" w:right="605" w:firstLine="720"/>
        <w:jc w:val="both"/>
      </w:pPr>
      <w:r>
        <w:t xml:space="preserve">La resolución de estas incógnitas resulta esencial </w:t>
      </w:r>
      <w:r>
        <w:t>para diseñar una estrategia comercial que esté alineada con la realidad operativa del mercado y las expectativas tangibles del consumidor objetivo.</w:t>
      </w:r>
    </w:p>
    <w:p w:rsidR="009B4BB4" w:rsidRDefault="009B4BB4">
      <w:pPr>
        <w:pStyle w:val="Textoindependiente"/>
        <w:spacing w:before="107"/>
      </w:pPr>
    </w:p>
    <w:p w:rsidR="009B4BB4" w:rsidRDefault="00C44001" w:rsidP="00C44001">
      <w:pPr>
        <w:pStyle w:val="Ttulo1"/>
        <w:numPr>
          <w:ilvl w:val="1"/>
          <w:numId w:val="48"/>
        </w:numPr>
        <w:tabs>
          <w:tab w:val="left" w:pos="1508"/>
        </w:tabs>
        <w:ind w:left="1508" w:hanging="363"/>
        <w:jc w:val="left"/>
      </w:pPr>
      <w:bookmarkStart w:id="99" w:name="3.3_Objetivo_de_la_investigación_"/>
      <w:bookmarkStart w:id="100" w:name="h.1ga6mnn6mlyk"/>
      <w:bookmarkEnd w:id="99"/>
      <w:bookmarkEnd w:id="100"/>
      <w:r>
        <w:t>Objetivo</w:t>
      </w:r>
      <w:r>
        <w:rPr>
          <w:spacing w:val="-4"/>
        </w:rPr>
        <w:t xml:space="preserve"> </w:t>
      </w:r>
      <w:r>
        <w:t>de</w:t>
      </w:r>
      <w:r>
        <w:rPr>
          <w:spacing w:val="-4"/>
        </w:rPr>
        <w:t xml:space="preserve"> </w:t>
      </w:r>
      <w:r>
        <w:t>la</w:t>
      </w:r>
      <w:r>
        <w:rPr>
          <w:spacing w:val="-4"/>
        </w:rPr>
        <w:t xml:space="preserve"> </w:t>
      </w:r>
      <w:r>
        <w:rPr>
          <w:spacing w:val="-2"/>
        </w:rPr>
        <w:t>investigación</w:t>
      </w:r>
    </w:p>
    <w:p w:rsidR="009B4BB4" w:rsidRDefault="009B4BB4">
      <w:pPr>
        <w:pStyle w:val="Textoindependiente"/>
        <w:spacing w:before="114"/>
        <w:rPr>
          <w:rFonts w:ascii="Arial"/>
          <w:b/>
        </w:rPr>
      </w:pPr>
    </w:p>
    <w:p w:rsidR="009B4BB4" w:rsidRDefault="00C44001" w:rsidP="00C44001">
      <w:pPr>
        <w:pStyle w:val="Ttulo2"/>
        <w:numPr>
          <w:ilvl w:val="2"/>
          <w:numId w:val="48"/>
        </w:numPr>
        <w:tabs>
          <w:tab w:val="left" w:pos="895"/>
        </w:tabs>
        <w:spacing w:before="0"/>
        <w:ind w:left="895" w:hanging="545"/>
        <w:jc w:val="left"/>
      </w:pPr>
      <w:bookmarkStart w:id="101" w:name="3.3.1_Objetivo_general_"/>
      <w:bookmarkStart w:id="102" w:name="h.gvt2k4jghbdv"/>
      <w:bookmarkEnd w:id="101"/>
      <w:bookmarkEnd w:id="102"/>
      <w:r>
        <w:t>Objetivo</w:t>
      </w:r>
      <w:r>
        <w:rPr>
          <w:spacing w:val="-8"/>
        </w:rPr>
        <w:t xml:space="preserve"> </w:t>
      </w:r>
      <w:r>
        <w:rPr>
          <w:spacing w:val="-2"/>
        </w:rPr>
        <w:t>general</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7" w:firstLine="720"/>
        <w:jc w:val="both"/>
      </w:pPr>
      <w:r>
        <w:t xml:space="preserve">Validar la viabilidad comercial y técnica del modelo de negocio de Guardiana mediante la recolección y análisis de datos empíricos sobre la oferta, la demanda y el contexto turístico de Valladolid, Yucatán. Este diagnóstico permitirá fundamentar el diseño </w:t>
      </w:r>
      <w:r>
        <w:t>de la propuesta de valor, la estrategia de precios y las proyecciones financieras del plan de negocios.</w:t>
      </w:r>
    </w:p>
    <w:p w:rsidR="009B4BB4" w:rsidRDefault="00C44001" w:rsidP="00C44001">
      <w:pPr>
        <w:pStyle w:val="Ttulo2"/>
        <w:numPr>
          <w:ilvl w:val="2"/>
          <w:numId w:val="48"/>
        </w:numPr>
        <w:tabs>
          <w:tab w:val="left" w:pos="970"/>
        </w:tabs>
        <w:ind w:left="970" w:hanging="545"/>
        <w:jc w:val="left"/>
      </w:pPr>
      <w:bookmarkStart w:id="103" w:name="3.3.2_Objetivos_específicos_y_su_vincula"/>
      <w:bookmarkStart w:id="104" w:name="h.t8zcmdjpbzfm"/>
      <w:bookmarkEnd w:id="103"/>
      <w:bookmarkEnd w:id="104"/>
      <w:r>
        <w:t>Objetivos</w:t>
      </w:r>
      <w:r>
        <w:rPr>
          <w:spacing w:val="-9"/>
        </w:rPr>
        <w:t xml:space="preserve"> </w:t>
      </w:r>
      <w:r>
        <w:t>específicos</w:t>
      </w:r>
      <w:r>
        <w:rPr>
          <w:spacing w:val="-7"/>
        </w:rPr>
        <w:t xml:space="preserve"> </w:t>
      </w:r>
      <w:r>
        <w:t>y</w:t>
      </w:r>
      <w:r>
        <w:rPr>
          <w:spacing w:val="-7"/>
        </w:rPr>
        <w:t xml:space="preserve"> </w:t>
      </w:r>
      <w:r>
        <w:t>su</w:t>
      </w:r>
      <w:r>
        <w:rPr>
          <w:spacing w:val="-7"/>
        </w:rPr>
        <w:t xml:space="preserve"> </w:t>
      </w:r>
      <w:r>
        <w:t>vinculación</w:t>
      </w:r>
      <w:r>
        <w:rPr>
          <w:spacing w:val="-6"/>
        </w:rPr>
        <w:t xml:space="preserve"> </w:t>
      </w:r>
      <w:r>
        <w:rPr>
          <w:spacing w:val="-2"/>
        </w:rPr>
        <w:t>metodológica</w:t>
      </w:r>
    </w:p>
    <w:p w:rsidR="009B4BB4" w:rsidRDefault="009B4BB4">
      <w:pPr>
        <w:pStyle w:val="Textoindependiente"/>
        <w:spacing w:before="114"/>
        <w:rPr>
          <w:rFonts w:ascii="Arial"/>
          <w:b/>
          <w:i/>
        </w:rPr>
      </w:pPr>
    </w:p>
    <w:p w:rsidR="009B4BB4" w:rsidRDefault="00C44001">
      <w:pPr>
        <w:pStyle w:val="Ttulo1"/>
      </w:pPr>
      <w:r>
        <w:rPr>
          <w:spacing w:val="-2"/>
        </w:rPr>
        <w:t>Tabla</w:t>
      </w:r>
      <w:r>
        <w:rPr>
          <w:spacing w:val="-11"/>
        </w:rPr>
        <w:t xml:space="preserve"> </w:t>
      </w:r>
      <w:r>
        <w:rPr>
          <w:spacing w:val="-5"/>
        </w:rPr>
        <w:t>3.1</w:t>
      </w:r>
    </w:p>
    <w:p w:rsidR="009B4BB4" w:rsidRDefault="00C44001">
      <w:pPr>
        <w:spacing w:before="126"/>
        <w:ind w:left="425"/>
        <w:rPr>
          <w:rFonts w:ascii="Arial" w:hAnsi="Arial"/>
          <w:i/>
        </w:rPr>
      </w:pPr>
      <w:r>
        <w:rPr>
          <w:rFonts w:ascii="Arial" w:hAnsi="Arial"/>
          <w:i/>
        </w:rPr>
        <w:t>Objetivos</w:t>
      </w:r>
      <w:r>
        <w:rPr>
          <w:rFonts w:ascii="Arial" w:hAnsi="Arial"/>
          <w:i/>
          <w:spacing w:val="-8"/>
        </w:rPr>
        <w:t xml:space="preserve"> </w:t>
      </w:r>
      <w:r>
        <w:rPr>
          <w:rFonts w:ascii="Arial" w:hAnsi="Arial"/>
          <w:i/>
        </w:rPr>
        <w:t>específicos</w:t>
      </w:r>
      <w:r>
        <w:rPr>
          <w:rFonts w:ascii="Arial" w:hAnsi="Arial"/>
          <w:i/>
          <w:spacing w:val="-8"/>
        </w:rPr>
        <w:t xml:space="preserve"> </w:t>
      </w:r>
      <w:r>
        <w:rPr>
          <w:rFonts w:ascii="Arial" w:hAnsi="Arial"/>
          <w:i/>
        </w:rPr>
        <w:t>y</w:t>
      </w:r>
      <w:r>
        <w:rPr>
          <w:rFonts w:ascii="Arial" w:hAnsi="Arial"/>
          <w:i/>
          <w:spacing w:val="-8"/>
        </w:rPr>
        <w:t xml:space="preserve"> </w:t>
      </w:r>
      <w:r>
        <w:rPr>
          <w:rFonts w:ascii="Arial" w:hAnsi="Arial"/>
          <w:i/>
        </w:rPr>
        <w:t>vinculación</w:t>
      </w:r>
      <w:r>
        <w:rPr>
          <w:rFonts w:ascii="Arial" w:hAnsi="Arial"/>
          <w:i/>
          <w:spacing w:val="-8"/>
        </w:rPr>
        <w:t xml:space="preserve"> </w:t>
      </w:r>
      <w:r>
        <w:rPr>
          <w:rFonts w:ascii="Arial" w:hAnsi="Arial"/>
          <w:i/>
        </w:rPr>
        <w:t>metodológica</w:t>
      </w:r>
      <w:r>
        <w:rPr>
          <w:rFonts w:ascii="Arial" w:hAnsi="Arial"/>
          <w:i/>
          <w:spacing w:val="-8"/>
        </w:rPr>
        <w:t xml:space="preserve"> </w:t>
      </w:r>
      <w:r>
        <w:rPr>
          <w:rFonts w:ascii="Arial" w:hAnsi="Arial"/>
          <w:i/>
        </w:rPr>
        <w:t>del</w:t>
      </w:r>
      <w:r>
        <w:rPr>
          <w:rFonts w:ascii="Arial" w:hAnsi="Arial"/>
          <w:i/>
          <w:spacing w:val="-8"/>
        </w:rPr>
        <w:t xml:space="preserve"> </w:t>
      </w:r>
      <w:r>
        <w:rPr>
          <w:rFonts w:ascii="Arial" w:hAnsi="Arial"/>
          <w:i/>
        </w:rPr>
        <w:t>proyecto</w:t>
      </w:r>
      <w:r>
        <w:rPr>
          <w:rFonts w:ascii="Arial" w:hAnsi="Arial"/>
          <w:i/>
          <w:spacing w:val="-7"/>
        </w:rPr>
        <w:t xml:space="preserve"> </w:t>
      </w:r>
      <w:r>
        <w:rPr>
          <w:rFonts w:ascii="Arial" w:hAnsi="Arial"/>
          <w:i/>
          <w:spacing w:val="-2"/>
        </w:rPr>
        <w:t>Guardiana</w:t>
      </w:r>
    </w:p>
    <w:p w:rsidR="009B4BB4" w:rsidRDefault="009B4BB4">
      <w:pPr>
        <w:pStyle w:val="Textoindependiente"/>
        <w:spacing w:before="1"/>
        <w:rPr>
          <w:rFonts w:ascii="Arial"/>
          <w:i/>
          <w:sz w:val="10"/>
        </w:rPr>
      </w:pPr>
    </w:p>
    <w:tbl>
      <w:tblPr>
        <w:tblStyle w:val="TableNormal"/>
        <w:tblW w:w="0" w:type="auto"/>
        <w:tblInd w:w="432" w:type="dxa"/>
        <w:tblLayout w:type="fixed"/>
        <w:tblLook w:val="01E0" w:firstRow="1" w:lastRow="1" w:firstColumn="1" w:lastColumn="1" w:noHBand="0" w:noVBand="0"/>
      </w:tblPr>
      <w:tblGrid>
        <w:gridCol w:w="2943"/>
        <w:gridCol w:w="3011"/>
        <w:gridCol w:w="3087"/>
      </w:tblGrid>
      <w:tr w:rsidR="009B4BB4">
        <w:trPr>
          <w:trHeight w:val="699"/>
        </w:trPr>
        <w:tc>
          <w:tcPr>
            <w:tcW w:w="2943" w:type="dxa"/>
            <w:tcBorders>
              <w:top w:val="single" w:sz="8" w:space="0" w:color="999999"/>
              <w:bottom w:val="single" w:sz="8" w:space="0" w:color="999999"/>
            </w:tcBorders>
          </w:tcPr>
          <w:p w:rsidR="009B4BB4" w:rsidRDefault="00C44001">
            <w:pPr>
              <w:pStyle w:val="TableParagraph"/>
              <w:spacing w:before="232"/>
              <w:ind w:left="515"/>
              <w:rPr>
                <w:rFonts w:ascii="Arial" w:hAnsi="Arial"/>
                <w:b/>
              </w:rPr>
            </w:pPr>
            <w:r>
              <w:rPr>
                <w:rFonts w:ascii="Arial" w:hAnsi="Arial"/>
                <w:b/>
              </w:rPr>
              <w:t>Objetivo</w:t>
            </w:r>
            <w:r>
              <w:rPr>
                <w:rFonts w:ascii="Arial" w:hAnsi="Arial"/>
                <w:b/>
                <w:spacing w:val="-8"/>
              </w:rPr>
              <w:t xml:space="preserve"> </w:t>
            </w:r>
            <w:r>
              <w:rPr>
                <w:rFonts w:ascii="Arial" w:hAnsi="Arial"/>
                <w:b/>
                <w:spacing w:val="-2"/>
              </w:rPr>
              <w:t>específico</w:t>
            </w:r>
          </w:p>
        </w:tc>
        <w:tc>
          <w:tcPr>
            <w:tcW w:w="3011" w:type="dxa"/>
            <w:tcBorders>
              <w:top w:val="single" w:sz="8" w:space="0" w:color="999999"/>
              <w:bottom w:val="single" w:sz="8" w:space="0" w:color="999999"/>
            </w:tcBorders>
          </w:tcPr>
          <w:p w:rsidR="009B4BB4" w:rsidRDefault="00C44001">
            <w:pPr>
              <w:pStyle w:val="TableParagraph"/>
              <w:spacing w:before="232"/>
              <w:ind w:left="752"/>
              <w:rPr>
                <w:rFonts w:ascii="Arial"/>
                <w:b/>
              </w:rPr>
            </w:pPr>
            <w:r>
              <w:rPr>
                <w:rFonts w:ascii="Arial"/>
                <w:b/>
              </w:rPr>
              <w:t>Fuente</w:t>
            </w:r>
            <w:r>
              <w:rPr>
                <w:rFonts w:ascii="Arial"/>
                <w:b/>
                <w:spacing w:val="-4"/>
              </w:rPr>
              <w:t xml:space="preserve"> </w:t>
            </w:r>
            <w:r>
              <w:rPr>
                <w:rFonts w:ascii="Arial"/>
                <w:b/>
              </w:rPr>
              <w:t>de</w:t>
            </w:r>
            <w:r>
              <w:rPr>
                <w:rFonts w:ascii="Arial"/>
                <w:b/>
                <w:spacing w:val="-4"/>
              </w:rPr>
              <w:t xml:space="preserve"> </w:t>
            </w:r>
            <w:r>
              <w:rPr>
                <w:rFonts w:ascii="Arial"/>
                <w:b/>
                <w:spacing w:val="-2"/>
              </w:rPr>
              <w:t>datos</w:t>
            </w:r>
          </w:p>
        </w:tc>
        <w:tc>
          <w:tcPr>
            <w:tcW w:w="3087" w:type="dxa"/>
            <w:tcBorders>
              <w:top w:val="single" w:sz="8" w:space="0" w:color="999999"/>
              <w:bottom w:val="single" w:sz="8" w:space="0" w:color="999999"/>
            </w:tcBorders>
          </w:tcPr>
          <w:p w:rsidR="009B4BB4" w:rsidRDefault="00C44001">
            <w:pPr>
              <w:pStyle w:val="TableParagraph"/>
              <w:spacing w:before="232"/>
              <w:ind w:left="725"/>
              <w:rPr>
                <w:rFonts w:ascii="Arial"/>
                <w:b/>
              </w:rPr>
            </w:pPr>
            <w:r>
              <w:rPr>
                <w:rFonts w:ascii="Arial"/>
                <w:b/>
              </w:rPr>
              <w:t>Aporte</w:t>
            </w:r>
            <w:r>
              <w:rPr>
                <w:rFonts w:ascii="Arial"/>
                <w:b/>
                <w:spacing w:val="-6"/>
              </w:rPr>
              <w:t xml:space="preserve"> </w:t>
            </w:r>
            <w:r>
              <w:rPr>
                <w:rFonts w:ascii="Arial"/>
                <w:b/>
                <w:spacing w:val="-2"/>
              </w:rPr>
              <w:t>esperado</w:t>
            </w:r>
          </w:p>
        </w:tc>
      </w:tr>
      <w:tr w:rsidR="009B4BB4">
        <w:trPr>
          <w:trHeight w:val="1047"/>
        </w:trPr>
        <w:tc>
          <w:tcPr>
            <w:tcW w:w="2943" w:type="dxa"/>
            <w:tcBorders>
              <w:top w:val="single" w:sz="8" w:space="0" w:color="999999"/>
            </w:tcBorders>
          </w:tcPr>
          <w:p w:rsidR="009B4BB4" w:rsidRDefault="00C44001">
            <w:pPr>
              <w:pStyle w:val="TableParagraph"/>
              <w:spacing w:before="114"/>
              <w:ind w:left="45" w:right="43" w:firstLine="30"/>
            </w:pPr>
            <w:r>
              <w:t>Identificar</w:t>
            </w:r>
            <w:r>
              <w:rPr>
                <w:spacing w:val="-16"/>
              </w:rPr>
              <w:t xml:space="preserve"> </w:t>
            </w:r>
            <w:r>
              <w:t>oportunidades</w:t>
            </w:r>
            <w:r>
              <w:rPr>
                <w:spacing w:val="-15"/>
              </w:rPr>
              <w:t xml:space="preserve"> </w:t>
            </w:r>
            <w:r>
              <w:t>de diferenciación de la propuesta de valor</w:t>
            </w:r>
          </w:p>
        </w:tc>
        <w:tc>
          <w:tcPr>
            <w:tcW w:w="3011" w:type="dxa"/>
            <w:tcBorders>
              <w:top w:val="single" w:sz="8" w:space="0" w:color="999999"/>
            </w:tcBorders>
          </w:tcPr>
          <w:p w:rsidR="009B4BB4" w:rsidRDefault="009B4BB4">
            <w:pPr>
              <w:pStyle w:val="TableParagraph"/>
              <w:spacing w:before="114"/>
              <w:rPr>
                <w:rFonts w:ascii="Arial"/>
                <w:i/>
              </w:rPr>
            </w:pPr>
          </w:p>
          <w:p w:rsidR="009B4BB4" w:rsidRDefault="00C44001">
            <w:pPr>
              <w:pStyle w:val="TableParagraph"/>
              <w:ind w:left="147"/>
            </w:pPr>
            <w:r>
              <w:t>Entrevistas</w:t>
            </w:r>
            <w:r>
              <w:rPr>
                <w:spacing w:val="-7"/>
              </w:rPr>
              <w:t xml:space="preserve"> </w:t>
            </w:r>
            <w:r>
              <w:t>de</w:t>
            </w:r>
            <w:r>
              <w:rPr>
                <w:spacing w:val="-6"/>
              </w:rPr>
              <w:t xml:space="preserve"> </w:t>
            </w:r>
            <w:r>
              <w:rPr>
                <w:spacing w:val="-2"/>
              </w:rPr>
              <w:t>profundidad</w:t>
            </w:r>
          </w:p>
        </w:tc>
        <w:tc>
          <w:tcPr>
            <w:tcW w:w="3087" w:type="dxa"/>
            <w:tcBorders>
              <w:top w:val="single" w:sz="8" w:space="0" w:color="999999"/>
            </w:tcBorders>
          </w:tcPr>
          <w:p w:rsidR="009B4BB4" w:rsidRDefault="00C44001">
            <w:pPr>
              <w:pStyle w:val="TableParagraph"/>
              <w:spacing w:before="240"/>
              <w:ind w:left="121" w:right="47" w:firstLine="30"/>
            </w:pPr>
            <w:r>
              <w:t>Atributos</w:t>
            </w:r>
            <w:r>
              <w:rPr>
                <w:spacing w:val="-13"/>
              </w:rPr>
              <w:t xml:space="preserve"> </w:t>
            </w:r>
            <w:r>
              <w:t>únicos</w:t>
            </w:r>
            <w:r>
              <w:rPr>
                <w:spacing w:val="-13"/>
              </w:rPr>
              <w:t xml:space="preserve"> </w:t>
            </w:r>
            <w:r>
              <w:t>del</w:t>
            </w:r>
            <w:r>
              <w:rPr>
                <w:spacing w:val="-13"/>
              </w:rPr>
              <w:t xml:space="preserve"> </w:t>
            </w:r>
            <w:r>
              <w:t>producto y cadena de valor</w:t>
            </w:r>
          </w:p>
        </w:tc>
      </w:tr>
      <w:tr w:rsidR="009B4BB4">
        <w:trPr>
          <w:trHeight w:val="848"/>
        </w:trPr>
        <w:tc>
          <w:tcPr>
            <w:tcW w:w="2943" w:type="dxa"/>
          </w:tcPr>
          <w:p w:rsidR="009B4BB4" w:rsidRDefault="00C44001">
            <w:pPr>
              <w:pStyle w:val="TableParagraph"/>
              <w:spacing w:before="167"/>
              <w:ind w:left="45" w:firstLine="30"/>
            </w:pPr>
            <w:r>
              <w:t>Analizar</w:t>
            </w:r>
            <w:r>
              <w:rPr>
                <w:spacing w:val="-13"/>
              </w:rPr>
              <w:t xml:space="preserve"> </w:t>
            </w:r>
            <w:r>
              <w:t>el</w:t>
            </w:r>
            <w:r>
              <w:rPr>
                <w:spacing w:val="-13"/>
              </w:rPr>
              <w:t xml:space="preserve"> </w:t>
            </w:r>
            <w:r>
              <w:t>contexto</w:t>
            </w:r>
            <w:r>
              <w:rPr>
                <w:spacing w:val="-13"/>
              </w:rPr>
              <w:t xml:space="preserve"> </w:t>
            </w:r>
            <w:r>
              <w:t>turístico del destino</w:t>
            </w:r>
          </w:p>
        </w:tc>
        <w:tc>
          <w:tcPr>
            <w:tcW w:w="3011" w:type="dxa"/>
          </w:tcPr>
          <w:p w:rsidR="009B4BB4" w:rsidRDefault="00C44001">
            <w:pPr>
              <w:pStyle w:val="TableParagraph"/>
              <w:spacing w:before="167"/>
              <w:ind w:left="117" w:right="111" w:firstLine="30"/>
            </w:pPr>
            <w:r>
              <w:t>Datos</w:t>
            </w:r>
            <w:r>
              <w:rPr>
                <w:spacing w:val="-16"/>
              </w:rPr>
              <w:t xml:space="preserve"> </w:t>
            </w:r>
            <w:r>
              <w:t>de</w:t>
            </w:r>
            <w:r>
              <w:rPr>
                <w:spacing w:val="-15"/>
              </w:rPr>
              <w:t xml:space="preserve"> </w:t>
            </w:r>
            <w:r>
              <w:t>SECTUR/DataTur, observación de campo</w:t>
            </w:r>
          </w:p>
        </w:tc>
        <w:tc>
          <w:tcPr>
            <w:tcW w:w="3087" w:type="dxa"/>
          </w:tcPr>
          <w:p w:rsidR="009B4BB4" w:rsidRDefault="00C44001">
            <w:pPr>
              <w:pStyle w:val="TableParagraph"/>
              <w:spacing w:before="167"/>
              <w:ind w:left="121" w:firstLine="30"/>
            </w:pPr>
            <w:r>
              <w:t>Dimensión del mercado potencial</w:t>
            </w:r>
            <w:r>
              <w:rPr>
                <w:spacing w:val="-16"/>
              </w:rPr>
              <w:t xml:space="preserve"> </w:t>
            </w:r>
            <w:r>
              <w:t>y</w:t>
            </w:r>
            <w:r>
              <w:rPr>
                <w:spacing w:val="-15"/>
              </w:rPr>
              <w:t xml:space="preserve"> </w:t>
            </w:r>
            <w:r>
              <w:t>estacionalidad</w:t>
            </w:r>
          </w:p>
        </w:tc>
      </w:tr>
      <w:tr w:rsidR="009B4BB4">
        <w:trPr>
          <w:trHeight w:val="1101"/>
        </w:trPr>
        <w:tc>
          <w:tcPr>
            <w:tcW w:w="2943" w:type="dxa"/>
          </w:tcPr>
          <w:p w:rsidR="009B4BB4" w:rsidRDefault="00C44001">
            <w:pPr>
              <w:pStyle w:val="TableParagraph"/>
              <w:spacing w:before="167"/>
              <w:ind w:left="45" w:firstLine="30"/>
            </w:pPr>
            <w:r>
              <w:t>Establecer el perfil del consumidor</w:t>
            </w:r>
            <w:r>
              <w:rPr>
                <w:spacing w:val="-13"/>
              </w:rPr>
              <w:t xml:space="preserve"> </w:t>
            </w:r>
            <w:r>
              <w:t>y</w:t>
            </w:r>
            <w:r>
              <w:rPr>
                <w:spacing w:val="-13"/>
              </w:rPr>
              <w:t xml:space="preserve"> </w:t>
            </w:r>
            <w:r>
              <w:t>factores</w:t>
            </w:r>
            <w:r>
              <w:rPr>
                <w:spacing w:val="-14"/>
              </w:rPr>
              <w:t xml:space="preserve"> </w:t>
            </w:r>
            <w:r>
              <w:t xml:space="preserve">de </w:t>
            </w:r>
            <w:r>
              <w:rPr>
                <w:spacing w:val="-2"/>
              </w:rPr>
              <w:t>compra</w:t>
            </w:r>
          </w:p>
        </w:tc>
        <w:tc>
          <w:tcPr>
            <w:tcW w:w="3011" w:type="dxa"/>
          </w:tcPr>
          <w:p w:rsidR="009B4BB4" w:rsidRDefault="009B4BB4">
            <w:pPr>
              <w:pStyle w:val="TableParagraph"/>
              <w:spacing w:before="41"/>
              <w:rPr>
                <w:rFonts w:ascii="Arial"/>
                <w:i/>
              </w:rPr>
            </w:pPr>
          </w:p>
          <w:p w:rsidR="009B4BB4" w:rsidRDefault="00C44001">
            <w:pPr>
              <w:pStyle w:val="TableParagraph"/>
              <w:ind w:left="117" w:right="111" w:firstLine="30"/>
            </w:pPr>
            <w:r>
              <w:t>Encuestas</w:t>
            </w:r>
            <w:r>
              <w:rPr>
                <w:spacing w:val="-13"/>
              </w:rPr>
              <w:t xml:space="preserve"> </w:t>
            </w:r>
            <w:r>
              <w:t>a</w:t>
            </w:r>
            <w:r>
              <w:rPr>
                <w:spacing w:val="-13"/>
              </w:rPr>
              <w:t xml:space="preserve"> </w:t>
            </w:r>
            <w:r>
              <w:t>turistas</w:t>
            </w:r>
            <w:r>
              <w:rPr>
                <w:spacing w:val="-13"/>
              </w:rPr>
              <w:t xml:space="preserve"> </w:t>
            </w:r>
            <w:r>
              <w:t xml:space="preserve">y </w:t>
            </w:r>
            <w:r>
              <w:rPr>
                <w:spacing w:val="-2"/>
              </w:rPr>
              <w:t>locales</w:t>
            </w:r>
          </w:p>
        </w:tc>
        <w:tc>
          <w:tcPr>
            <w:tcW w:w="3087" w:type="dxa"/>
          </w:tcPr>
          <w:p w:rsidR="009B4BB4" w:rsidRDefault="00C44001">
            <w:pPr>
              <w:pStyle w:val="TableParagraph"/>
              <w:spacing w:before="167"/>
              <w:ind w:left="121" w:right="47" w:firstLine="30"/>
            </w:pPr>
            <w:r>
              <w:rPr>
                <w:spacing w:val="-2"/>
              </w:rPr>
              <w:t xml:space="preserve">Información </w:t>
            </w:r>
            <w:r>
              <w:t>sociodemográfica,</w:t>
            </w:r>
            <w:r>
              <w:rPr>
                <w:spacing w:val="-16"/>
              </w:rPr>
              <w:t xml:space="preserve"> </w:t>
            </w:r>
            <w:r>
              <w:t>hábitos</w:t>
            </w:r>
            <w:r>
              <w:rPr>
                <w:spacing w:val="-15"/>
              </w:rPr>
              <w:t xml:space="preserve"> </w:t>
            </w:r>
            <w:r>
              <w:t xml:space="preserve">y </w:t>
            </w:r>
            <w:r>
              <w:rPr>
                <w:spacing w:val="-2"/>
              </w:rPr>
              <w:t>motivaciones</w:t>
            </w:r>
          </w:p>
        </w:tc>
      </w:tr>
      <w:tr w:rsidR="009B4BB4">
        <w:trPr>
          <w:trHeight w:val="673"/>
        </w:trPr>
        <w:tc>
          <w:tcPr>
            <w:tcW w:w="2943" w:type="dxa"/>
          </w:tcPr>
          <w:p w:rsidR="009B4BB4" w:rsidRDefault="00C44001">
            <w:pPr>
              <w:pStyle w:val="TableParagraph"/>
              <w:spacing w:before="147" w:line="250" w:lineRule="atLeast"/>
              <w:ind w:left="45" w:firstLine="30"/>
            </w:pPr>
            <w:r>
              <w:t>Definir</w:t>
            </w:r>
            <w:r>
              <w:rPr>
                <w:spacing w:val="-10"/>
              </w:rPr>
              <w:t xml:space="preserve"> </w:t>
            </w:r>
            <w:r>
              <w:t>el</w:t>
            </w:r>
            <w:r>
              <w:rPr>
                <w:spacing w:val="-10"/>
              </w:rPr>
              <w:t xml:space="preserve"> </w:t>
            </w:r>
            <w:r>
              <w:t>formato</w:t>
            </w:r>
            <w:r>
              <w:rPr>
                <w:spacing w:val="-10"/>
              </w:rPr>
              <w:t xml:space="preserve"> </w:t>
            </w:r>
            <w:r>
              <w:t>óptimo</w:t>
            </w:r>
            <w:r>
              <w:rPr>
                <w:spacing w:val="-10"/>
              </w:rPr>
              <w:t xml:space="preserve"> </w:t>
            </w:r>
            <w:r>
              <w:t xml:space="preserve">de </w:t>
            </w:r>
            <w:r>
              <w:rPr>
                <w:spacing w:val="-2"/>
              </w:rPr>
              <w:t>comercialización</w:t>
            </w:r>
          </w:p>
        </w:tc>
        <w:tc>
          <w:tcPr>
            <w:tcW w:w="3011" w:type="dxa"/>
          </w:tcPr>
          <w:p w:rsidR="009B4BB4" w:rsidRDefault="00C44001">
            <w:pPr>
              <w:pStyle w:val="TableParagraph"/>
              <w:spacing w:before="147" w:line="250" w:lineRule="atLeast"/>
              <w:ind w:left="117" w:firstLine="30"/>
            </w:pPr>
            <w:r>
              <w:t>Encuestas</w:t>
            </w:r>
            <w:r>
              <w:rPr>
                <w:spacing w:val="-13"/>
              </w:rPr>
              <w:t xml:space="preserve"> </w:t>
            </w:r>
            <w:r>
              <w:t>y</w:t>
            </w:r>
            <w:r>
              <w:rPr>
                <w:spacing w:val="-13"/>
              </w:rPr>
              <w:t xml:space="preserve"> </w:t>
            </w:r>
            <w:r>
              <w:t>entrevistas</w:t>
            </w:r>
            <w:r>
              <w:rPr>
                <w:spacing w:val="-13"/>
              </w:rPr>
              <w:t xml:space="preserve"> </w:t>
            </w:r>
            <w:r>
              <w:t>a actores clave</w:t>
            </w:r>
          </w:p>
        </w:tc>
        <w:tc>
          <w:tcPr>
            <w:tcW w:w="3087" w:type="dxa"/>
          </w:tcPr>
          <w:p w:rsidR="009B4BB4" w:rsidRDefault="00C44001">
            <w:pPr>
              <w:pStyle w:val="TableParagraph"/>
              <w:spacing w:before="147" w:line="250" w:lineRule="atLeast"/>
              <w:ind w:left="121" w:firstLine="30"/>
            </w:pPr>
            <w:r>
              <w:t>Selección</w:t>
            </w:r>
            <w:r>
              <w:rPr>
                <w:spacing w:val="-13"/>
              </w:rPr>
              <w:t xml:space="preserve"> </w:t>
            </w:r>
            <w:r>
              <w:t>del</w:t>
            </w:r>
            <w:r>
              <w:rPr>
                <w:spacing w:val="-13"/>
              </w:rPr>
              <w:t xml:space="preserve"> </w:t>
            </w:r>
            <w:r>
              <w:t>formato</w:t>
            </w:r>
            <w:r>
              <w:rPr>
                <w:spacing w:val="-13"/>
              </w:rPr>
              <w:t xml:space="preserve"> </w:t>
            </w:r>
            <w:r>
              <w:t>con mayor aceptación</w:t>
            </w:r>
          </w:p>
        </w:tc>
      </w:tr>
    </w:tbl>
    <w:p w:rsidR="009B4BB4" w:rsidRDefault="009B4BB4">
      <w:pPr>
        <w:pStyle w:val="TableParagraph"/>
        <w:spacing w:line="250" w:lineRule="atLeast"/>
        <w:sectPr w:rsidR="009B4BB4">
          <w:pgSz w:w="11920" w:h="16840"/>
          <w:pgMar w:top="1500" w:right="850" w:bottom="2864" w:left="1275" w:header="0" w:footer="1747" w:gutter="0"/>
          <w:cols w:space="720"/>
        </w:sectPr>
      </w:pPr>
    </w:p>
    <w:tbl>
      <w:tblPr>
        <w:tblStyle w:val="TableNormal"/>
        <w:tblW w:w="0" w:type="auto"/>
        <w:tblInd w:w="428" w:type="dxa"/>
        <w:tblLayout w:type="fixed"/>
        <w:tblLook w:val="01E0" w:firstRow="1" w:lastRow="1" w:firstColumn="1" w:lastColumn="1" w:noHBand="0" w:noVBand="0"/>
      </w:tblPr>
      <w:tblGrid>
        <w:gridCol w:w="2630"/>
        <w:gridCol w:w="3388"/>
        <w:gridCol w:w="2930"/>
      </w:tblGrid>
      <w:tr w:rsidR="009B4BB4">
        <w:trPr>
          <w:trHeight w:val="736"/>
        </w:trPr>
        <w:tc>
          <w:tcPr>
            <w:tcW w:w="2630" w:type="dxa"/>
          </w:tcPr>
          <w:p w:rsidR="009B4BB4" w:rsidRDefault="00C44001">
            <w:pPr>
              <w:pStyle w:val="TableParagraph"/>
              <w:ind w:left="50" w:right="433" w:firstLine="30"/>
            </w:pPr>
            <w:r>
              <w:lastRenderedPageBreak/>
              <w:t>Diseñar</w:t>
            </w:r>
            <w:r>
              <w:rPr>
                <w:spacing w:val="-16"/>
              </w:rPr>
              <w:t xml:space="preserve"> </w:t>
            </w:r>
            <w:r>
              <w:t>estrategia</w:t>
            </w:r>
            <w:r>
              <w:rPr>
                <w:spacing w:val="-15"/>
              </w:rPr>
              <w:t xml:space="preserve"> </w:t>
            </w:r>
            <w:r>
              <w:t xml:space="preserve">de </w:t>
            </w:r>
            <w:r>
              <w:rPr>
                <w:spacing w:val="-2"/>
              </w:rPr>
              <w:t>marketing</w:t>
            </w:r>
          </w:p>
        </w:tc>
        <w:tc>
          <w:tcPr>
            <w:tcW w:w="3388" w:type="dxa"/>
          </w:tcPr>
          <w:p w:rsidR="009B4BB4" w:rsidRDefault="00C44001">
            <w:pPr>
              <w:pStyle w:val="TableParagraph"/>
              <w:ind w:left="435" w:right="644" w:firstLine="30"/>
            </w:pPr>
            <w:r>
              <w:t>Encuestas,</w:t>
            </w:r>
            <w:r>
              <w:rPr>
                <w:spacing w:val="-16"/>
              </w:rPr>
              <w:t xml:space="preserve"> </w:t>
            </w:r>
            <w:r>
              <w:t>entrevistas, análisis de tendencias</w:t>
            </w:r>
          </w:p>
        </w:tc>
        <w:tc>
          <w:tcPr>
            <w:tcW w:w="2930" w:type="dxa"/>
          </w:tcPr>
          <w:p w:rsidR="009B4BB4" w:rsidRDefault="00C44001">
            <w:pPr>
              <w:pStyle w:val="TableParagraph"/>
              <w:ind w:left="62" w:firstLine="30"/>
            </w:pPr>
            <w:r>
              <w:t>Definición</w:t>
            </w:r>
            <w:r>
              <w:rPr>
                <w:spacing w:val="-16"/>
              </w:rPr>
              <w:t xml:space="preserve"> </w:t>
            </w:r>
            <w:r>
              <w:t>de</w:t>
            </w:r>
            <w:r>
              <w:rPr>
                <w:spacing w:val="-15"/>
              </w:rPr>
              <w:t xml:space="preserve"> </w:t>
            </w:r>
            <w:r>
              <w:t>mensajes, canales y pricing</w:t>
            </w:r>
          </w:p>
        </w:tc>
      </w:tr>
      <w:tr w:rsidR="009B4BB4">
        <w:trPr>
          <w:trHeight w:val="736"/>
        </w:trPr>
        <w:tc>
          <w:tcPr>
            <w:tcW w:w="2630" w:type="dxa"/>
          </w:tcPr>
          <w:p w:rsidR="009B4BB4" w:rsidRDefault="00C44001">
            <w:pPr>
              <w:pStyle w:val="TableParagraph"/>
              <w:spacing w:before="211" w:line="250" w:lineRule="atLeast"/>
              <w:ind w:left="50" w:right="433" w:firstLine="30"/>
            </w:pPr>
            <w:r>
              <w:t>Llevar</w:t>
            </w:r>
            <w:r>
              <w:rPr>
                <w:spacing w:val="-13"/>
              </w:rPr>
              <w:t xml:space="preserve"> </w:t>
            </w:r>
            <w:r>
              <w:t>a</w:t>
            </w:r>
            <w:r>
              <w:rPr>
                <w:spacing w:val="-13"/>
              </w:rPr>
              <w:t xml:space="preserve"> </w:t>
            </w:r>
            <w:r>
              <w:t>cabo</w:t>
            </w:r>
            <w:r>
              <w:rPr>
                <w:spacing w:val="-13"/>
              </w:rPr>
              <w:t xml:space="preserve"> </w:t>
            </w:r>
            <w:r>
              <w:t xml:space="preserve">análisis </w:t>
            </w:r>
            <w:r>
              <w:rPr>
                <w:spacing w:val="-2"/>
              </w:rPr>
              <w:t>económico-financiero</w:t>
            </w:r>
          </w:p>
        </w:tc>
        <w:tc>
          <w:tcPr>
            <w:tcW w:w="3388" w:type="dxa"/>
          </w:tcPr>
          <w:p w:rsidR="009B4BB4" w:rsidRDefault="00C44001">
            <w:pPr>
              <w:pStyle w:val="TableParagraph"/>
              <w:spacing w:before="211" w:line="250" w:lineRule="atLeast"/>
              <w:ind w:left="435" w:firstLine="30"/>
            </w:pPr>
            <w:r>
              <w:t>Datos</w:t>
            </w:r>
            <w:r>
              <w:rPr>
                <w:spacing w:val="-14"/>
              </w:rPr>
              <w:t xml:space="preserve"> </w:t>
            </w:r>
            <w:r>
              <w:t>de</w:t>
            </w:r>
            <w:r>
              <w:rPr>
                <w:spacing w:val="-14"/>
              </w:rPr>
              <w:t xml:space="preserve"> </w:t>
            </w:r>
            <w:r>
              <w:t>precios,</w:t>
            </w:r>
            <w:r>
              <w:rPr>
                <w:spacing w:val="-14"/>
              </w:rPr>
              <w:t xml:space="preserve"> </w:t>
            </w:r>
            <w:r>
              <w:t>disposición de pago, proyecciones</w:t>
            </w:r>
          </w:p>
        </w:tc>
        <w:tc>
          <w:tcPr>
            <w:tcW w:w="2930" w:type="dxa"/>
          </w:tcPr>
          <w:p w:rsidR="009B4BB4" w:rsidRDefault="00C44001">
            <w:pPr>
              <w:pStyle w:val="TableParagraph"/>
              <w:spacing w:before="211" w:line="250" w:lineRule="atLeast"/>
              <w:ind w:left="62" w:firstLine="30"/>
            </w:pPr>
            <w:r>
              <w:t>Rentabilidad,</w:t>
            </w:r>
            <w:r>
              <w:rPr>
                <w:spacing w:val="-16"/>
              </w:rPr>
              <w:t xml:space="preserve"> </w:t>
            </w:r>
            <w:r>
              <w:t>escalabilidad</w:t>
            </w:r>
            <w:r>
              <w:rPr>
                <w:spacing w:val="-15"/>
              </w:rPr>
              <w:t xml:space="preserve"> </w:t>
            </w:r>
            <w:r>
              <w:t xml:space="preserve">y </w:t>
            </w:r>
            <w:r>
              <w:rPr>
                <w:spacing w:val="-2"/>
              </w:rPr>
              <w:t>sensibilidad</w:t>
            </w:r>
          </w:p>
        </w:tc>
      </w:tr>
    </w:tbl>
    <w:p w:rsidR="009B4BB4" w:rsidRDefault="00C44001">
      <w:pPr>
        <w:pStyle w:val="Textoindependiente"/>
        <w:spacing w:before="4"/>
        <w:rPr>
          <w:rFonts w:ascii="Arial"/>
          <w:i/>
          <w:sz w:val="20"/>
        </w:rPr>
      </w:pPr>
      <w:r>
        <w:rPr>
          <w:rFonts w:ascii="Arial"/>
          <w:i/>
          <w:noProof/>
          <w:sz w:val="20"/>
          <w:lang w:val="es-AR" w:eastAsia="es-AR"/>
        </w:rPr>
        <mc:AlternateContent>
          <mc:Choice Requires="wps">
            <w:drawing>
              <wp:anchor distT="0" distB="0" distL="0" distR="0" simplePos="0" relativeHeight="487592960" behindDoc="1" locked="0" layoutInCell="1" allowOverlap="1">
                <wp:simplePos x="0" y="0"/>
                <wp:positionH relativeFrom="page">
                  <wp:posOffset>1079500</wp:posOffset>
                </wp:positionH>
                <wp:positionV relativeFrom="paragraph">
                  <wp:posOffset>163820</wp:posOffset>
                </wp:positionV>
                <wp:extent cx="57404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0" cy="1270"/>
                        </a:xfrm>
                        <a:custGeom>
                          <a:avLst/>
                          <a:gdLst/>
                          <a:ahLst/>
                          <a:cxnLst/>
                          <a:rect l="l" t="t" r="r" b="b"/>
                          <a:pathLst>
                            <a:path w="5740400">
                              <a:moveTo>
                                <a:pt x="0" y="0"/>
                              </a:moveTo>
                              <a:lnTo>
                                <a:pt x="57404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5pt;margin-top:12.899263pt;width:452pt;height:.1pt;mso-position-horizontal-relative:page;mso-position-vertical-relative:paragraph;z-index:-15723520;mso-wrap-distance-left:0;mso-wrap-distance-right:0" id="docshape6" coordorigin="1700,258" coordsize="9040,0" path="m1700,258l10740,258e" filled="false" stroked="true" strokeweight="1.0pt" strokecolor="#999999">
                <v:path arrowok="t"/>
                <v:stroke dashstyle="solid"/>
                <w10:wrap type="topAndBottom"/>
              </v:shape>
            </w:pict>
          </mc:Fallback>
        </mc:AlternateContent>
      </w:r>
    </w:p>
    <w:p w:rsidR="009B4BB4" w:rsidRDefault="00C44001">
      <w:pPr>
        <w:pStyle w:val="Textoindependiente"/>
        <w:spacing w:before="244" w:line="360" w:lineRule="auto"/>
        <w:ind w:left="425" w:right="614"/>
        <w:jc w:val="both"/>
      </w:pPr>
      <w:r>
        <w:rPr>
          <w:rFonts w:ascii="Arial" w:hAnsi="Arial"/>
          <w:i/>
        </w:rPr>
        <w:t xml:space="preserve">Nota. </w:t>
      </w:r>
      <w:r>
        <w:t>El</w:t>
      </w:r>
      <w:r>
        <w:rPr>
          <w:spacing w:val="-4"/>
        </w:rPr>
        <w:t xml:space="preserve"> </w:t>
      </w:r>
      <w:r>
        <w:t>cuadro</w:t>
      </w:r>
      <w:r>
        <w:rPr>
          <w:spacing w:val="-4"/>
        </w:rPr>
        <w:t xml:space="preserve"> </w:t>
      </w:r>
      <w:r>
        <w:t>detalla</w:t>
      </w:r>
      <w:r>
        <w:rPr>
          <w:spacing w:val="-4"/>
        </w:rPr>
        <w:t xml:space="preserve"> </w:t>
      </w:r>
      <w:r>
        <w:t>la</w:t>
      </w:r>
      <w:r>
        <w:rPr>
          <w:spacing w:val="-4"/>
        </w:rPr>
        <w:t xml:space="preserve"> </w:t>
      </w:r>
      <w:r>
        <w:t>relación</w:t>
      </w:r>
      <w:r>
        <w:rPr>
          <w:spacing w:val="-4"/>
        </w:rPr>
        <w:t xml:space="preserve"> </w:t>
      </w:r>
      <w:r>
        <w:t>entre</w:t>
      </w:r>
      <w:r>
        <w:rPr>
          <w:spacing w:val="-4"/>
        </w:rPr>
        <w:t xml:space="preserve"> </w:t>
      </w:r>
      <w:r>
        <w:t>los</w:t>
      </w:r>
      <w:r>
        <w:rPr>
          <w:spacing w:val="-4"/>
        </w:rPr>
        <w:t xml:space="preserve"> </w:t>
      </w:r>
      <w:r>
        <w:t>objetivos</w:t>
      </w:r>
      <w:r>
        <w:rPr>
          <w:spacing w:val="-4"/>
        </w:rPr>
        <w:t xml:space="preserve"> </w:t>
      </w:r>
      <w:r>
        <w:t>de</w:t>
      </w:r>
      <w:r>
        <w:rPr>
          <w:spacing w:val="-4"/>
        </w:rPr>
        <w:t xml:space="preserve"> </w:t>
      </w:r>
      <w:r>
        <w:t>la</w:t>
      </w:r>
      <w:r>
        <w:rPr>
          <w:spacing w:val="-4"/>
        </w:rPr>
        <w:t xml:space="preserve"> </w:t>
      </w:r>
      <w:r>
        <w:t>investigación,</w:t>
      </w:r>
      <w:r>
        <w:rPr>
          <w:spacing w:val="-4"/>
        </w:rPr>
        <w:t xml:space="preserve"> </w:t>
      </w:r>
      <w:r>
        <w:t>las</w:t>
      </w:r>
      <w:r>
        <w:rPr>
          <w:spacing w:val="-4"/>
        </w:rPr>
        <w:t xml:space="preserve"> </w:t>
      </w:r>
      <w:r>
        <w:t>herramientas de recolección de datos y los resultados proyectados para el modelo de negocio. Elaboración propia (2025).</w:t>
      </w:r>
    </w:p>
    <w:p w:rsidR="009B4BB4" w:rsidRDefault="009B4BB4">
      <w:pPr>
        <w:pStyle w:val="Textoindependiente"/>
        <w:spacing w:before="107"/>
      </w:pPr>
    </w:p>
    <w:p w:rsidR="009B4BB4" w:rsidRDefault="00C44001" w:rsidP="00C44001">
      <w:pPr>
        <w:pStyle w:val="Ttulo1"/>
        <w:numPr>
          <w:ilvl w:val="1"/>
          <w:numId w:val="48"/>
        </w:numPr>
        <w:tabs>
          <w:tab w:val="left" w:pos="850"/>
        </w:tabs>
        <w:ind w:left="850" w:hanging="425"/>
        <w:jc w:val="left"/>
      </w:pPr>
      <w:bookmarkStart w:id="105" w:name="3.4__Diseño_de_la_investigación_"/>
      <w:bookmarkStart w:id="106" w:name="h.b4s9j9u4e02z"/>
      <w:bookmarkEnd w:id="105"/>
      <w:bookmarkEnd w:id="106"/>
      <w:r>
        <w:t>Diseño</w:t>
      </w:r>
      <w:r>
        <w:rPr>
          <w:spacing w:val="-4"/>
        </w:rPr>
        <w:t xml:space="preserve"> </w:t>
      </w:r>
      <w:r>
        <w:t>de</w:t>
      </w:r>
      <w:r>
        <w:rPr>
          <w:spacing w:val="-3"/>
        </w:rPr>
        <w:t xml:space="preserve"> </w:t>
      </w:r>
      <w:r>
        <w:t>la</w:t>
      </w:r>
      <w:r>
        <w:rPr>
          <w:spacing w:val="-3"/>
        </w:rPr>
        <w:t xml:space="preserve"> </w:t>
      </w:r>
      <w:r>
        <w:rPr>
          <w:spacing w:val="-2"/>
        </w:rPr>
        <w:t>investigación</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71" w:firstLine="720"/>
      </w:pPr>
      <w:r>
        <w:t>La investigación se fundamenta en un diseño no experimental, transversal y de</w:t>
      </w:r>
      <w:r>
        <w:rPr>
          <w:spacing w:val="80"/>
        </w:rPr>
        <w:t xml:space="preserve"> </w:t>
      </w:r>
      <w:r>
        <w:t>enfoque mixto.</w:t>
      </w:r>
    </w:p>
    <w:p w:rsidR="009B4BB4" w:rsidRDefault="00C44001" w:rsidP="00C44001">
      <w:pPr>
        <w:pStyle w:val="Prrafodelista"/>
        <w:numPr>
          <w:ilvl w:val="0"/>
          <w:numId w:val="46"/>
        </w:numPr>
        <w:tabs>
          <w:tab w:val="left" w:pos="1145"/>
        </w:tabs>
        <w:spacing w:line="360" w:lineRule="auto"/>
        <w:ind w:right="610"/>
        <w:jc w:val="both"/>
      </w:pPr>
      <w:r>
        <w:rPr>
          <w:rFonts w:ascii="Arial" w:hAnsi="Arial"/>
          <w:b/>
        </w:rPr>
        <w:t xml:space="preserve">No experimental: </w:t>
      </w:r>
      <w:r>
        <w:t>Se observan</w:t>
      </w:r>
      <w:r>
        <w:rPr>
          <w:spacing w:val="-4"/>
        </w:rPr>
        <w:t xml:space="preserve"> </w:t>
      </w:r>
      <w:r>
        <w:t>los</w:t>
      </w:r>
      <w:r>
        <w:rPr>
          <w:spacing w:val="-5"/>
        </w:rPr>
        <w:t xml:space="preserve"> </w:t>
      </w:r>
      <w:r>
        <w:t>fenómenos</w:t>
      </w:r>
      <w:r>
        <w:rPr>
          <w:spacing w:val="-4"/>
        </w:rPr>
        <w:t xml:space="preserve"> </w:t>
      </w:r>
      <w:r>
        <w:t>de</w:t>
      </w:r>
      <w:r>
        <w:rPr>
          <w:spacing w:val="-5"/>
        </w:rPr>
        <w:t xml:space="preserve"> </w:t>
      </w:r>
      <w:r>
        <w:t>consumo</w:t>
      </w:r>
      <w:r>
        <w:rPr>
          <w:spacing w:val="-4"/>
        </w:rPr>
        <w:t xml:space="preserve"> </w:t>
      </w:r>
      <w:r>
        <w:t>y</w:t>
      </w:r>
      <w:r>
        <w:rPr>
          <w:spacing w:val="-5"/>
        </w:rPr>
        <w:t xml:space="preserve"> </w:t>
      </w:r>
      <w:r>
        <w:t>comercialización</w:t>
      </w:r>
      <w:r>
        <w:rPr>
          <w:spacing w:val="-4"/>
        </w:rPr>
        <w:t xml:space="preserve"> </w:t>
      </w:r>
      <w:r>
        <w:t>en su contexto natural en Valladolid, sin manipulación deliberada de variables.</w:t>
      </w:r>
    </w:p>
    <w:p w:rsidR="009B4BB4" w:rsidRDefault="00C44001" w:rsidP="00C44001">
      <w:pPr>
        <w:pStyle w:val="Prrafodelista"/>
        <w:numPr>
          <w:ilvl w:val="0"/>
          <w:numId w:val="46"/>
        </w:numPr>
        <w:tabs>
          <w:tab w:val="left" w:pos="1145"/>
        </w:tabs>
        <w:spacing w:line="360" w:lineRule="auto"/>
        <w:ind w:right="613"/>
        <w:jc w:val="both"/>
      </w:pPr>
      <w:r>
        <w:rPr>
          <w:rFonts w:ascii="Arial" w:hAnsi="Arial"/>
          <w:b/>
        </w:rPr>
        <w:t xml:space="preserve">Transversal: </w:t>
      </w:r>
      <w:r>
        <w:t>La recolección de datos se realiza</w:t>
      </w:r>
      <w:r>
        <w:rPr>
          <w:spacing w:val="-5"/>
        </w:rPr>
        <w:t xml:space="preserve"> </w:t>
      </w:r>
      <w:r>
        <w:t>en</w:t>
      </w:r>
      <w:r>
        <w:rPr>
          <w:spacing w:val="-5"/>
        </w:rPr>
        <w:t xml:space="preserve"> </w:t>
      </w:r>
      <w:r>
        <w:t>un</w:t>
      </w:r>
      <w:r>
        <w:rPr>
          <w:spacing w:val="-5"/>
        </w:rPr>
        <w:t xml:space="preserve"> </w:t>
      </w:r>
      <w:r>
        <w:t>momento</w:t>
      </w:r>
      <w:r>
        <w:rPr>
          <w:spacing w:val="-5"/>
        </w:rPr>
        <w:t xml:space="preserve"> </w:t>
      </w:r>
      <w:r>
        <w:t>único</w:t>
      </w:r>
      <w:r>
        <w:rPr>
          <w:spacing w:val="-5"/>
        </w:rPr>
        <w:t xml:space="preserve"> </w:t>
      </w:r>
      <w:r>
        <w:t>de</w:t>
      </w:r>
      <w:r>
        <w:rPr>
          <w:spacing w:val="-5"/>
        </w:rPr>
        <w:t xml:space="preserve"> </w:t>
      </w:r>
      <w:r>
        <w:t>tiempo, ofreciendo una “fotografía” actual del mercado.</w:t>
      </w:r>
    </w:p>
    <w:p w:rsidR="009B4BB4" w:rsidRDefault="00C44001">
      <w:pPr>
        <w:pStyle w:val="Textoindependiente"/>
        <w:spacing w:line="360" w:lineRule="auto"/>
        <w:ind w:left="425" w:firstLine="720"/>
      </w:pPr>
      <w:r>
        <w:t>El enfoque mixto, es decir,</w:t>
      </w:r>
      <w:r>
        <w:rPr>
          <w:spacing w:val="-6"/>
        </w:rPr>
        <w:t xml:space="preserve"> </w:t>
      </w:r>
      <w:r>
        <w:t>cuali-cuantitativo,</w:t>
      </w:r>
      <w:r>
        <w:rPr>
          <w:spacing w:val="-6"/>
        </w:rPr>
        <w:t xml:space="preserve"> </w:t>
      </w:r>
      <w:r>
        <w:t>se</w:t>
      </w:r>
      <w:r>
        <w:rPr>
          <w:spacing w:val="-6"/>
        </w:rPr>
        <w:t xml:space="preserve"> </w:t>
      </w:r>
      <w:r>
        <w:t>seleccionó</w:t>
      </w:r>
      <w:r>
        <w:rPr>
          <w:spacing w:val="-6"/>
        </w:rPr>
        <w:t xml:space="preserve"> </w:t>
      </w:r>
      <w:r>
        <w:t>estratégicamente</w:t>
      </w:r>
      <w:r>
        <w:rPr>
          <w:spacing w:val="-6"/>
        </w:rPr>
        <w:t xml:space="preserve"> </w:t>
      </w:r>
      <w:r>
        <w:t>para abordar la complejidad del objeto de estudio desde dos dimensiones complementarias:</w:t>
      </w:r>
    </w:p>
    <w:p w:rsidR="009B4BB4" w:rsidRDefault="00C44001" w:rsidP="00C44001">
      <w:pPr>
        <w:pStyle w:val="Prrafodelista"/>
        <w:numPr>
          <w:ilvl w:val="0"/>
          <w:numId w:val="45"/>
        </w:numPr>
        <w:tabs>
          <w:tab w:val="left" w:pos="1143"/>
          <w:tab w:val="left" w:pos="1145"/>
        </w:tabs>
        <w:spacing w:line="360" w:lineRule="auto"/>
        <w:ind w:right="603"/>
        <w:jc w:val="both"/>
      </w:pPr>
      <w:r>
        <w:rPr>
          <w:rFonts w:ascii="Arial" w:hAnsi="Arial"/>
          <w:b/>
        </w:rPr>
        <w:t xml:space="preserve">Fase cuantitativa: </w:t>
      </w:r>
      <w:r>
        <w:t>Orientada a m</w:t>
      </w:r>
      <w:r>
        <w:t>edir con representatividad estadística variables objetivas como el nivel de conocimiento del producto, la intención de compra, la sensibilidad al precio y las preferencias tangibles de formato y envase.</w:t>
      </w:r>
    </w:p>
    <w:p w:rsidR="009B4BB4" w:rsidRDefault="00C44001" w:rsidP="00C44001">
      <w:pPr>
        <w:pStyle w:val="Prrafodelista"/>
        <w:numPr>
          <w:ilvl w:val="0"/>
          <w:numId w:val="45"/>
        </w:numPr>
        <w:tabs>
          <w:tab w:val="left" w:pos="1143"/>
          <w:tab w:val="left" w:pos="1145"/>
        </w:tabs>
        <w:spacing w:line="360" w:lineRule="auto"/>
        <w:ind w:right="610"/>
        <w:jc w:val="both"/>
      </w:pPr>
      <w:r>
        <w:rPr>
          <w:rFonts w:ascii="Arial" w:hAnsi="Arial"/>
          <w:b/>
        </w:rPr>
        <w:t xml:space="preserve">Fase cualitativa: </w:t>
      </w:r>
      <w:r>
        <w:t>Diseñada para profundizar en las va</w:t>
      </w:r>
      <w:r>
        <w:t>riables subjetivas y simbólicas como las percepciones de valor, las barreras de consumo, la experiencia turística y los saberes tradicionales de los actores clave del ecosistema, como los productores y comerciantes.</w:t>
      </w:r>
    </w:p>
    <w:p w:rsidR="009B4BB4" w:rsidRDefault="009B4BB4">
      <w:pPr>
        <w:pStyle w:val="Prrafodelista"/>
        <w:spacing w:line="360" w:lineRule="auto"/>
        <w:jc w:val="both"/>
        <w:sectPr w:rsidR="009B4BB4">
          <w:type w:val="continuous"/>
          <w:pgSz w:w="11920" w:h="16840"/>
          <w:pgMar w:top="1800" w:right="850" w:bottom="1940" w:left="1275" w:header="0" w:footer="1747" w:gutter="0"/>
          <w:cols w:space="720"/>
        </w:sectPr>
      </w:pPr>
    </w:p>
    <w:p w:rsidR="009B4BB4" w:rsidRDefault="00C44001">
      <w:pPr>
        <w:pStyle w:val="Textoindependiente"/>
        <w:spacing w:before="79" w:line="360" w:lineRule="auto"/>
        <w:ind w:left="425" w:right="614" w:firstLine="720"/>
        <w:jc w:val="both"/>
      </w:pPr>
      <w:r>
        <w:lastRenderedPageBreak/>
        <w:t>Nivel</w:t>
      </w:r>
      <w:r>
        <w:rPr>
          <w:spacing w:val="80"/>
          <w:w w:val="150"/>
        </w:rPr>
        <w:t xml:space="preserve"> </w:t>
      </w:r>
      <w:r>
        <w:t>de</w:t>
      </w:r>
      <w:r>
        <w:rPr>
          <w:spacing w:val="80"/>
          <w:w w:val="150"/>
        </w:rPr>
        <w:t xml:space="preserve"> </w:t>
      </w:r>
      <w:r>
        <w:t>profundidad</w:t>
      </w:r>
      <w:r>
        <w:t>.</w:t>
      </w:r>
      <w:r>
        <w:rPr>
          <w:spacing w:val="80"/>
          <w:w w:val="150"/>
        </w:rPr>
        <w:t xml:space="preserve"> </w:t>
      </w:r>
      <w:r>
        <w:t>El</w:t>
      </w:r>
      <w:r>
        <w:rPr>
          <w:spacing w:val="80"/>
          <w:w w:val="150"/>
        </w:rPr>
        <w:t xml:space="preserve"> </w:t>
      </w:r>
      <w:r>
        <w:t>estudio</w:t>
      </w:r>
      <w:r>
        <w:rPr>
          <w:spacing w:val="80"/>
          <w:w w:val="150"/>
        </w:rPr>
        <w:t xml:space="preserve"> </w:t>
      </w:r>
      <w:r>
        <w:t>se</w:t>
      </w:r>
      <w:r>
        <w:rPr>
          <w:spacing w:val="80"/>
          <w:w w:val="150"/>
        </w:rPr>
        <w:t xml:space="preserve"> </w:t>
      </w:r>
      <w:r>
        <w:t>clasifica</w:t>
      </w:r>
      <w:r>
        <w:rPr>
          <w:spacing w:val="80"/>
          <w:w w:val="150"/>
        </w:rPr>
        <w:t xml:space="preserve"> </w:t>
      </w:r>
      <w:r>
        <w:t>bajo</w:t>
      </w:r>
      <w:r>
        <w:rPr>
          <w:spacing w:val="80"/>
          <w:w w:val="150"/>
        </w:rPr>
        <w:t xml:space="preserve"> </w:t>
      </w:r>
      <w:r>
        <w:t>una</w:t>
      </w:r>
      <w:r>
        <w:rPr>
          <w:spacing w:val="80"/>
          <w:w w:val="150"/>
        </w:rPr>
        <w:t xml:space="preserve"> </w:t>
      </w:r>
      <w:r>
        <w:t xml:space="preserve">dualidad </w:t>
      </w:r>
      <w:r>
        <w:rPr>
          <w:spacing w:val="-2"/>
        </w:rPr>
        <w:t>descriptiva-exploratoria:</w:t>
      </w:r>
    </w:p>
    <w:p w:rsidR="009B4BB4" w:rsidRDefault="00C44001" w:rsidP="00C44001">
      <w:pPr>
        <w:pStyle w:val="Prrafodelista"/>
        <w:numPr>
          <w:ilvl w:val="1"/>
          <w:numId w:val="45"/>
        </w:numPr>
        <w:tabs>
          <w:tab w:val="left" w:pos="1145"/>
        </w:tabs>
        <w:spacing w:line="360" w:lineRule="auto"/>
        <w:ind w:right="609"/>
        <w:jc w:val="both"/>
      </w:pPr>
      <w:r>
        <w:rPr>
          <w:rFonts w:ascii="Arial" w:hAnsi="Arial"/>
          <w:b/>
        </w:rPr>
        <w:t xml:space="preserve">Descriptiva: </w:t>
      </w:r>
      <w:r>
        <w:t>Porque busca características con precisión el perfil demográfico y psicográfico del consumidor actual (turista y local), detallando sus hábitos y patrones de comportamiento.</w:t>
      </w:r>
    </w:p>
    <w:p w:rsidR="009B4BB4" w:rsidRDefault="00C44001" w:rsidP="00C44001">
      <w:pPr>
        <w:pStyle w:val="Prrafodelista"/>
        <w:numPr>
          <w:ilvl w:val="1"/>
          <w:numId w:val="45"/>
        </w:numPr>
        <w:tabs>
          <w:tab w:val="left" w:pos="1145"/>
        </w:tabs>
        <w:spacing w:line="360" w:lineRule="auto"/>
        <w:ind w:right="603"/>
        <w:jc w:val="both"/>
      </w:pPr>
      <w:r>
        <w:rPr>
          <w:rFonts w:ascii="Arial" w:hAnsi="Arial"/>
          <w:b/>
        </w:rPr>
        <w:t>Exploratoria</w:t>
      </w:r>
      <w:r>
        <w:t>: Dado que el mercado de miel melipona en canales turísticos formales es emergente y existe escasa literatura aplicada a microdestinos como Valladolid, se requiere indagar en dinámicas comerciales y narrativas culturales poco documentadas.</w:t>
      </w:r>
    </w:p>
    <w:p w:rsidR="009B4BB4" w:rsidRDefault="009B4BB4">
      <w:pPr>
        <w:pStyle w:val="Textoindependiente"/>
        <w:spacing w:before="107"/>
      </w:pPr>
    </w:p>
    <w:p w:rsidR="009B4BB4" w:rsidRDefault="00C44001" w:rsidP="00C44001">
      <w:pPr>
        <w:pStyle w:val="Ttulo1"/>
        <w:numPr>
          <w:ilvl w:val="1"/>
          <w:numId w:val="48"/>
        </w:numPr>
        <w:tabs>
          <w:tab w:val="left" w:pos="653"/>
        </w:tabs>
        <w:ind w:left="653" w:hanging="363"/>
        <w:jc w:val="left"/>
      </w:pPr>
      <w:bookmarkStart w:id="107" w:name="3.5_Población_y_muestra_"/>
      <w:bookmarkStart w:id="108" w:name="h.k3e8s3ugekwj"/>
      <w:bookmarkEnd w:id="107"/>
      <w:bookmarkEnd w:id="108"/>
      <w:r>
        <w:t>Población</w:t>
      </w:r>
      <w:r>
        <w:rPr>
          <w:spacing w:val="-5"/>
        </w:rPr>
        <w:t xml:space="preserve"> </w:t>
      </w:r>
      <w:r>
        <w:t>y</w:t>
      </w:r>
      <w:r>
        <w:rPr>
          <w:spacing w:val="-5"/>
        </w:rPr>
        <w:t xml:space="preserve"> </w:t>
      </w:r>
      <w:r>
        <w:rPr>
          <w:spacing w:val="-2"/>
        </w:rPr>
        <w:t>muestra</w:t>
      </w:r>
    </w:p>
    <w:p w:rsidR="009B4BB4" w:rsidRDefault="009B4BB4">
      <w:pPr>
        <w:pStyle w:val="Textoindependiente"/>
        <w:spacing w:before="113"/>
        <w:rPr>
          <w:rFonts w:ascii="Arial"/>
          <w:b/>
        </w:rPr>
      </w:pPr>
    </w:p>
    <w:p w:rsidR="009B4BB4" w:rsidRDefault="00C44001" w:rsidP="00C44001">
      <w:pPr>
        <w:pStyle w:val="Ttulo2"/>
        <w:numPr>
          <w:ilvl w:val="2"/>
          <w:numId w:val="48"/>
        </w:numPr>
        <w:tabs>
          <w:tab w:val="left" w:pos="1000"/>
        </w:tabs>
        <w:spacing w:before="1"/>
        <w:ind w:left="1000" w:hanging="545"/>
        <w:jc w:val="left"/>
      </w:pPr>
      <w:bookmarkStart w:id="109" w:name="3.5.1_Población_objetivo_y_segmentación_"/>
      <w:bookmarkStart w:id="110" w:name="h.o7vmrg7mps49"/>
      <w:bookmarkEnd w:id="109"/>
      <w:bookmarkEnd w:id="110"/>
      <w:r>
        <w:t>Población</w:t>
      </w:r>
      <w:r>
        <w:rPr>
          <w:spacing w:val="-8"/>
        </w:rPr>
        <w:t xml:space="preserve"> </w:t>
      </w:r>
      <w:r>
        <w:t>objetivo</w:t>
      </w:r>
      <w:r>
        <w:rPr>
          <w:spacing w:val="-7"/>
        </w:rPr>
        <w:t xml:space="preserve"> </w:t>
      </w:r>
      <w:r>
        <w:t>y</w:t>
      </w:r>
      <w:r>
        <w:rPr>
          <w:spacing w:val="-8"/>
        </w:rPr>
        <w:t xml:space="preserve"> </w:t>
      </w:r>
      <w:r>
        <w:t>segmentación</w:t>
      </w:r>
      <w:r>
        <w:rPr>
          <w:spacing w:val="-7"/>
        </w:rPr>
        <w:t xml:space="preserve"> </w:t>
      </w:r>
      <w:r>
        <w:rPr>
          <w:spacing w:val="-2"/>
        </w:rPr>
        <w:t>estratégica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4" w:firstLine="720"/>
        <w:jc w:val="both"/>
      </w:pPr>
      <w:r>
        <w:t xml:space="preserve">Para validar empíricamente el modelo de negocio, la investigación se orientó a tres segmentos de mercado fundamentales para la tracción comercial de Guardiana en </w:t>
      </w:r>
      <w:r>
        <w:rPr>
          <w:spacing w:val="-2"/>
        </w:rPr>
        <w:t>Valladolid:</w:t>
      </w:r>
    </w:p>
    <w:p w:rsidR="009B4BB4" w:rsidRDefault="00C44001" w:rsidP="00C44001">
      <w:pPr>
        <w:pStyle w:val="Prrafodelista"/>
        <w:numPr>
          <w:ilvl w:val="3"/>
          <w:numId w:val="48"/>
        </w:numPr>
        <w:tabs>
          <w:tab w:val="left" w:pos="1143"/>
          <w:tab w:val="left" w:pos="1145"/>
        </w:tabs>
        <w:spacing w:line="360" w:lineRule="auto"/>
        <w:ind w:right="606"/>
        <w:jc w:val="both"/>
      </w:pPr>
      <w:r>
        <w:rPr>
          <w:rFonts w:ascii="Arial"/>
          <w:b/>
        </w:rPr>
        <w:t xml:space="preserve">Turistas nacionales: </w:t>
      </w:r>
      <w:r>
        <w:t>Representan el volumen principal del mercado disponible</w:t>
      </w:r>
      <w:r>
        <w:rPr>
          <w:spacing w:val="40"/>
        </w:rPr>
        <w:t xml:space="preserve"> </w:t>
      </w:r>
      <w:r>
        <w:t>en el destino.</w:t>
      </w:r>
    </w:p>
    <w:p w:rsidR="009B4BB4" w:rsidRDefault="00C44001" w:rsidP="00C44001">
      <w:pPr>
        <w:pStyle w:val="Prrafodelista"/>
        <w:numPr>
          <w:ilvl w:val="3"/>
          <w:numId w:val="48"/>
        </w:numPr>
        <w:tabs>
          <w:tab w:val="left" w:pos="1143"/>
          <w:tab w:val="left" w:pos="1145"/>
        </w:tabs>
        <w:spacing w:line="360" w:lineRule="auto"/>
        <w:ind w:right="605"/>
        <w:jc w:val="both"/>
      </w:pPr>
      <w:r>
        <w:rPr>
          <w:rFonts w:ascii="Arial" w:hAnsi="Arial"/>
          <w:b/>
        </w:rPr>
        <w:t xml:space="preserve">Turistas internacionales: </w:t>
      </w:r>
      <w:r>
        <w:t xml:space="preserve">Segmento estratégico para validar la elasticidad del precio, la disposición de pagar y el posicionamiento </w:t>
      </w:r>
      <w:r>
        <w:rPr>
          <w:rFonts w:ascii="Arial" w:hAnsi="Arial"/>
          <w:i/>
        </w:rPr>
        <w:t xml:space="preserve">premium </w:t>
      </w:r>
      <w:r>
        <w:t>del producto.</w:t>
      </w:r>
    </w:p>
    <w:p w:rsidR="009B4BB4" w:rsidRDefault="00C44001" w:rsidP="00C44001">
      <w:pPr>
        <w:pStyle w:val="Prrafodelista"/>
        <w:numPr>
          <w:ilvl w:val="3"/>
          <w:numId w:val="48"/>
        </w:numPr>
        <w:tabs>
          <w:tab w:val="left" w:pos="1143"/>
          <w:tab w:val="left" w:pos="1145"/>
        </w:tabs>
        <w:spacing w:line="360" w:lineRule="auto"/>
        <w:ind w:right="605"/>
        <w:jc w:val="both"/>
      </w:pPr>
      <w:r>
        <w:rPr>
          <w:rFonts w:ascii="Arial" w:hAnsi="Arial"/>
          <w:b/>
        </w:rPr>
        <w:t xml:space="preserve">Población </w:t>
      </w:r>
      <w:r>
        <w:rPr>
          <w:rFonts w:ascii="Arial" w:hAnsi="Arial"/>
          <w:b/>
        </w:rPr>
        <w:t xml:space="preserve">residente local: </w:t>
      </w:r>
      <w:r>
        <w:t>Grupo evaluado con fines exploratorios para identificar oportunidades de consumo recurrente y compras de obsequio.</w:t>
      </w:r>
    </w:p>
    <w:p w:rsidR="009B4BB4" w:rsidRDefault="00C44001" w:rsidP="00C44001">
      <w:pPr>
        <w:pStyle w:val="Ttulo2"/>
        <w:numPr>
          <w:ilvl w:val="2"/>
          <w:numId w:val="48"/>
        </w:numPr>
        <w:tabs>
          <w:tab w:val="left" w:pos="1000"/>
        </w:tabs>
        <w:ind w:left="1000" w:hanging="545"/>
        <w:jc w:val="left"/>
      </w:pPr>
      <w:bookmarkStart w:id="111" w:name="3.5.2_Determinación_de_la_Muestra_"/>
      <w:bookmarkStart w:id="112" w:name="h.h3077g57y7k2"/>
      <w:bookmarkEnd w:id="111"/>
      <w:bookmarkEnd w:id="112"/>
      <w:r>
        <w:t>Determinación</w:t>
      </w:r>
      <w:r>
        <w:rPr>
          <w:spacing w:val="-6"/>
        </w:rPr>
        <w:t xml:space="preserve"> </w:t>
      </w:r>
      <w:r>
        <w:t>de</w:t>
      </w:r>
      <w:r>
        <w:rPr>
          <w:spacing w:val="-6"/>
        </w:rPr>
        <w:t xml:space="preserve"> </w:t>
      </w:r>
      <w:r>
        <w:t>la</w:t>
      </w:r>
      <w:r>
        <w:rPr>
          <w:spacing w:val="-5"/>
        </w:rPr>
        <w:t xml:space="preserve"> </w:t>
      </w:r>
      <w:r>
        <w:rPr>
          <w:spacing w:val="-2"/>
        </w:rPr>
        <w:t>Muestra</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9" w:firstLine="720"/>
        <w:jc w:val="both"/>
      </w:pPr>
      <w:r>
        <w:t>Para garantizar que los datos obtenidos</w:t>
      </w:r>
      <w:r>
        <w:rPr>
          <w:spacing w:val="-4"/>
        </w:rPr>
        <w:t xml:space="preserve"> </w:t>
      </w:r>
      <w:r>
        <w:t>sostengan</w:t>
      </w:r>
      <w:r>
        <w:rPr>
          <w:spacing w:val="-4"/>
        </w:rPr>
        <w:t xml:space="preserve"> </w:t>
      </w:r>
      <w:r>
        <w:t>las</w:t>
      </w:r>
      <w:r>
        <w:rPr>
          <w:spacing w:val="-4"/>
        </w:rPr>
        <w:t xml:space="preserve"> </w:t>
      </w:r>
      <w:r>
        <w:t>proyecciones</w:t>
      </w:r>
      <w:r>
        <w:rPr>
          <w:spacing w:val="-4"/>
        </w:rPr>
        <w:t xml:space="preserve"> </w:t>
      </w:r>
      <w:r>
        <w:t>financieras</w:t>
      </w:r>
      <w:r>
        <w:rPr>
          <w:spacing w:val="-4"/>
        </w:rPr>
        <w:t xml:space="preserve"> </w:t>
      </w:r>
      <w:r>
        <w:t xml:space="preserve">y de ventas con </w:t>
      </w:r>
      <w:r>
        <w:t>rigor estadístico, se calculó el tamaño de la muestra utilizando la fórmula para</w:t>
      </w:r>
      <w:r>
        <w:rPr>
          <w:spacing w:val="-3"/>
        </w:rPr>
        <w:t xml:space="preserve"> </w:t>
      </w:r>
      <w:r>
        <w:t>poblaciones</w:t>
      </w:r>
      <w:r>
        <w:rPr>
          <w:spacing w:val="-3"/>
        </w:rPr>
        <w:t xml:space="preserve"> </w:t>
      </w:r>
      <w:r>
        <w:t>finitas.</w:t>
      </w:r>
      <w:r>
        <w:rPr>
          <w:spacing w:val="-3"/>
        </w:rPr>
        <w:t xml:space="preserve"> </w:t>
      </w:r>
      <w:r>
        <w:t>Se</w:t>
      </w:r>
      <w:r>
        <w:rPr>
          <w:spacing w:val="-3"/>
        </w:rPr>
        <w:t xml:space="preserve"> </w:t>
      </w:r>
      <w:r>
        <w:t>tomó</w:t>
      </w:r>
      <w:r>
        <w:rPr>
          <w:spacing w:val="-3"/>
        </w:rPr>
        <w:t xml:space="preserve"> </w:t>
      </w:r>
      <w:r>
        <w:t>como</w:t>
      </w:r>
      <w:r>
        <w:rPr>
          <w:spacing w:val="-3"/>
        </w:rPr>
        <w:t xml:space="preserve"> </w:t>
      </w:r>
      <w:r>
        <w:t>universo</w:t>
      </w:r>
      <w:r>
        <w:rPr>
          <w:spacing w:val="-3"/>
        </w:rPr>
        <w:t xml:space="preserve"> </w:t>
      </w:r>
      <w:r>
        <w:t>el</w:t>
      </w:r>
      <w:r>
        <w:rPr>
          <w:spacing w:val="-3"/>
        </w:rPr>
        <w:t xml:space="preserve"> </w:t>
      </w:r>
      <w:r>
        <w:t>flujo</w:t>
      </w:r>
      <w:r>
        <w:rPr>
          <w:spacing w:val="-3"/>
        </w:rPr>
        <w:t xml:space="preserve"> </w:t>
      </w:r>
      <w:r>
        <w:t>anual</w:t>
      </w:r>
      <w:r>
        <w:rPr>
          <w:spacing w:val="-3"/>
        </w:rPr>
        <w:t xml:space="preserve"> </w:t>
      </w:r>
      <w:r>
        <w:t>de</w:t>
      </w:r>
      <w:r>
        <w:rPr>
          <w:spacing w:val="-3"/>
        </w:rPr>
        <w:t xml:space="preserve"> </w:t>
      </w:r>
      <w:r>
        <w:t>turistas</w:t>
      </w:r>
      <w:r>
        <w:rPr>
          <w:spacing w:val="-3"/>
        </w:rPr>
        <w:t xml:space="preserve"> </w:t>
      </w:r>
      <w:r>
        <w:t>con</w:t>
      </w:r>
      <w:r>
        <w:rPr>
          <w:spacing w:val="-3"/>
        </w:rPr>
        <w:t xml:space="preserve"> </w:t>
      </w:r>
      <w:r>
        <w:t>pernocta</w:t>
      </w:r>
      <w:r>
        <w:rPr>
          <w:spacing w:val="-3"/>
        </w:rPr>
        <w:t xml:space="preserve"> </w:t>
      </w:r>
      <w:r>
        <w:t>en el destino.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19"/>
      </w:pPr>
    </w:p>
    <w:p w:rsidR="009B4BB4" w:rsidRDefault="00C44001">
      <w:pPr>
        <w:pStyle w:val="Textoindependiente"/>
        <w:spacing w:before="0"/>
        <w:ind w:left="1145"/>
      </w:pPr>
      <w:r>
        <w:t>Los</w:t>
      </w:r>
      <w:r>
        <w:rPr>
          <w:spacing w:val="-7"/>
        </w:rPr>
        <w:t xml:space="preserve"> </w:t>
      </w:r>
      <w:r>
        <w:t>parámetros</w:t>
      </w:r>
      <w:r>
        <w:rPr>
          <w:spacing w:val="-7"/>
        </w:rPr>
        <w:t xml:space="preserve"> </w:t>
      </w:r>
      <w:r>
        <w:t>técnicos</w:t>
      </w:r>
      <w:r>
        <w:rPr>
          <w:spacing w:val="-7"/>
        </w:rPr>
        <w:t xml:space="preserve"> </w:t>
      </w:r>
      <w:r>
        <w:rPr>
          <w:spacing w:val="-2"/>
        </w:rPr>
        <w:t>fueron:</w:t>
      </w:r>
    </w:p>
    <w:p w:rsidR="009B4BB4" w:rsidRDefault="009B4BB4">
      <w:pPr>
        <w:pStyle w:val="Textoindependiente"/>
        <w:spacing w:before="113"/>
      </w:pPr>
    </w:p>
    <w:p w:rsidR="009B4BB4" w:rsidRDefault="00C44001" w:rsidP="00C44001">
      <w:pPr>
        <w:pStyle w:val="Prrafodelista"/>
        <w:numPr>
          <w:ilvl w:val="0"/>
          <w:numId w:val="44"/>
        </w:numPr>
        <w:tabs>
          <w:tab w:val="left" w:pos="1144"/>
        </w:tabs>
        <w:spacing w:before="1"/>
        <w:ind w:left="1144" w:hanging="359"/>
        <w:jc w:val="both"/>
      </w:pPr>
      <w:r>
        <w:t>N</w:t>
      </w:r>
      <w:r>
        <w:rPr>
          <w:spacing w:val="-9"/>
        </w:rPr>
        <w:t xml:space="preserve"> </w:t>
      </w:r>
      <w:r>
        <w:t>=</w:t>
      </w:r>
      <w:r>
        <w:rPr>
          <w:spacing w:val="-9"/>
        </w:rPr>
        <w:t xml:space="preserve"> </w:t>
      </w:r>
      <w:r>
        <w:t>280,535</w:t>
      </w:r>
      <w:r>
        <w:rPr>
          <w:spacing w:val="-9"/>
        </w:rPr>
        <w:t xml:space="preserve"> </w:t>
      </w:r>
      <w:r>
        <w:t>turistas</w:t>
      </w:r>
      <w:r>
        <w:rPr>
          <w:spacing w:val="-9"/>
        </w:rPr>
        <w:t xml:space="preserve"> </w:t>
      </w:r>
      <w:r>
        <w:t>(Universo</w:t>
      </w:r>
      <w:r>
        <w:rPr>
          <w:spacing w:val="-9"/>
        </w:rPr>
        <w:t xml:space="preserve"> </w:t>
      </w:r>
      <w:r>
        <w:t>total</w:t>
      </w:r>
      <w:r>
        <w:rPr>
          <w:spacing w:val="-9"/>
        </w:rPr>
        <w:t xml:space="preserve"> </w:t>
      </w:r>
      <w:r>
        <w:t>según</w:t>
      </w:r>
      <w:r>
        <w:rPr>
          <w:spacing w:val="-9"/>
        </w:rPr>
        <w:t xml:space="preserve"> </w:t>
      </w:r>
      <w:r>
        <w:t>SEFOTUR/DataTur,</w:t>
      </w:r>
      <w:r>
        <w:rPr>
          <w:spacing w:val="-9"/>
        </w:rPr>
        <w:t xml:space="preserve"> </w:t>
      </w:r>
      <w:r>
        <w:rPr>
          <w:spacing w:val="-2"/>
        </w:rPr>
        <w:t>2024).</w:t>
      </w:r>
    </w:p>
    <w:p w:rsidR="009B4BB4" w:rsidRDefault="009B4BB4">
      <w:pPr>
        <w:pStyle w:val="Textoindependiente"/>
        <w:spacing w:before="113"/>
      </w:pPr>
    </w:p>
    <w:p w:rsidR="009B4BB4" w:rsidRDefault="00C44001" w:rsidP="00C44001">
      <w:pPr>
        <w:pStyle w:val="Prrafodelista"/>
        <w:numPr>
          <w:ilvl w:val="0"/>
          <w:numId w:val="44"/>
        </w:numPr>
        <w:tabs>
          <w:tab w:val="left" w:pos="1144"/>
        </w:tabs>
        <w:spacing w:before="0"/>
        <w:ind w:left="1144" w:hanging="359"/>
        <w:jc w:val="both"/>
      </w:pPr>
      <w:r>
        <w:t>Z</w:t>
      </w:r>
      <w:r>
        <w:rPr>
          <w:spacing w:val="-6"/>
        </w:rPr>
        <w:t xml:space="preserve"> </w:t>
      </w:r>
      <w:r>
        <w:t>=</w:t>
      </w:r>
      <w:r>
        <w:rPr>
          <w:spacing w:val="-4"/>
        </w:rPr>
        <w:t xml:space="preserve"> </w:t>
      </w:r>
      <w:r>
        <w:t>1.96</w:t>
      </w:r>
      <w:r>
        <w:rPr>
          <w:spacing w:val="-4"/>
        </w:rPr>
        <w:t xml:space="preserve"> </w:t>
      </w:r>
      <w:r>
        <w:t>(Nivel</w:t>
      </w:r>
      <w:r>
        <w:rPr>
          <w:spacing w:val="-3"/>
        </w:rPr>
        <w:t xml:space="preserve"> </w:t>
      </w:r>
      <w:r>
        <w:t>de</w:t>
      </w:r>
      <w:r>
        <w:rPr>
          <w:spacing w:val="-4"/>
        </w:rPr>
        <w:t xml:space="preserve"> </w:t>
      </w:r>
      <w:r>
        <w:t>confianza</w:t>
      </w:r>
      <w:r>
        <w:rPr>
          <w:spacing w:val="-4"/>
        </w:rPr>
        <w:t xml:space="preserve"> </w:t>
      </w:r>
      <w:r>
        <w:t>del</w:t>
      </w:r>
      <w:r>
        <w:rPr>
          <w:spacing w:val="-3"/>
        </w:rPr>
        <w:t xml:space="preserve"> </w:t>
      </w:r>
      <w:r>
        <w:rPr>
          <w:spacing w:val="-2"/>
        </w:rPr>
        <w:t>95%).</w:t>
      </w:r>
    </w:p>
    <w:p w:rsidR="009B4BB4" w:rsidRDefault="009B4BB4">
      <w:pPr>
        <w:pStyle w:val="Textoindependiente"/>
        <w:spacing w:before="114"/>
      </w:pPr>
    </w:p>
    <w:p w:rsidR="009B4BB4" w:rsidRDefault="00C44001" w:rsidP="00C44001">
      <w:pPr>
        <w:pStyle w:val="Prrafodelista"/>
        <w:numPr>
          <w:ilvl w:val="0"/>
          <w:numId w:val="44"/>
        </w:numPr>
        <w:tabs>
          <w:tab w:val="left" w:pos="1144"/>
        </w:tabs>
        <w:spacing w:before="0"/>
        <w:ind w:left="1144" w:hanging="359"/>
        <w:jc w:val="both"/>
      </w:pPr>
      <w:r>
        <w:t>p</w:t>
      </w:r>
      <w:r>
        <w:rPr>
          <w:spacing w:val="-7"/>
        </w:rPr>
        <w:t xml:space="preserve"> </w:t>
      </w:r>
      <w:r>
        <w:t>=</w:t>
      </w:r>
      <w:r>
        <w:rPr>
          <w:spacing w:val="-4"/>
        </w:rPr>
        <w:t xml:space="preserve"> </w:t>
      </w:r>
      <w:r>
        <w:t>0.5</w:t>
      </w:r>
      <w:r>
        <w:rPr>
          <w:spacing w:val="-4"/>
        </w:rPr>
        <w:t xml:space="preserve"> </w:t>
      </w:r>
      <w:r>
        <w:t>(Probabilidad</w:t>
      </w:r>
      <w:r>
        <w:rPr>
          <w:spacing w:val="-5"/>
        </w:rPr>
        <w:t xml:space="preserve"> </w:t>
      </w:r>
      <w:r>
        <w:t>a</w:t>
      </w:r>
      <w:r>
        <w:rPr>
          <w:spacing w:val="-4"/>
        </w:rPr>
        <w:t xml:space="preserve"> </w:t>
      </w:r>
      <w:r>
        <w:t>favor</w:t>
      </w:r>
      <w:r>
        <w:rPr>
          <w:spacing w:val="-4"/>
        </w:rPr>
        <w:t xml:space="preserve"> </w:t>
      </w:r>
      <w:r>
        <w:t>/</w:t>
      </w:r>
      <w:r>
        <w:rPr>
          <w:spacing w:val="-5"/>
        </w:rPr>
        <w:t xml:space="preserve"> </w:t>
      </w:r>
      <w:r>
        <w:t>varianza</w:t>
      </w:r>
      <w:r>
        <w:rPr>
          <w:spacing w:val="-4"/>
        </w:rPr>
        <w:t xml:space="preserve"> </w:t>
      </w:r>
      <w:r>
        <w:t>máxima</w:t>
      </w:r>
      <w:r>
        <w:rPr>
          <w:spacing w:val="-4"/>
        </w:rPr>
        <w:t xml:space="preserve"> </w:t>
      </w:r>
      <w:r>
        <w:rPr>
          <w:spacing w:val="-2"/>
        </w:rPr>
        <w:t>esperada).</w:t>
      </w:r>
    </w:p>
    <w:p w:rsidR="009B4BB4" w:rsidRDefault="009B4BB4">
      <w:pPr>
        <w:pStyle w:val="Textoindependiente"/>
        <w:spacing w:before="113"/>
      </w:pPr>
    </w:p>
    <w:p w:rsidR="009B4BB4" w:rsidRDefault="00C44001" w:rsidP="00C44001">
      <w:pPr>
        <w:pStyle w:val="Prrafodelista"/>
        <w:numPr>
          <w:ilvl w:val="0"/>
          <w:numId w:val="44"/>
        </w:numPr>
        <w:tabs>
          <w:tab w:val="left" w:pos="1144"/>
        </w:tabs>
        <w:spacing w:before="0"/>
        <w:ind w:left="1144" w:hanging="359"/>
        <w:jc w:val="both"/>
      </w:pPr>
      <w:r>
        <w:t>q</w:t>
      </w:r>
      <w:r>
        <w:rPr>
          <w:spacing w:val="-4"/>
        </w:rPr>
        <w:t xml:space="preserve"> </w:t>
      </w:r>
      <w:r>
        <w:t>=</w:t>
      </w:r>
      <w:r>
        <w:rPr>
          <w:spacing w:val="-4"/>
        </w:rPr>
        <w:t xml:space="preserve"> </w:t>
      </w:r>
      <w:r>
        <w:t>0.5</w:t>
      </w:r>
      <w:r>
        <w:rPr>
          <w:spacing w:val="-4"/>
        </w:rPr>
        <w:t xml:space="preserve"> </w:t>
      </w:r>
      <w:r>
        <w:t>(Probabilidad</w:t>
      </w:r>
      <w:r>
        <w:rPr>
          <w:spacing w:val="-4"/>
        </w:rPr>
        <w:t xml:space="preserve"> </w:t>
      </w:r>
      <w:r>
        <w:t>en</w:t>
      </w:r>
      <w:r>
        <w:rPr>
          <w:spacing w:val="-4"/>
        </w:rPr>
        <w:t xml:space="preserve"> </w:t>
      </w:r>
      <w:r>
        <w:rPr>
          <w:spacing w:val="-2"/>
        </w:rPr>
        <w:t>contra).</w:t>
      </w:r>
    </w:p>
    <w:p w:rsidR="009B4BB4" w:rsidRDefault="009B4BB4">
      <w:pPr>
        <w:pStyle w:val="Textoindependiente"/>
        <w:spacing w:before="114"/>
      </w:pPr>
    </w:p>
    <w:p w:rsidR="009B4BB4" w:rsidRDefault="00C44001" w:rsidP="00C44001">
      <w:pPr>
        <w:pStyle w:val="Prrafodelista"/>
        <w:numPr>
          <w:ilvl w:val="0"/>
          <w:numId w:val="44"/>
        </w:numPr>
        <w:tabs>
          <w:tab w:val="left" w:pos="1144"/>
        </w:tabs>
        <w:spacing w:before="0"/>
        <w:ind w:left="1144" w:hanging="359"/>
        <w:jc w:val="both"/>
      </w:pPr>
      <w:r>
        <w:t>e</w:t>
      </w:r>
      <w:r>
        <w:rPr>
          <w:spacing w:val="-4"/>
        </w:rPr>
        <w:t xml:space="preserve"> </w:t>
      </w:r>
      <w:r>
        <w:t>=</w:t>
      </w:r>
      <w:r>
        <w:rPr>
          <w:spacing w:val="-3"/>
        </w:rPr>
        <w:t xml:space="preserve"> </w:t>
      </w:r>
      <w:r>
        <w:t>0.05</w:t>
      </w:r>
      <w:r>
        <w:rPr>
          <w:spacing w:val="-3"/>
        </w:rPr>
        <w:t xml:space="preserve"> </w:t>
      </w:r>
      <w:r>
        <w:t>(Margen</w:t>
      </w:r>
      <w:r>
        <w:rPr>
          <w:spacing w:val="-4"/>
        </w:rPr>
        <w:t xml:space="preserve"> </w:t>
      </w:r>
      <w:r>
        <w:t>de</w:t>
      </w:r>
      <w:r>
        <w:rPr>
          <w:spacing w:val="-3"/>
        </w:rPr>
        <w:t xml:space="preserve"> </w:t>
      </w:r>
      <w:r>
        <w:t>error</w:t>
      </w:r>
      <w:r>
        <w:rPr>
          <w:spacing w:val="-3"/>
        </w:rPr>
        <w:t xml:space="preserve"> </w:t>
      </w:r>
      <w:r>
        <w:t>del</w:t>
      </w:r>
      <w:r>
        <w:rPr>
          <w:spacing w:val="-3"/>
        </w:rPr>
        <w:t xml:space="preserve"> </w:t>
      </w:r>
      <w:r>
        <w:rPr>
          <w:spacing w:val="-4"/>
        </w:rPr>
        <w:t>5%).</w:t>
      </w:r>
    </w:p>
    <w:p w:rsidR="009B4BB4" w:rsidRDefault="009B4BB4">
      <w:pPr>
        <w:pStyle w:val="Textoindependiente"/>
        <w:spacing w:before="113"/>
      </w:pPr>
    </w:p>
    <w:p w:rsidR="009B4BB4" w:rsidRDefault="00C44001">
      <w:pPr>
        <w:pStyle w:val="Textoindependiente"/>
        <w:spacing w:before="0" w:line="360" w:lineRule="auto"/>
        <w:ind w:left="425" w:right="616" w:firstLine="720"/>
        <w:jc w:val="both"/>
      </w:pPr>
      <w:r>
        <w:t>Para determinar el tamaño de la muestra representativa de consumidores en Cancún, se aplicó la fórmula para poblaciones finitas (ver ecuación 1):</w:t>
      </w:r>
    </w:p>
    <w:p w:rsidR="009B4BB4" w:rsidRDefault="00C44001">
      <w:pPr>
        <w:pStyle w:val="Textoindependiente"/>
        <w:spacing w:before="181"/>
        <w:rPr>
          <w:sz w:val="20"/>
        </w:rPr>
      </w:pPr>
      <w:r>
        <w:rPr>
          <w:noProof/>
          <w:sz w:val="20"/>
          <w:lang w:val="es-AR" w:eastAsia="es-AR"/>
        </w:rPr>
        <w:drawing>
          <wp:anchor distT="0" distB="0" distL="0" distR="0" simplePos="0" relativeHeight="487593472" behindDoc="1" locked="0" layoutInCell="1" allowOverlap="1">
            <wp:simplePos x="0" y="0"/>
            <wp:positionH relativeFrom="page">
              <wp:posOffset>2348324</wp:posOffset>
            </wp:positionH>
            <wp:positionV relativeFrom="paragraph">
              <wp:posOffset>276510</wp:posOffset>
            </wp:positionV>
            <wp:extent cx="2590800" cy="666750"/>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2590800" cy="666750"/>
                    </a:xfrm>
                    <a:prstGeom prst="rect">
                      <a:avLst/>
                    </a:prstGeom>
                  </pic:spPr>
                </pic:pic>
              </a:graphicData>
            </a:graphic>
          </wp:anchor>
        </w:drawing>
      </w:r>
    </w:p>
    <w:p w:rsidR="009B4BB4" w:rsidRDefault="009B4BB4">
      <w:pPr>
        <w:pStyle w:val="Textoindependiente"/>
        <w:spacing w:before="0"/>
      </w:pPr>
    </w:p>
    <w:p w:rsidR="009B4BB4" w:rsidRDefault="009B4BB4">
      <w:pPr>
        <w:pStyle w:val="Textoindependiente"/>
        <w:spacing w:before="237"/>
      </w:pPr>
    </w:p>
    <w:p w:rsidR="009B4BB4" w:rsidRDefault="00C44001">
      <w:pPr>
        <w:ind w:left="455"/>
        <w:rPr>
          <w:rFonts w:ascii="Arial"/>
          <w:i/>
        </w:rPr>
      </w:pPr>
      <w:r>
        <w:rPr>
          <w:rFonts w:ascii="Arial"/>
          <w:i/>
          <w:spacing w:val="-5"/>
        </w:rPr>
        <w:t>(1)</w:t>
      </w:r>
    </w:p>
    <w:p w:rsidR="009B4BB4" w:rsidRDefault="009B4BB4">
      <w:pPr>
        <w:pStyle w:val="Textoindependiente"/>
        <w:spacing w:before="113"/>
        <w:rPr>
          <w:rFonts w:ascii="Arial"/>
          <w:i/>
        </w:rPr>
      </w:pPr>
    </w:p>
    <w:p w:rsidR="009B4BB4" w:rsidRDefault="00C44001">
      <w:pPr>
        <w:pStyle w:val="Textoindependiente"/>
        <w:spacing w:before="0" w:line="360" w:lineRule="auto"/>
        <w:ind w:left="425" w:right="607" w:firstLine="720"/>
        <w:jc w:val="both"/>
      </w:pPr>
      <w:r>
        <w:t>Donde los parámetros seleccionados son Z = 1.96 (95% de confianza), p y q = 0.5, y un margen de error del 5%.</w:t>
      </w:r>
    </w:p>
    <w:p w:rsidR="009B4BB4" w:rsidRDefault="00C44001" w:rsidP="00C44001">
      <w:pPr>
        <w:pStyle w:val="Ttulo2"/>
        <w:numPr>
          <w:ilvl w:val="2"/>
          <w:numId w:val="48"/>
        </w:numPr>
        <w:tabs>
          <w:tab w:val="left" w:pos="1000"/>
        </w:tabs>
        <w:ind w:left="1000" w:hanging="545"/>
        <w:jc w:val="left"/>
      </w:pPr>
      <w:bookmarkStart w:id="113" w:name="3.5.3_Resultados_y_muestreo_estratificad"/>
      <w:bookmarkStart w:id="114" w:name="h.9w0na7bhd3z0"/>
      <w:bookmarkEnd w:id="113"/>
      <w:bookmarkEnd w:id="114"/>
      <w:r>
        <w:t>Resultados</w:t>
      </w:r>
      <w:r>
        <w:rPr>
          <w:spacing w:val="-7"/>
        </w:rPr>
        <w:t xml:space="preserve"> </w:t>
      </w:r>
      <w:r>
        <w:t>y</w:t>
      </w:r>
      <w:r>
        <w:rPr>
          <w:spacing w:val="-6"/>
        </w:rPr>
        <w:t xml:space="preserve"> </w:t>
      </w:r>
      <w:r>
        <w:t>muestreo</w:t>
      </w:r>
      <w:r>
        <w:rPr>
          <w:spacing w:val="-6"/>
        </w:rPr>
        <w:t xml:space="preserve"> </w:t>
      </w:r>
      <w:r>
        <w:rPr>
          <w:spacing w:val="-2"/>
        </w:rPr>
        <w:t>estratificado:</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8" w:firstLine="720"/>
        <w:jc w:val="both"/>
      </w:pPr>
      <w:r>
        <w:t>El cálculo matemático determinó una muestra óptima de 384 encuestas. Sin embargo, para evitar sesgos en la v</w:t>
      </w:r>
      <w:r>
        <w:t>alidación de precios y asegurar la representatividad comercial del estudio, se aplicó un muestreo estratificado por cuotas, distribuyendo las encuestas en proporción exacta a la composición real del turismo oficial:</w:t>
      </w:r>
    </w:p>
    <w:p w:rsidR="009B4BB4" w:rsidRDefault="00C44001" w:rsidP="00C44001">
      <w:pPr>
        <w:pStyle w:val="Prrafodelista"/>
        <w:numPr>
          <w:ilvl w:val="0"/>
          <w:numId w:val="43"/>
        </w:numPr>
        <w:tabs>
          <w:tab w:val="left" w:pos="1144"/>
        </w:tabs>
        <w:spacing w:before="0"/>
        <w:ind w:left="1144" w:hanging="359"/>
        <w:jc w:val="both"/>
      </w:pPr>
      <w:r>
        <w:t>83.1%</w:t>
      </w:r>
      <w:r>
        <w:rPr>
          <w:spacing w:val="-7"/>
        </w:rPr>
        <w:t xml:space="preserve"> </w:t>
      </w:r>
      <w:r>
        <w:t>de</w:t>
      </w:r>
      <w:r>
        <w:rPr>
          <w:spacing w:val="-4"/>
        </w:rPr>
        <w:t xml:space="preserve"> </w:t>
      </w:r>
      <w:r>
        <w:t>la</w:t>
      </w:r>
      <w:r>
        <w:rPr>
          <w:spacing w:val="-5"/>
        </w:rPr>
        <w:t xml:space="preserve"> </w:t>
      </w:r>
      <w:r>
        <w:t>muestra</w:t>
      </w:r>
      <w:r>
        <w:rPr>
          <w:spacing w:val="-4"/>
        </w:rPr>
        <w:t xml:space="preserve"> </w:t>
      </w:r>
      <w:r>
        <w:t>fue</w:t>
      </w:r>
      <w:r>
        <w:rPr>
          <w:spacing w:val="-5"/>
        </w:rPr>
        <w:t xml:space="preserve"> </w:t>
      </w:r>
      <w:r>
        <w:t>asignada</w:t>
      </w:r>
      <w:r>
        <w:rPr>
          <w:spacing w:val="-4"/>
        </w:rPr>
        <w:t xml:space="preserve"> </w:t>
      </w:r>
      <w:r>
        <w:t>a</w:t>
      </w:r>
      <w:r>
        <w:rPr>
          <w:spacing w:val="-5"/>
        </w:rPr>
        <w:t xml:space="preserve"> </w:t>
      </w:r>
      <w:r>
        <w:t>turis</w:t>
      </w:r>
      <w:r>
        <w:t>tas</w:t>
      </w:r>
      <w:r>
        <w:rPr>
          <w:spacing w:val="-4"/>
        </w:rPr>
        <w:t xml:space="preserve"> </w:t>
      </w:r>
      <w:r>
        <w:rPr>
          <w:spacing w:val="-2"/>
        </w:rPr>
        <w:t>nacionales.</w:t>
      </w:r>
    </w:p>
    <w:p w:rsidR="009B4BB4" w:rsidRDefault="00C44001" w:rsidP="00C44001">
      <w:pPr>
        <w:pStyle w:val="Prrafodelista"/>
        <w:numPr>
          <w:ilvl w:val="0"/>
          <w:numId w:val="43"/>
        </w:numPr>
        <w:tabs>
          <w:tab w:val="left" w:pos="1144"/>
        </w:tabs>
        <w:spacing w:before="126"/>
        <w:ind w:left="1144" w:hanging="359"/>
        <w:jc w:val="both"/>
      </w:pPr>
      <w:r>
        <w:t>16.9%</w:t>
      </w:r>
      <w:r>
        <w:rPr>
          <w:spacing w:val="-7"/>
        </w:rPr>
        <w:t xml:space="preserve"> </w:t>
      </w:r>
      <w:r>
        <w:t>de</w:t>
      </w:r>
      <w:r>
        <w:rPr>
          <w:spacing w:val="-4"/>
        </w:rPr>
        <w:t xml:space="preserve"> </w:t>
      </w:r>
      <w:r>
        <w:t>la</w:t>
      </w:r>
      <w:r>
        <w:rPr>
          <w:spacing w:val="-5"/>
        </w:rPr>
        <w:t xml:space="preserve"> </w:t>
      </w:r>
      <w:r>
        <w:t>muestra</w:t>
      </w:r>
      <w:r>
        <w:rPr>
          <w:spacing w:val="-4"/>
        </w:rPr>
        <w:t xml:space="preserve"> </w:t>
      </w:r>
      <w:r>
        <w:t>fue</w:t>
      </w:r>
      <w:r>
        <w:rPr>
          <w:spacing w:val="-5"/>
        </w:rPr>
        <w:t xml:space="preserve"> </w:t>
      </w:r>
      <w:r>
        <w:t>asignada</w:t>
      </w:r>
      <w:r>
        <w:rPr>
          <w:spacing w:val="-4"/>
        </w:rPr>
        <w:t xml:space="preserve"> </w:t>
      </w:r>
      <w:r>
        <w:t>a</w:t>
      </w:r>
      <w:r>
        <w:rPr>
          <w:spacing w:val="-5"/>
        </w:rPr>
        <w:t xml:space="preserve"> </w:t>
      </w:r>
      <w:r>
        <w:t>turistas</w:t>
      </w:r>
      <w:r>
        <w:rPr>
          <w:spacing w:val="-4"/>
        </w:rPr>
        <w:t xml:space="preserve"> </w:t>
      </w:r>
      <w:r>
        <w:rPr>
          <w:spacing w:val="-2"/>
        </w:rPr>
        <w:t>internacionales.</w:t>
      </w:r>
    </w:p>
    <w:p w:rsidR="009B4BB4" w:rsidRDefault="009B4BB4">
      <w:pPr>
        <w:pStyle w:val="Prrafodelista"/>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03" w:firstLine="720"/>
        <w:jc w:val="both"/>
      </w:pPr>
      <w:r>
        <w:lastRenderedPageBreak/>
        <w:t>Finalmente, el abordaje de la población</w:t>
      </w:r>
      <w:r>
        <w:rPr>
          <w:spacing w:val="-4"/>
        </w:rPr>
        <w:t xml:space="preserve"> </w:t>
      </w:r>
      <w:r>
        <w:t>local</w:t>
      </w:r>
      <w:r>
        <w:rPr>
          <w:spacing w:val="-4"/>
        </w:rPr>
        <w:t xml:space="preserve"> </w:t>
      </w:r>
      <w:r>
        <w:t>se</w:t>
      </w:r>
      <w:r>
        <w:rPr>
          <w:spacing w:val="-4"/>
        </w:rPr>
        <w:t xml:space="preserve"> </w:t>
      </w:r>
      <w:r>
        <w:t>ejecutó</w:t>
      </w:r>
      <w:r>
        <w:rPr>
          <w:spacing w:val="-4"/>
        </w:rPr>
        <w:t xml:space="preserve"> </w:t>
      </w:r>
      <w:r>
        <w:t>mediante</w:t>
      </w:r>
      <w:r>
        <w:rPr>
          <w:spacing w:val="-4"/>
        </w:rPr>
        <w:t xml:space="preserve"> </w:t>
      </w:r>
      <w:r>
        <w:t>un</w:t>
      </w:r>
      <w:r>
        <w:rPr>
          <w:spacing w:val="-4"/>
        </w:rPr>
        <w:t xml:space="preserve"> </w:t>
      </w:r>
      <w:r>
        <w:t>muestreo</w:t>
      </w:r>
      <w:r>
        <w:rPr>
          <w:spacing w:val="-4"/>
        </w:rPr>
        <w:t xml:space="preserve"> </w:t>
      </w:r>
      <w:r>
        <w:t>no probabilístico de carácter estrictamente comparativo, sirviendo como grupo de control frente al comportamiento y sensibilidad al precio del visitante.</w:t>
      </w:r>
    </w:p>
    <w:p w:rsidR="009B4BB4" w:rsidRDefault="00C44001" w:rsidP="00C44001">
      <w:pPr>
        <w:pStyle w:val="Ttulo2"/>
        <w:numPr>
          <w:ilvl w:val="2"/>
          <w:numId w:val="48"/>
        </w:numPr>
        <w:tabs>
          <w:tab w:val="left" w:pos="970"/>
        </w:tabs>
        <w:ind w:left="970" w:hanging="545"/>
        <w:jc w:val="left"/>
      </w:pPr>
      <w:bookmarkStart w:id="115" w:name="3.5.4_Técnicas_e_instrumentos_de_recolec"/>
      <w:bookmarkStart w:id="116" w:name="h.hac1ytwznhqq"/>
      <w:bookmarkEnd w:id="115"/>
      <w:bookmarkEnd w:id="116"/>
      <w:r>
        <w:t>Técnicas</w:t>
      </w:r>
      <w:r>
        <w:rPr>
          <w:spacing w:val="-6"/>
        </w:rPr>
        <w:t xml:space="preserve"> </w:t>
      </w:r>
      <w:r>
        <w:t>e</w:t>
      </w:r>
      <w:r>
        <w:rPr>
          <w:spacing w:val="-6"/>
        </w:rPr>
        <w:t xml:space="preserve"> </w:t>
      </w:r>
      <w:r>
        <w:t>instrumentos</w:t>
      </w:r>
      <w:r>
        <w:rPr>
          <w:spacing w:val="-6"/>
        </w:rPr>
        <w:t xml:space="preserve"> </w:t>
      </w:r>
      <w:r>
        <w:t>de</w:t>
      </w:r>
      <w:r>
        <w:rPr>
          <w:spacing w:val="-6"/>
        </w:rPr>
        <w:t xml:space="preserve"> </w:t>
      </w:r>
      <w:r>
        <w:t>recolección</w:t>
      </w:r>
      <w:r>
        <w:rPr>
          <w:spacing w:val="-6"/>
        </w:rPr>
        <w:t xml:space="preserve"> </w:t>
      </w:r>
      <w:r>
        <w:t>de</w:t>
      </w:r>
      <w:r>
        <w:rPr>
          <w:spacing w:val="-6"/>
        </w:rPr>
        <w:t xml:space="preserve"> </w:t>
      </w:r>
      <w:r>
        <w:rPr>
          <w:spacing w:val="-2"/>
        </w:rPr>
        <w:t>datos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Para garantizar la fiabilidad y profundidad de la inv</w:t>
      </w:r>
      <w:r>
        <w:t>estigación, se diseñaron instrumentos específicos para cada fase del estudio, alineados directamente con los objetivos comerciales del proyecto Guardiana.</w:t>
      </w:r>
    </w:p>
    <w:p w:rsidR="009B4BB4" w:rsidRDefault="00C44001">
      <w:pPr>
        <w:pStyle w:val="Ttulo1"/>
        <w:spacing w:before="240"/>
        <w:ind w:left="425"/>
      </w:pPr>
      <w:r>
        <w:t>Fase</w:t>
      </w:r>
      <w:r>
        <w:rPr>
          <w:spacing w:val="-4"/>
        </w:rPr>
        <w:t xml:space="preserve"> </w:t>
      </w:r>
      <w:r>
        <w:rPr>
          <w:spacing w:val="-2"/>
        </w:rPr>
        <w:t>Cuantitativa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4" w:firstLine="720"/>
        <w:jc w:val="both"/>
      </w:pPr>
      <w:r>
        <w:t>Se diseñó un instrumento cuantitativo compuesto por 17 reactivos, estructurado</w:t>
      </w:r>
      <w:r>
        <w:rPr>
          <w:spacing w:val="40"/>
        </w:rPr>
        <w:t xml:space="preserve"> </w:t>
      </w:r>
      <w:r>
        <w:t xml:space="preserve">en </w:t>
      </w:r>
      <w:r>
        <w:t>módulos estratégicos: perfilamiento sociodemográfico, conocimiento del producto, escalas Likert para la valoración de</w:t>
      </w:r>
      <w:r>
        <w:rPr>
          <w:spacing w:val="-3"/>
        </w:rPr>
        <w:t xml:space="preserve"> </w:t>
      </w:r>
      <w:r>
        <w:t>atributos</w:t>
      </w:r>
      <w:r>
        <w:rPr>
          <w:spacing w:val="-3"/>
        </w:rPr>
        <w:t xml:space="preserve"> </w:t>
      </w:r>
      <w:r>
        <w:t>(certificaciones,</w:t>
      </w:r>
      <w:r>
        <w:rPr>
          <w:spacing w:val="-3"/>
        </w:rPr>
        <w:t xml:space="preserve"> </w:t>
      </w:r>
      <w:r>
        <w:t>empaque,</w:t>
      </w:r>
      <w:r>
        <w:rPr>
          <w:spacing w:val="-3"/>
        </w:rPr>
        <w:t xml:space="preserve"> </w:t>
      </w:r>
      <w:r>
        <w:t>impacto</w:t>
      </w:r>
      <w:r>
        <w:rPr>
          <w:spacing w:val="-3"/>
        </w:rPr>
        <w:t xml:space="preserve"> </w:t>
      </w:r>
      <w:r>
        <w:t>social)</w:t>
      </w:r>
      <w:r>
        <w:rPr>
          <w:spacing w:val="-3"/>
        </w:rPr>
        <w:t xml:space="preserve"> </w:t>
      </w:r>
      <w:r>
        <w:t>y un nódulo crítico de sensibilidad al precio para determinar la disposición a pagar.</w:t>
      </w:r>
      <w:r>
        <w:t xml:space="preserve"> Adicionalmente, se incluyó una pregunta abierta para capturar insights cualitativos del </w:t>
      </w:r>
      <w:r>
        <w:rPr>
          <w:spacing w:val="-2"/>
        </w:rPr>
        <w:t>consumidor.</w:t>
      </w:r>
    </w:p>
    <w:p w:rsidR="009B4BB4" w:rsidRDefault="00C44001">
      <w:pPr>
        <w:pStyle w:val="Textoindependiente"/>
        <w:spacing w:line="360" w:lineRule="auto"/>
        <w:ind w:left="425" w:right="604" w:firstLine="720"/>
        <w:jc w:val="both"/>
      </w:pPr>
      <w:r>
        <w:t>Para reducir errores de transcripción, la captura de datos se realizó in situ de forma presencial y bilingüe (español e inglés),</w:t>
      </w:r>
      <w:r>
        <w:rPr>
          <w:spacing w:val="-3"/>
        </w:rPr>
        <w:t xml:space="preserve"> </w:t>
      </w:r>
      <w:r>
        <w:t>utilizando</w:t>
      </w:r>
      <w:r>
        <w:rPr>
          <w:spacing w:val="-3"/>
        </w:rPr>
        <w:t xml:space="preserve"> </w:t>
      </w:r>
      <w:r>
        <w:t>herramientas</w:t>
      </w:r>
      <w:r>
        <w:rPr>
          <w:spacing w:val="-3"/>
        </w:rPr>
        <w:t xml:space="preserve"> </w:t>
      </w:r>
      <w:r>
        <w:t>di</w:t>
      </w:r>
      <w:r>
        <w:t>gitales</w:t>
      </w:r>
      <w:r>
        <w:rPr>
          <w:spacing w:val="-3"/>
        </w:rPr>
        <w:t xml:space="preserve"> </w:t>
      </w:r>
      <w:r>
        <w:t>y</w:t>
      </w:r>
      <w:r>
        <w:rPr>
          <w:spacing w:val="-3"/>
        </w:rPr>
        <w:t xml:space="preserve"> </w:t>
      </w:r>
      <w:r>
        <w:t>códigos QR. Esta digitalización</w:t>
      </w:r>
      <w:r>
        <w:rPr>
          <w:spacing w:val="-3"/>
        </w:rPr>
        <w:t xml:space="preserve"> </w:t>
      </w:r>
      <w:r>
        <w:t>permitió</w:t>
      </w:r>
      <w:r>
        <w:rPr>
          <w:spacing w:val="-3"/>
        </w:rPr>
        <w:t xml:space="preserve"> </w:t>
      </w:r>
      <w:r>
        <w:t>agilizar</w:t>
      </w:r>
      <w:r>
        <w:rPr>
          <w:spacing w:val="-3"/>
        </w:rPr>
        <w:t xml:space="preserve"> </w:t>
      </w:r>
      <w:r>
        <w:t>la</w:t>
      </w:r>
      <w:r>
        <w:rPr>
          <w:spacing w:val="-3"/>
        </w:rPr>
        <w:t xml:space="preserve"> </w:t>
      </w:r>
      <w:r>
        <w:t>recolección</w:t>
      </w:r>
      <w:r>
        <w:rPr>
          <w:spacing w:val="-3"/>
        </w:rPr>
        <w:t xml:space="preserve"> </w:t>
      </w:r>
      <w:r>
        <w:t>en</w:t>
      </w:r>
      <w:r>
        <w:rPr>
          <w:spacing w:val="-3"/>
        </w:rPr>
        <w:t xml:space="preserve"> </w:t>
      </w:r>
      <w:r>
        <w:t>puntos</w:t>
      </w:r>
      <w:r>
        <w:rPr>
          <w:spacing w:val="-3"/>
        </w:rPr>
        <w:t xml:space="preserve"> </w:t>
      </w:r>
      <w:r>
        <w:t>de</w:t>
      </w:r>
      <w:r>
        <w:rPr>
          <w:spacing w:val="-3"/>
        </w:rPr>
        <w:t xml:space="preserve"> </w:t>
      </w:r>
      <w:r>
        <w:t>alto</w:t>
      </w:r>
      <w:r>
        <w:rPr>
          <w:spacing w:val="-3"/>
        </w:rPr>
        <w:t xml:space="preserve"> </w:t>
      </w:r>
      <w:r>
        <w:t>tráfico</w:t>
      </w:r>
      <w:r>
        <w:rPr>
          <w:spacing w:val="-3"/>
        </w:rPr>
        <w:t xml:space="preserve"> </w:t>
      </w:r>
      <w:r>
        <w:t>y</w:t>
      </w:r>
      <w:r>
        <w:rPr>
          <w:spacing w:val="-3"/>
        </w:rPr>
        <w:t xml:space="preserve"> </w:t>
      </w:r>
      <w:r>
        <w:t>asegurar la integridad de la base de datos.</w:t>
      </w:r>
    </w:p>
    <w:p w:rsidR="009B4BB4" w:rsidRDefault="00C44001">
      <w:pPr>
        <w:pStyle w:val="Ttulo1"/>
        <w:spacing w:before="240"/>
        <w:ind w:left="425"/>
      </w:pPr>
      <w:r>
        <w:t>Fase</w:t>
      </w:r>
      <w:r>
        <w:rPr>
          <w:spacing w:val="-4"/>
        </w:rPr>
        <w:t xml:space="preserve"> </w:t>
      </w:r>
      <w:r>
        <w:rPr>
          <w:spacing w:val="-2"/>
        </w:rPr>
        <w:t>Cualitativa</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Para mapear la cadena de valor y entender las barreras de comercialización desde la perspectiva de la oferta, se aplicaron entrevistas semiestructuradas a dos</w:t>
      </w:r>
      <w:r>
        <w:rPr>
          <w:spacing w:val="40"/>
        </w:rPr>
        <w:t xml:space="preserve"> </w:t>
      </w:r>
      <w:r>
        <w:t>grupos de interés clave:</w:t>
      </w:r>
    </w:p>
    <w:p w:rsidR="009B4BB4" w:rsidRDefault="00C44001" w:rsidP="00C44001">
      <w:pPr>
        <w:pStyle w:val="Prrafodelista"/>
        <w:numPr>
          <w:ilvl w:val="3"/>
          <w:numId w:val="48"/>
        </w:numPr>
        <w:tabs>
          <w:tab w:val="left" w:pos="1143"/>
          <w:tab w:val="left" w:pos="1145"/>
        </w:tabs>
        <w:spacing w:line="360" w:lineRule="auto"/>
        <w:ind w:right="603"/>
      </w:pPr>
      <w:r>
        <w:rPr>
          <w:rFonts w:ascii="Arial" w:hAnsi="Arial"/>
          <w:b/>
        </w:rPr>
        <w:t>Eslabón</w:t>
      </w:r>
      <w:r>
        <w:rPr>
          <w:rFonts w:ascii="Arial" w:hAnsi="Arial"/>
          <w:b/>
          <w:spacing w:val="40"/>
        </w:rPr>
        <w:t xml:space="preserve"> </w:t>
      </w:r>
      <w:r>
        <w:rPr>
          <w:rFonts w:ascii="Arial" w:hAnsi="Arial"/>
          <w:b/>
        </w:rPr>
        <w:t>productivo:</w:t>
      </w:r>
      <w:r>
        <w:rPr>
          <w:rFonts w:ascii="Arial" w:hAnsi="Arial"/>
          <w:b/>
          <w:spacing w:val="40"/>
        </w:rPr>
        <w:t xml:space="preserve"> </w:t>
      </w:r>
      <w:r>
        <w:t>Meliponicultores</w:t>
      </w:r>
      <w:r>
        <w:rPr>
          <w:spacing w:val="40"/>
        </w:rPr>
        <w:t xml:space="preserve"> </w:t>
      </w:r>
      <w:r>
        <w:t>en</w:t>
      </w:r>
      <w:r>
        <w:rPr>
          <w:spacing w:val="40"/>
        </w:rPr>
        <w:t xml:space="preserve"> </w:t>
      </w:r>
      <w:r>
        <w:t>las</w:t>
      </w:r>
      <w:r>
        <w:rPr>
          <w:spacing w:val="40"/>
        </w:rPr>
        <w:t xml:space="preserve"> </w:t>
      </w:r>
      <w:r>
        <w:t>comunidades</w:t>
      </w:r>
      <w:r>
        <w:rPr>
          <w:spacing w:val="40"/>
        </w:rPr>
        <w:t xml:space="preserve"> </w:t>
      </w:r>
      <w:r>
        <w:t>de</w:t>
      </w:r>
      <w:r>
        <w:rPr>
          <w:spacing w:val="40"/>
        </w:rPr>
        <w:t xml:space="preserve"> </w:t>
      </w:r>
      <w:r>
        <w:t>Tekom</w:t>
      </w:r>
      <w:r>
        <w:rPr>
          <w:spacing w:val="40"/>
        </w:rPr>
        <w:t xml:space="preserve"> </w:t>
      </w:r>
      <w:r>
        <w:t>y</w:t>
      </w:r>
      <w:r>
        <w:rPr>
          <w:spacing w:val="40"/>
        </w:rPr>
        <w:t xml:space="preserve"> </w:t>
      </w:r>
      <w:r>
        <w:t>San Francisco (una sesión presencial y una digital).</w:t>
      </w:r>
    </w:p>
    <w:p w:rsidR="009B4BB4" w:rsidRDefault="00C44001" w:rsidP="00C44001">
      <w:pPr>
        <w:pStyle w:val="Prrafodelista"/>
        <w:numPr>
          <w:ilvl w:val="3"/>
          <w:numId w:val="48"/>
        </w:numPr>
        <w:tabs>
          <w:tab w:val="left" w:pos="1143"/>
          <w:tab w:val="left" w:pos="1145"/>
        </w:tabs>
        <w:spacing w:line="360" w:lineRule="auto"/>
        <w:ind w:right="609"/>
      </w:pPr>
      <w:r>
        <w:rPr>
          <w:rFonts w:ascii="Arial" w:hAnsi="Arial"/>
          <w:b/>
        </w:rPr>
        <w:t>Eslabón</w:t>
      </w:r>
      <w:r>
        <w:rPr>
          <w:rFonts w:ascii="Arial" w:hAnsi="Arial"/>
          <w:b/>
          <w:spacing w:val="40"/>
        </w:rPr>
        <w:t xml:space="preserve"> </w:t>
      </w:r>
      <w:r>
        <w:rPr>
          <w:rFonts w:ascii="Arial" w:hAnsi="Arial"/>
          <w:b/>
        </w:rPr>
        <w:t>comercial:</w:t>
      </w:r>
      <w:r>
        <w:rPr>
          <w:rFonts w:ascii="Arial" w:hAnsi="Arial"/>
          <w:b/>
          <w:spacing w:val="40"/>
        </w:rPr>
        <w:t xml:space="preserve"> </w:t>
      </w:r>
      <w:r>
        <w:t>Vendedores</w:t>
      </w:r>
      <w:r>
        <w:rPr>
          <w:spacing w:val="40"/>
        </w:rPr>
        <w:t xml:space="preserve"> </w:t>
      </w:r>
      <w:r>
        <w:t>y</w:t>
      </w:r>
      <w:r>
        <w:rPr>
          <w:spacing w:val="40"/>
        </w:rPr>
        <w:t xml:space="preserve"> </w:t>
      </w:r>
      <w:r>
        <w:t>actores</w:t>
      </w:r>
      <w:r>
        <w:rPr>
          <w:spacing w:val="40"/>
        </w:rPr>
        <w:t xml:space="preserve"> </w:t>
      </w:r>
      <w:r>
        <w:t>clave</w:t>
      </w:r>
      <w:r>
        <w:rPr>
          <w:spacing w:val="40"/>
        </w:rPr>
        <w:t xml:space="preserve"> </w:t>
      </w:r>
      <w:r>
        <w:t>en</w:t>
      </w:r>
      <w:r>
        <w:rPr>
          <w:spacing w:val="40"/>
        </w:rPr>
        <w:t xml:space="preserve"> </w:t>
      </w:r>
      <w:r>
        <w:t>el</w:t>
      </w:r>
      <w:r>
        <w:rPr>
          <w:spacing w:val="40"/>
        </w:rPr>
        <w:t xml:space="preserve"> </w:t>
      </w:r>
      <w:r>
        <w:t>mercado</w:t>
      </w:r>
      <w:r>
        <w:rPr>
          <w:spacing w:val="40"/>
        </w:rPr>
        <w:t xml:space="preserve"> </w:t>
      </w:r>
      <w:r>
        <w:t>municipal</w:t>
      </w:r>
      <w:r>
        <w:rPr>
          <w:spacing w:val="40"/>
        </w:rPr>
        <w:t xml:space="preserve"> </w:t>
      </w:r>
      <w:r>
        <w:t xml:space="preserve">de </w:t>
      </w:r>
      <w:r>
        <w:rPr>
          <w:spacing w:val="-2"/>
        </w:rPr>
        <w:t>Valladolid.</w:t>
      </w:r>
    </w:p>
    <w:p w:rsidR="009B4BB4" w:rsidRDefault="009B4BB4">
      <w:pPr>
        <w:pStyle w:val="Prrafodelista"/>
        <w:spacing w:line="360" w:lineRule="auto"/>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15" w:firstLine="720"/>
        <w:jc w:val="both"/>
      </w:pPr>
      <w:r>
        <w:lastRenderedPageBreak/>
        <w:t xml:space="preserve">Las entrevistas adoptaron un enfoque fenomenológico, buscando no solo extraer datos operativos como </w:t>
      </w:r>
      <w:r>
        <w:t>volúmenes, costos, precios de venta, sino comprender la experiencia del productor, la narrativa cultural inherente a la especie y las dinámicas reales de interacción con el turista.</w:t>
      </w:r>
    </w:p>
    <w:p w:rsidR="009B4BB4" w:rsidRDefault="009B4BB4">
      <w:pPr>
        <w:pStyle w:val="Textoindependiente"/>
        <w:spacing w:before="107"/>
      </w:pPr>
    </w:p>
    <w:p w:rsidR="009B4BB4" w:rsidRDefault="00C44001" w:rsidP="00C44001">
      <w:pPr>
        <w:pStyle w:val="Ttulo1"/>
        <w:numPr>
          <w:ilvl w:val="1"/>
          <w:numId w:val="48"/>
        </w:numPr>
        <w:tabs>
          <w:tab w:val="left" w:pos="850"/>
        </w:tabs>
        <w:ind w:left="850" w:hanging="425"/>
        <w:jc w:val="left"/>
      </w:pPr>
      <w:bookmarkStart w:id="117" w:name="3.6__Procedimiento_"/>
      <w:bookmarkStart w:id="118" w:name="h.tb6bzgmbqbbp"/>
      <w:bookmarkEnd w:id="117"/>
      <w:bookmarkEnd w:id="118"/>
      <w:r>
        <w:rPr>
          <w:spacing w:val="-2"/>
        </w:rPr>
        <w:t>Procedimiento</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3" w:firstLine="720"/>
        <w:jc w:val="both"/>
      </w:pPr>
      <w:r>
        <w:t>La ejecución de la investigación siguió un rigor metodológ</w:t>
      </w:r>
      <w:r>
        <w:t xml:space="preserve">ico estructurado en cuatro fases secuenciales, diseñadas para asegurar la validez interna y externa de los </w:t>
      </w:r>
      <w:r>
        <w:rPr>
          <w:spacing w:val="-2"/>
        </w:rPr>
        <w:t>hallazgos:</w:t>
      </w:r>
    </w:p>
    <w:p w:rsidR="009B4BB4" w:rsidRDefault="00C44001" w:rsidP="00C44001">
      <w:pPr>
        <w:pStyle w:val="Prrafodelista"/>
        <w:numPr>
          <w:ilvl w:val="0"/>
          <w:numId w:val="42"/>
        </w:numPr>
        <w:tabs>
          <w:tab w:val="left" w:pos="1143"/>
          <w:tab w:val="left" w:pos="1145"/>
        </w:tabs>
        <w:spacing w:line="360" w:lineRule="auto"/>
        <w:ind w:right="605"/>
        <w:jc w:val="both"/>
      </w:pPr>
      <w:r>
        <w:rPr>
          <w:rFonts w:ascii="Arial" w:hAnsi="Arial"/>
          <w:b/>
        </w:rPr>
        <w:t xml:space="preserve">Diseño y validación piloto: </w:t>
      </w:r>
      <w:r>
        <w:t xml:space="preserve">Los instrumentos fueron elaborados a partir de la revisión documental previa (Capítulo 2) y los objetivos del </w:t>
      </w:r>
      <w:r>
        <w:t>plan de negocios. Posteriormente, se realizó una</w:t>
      </w:r>
      <w:r>
        <w:rPr>
          <w:spacing w:val="-4"/>
        </w:rPr>
        <w:t xml:space="preserve"> </w:t>
      </w:r>
      <w:r>
        <w:t>prueba</w:t>
      </w:r>
      <w:r>
        <w:rPr>
          <w:spacing w:val="-4"/>
        </w:rPr>
        <w:t xml:space="preserve"> </w:t>
      </w:r>
      <w:r>
        <w:t>piloto</w:t>
      </w:r>
      <w:r>
        <w:rPr>
          <w:spacing w:val="-4"/>
        </w:rPr>
        <w:t xml:space="preserve"> </w:t>
      </w:r>
      <w:r>
        <w:t>en</w:t>
      </w:r>
      <w:r>
        <w:rPr>
          <w:spacing w:val="-4"/>
        </w:rPr>
        <w:t xml:space="preserve"> </w:t>
      </w:r>
      <w:r>
        <w:t>campo</w:t>
      </w:r>
      <w:r>
        <w:rPr>
          <w:spacing w:val="-4"/>
        </w:rPr>
        <w:t xml:space="preserve"> </w:t>
      </w:r>
      <w:r>
        <w:t>para</w:t>
      </w:r>
      <w:r>
        <w:rPr>
          <w:spacing w:val="-4"/>
        </w:rPr>
        <w:t xml:space="preserve"> </w:t>
      </w:r>
      <w:r>
        <w:t>calibrar</w:t>
      </w:r>
      <w:r>
        <w:rPr>
          <w:spacing w:val="-4"/>
        </w:rPr>
        <w:t xml:space="preserve"> </w:t>
      </w:r>
      <w:r>
        <w:t>la</w:t>
      </w:r>
      <w:r>
        <w:rPr>
          <w:spacing w:val="-4"/>
        </w:rPr>
        <w:t xml:space="preserve"> </w:t>
      </w:r>
      <w:r>
        <w:t>claridad</w:t>
      </w:r>
      <w:r>
        <w:rPr>
          <w:spacing w:val="-4"/>
        </w:rPr>
        <w:t xml:space="preserve"> </w:t>
      </w:r>
      <w:r>
        <w:t>de la redacción, el orden lógico de</w:t>
      </w:r>
      <w:r>
        <w:rPr>
          <w:spacing w:val="-3"/>
        </w:rPr>
        <w:t xml:space="preserve"> </w:t>
      </w:r>
      <w:r>
        <w:t>los</w:t>
      </w:r>
      <w:r>
        <w:rPr>
          <w:spacing w:val="-3"/>
        </w:rPr>
        <w:t xml:space="preserve"> </w:t>
      </w:r>
      <w:r>
        <w:t>reactivos</w:t>
      </w:r>
      <w:r>
        <w:rPr>
          <w:spacing w:val="-3"/>
        </w:rPr>
        <w:t xml:space="preserve"> </w:t>
      </w:r>
      <w:r>
        <w:t>y</w:t>
      </w:r>
      <w:r>
        <w:rPr>
          <w:spacing w:val="-3"/>
        </w:rPr>
        <w:t xml:space="preserve"> </w:t>
      </w:r>
      <w:r>
        <w:t>optimizar</w:t>
      </w:r>
      <w:r>
        <w:rPr>
          <w:spacing w:val="-3"/>
        </w:rPr>
        <w:t xml:space="preserve"> </w:t>
      </w:r>
      <w:r>
        <w:t>los</w:t>
      </w:r>
      <w:r>
        <w:rPr>
          <w:spacing w:val="-3"/>
        </w:rPr>
        <w:t xml:space="preserve"> </w:t>
      </w:r>
      <w:r>
        <w:t>tiempos</w:t>
      </w:r>
      <w:r>
        <w:rPr>
          <w:spacing w:val="-3"/>
        </w:rPr>
        <w:t xml:space="preserve"> </w:t>
      </w:r>
      <w:r>
        <w:t>de</w:t>
      </w:r>
      <w:r>
        <w:rPr>
          <w:spacing w:val="-3"/>
        </w:rPr>
        <w:t xml:space="preserve"> </w:t>
      </w:r>
      <w:r>
        <w:t>respuesta del turista.</w:t>
      </w:r>
    </w:p>
    <w:p w:rsidR="009B4BB4" w:rsidRDefault="00C44001" w:rsidP="00C44001">
      <w:pPr>
        <w:pStyle w:val="Prrafodelista"/>
        <w:numPr>
          <w:ilvl w:val="0"/>
          <w:numId w:val="42"/>
        </w:numPr>
        <w:tabs>
          <w:tab w:val="left" w:pos="1143"/>
          <w:tab w:val="left" w:pos="1145"/>
        </w:tabs>
        <w:spacing w:line="360" w:lineRule="auto"/>
        <w:ind w:right="603"/>
        <w:jc w:val="both"/>
      </w:pPr>
      <w:r>
        <w:rPr>
          <w:rFonts w:ascii="Arial" w:hAnsi="Arial"/>
          <w:b/>
        </w:rPr>
        <w:t xml:space="preserve">Levantamiento: </w:t>
      </w:r>
      <w:r>
        <w:t>La aplicación de las encuestas se llevó a cabo mediante intercepción en puntos estratégicos de alta afluencia turística en Valladolid. Para mitigar sesgos de temporalidad o perfil</w:t>
      </w:r>
      <w:r>
        <w:rPr>
          <w:spacing w:val="-4"/>
        </w:rPr>
        <w:t xml:space="preserve"> </w:t>
      </w:r>
      <w:r>
        <w:t>de</w:t>
      </w:r>
      <w:r>
        <w:rPr>
          <w:spacing w:val="-4"/>
        </w:rPr>
        <w:t xml:space="preserve"> </w:t>
      </w:r>
      <w:r>
        <w:t>visitante,</w:t>
      </w:r>
      <w:r>
        <w:rPr>
          <w:spacing w:val="-4"/>
        </w:rPr>
        <w:t xml:space="preserve"> </w:t>
      </w:r>
      <w:r>
        <w:t>el</w:t>
      </w:r>
      <w:r>
        <w:rPr>
          <w:spacing w:val="-4"/>
        </w:rPr>
        <w:t xml:space="preserve"> </w:t>
      </w:r>
      <w:r>
        <w:t>despliegue</w:t>
      </w:r>
      <w:r>
        <w:rPr>
          <w:spacing w:val="-4"/>
        </w:rPr>
        <w:t xml:space="preserve"> </w:t>
      </w:r>
      <w:r>
        <w:t>se</w:t>
      </w:r>
      <w:r>
        <w:rPr>
          <w:spacing w:val="-4"/>
        </w:rPr>
        <w:t xml:space="preserve"> </w:t>
      </w:r>
      <w:r>
        <w:t>distribuyó</w:t>
      </w:r>
      <w:r>
        <w:rPr>
          <w:spacing w:val="-4"/>
        </w:rPr>
        <w:t xml:space="preserve"> </w:t>
      </w:r>
      <w:r>
        <w:t>en distintos bloques horarios.</w:t>
      </w:r>
    </w:p>
    <w:p w:rsidR="009B4BB4" w:rsidRDefault="00C44001" w:rsidP="00C44001">
      <w:pPr>
        <w:pStyle w:val="Prrafodelista"/>
        <w:numPr>
          <w:ilvl w:val="0"/>
          <w:numId w:val="42"/>
        </w:numPr>
        <w:tabs>
          <w:tab w:val="left" w:pos="1143"/>
          <w:tab w:val="left" w:pos="1145"/>
        </w:tabs>
        <w:spacing w:line="360" w:lineRule="auto"/>
        <w:ind w:right="602"/>
        <w:jc w:val="both"/>
      </w:pPr>
      <w:r>
        <w:rPr>
          <w:rFonts w:ascii="Arial" w:hAnsi="Arial"/>
          <w:b/>
        </w:rPr>
        <w:t xml:space="preserve">Entrevistas: </w:t>
      </w:r>
      <w:r>
        <w:t>Se efectuaron dos visitas presenciales de inmersión en la zona de estudio. Ante eventualidades operativas, como el cierre temporal de un meliponario, se demostró flexibilidad metodológica al adaptar una de las entrevistas al formato digital, l</w:t>
      </w:r>
      <w:r>
        <w:t xml:space="preserve">ogrando recabar información sin alterar el </w:t>
      </w:r>
      <w:r>
        <w:rPr>
          <w:spacing w:val="-2"/>
        </w:rPr>
        <w:t>cronograma.</w:t>
      </w:r>
    </w:p>
    <w:p w:rsidR="009B4BB4" w:rsidRDefault="00C44001" w:rsidP="00C44001">
      <w:pPr>
        <w:pStyle w:val="Prrafodelista"/>
        <w:numPr>
          <w:ilvl w:val="0"/>
          <w:numId w:val="42"/>
        </w:numPr>
        <w:tabs>
          <w:tab w:val="left" w:pos="1143"/>
          <w:tab w:val="left" w:pos="1145"/>
        </w:tabs>
        <w:spacing w:line="360" w:lineRule="auto"/>
        <w:ind w:right="604"/>
        <w:jc w:val="both"/>
      </w:pPr>
      <w:r>
        <w:rPr>
          <w:rFonts w:ascii="Arial" w:hAnsi="Arial"/>
          <w:b/>
        </w:rPr>
        <w:t xml:space="preserve">Procesamiento y triangulación: </w:t>
      </w:r>
      <w:r>
        <w:t>Los datos cuantitativos fueron sometidos a procesamiento y estadística descriptiva, mientras que las entrevistas</w:t>
      </w:r>
      <w:r>
        <w:rPr>
          <w:spacing w:val="-4"/>
        </w:rPr>
        <w:t xml:space="preserve"> </w:t>
      </w:r>
      <w:r>
        <w:t>pasaron</w:t>
      </w:r>
      <w:r>
        <w:rPr>
          <w:spacing w:val="-4"/>
        </w:rPr>
        <w:t xml:space="preserve"> </w:t>
      </w:r>
      <w:r>
        <w:t>por un análisis de contenido temático.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48"/>
        </w:numPr>
        <w:tabs>
          <w:tab w:val="left" w:pos="788"/>
        </w:tabs>
        <w:spacing w:before="79"/>
        <w:ind w:left="788" w:hanging="363"/>
        <w:jc w:val="left"/>
      </w:pPr>
      <w:bookmarkStart w:id="119" w:name="3.7_Conclusiones_"/>
      <w:bookmarkStart w:id="120" w:name="h.r5ykbe84n92p"/>
      <w:bookmarkEnd w:id="119"/>
      <w:bookmarkEnd w:id="120"/>
      <w:r>
        <w:rPr>
          <w:spacing w:val="-2"/>
        </w:rPr>
        <w:lastRenderedPageBreak/>
        <w:t>Conclusiones</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4" w:firstLine="720"/>
        <w:jc w:val="both"/>
      </w:pPr>
      <w:r>
        <w:t>El diseño metodológico garantiza que las decisiones del plan de negocios no se apoyan en supuestos sino en evidencia recogida directamente en Valladolid.</w:t>
      </w:r>
      <w:r>
        <w:rPr>
          <w:spacing w:val="-5"/>
        </w:rPr>
        <w:t xml:space="preserve"> </w:t>
      </w:r>
      <w:r>
        <w:t>La</w:t>
      </w:r>
      <w:r>
        <w:rPr>
          <w:spacing w:val="-5"/>
        </w:rPr>
        <w:t xml:space="preserve"> </w:t>
      </w:r>
      <w:r>
        <w:t>elección de un enfoque mixto demostró ser la vía más rigurosa para</w:t>
      </w:r>
      <w:r>
        <w:t xml:space="preserve"> abordar un modelo de</w:t>
      </w:r>
      <w:r>
        <w:rPr>
          <w:spacing w:val="40"/>
        </w:rPr>
        <w:t xml:space="preserve"> </w:t>
      </w:r>
      <w:r>
        <w:t>negocio biocultural, ya que permitió cuantificar la viabilidad comercial y cualificar</w:t>
      </w:r>
      <w:r>
        <w:rPr>
          <w:spacing w:val="-3"/>
        </w:rPr>
        <w:t xml:space="preserve"> </w:t>
      </w:r>
      <w:r>
        <w:t>el</w:t>
      </w:r>
      <w:r>
        <w:rPr>
          <w:spacing w:val="-3"/>
        </w:rPr>
        <w:t xml:space="preserve"> </w:t>
      </w:r>
      <w:r>
        <w:t>valor simbólico del producto.</w:t>
      </w:r>
    </w:p>
    <w:p w:rsidR="009B4BB4" w:rsidRDefault="00C44001">
      <w:pPr>
        <w:pStyle w:val="Textoindependiente"/>
        <w:spacing w:line="360" w:lineRule="auto"/>
        <w:ind w:left="425" w:right="604" w:firstLine="720"/>
        <w:jc w:val="both"/>
      </w:pPr>
      <w:r>
        <w:t>Desde la perspectiva cuantitativa, haber superado la muestra teórica requerida, logrando 392 encuestas válidas medi</w:t>
      </w:r>
      <w:r>
        <w:t>ante un muestreo estratificado, asegura la validez estadística necesaria para proyectar la demanda, segmentar al consumidor y definir los umbrales de disposición a pagar sin sesgos comerciales. Por otra parte, la inmersión cualitativa a través de entrevist</w:t>
      </w:r>
      <w:r>
        <w:t>as con</w:t>
      </w:r>
      <w:r>
        <w:rPr>
          <w:spacing w:val="-4"/>
        </w:rPr>
        <w:t xml:space="preserve"> </w:t>
      </w:r>
      <w:r>
        <w:t>productores</w:t>
      </w:r>
      <w:r>
        <w:rPr>
          <w:spacing w:val="-4"/>
        </w:rPr>
        <w:t xml:space="preserve"> </w:t>
      </w:r>
      <w:r>
        <w:t>y</w:t>
      </w:r>
      <w:r>
        <w:rPr>
          <w:spacing w:val="-4"/>
        </w:rPr>
        <w:t xml:space="preserve"> </w:t>
      </w:r>
      <w:r>
        <w:t>comercializadores</w:t>
      </w:r>
      <w:r>
        <w:rPr>
          <w:spacing w:val="-4"/>
        </w:rPr>
        <w:t xml:space="preserve"> </w:t>
      </w:r>
      <w:r>
        <w:t>locales</w:t>
      </w:r>
      <w:r>
        <w:rPr>
          <w:spacing w:val="-4"/>
        </w:rPr>
        <w:t xml:space="preserve"> </w:t>
      </w:r>
      <w:r>
        <w:t>cumplió</w:t>
      </w:r>
      <w:r>
        <w:rPr>
          <w:spacing w:val="-4"/>
        </w:rPr>
        <w:t xml:space="preserve"> </w:t>
      </w:r>
      <w:r>
        <w:t>el propósito vital de mapear la viabilidad operativa, las barreras de</w:t>
      </w:r>
      <w:r>
        <w:rPr>
          <w:spacing w:val="-3"/>
        </w:rPr>
        <w:t xml:space="preserve"> </w:t>
      </w:r>
      <w:r>
        <w:t>la</w:t>
      </w:r>
      <w:r>
        <w:rPr>
          <w:spacing w:val="-3"/>
        </w:rPr>
        <w:t xml:space="preserve"> </w:t>
      </w:r>
      <w:r>
        <w:t>cadena</w:t>
      </w:r>
      <w:r>
        <w:rPr>
          <w:spacing w:val="-3"/>
        </w:rPr>
        <w:t xml:space="preserve"> </w:t>
      </w:r>
      <w:r>
        <w:t>de</w:t>
      </w:r>
      <w:r>
        <w:rPr>
          <w:spacing w:val="-3"/>
        </w:rPr>
        <w:t xml:space="preserve"> </w:t>
      </w:r>
      <w:r>
        <w:t>suministro</w:t>
      </w:r>
      <w:r>
        <w:rPr>
          <w:spacing w:val="40"/>
        </w:rPr>
        <w:t xml:space="preserve"> </w:t>
      </w:r>
      <w:r>
        <w:t>y la autenticidad de la narrativa de origen.</w:t>
      </w:r>
    </w:p>
    <w:p w:rsidR="009B4BB4" w:rsidRDefault="00C44001">
      <w:pPr>
        <w:pStyle w:val="Textoindependiente"/>
        <w:spacing w:line="360" w:lineRule="auto"/>
        <w:ind w:left="425" w:right="614" w:firstLine="720"/>
        <w:jc w:val="both"/>
      </w:pPr>
      <w:r>
        <w:t>En conjunto, este marco metodológico posibilita una triangulación efectiva de la información: contrastar las expectativas y el poder adquisitivo del mercado</w:t>
      </w:r>
      <w:r>
        <w:rPr>
          <w:spacing w:val="-3"/>
        </w:rPr>
        <w:t xml:space="preserve"> </w:t>
      </w:r>
      <w:r>
        <w:t>meta</w:t>
      </w:r>
      <w:r>
        <w:rPr>
          <w:spacing w:val="-3"/>
        </w:rPr>
        <w:t xml:space="preserve"> </w:t>
      </w:r>
      <w:r>
        <w:t>frente</w:t>
      </w:r>
      <w:r>
        <w:rPr>
          <w:spacing w:val="-3"/>
        </w:rPr>
        <w:t xml:space="preserve"> </w:t>
      </w:r>
      <w:r>
        <w:t>a las capacidades, costos y realidades del ecosistema meliponario en Valladolid.</w:t>
      </w:r>
    </w:p>
    <w:p w:rsidR="009B4BB4" w:rsidRDefault="00C44001">
      <w:pPr>
        <w:pStyle w:val="Textoindependiente"/>
        <w:spacing w:line="360" w:lineRule="auto"/>
        <w:ind w:left="425" w:right="604" w:firstLine="720"/>
        <w:jc w:val="both"/>
      </w:pPr>
      <w:r>
        <w:t>Con la</w:t>
      </w:r>
      <w:r>
        <w:t xml:space="preserve"> estructura de investigación validada y el trabajo de campo concluido, el Capítulo 4 desglosa el Análisis de Resultados. En el que se presentan los hallazgos estadísticos y</w:t>
      </w:r>
      <w:r>
        <w:rPr>
          <w:spacing w:val="-4"/>
        </w:rPr>
        <w:t xml:space="preserve"> </w:t>
      </w:r>
      <w:r>
        <w:t>cualitativos</w:t>
      </w:r>
      <w:r>
        <w:rPr>
          <w:spacing w:val="-4"/>
        </w:rPr>
        <w:t xml:space="preserve"> </w:t>
      </w:r>
      <w:r>
        <w:t>obtenidos,</w:t>
      </w:r>
      <w:r>
        <w:rPr>
          <w:spacing w:val="-4"/>
        </w:rPr>
        <w:t xml:space="preserve"> </w:t>
      </w:r>
      <w:r>
        <w:t>traduciendo</w:t>
      </w:r>
      <w:r>
        <w:rPr>
          <w:spacing w:val="-4"/>
        </w:rPr>
        <w:t xml:space="preserve"> </w:t>
      </w:r>
      <w:r>
        <w:t>los</w:t>
      </w:r>
      <w:r>
        <w:rPr>
          <w:spacing w:val="-4"/>
        </w:rPr>
        <w:t xml:space="preserve"> </w:t>
      </w:r>
      <w:r>
        <w:t>datos</w:t>
      </w:r>
      <w:r>
        <w:rPr>
          <w:spacing w:val="-4"/>
        </w:rPr>
        <w:t xml:space="preserve"> </w:t>
      </w:r>
      <w:r>
        <w:t>brutos</w:t>
      </w:r>
      <w:r>
        <w:rPr>
          <w:spacing w:val="-4"/>
        </w:rPr>
        <w:t xml:space="preserve"> </w:t>
      </w:r>
      <w:r>
        <w:t>en</w:t>
      </w:r>
      <w:r>
        <w:rPr>
          <w:spacing w:val="-4"/>
        </w:rPr>
        <w:t xml:space="preserve"> </w:t>
      </w:r>
      <w:r>
        <w:t>insights</w:t>
      </w:r>
      <w:r>
        <w:rPr>
          <w:spacing w:val="-4"/>
        </w:rPr>
        <w:t xml:space="preserve"> </w:t>
      </w:r>
      <w:r>
        <w:t>estratégicos que d</w:t>
      </w:r>
      <w:r>
        <w:t>ictarán el diseño final del producto, la estrategia de comercialización y la</w:t>
      </w:r>
      <w:r>
        <w:rPr>
          <w:spacing w:val="40"/>
        </w:rPr>
        <w:t xml:space="preserve"> </w:t>
      </w:r>
      <w:r>
        <w:t>modelación financiera del proyecto.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line="360" w:lineRule="auto"/>
        <w:ind w:left="3201" w:right="3274" w:firstLine="1090"/>
      </w:pPr>
      <w:bookmarkStart w:id="121" w:name="Capítulo_4​Resultados_de_la_Investigació"/>
      <w:bookmarkStart w:id="122" w:name="h.f86o2baiftea"/>
      <w:bookmarkEnd w:id="121"/>
      <w:bookmarkEnd w:id="122"/>
      <w:r>
        <w:lastRenderedPageBreak/>
        <w:t>Capítulo 4 Resultados</w:t>
      </w:r>
      <w:r>
        <w:rPr>
          <w:spacing w:val="-14"/>
        </w:rPr>
        <w:t xml:space="preserve"> </w:t>
      </w:r>
      <w:r>
        <w:t>de</w:t>
      </w:r>
      <w:r>
        <w:rPr>
          <w:spacing w:val="-14"/>
        </w:rPr>
        <w:t xml:space="preserve"> </w:t>
      </w:r>
      <w:r>
        <w:t>la</w:t>
      </w:r>
      <w:r>
        <w:rPr>
          <w:spacing w:val="-14"/>
        </w:rPr>
        <w:t xml:space="preserve"> </w:t>
      </w:r>
      <w:r>
        <w:t>Investigación</w:t>
      </w:r>
    </w:p>
    <w:p w:rsidR="009B4BB4" w:rsidRDefault="00C44001">
      <w:pPr>
        <w:pStyle w:val="Textoindependiente"/>
        <w:spacing w:line="360" w:lineRule="auto"/>
        <w:ind w:left="425" w:right="602" w:firstLine="720"/>
        <w:jc w:val="both"/>
      </w:pPr>
      <w:r>
        <w:t>Este capítulo</w:t>
      </w:r>
      <w:r>
        <w:rPr>
          <w:spacing w:val="-4"/>
        </w:rPr>
        <w:t xml:space="preserve"> </w:t>
      </w:r>
      <w:r>
        <w:t>presenta</w:t>
      </w:r>
      <w:r>
        <w:rPr>
          <w:spacing w:val="-4"/>
        </w:rPr>
        <w:t xml:space="preserve"> </w:t>
      </w:r>
      <w:r>
        <w:t>la</w:t>
      </w:r>
      <w:r>
        <w:rPr>
          <w:spacing w:val="-4"/>
        </w:rPr>
        <w:t xml:space="preserve"> </w:t>
      </w:r>
      <w:r>
        <w:t>validación</w:t>
      </w:r>
      <w:r>
        <w:rPr>
          <w:spacing w:val="-4"/>
        </w:rPr>
        <w:t xml:space="preserve"> </w:t>
      </w:r>
      <w:r>
        <w:t>empírica</w:t>
      </w:r>
      <w:r>
        <w:rPr>
          <w:spacing w:val="-4"/>
        </w:rPr>
        <w:t xml:space="preserve"> </w:t>
      </w:r>
      <w:r>
        <w:t>del</w:t>
      </w:r>
      <w:r>
        <w:rPr>
          <w:spacing w:val="-4"/>
        </w:rPr>
        <w:t xml:space="preserve"> </w:t>
      </w:r>
      <w:r>
        <w:t>modelo</w:t>
      </w:r>
      <w:r>
        <w:rPr>
          <w:spacing w:val="-4"/>
        </w:rPr>
        <w:t xml:space="preserve"> </w:t>
      </w:r>
      <w:r>
        <w:t>de</w:t>
      </w:r>
      <w:r>
        <w:rPr>
          <w:spacing w:val="-4"/>
        </w:rPr>
        <w:t xml:space="preserve"> </w:t>
      </w:r>
      <w:r>
        <w:t>negocio</w:t>
      </w:r>
      <w:r>
        <w:rPr>
          <w:spacing w:val="-4"/>
        </w:rPr>
        <w:t xml:space="preserve"> </w:t>
      </w:r>
      <w:r>
        <w:t>de</w:t>
      </w:r>
      <w:r>
        <w:rPr>
          <w:spacing w:val="-4"/>
        </w:rPr>
        <w:t xml:space="preserve"> </w:t>
      </w:r>
      <w:r>
        <w:t>Guardiana a</w:t>
      </w:r>
      <w:r>
        <w:rPr>
          <w:spacing w:val="-2"/>
        </w:rPr>
        <w:t xml:space="preserve"> </w:t>
      </w:r>
      <w:r>
        <w:t>partir</w:t>
      </w:r>
      <w:r>
        <w:rPr>
          <w:spacing w:val="-2"/>
        </w:rPr>
        <w:t xml:space="preserve"> </w:t>
      </w:r>
      <w:r>
        <w:t>del</w:t>
      </w:r>
      <w:r>
        <w:rPr>
          <w:spacing w:val="-2"/>
        </w:rPr>
        <w:t xml:space="preserve"> </w:t>
      </w:r>
      <w:r>
        <w:t>análisis</w:t>
      </w:r>
      <w:r>
        <w:rPr>
          <w:spacing w:val="-2"/>
        </w:rPr>
        <w:t xml:space="preserve"> </w:t>
      </w:r>
      <w:r>
        <w:t>de</w:t>
      </w:r>
      <w:r>
        <w:rPr>
          <w:spacing w:val="-2"/>
        </w:rPr>
        <w:t xml:space="preserve"> </w:t>
      </w:r>
      <w:r>
        <w:t>los</w:t>
      </w:r>
      <w:r>
        <w:rPr>
          <w:spacing w:val="-2"/>
        </w:rPr>
        <w:t xml:space="preserve"> </w:t>
      </w:r>
      <w:r>
        <w:t>resultados</w:t>
      </w:r>
      <w:r>
        <w:rPr>
          <w:spacing w:val="-2"/>
        </w:rPr>
        <w:t xml:space="preserve"> </w:t>
      </w:r>
      <w:r>
        <w:t>del</w:t>
      </w:r>
      <w:r>
        <w:rPr>
          <w:spacing w:val="-2"/>
        </w:rPr>
        <w:t xml:space="preserve"> </w:t>
      </w:r>
      <w:r>
        <w:t>trabajo</w:t>
      </w:r>
      <w:r>
        <w:rPr>
          <w:spacing w:val="-2"/>
        </w:rPr>
        <w:t xml:space="preserve"> </w:t>
      </w:r>
      <w:r>
        <w:t>de</w:t>
      </w:r>
      <w:r>
        <w:rPr>
          <w:spacing w:val="-2"/>
        </w:rPr>
        <w:t xml:space="preserve"> </w:t>
      </w:r>
      <w:r>
        <w:t>campo.</w:t>
      </w:r>
      <w:r>
        <w:rPr>
          <w:spacing w:val="-2"/>
        </w:rPr>
        <w:t xml:space="preserve"> </w:t>
      </w:r>
      <w:r>
        <w:t>El</w:t>
      </w:r>
      <w:r>
        <w:rPr>
          <w:spacing w:val="-2"/>
        </w:rPr>
        <w:t xml:space="preserve"> </w:t>
      </w:r>
      <w:r>
        <w:t>objetivo</w:t>
      </w:r>
      <w:r>
        <w:rPr>
          <w:spacing w:val="-2"/>
        </w:rPr>
        <w:t xml:space="preserve"> </w:t>
      </w:r>
      <w:r>
        <w:t>central</w:t>
      </w:r>
      <w:r>
        <w:rPr>
          <w:spacing w:val="-2"/>
        </w:rPr>
        <w:t xml:space="preserve"> </w:t>
      </w:r>
      <w:r>
        <w:t>es</w:t>
      </w:r>
      <w:r>
        <w:rPr>
          <w:spacing w:val="-2"/>
        </w:rPr>
        <w:t xml:space="preserve"> </w:t>
      </w:r>
      <w:r>
        <w:t>entender el perfil del consumidor, su comportamiento, sus barreras de</w:t>
      </w:r>
      <w:r>
        <w:rPr>
          <w:spacing w:val="-4"/>
        </w:rPr>
        <w:t xml:space="preserve"> </w:t>
      </w:r>
      <w:r>
        <w:t>percepción</w:t>
      </w:r>
      <w:r>
        <w:rPr>
          <w:spacing w:val="-4"/>
        </w:rPr>
        <w:t xml:space="preserve"> </w:t>
      </w:r>
      <w:r>
        <w:t>y</w:t>
      </w:r>
      <w:r>
        <w:rPr>
          <w:spacing w:val="-4"/>
        </w:rPr>
        <w:t xml:space="preserve"> </w:t>
      </w:r>
      <w:r>
        <w:t>su</w:t>
      </w:r>
      <w:r>
        <w:rPr>
          <w:spacing w:val="-4"/>
        </w:rPr>
        <w:t xml:space="preserve"> </w:t>
      </w:r>
      <w:r>
        <w:t>disposición a pagar. Estos hallazgos sirven como base para definir las estrategias comerciales, el posicionamiento de marca y las proyecciones financieras del proyecto.</w:t>
      </w:r>
    </w:p>
    <w:p w:rsidR="009B4BB4" w:rsidRDefault="00C44001">
      <w:pPr>
        <w:pStyle w:val="Textoindependiente"/>
        <w:spacing w:line="360" w:lineRule="auto"/>
        <w:ind w:left="425" w:right="604" w:firstLine="720"/>
        <w:jc w:val="both"/>
      </w:pPr>
      <w:r>
        <w:t>En la fase cuantitativa se procesaron 392 encuestas aplicadas a visitantes y residentes</w:t>
      </w:r>
      <w:r>
        <w:t xml:space="preserve"> de Valladolid, Yucatán, lo que permite contar con una muestra representativa del flujo turístico de la zona. El levantamiento de datos se realizó en agosto</w:t>
      </w:r>
      <w:r>
        <w:rPr>
          <w:spacing w:val="-3"/>
        </w:rPr>
        <w:t xml:space="preserve"> </w:t>
      </w:r>
      <w:r>
        <w:t>de</w:t>
      </w:r>
      <w:r>
        <w:rPr>
          <w:spacing w:val="-3"/>
        </w:rPr>
        <w:t xml:space="preserve"> </w:t>
      </w:r>
      <w:r>
        <w:t>2025,</w:t>
      </w:r>
      <w:r>
        <w:rPr>
          <w:spacing w:val="-3"/>
        </w:rPr>
        <w:t xml:space="preserve"> </w:t>
      </w:r>
      <w:r>
        <w:t>en diferentes</w:t>
      </w:r>
      <w:r>
        <w:rPr>
          <w:spacing w:val="-4"/>
        </w:rPr>
        <w:t xml:space="preserve"> </w:t>
      </w:r>
      <w:r>
        <w:t>horarios</w:t>
      </w:r>
      <w:r>
        <w:rPr>
          <w:spacing w:val="-4"/>
        </w:rPr>
        <w:t xml:space="preserve"> </w:t>
      </w:r>
      <w:r>
        <w:t>y</w:t>
      </w:r>
      <w:r>
        <w:rPr>
          <w:spacing w:val="-4"/>
        </w:rPr>
        <w:t xml:space="preserve"> </w:t>
      </w:r>
      <w:r>
        <w:t>puntos</w:t>
      </w:r>
      <w:r>
        <w:rPr>
          <w:spacing w:val="-4"/>
        </w:rPr>
        <w:t xml:space="preserve"> </w:t>
      </w:r>
      <w:r>
        <w:t>de</w:t>
      </w:r>
      <w:r>
        <w:rPr>
          <w:spacing w:val="-4"/>
        </w:rPr>
        <w:t xml:space="preserve"> </w:t>
      </w:r>
      <w:r>
        <w:t>alta</w:t>
      </w:r>
      <w:r>
        <w:rPr>
          <w:spacing w:val="-4"/>
        </w:rPr>
        <w:t xml:space="preserve"> </w:t>
      </w:r>
      <w:r>
        <w:t>afluencia</w:t>
      </w:r>
      <w:r>
        <w:rPr>
          <w:spacing w:val="-4"/>
        </w:rPr>
        <w:t xml:space="preserve"> </w:t>
      </w:r>
      <w:r>
        <w:t>como</w:t>
      </w:r>
      <w:r>
        <w:rPr>
          <w:spacing w:val="-4"/>
        </w:rPr>
        <w:t xml:space="preserve"> </w:t>
      </w:r>
      <w:r>
        <w:t>el</w:t>
      </w:r>
      <w:r>
        <w:rPr>
          <w:spacing w:val="-4"/>
        </w:rPr>
        <w:t xml:space="preserve"> </w:t>
      </w:r>
      <w:r>
        <w:t>centro</w:t>
      </w:r>
      <w:r>
        <w:rPr>
          <w:spacing w:val="-4"/>
        </w:rPr>
        <w:t xml:space="preserve"> </w:t>
      </w:r>
      <w:r>
        <w:t>histórico,</w:t>
      </w:r>
      <w:r>
        <w:rPr>
          <w:spacing w:val="-4"/>
        </w:rPr>
        <w:t xml:space="preserve"> </w:t>
      </w:r>
      <w:r>
        <w:t>mercados</w:t>
      </w:r>
      <w:r>
        <w:rPr>
          <w:spacing w:val="-4"/>
        </w:rPr>
        <w:t xml:space="preserve"> </w:t>
      </w:r>
      <w:r>
        <w:t>local</w:t>
      </w:r>
      <w:r>
        <w:t>es</w:t>
      </w:r>
      <w:r>
        <w:rPr>
          <w:spacing w:val="-4"/>
        </w:rPr>
        <w:t xml:space="preserve"> </w:t>
      </w:r>
      <w:r>
        <w:t>y estación de autobuses, para reducir sesgos relacionados con el momento de visita y el perfil del visitante. El instrumento incluyó preguntas cerradas, escalas tipo Likert y módulos de valoración, considerando variables sociodemográficas, hábitos de co</w:t>
      </w:r>
      <w:r>
        <w:t>nsumo, percepción de valor e intención de compra.</w:t>
      </w:r>
    </w:p>
    <w:p w:rsidR="009B4BB4" w:rsidRDefault="00C44001">
      <w:pPr>
        <w:pStyle w:val="Textoindependiente"/>
        <w:spacing w:line="360" w:lineRule="auto"/>
        <w:ind w:left="425" w:right="605" w:firstLine="720"/>
        <w:jc w:val="both"/>
      </w:pPr>
      <w:r>
        <w:t>De forma complementaria, la fase cualitativa incluyó tres entrevistas semiestructuradas en profundidad: dos aplicadas a productores locales, el eslabón de origen, y una a un intermediario comercial, el esla</w:t>
      </w:r>
      <w:r>
        <w:t xml:space="preserve">bón de distribución. Esta triangulación permite complementar los datos cuantitativos con la realidad operativa, permite enriquecer los datos estadísticos con la perspectiva real sobre los retos operativos, la autenticidad del producto y la dinámica de los </w:t>
      </w:r>
      <w:r>
        <w:t>canales de comercialización.</w:t>
      </w:r>
    </w:p>
    <w:p w:rsidR="009B4BB4" w:rsidRDefault="00C44001">
      <w:pPr>
        <w:pStyle w:val="Textoindependiente"/>
        <w:spacing w:line="360" w:lineRule="auto"/>
        <w:ind w:left="425" w:right="604" w:firstLine="720"/>
        <w:jc w:val="both"/>
      </w:pPr>
      <w:r>
        <w:t>Finalmente, los resultados permiten entender la percepción del consumidor en Valladolid, utilizando este destino como un micromercado representativo del corredor turístico de Yucatán y Quintana Roo. Los insights obtenidos valid</w:t>
      </w:r>
      <w:r>
        <w:t xml:space="preserve">an la viabilidad de una estrategia </w:t>
      </w:r>
      <w:r>
        <w:rPr>
          <w:rFonts w:ascii="Arial" w:hAnsi="Arial"/>
          <w:i/>
        </w:rPr>
        <w:t xml:space="preserve">premium </w:t>
      </w:r>
      <w:r>
        <w:t>y sostenible, consolidándose como los insumos directos para el diseño de la estrategia de marketing y las proyecciones económicas que se desarrollan en los capítulos subsiguientes.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41"/>
        </w:numPr>
        <w:tabs>
          <w:tab w:val="left" w:pos="788"/>
        </w:tabs>
        <w:spacing w:before="79"/>
        <w:ind w:left="788" w:hanging="363"/>
      </w:pPr>
      <w:bookmarkStart w:id="123" w:name="4.1_Perfil_de_los_encuestados_"/>
      <w:bookmarkStart w:id="124" w:name="h.6opribx1kl5s"/>
      <w:bookmarkEnd w:id="123"/>
      <w:bookmarkEnd w:id="124"/>
      <w:r>
        <w:lastRenderedPageBreak/>
        <w:t>Perfil</w:t>
      </w:r>
      <w:r>
        <w:rPr>
          <w:spacing w:val="-4"/>
        </w:rPr>
        <w:t xml:space="preserve"> </w:t>
      </w:r>
      <w:r>
        <w:t>de</w:t>
      </w:r>
      <w:r>
        <w:rPr>
          <w:spacing w:val="-4"/>
        </w:rPr>
        <w:t xml:space="preserve"> </w:t>
      </w:r>
      <w:r>
        <w:t>los</w:t>
      </w:r>
      <w:r>
        <w:rPr>
          <w:spacing w:val="-3"/>
        </w:rPr>
        <w:t xml:space="preserve"> </w:t>
      </w:r>
      <w:r>
        <w:rPr>
          <w:spacing w:val="-2"/>
        </w:rPr>
        <w:t>encuestados</w:t>
      </w:r>
    </w:p>
    <w:p w:rsidR="009B4BB4" w:rsidRDefault="009B4BB4">
      <w:pPr>
        <w:pStyle w:val="Textoindependiente"/>
        <w:spacing w:before="113"/>
        <w:rPr>
          <w:rFonts w:ascii="Arial"/>
          <w:b/>
        </w:rPr>
      </w:pPr>
    </w:p>
    <w:p w:rsidR="009B4BB4" w:rsidRDefault="00C44001" w:rsidP="00C44001">
      <w:pPr>
        <w:pStyle w:val="Ttulo2"/>
        <w:numPr>
          <w:ilvl w:val="2"/>
          <w:numId w:val="41"/>
        </w:numPr>
        <w:tabs>
          <w:tab w:val="left" w:pos="745"/>
        </w:tabs>
        <w:spacing w:before="1"/>
        <w:ind w:left="745" w:hanging="545"/>
      </w:pPr>
      <w:bookmarkStart w:id="125" w:name="4.1.1_Procedencia_y_representatividad_de"/>
      <w:bookmarkStart w:id="126" w:name="h.bzsd362t5dmo"/>
      <w:bookmarkEnd w:id="125"/>
      <w:bookmarkEnd w:id="126"/>
      <w:r>
        <w:t>Procedencia</w:t>
      </w:r>
      <w:r>
        <w:rPr>
          <w:spacing w:val="-7"/>
        </w:rPr>
        <w:t xml:space="preserve"> </w:t>
      </w:r>
      <w:r>
        <w:t>y</w:t>
      </w:r>
      <w:r>
        <w:rPr>
          <w:spacing w:val="-7"/>
        </w:rPr>
        <w:t xml:space="preserve"> </w:t>
      </w:r>
      <w:r>
        <w:t>representatividad</w:t>
      </w:r>
      <w:r>
        <w:rPr>
          <w:spacing w:val="-6"/>
        </w:rPr>
        <w:t xml:space="preserve"> </w:t>
      </w:r>
      <w:r>
        <w:t>de</w:t>
      </w:r>
      <w:r>
        <w:rPr>
          <w:spacing w:val="-7"/>
        </w:rPr>
        <w:t xml:space="preserve"> </w:t>
      </w:r>
      <w:r>
        <w:t>la</w:t>
      </w:r>
      <w:r>
        <w:rPr>
          <w:spacing w:val="-6"/>
        </w:rPr>
        <w:t xml:space="preserve"> </w:t>
      </w:r>
      <w:r>
        <w:rPr>
          <w:spacing w:val="-2"/>
        </w:rPr>
        <w:t>muestra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8" w:firstLine="720"/>
        <w:jc w:val="both"/>
      </w:pPr>
      <w:r>
        <w:t>El 89% de la muestra se compone de visitantes, lo que valida el enfoque del estudio en el mercado turístico. Mientras que este grupo define la disposición de pago inmediata por concepto</w:t>
      </w:r>
      <w:r>
        <w:rPr>
          <w:spacing w:val="-5"/>
        </w:rPr>
        <w:t xml:space="preserve"> </w:t>
      </w:r>
      <w:r>
        <w:t>de</w:t>
      </w:r>
      <w:r>
        <w:rPr>
          <w:spacing w:val="-5"/>
        </w:rPr>
        <w:t xml:space="preserve"> </w:t>
      </w:r>
      <w:r>
        <w:t>experiencia</w:t>
      </w:r>
      <w:r>
        <w:rPr>
          <w:spacing w:val="-5"/>
        </w:rPr>
        <w:t xml:space="preserve"> </w:t>
      </w:r>
      <w:r>
        <w:t>y</w:t>
      </w:r>
      <w:r>
        <w:rPr>
          <w:spacing w:val="-5"/>
        </w:rPr>
        <w:t xml:space="preserve"> </w:t>
      </w:r>
      <w:r>
        <w:t>souvenir,</w:t>
      </w:r>
      <w:r>
        <w:rPr>
          <w:spacing w:val="-5"/>
        </w:rPr>
        <w:t xml:space="preserve"> </w:t>
      </w:r>
      <w:r>
        <w:t>el</w:t>
      </w:r>
      <w:r>
        <w:rPr>
          <w:spacing w:val="-5"/>
        </w:rPr>
        <w:t xml:space="preserve"> </w:t>
      </w:r>
      <w:r>
        <w:t>11%</w:t>
      </w:r>
      <w:r>
        <w:rPr>
          <w:spacing w:val="-5"/>
        </w:rPr>
        <w:t xml:space="preserve"> </w:t>
      </w:r>
      <w:r>
        <w:t>de</w:t>
      </w:r>
      <w:r>
        <w:rPr>
          <w:spacing w:val="-5"/>
        </w:rPr>
        <w:t xml:space="preserve"> </w:t>
      </w:r>
      <w:r>
        <w:t>residentes</w:t>
      </w:r>
      <w:r>
        <w:rPr>
          <w:spacing w:val="-5"/>
        </w:rPr>
        <w:t xml:space="preserve"> </w:t>
      </w:r>
      <w:r>
        <w:t>locales</w:t>
      </w:r>
      <w:r>
        <w:rPr>
          <w:spacing w:val="-5"/>
        </w:rPr>
        <w:t xml:space="preserve"> </w:t>
      </w:r>
      <w:r>
        <w:t>aporta</w:t>
      </w:r>
      <w:r>
        <w:rPr>
          <w:spacing w:val="-5"/>
        </w:rPr>
        <w:t xml:space="preserve"> </w:t>
      </w:r>
      <w:r>
        <w:t>un contraste necesario para proyectar la demanda recurrente y la sostenibilidad del</w:t>
      </w:r>
      <w:r>
        <w:rPr>
          <w:spacing w:val="-3"/>
        </w:rPr>
        <w:t xml:space="preserve"> </w:t>
      </w:r>
      <w:r>
        <w:t>modelo de negocio fuera de las temporadas altas.</w:t>
      </w:r>
    </w:p>
    <w:p w:rsidR="009B4BB4" w:rsidRDefault="00C44001">
      <w:pPr>
        <w:pStyle w:val="Ttulo1"/>
        <w:spacing w:before="240"/>
        <w:ind w:left="425"/>
      </w:pPr>
      <w:r>
        <w:t>Figura</w:t>
      </w:r>
      <w:r>
        <w:rPr>
          <w:spacing w:val="-6"/>
        </w:rPr>
        <w:t xml:space="preserve"> </w:t>
      </w:r>
      <w:r>
        <w:rPr>
          <w:spacing w:val="-5"/>
        </w:rPr>
        <w:t>4.1</w:t>
      </w:r>
    </w:p>
    <w:p w:rsidR="009B4BB4" w:rsidRDefault="00C44001">
      <w:pPr>
        <w:spacing w:before="38"/>
        <w:ind w:left="425"/>
        <w:rPr>
          <w:rFonts w:ascii="Arial" w:hAnsi="Arial"/>
          <w:i/>
        </w:rPr>
      </w:pPr>
      <w:r>
        <w:rPr>
          <w:rFonts w:ascii="Arial" w:hAnsi="Arial"/>
          <w:i/>
        </w:rPr>
        <w:t>Composición</w:t>
      </w:r>
      <w:r>
        <w:rPr>
          <w:rFonts w:ascii="Arial" w:hAnsi="Arial"/>
          <w:i/>
          <w:spacing w:val="-10"/>
        </w:rPr>
        <w:t xml:space="preserve"> </w:t>
      </w:r>
      <w:r>
        <w:rPr>
          <w:rFonts w:ascii="Arial" w:hAnsi="Arial"/>
          <w:i/>
        </w:rPr>
        <w:t>porcentual</w:t>
      </w:r>
      <w:r>
        <w:rPr>
          <w:rFonts w:ascii="Arial" w:hAnsi="Arial"/>
          <w:i/>
          <w:spacing w:val="-8"/>
        </w:rPr>
        <w:t xml:space="preserve"> </w:t>
      </w:r>
      <w:r>
        <w:rPr>
          <w:rFonts w:ascii="Arial" w:hAnsi="Arial"/>
          <w:i/>
        </w:rPr>
        <w:t>del</w:t>
      </w:r>
      <w:r>
        <w:rPr>
          <w:rFonts w:ascii="Arial" w:hAnsi="Arial"/>
          <w:i/>
          <w:spacing w:val="-8"/>
        </w:rPr>
        <w:t xml:space="preserve"> </w:t>
      </w:r>
      <w:r>
        <w:rPr>
          <w:rFonts w:ascii="Arial" w:hAnsi="Arial"/>
          <w:i/>
        </w:rPr>
        <w:t>mercado</w:t>
      </w:r>
      <w:r>
        <w:rPr>
          <w:rFonts w:ascii="Arial" w:hAnsi="Arial"/>
          <w:i/>
          <w:spacing w:val="-8"/>
        </w:rPr>
        <w:t xml:space="preserve"> </w:t>
      </w:r>
      <w:r>
        <w:rPr>
          <w:rFonts w:ascii="Arial" w:hAnsi="Arial"/>
          <w:i/>
        </w:rPr>
        <w:t>objetivo:</w:t>
      </w:r>
      <w:r>
        <w:rPr>
          <w:rFonts w:ascii="Arial" w:hAnsi="Arial"/>
          <w:i/>
          <w:spacing w:val="-8"/>
        </w:rPr>
        <w:t xml:space="preserve"> </w:t>
      </w:r>
      <w:r>
        <w:rPr>
          <w:rFonts w:ascii="Arial" w:hAnsi="Arial"/>
          <w:i/>
        </w:rPr>
        <w:t>Visitantes</w:t>
      </w:r>
      <w:r>
        <w:rPr>
          <w:rFonts w:ascii="Arial" w:hAnsi="Arial"/>
          <w:i/>
          <w:spacing w:val="-8"/>
        </w:rPr>
        <w:t xml:space="preserve"> </w:t>
      </w:r>
      <w:r>
        <w:rPr>
          <w:rFonts w:ascii="Arial" w:hAnsi="Arial"/>
          <w:i/>
        </w:rPr>
        <w:t>frente</w:t>
      </w:r>
      <w:r>
        <w:rPr>
          <w:rFonts w:ascii="Arial" w:hAnsi="Arial"/>
          <w:i/>
          <w:spacing w:val="-8"/>
        </w:rPr>
        <w:t xml:space="preserve"> </w:t>
      </w:r>
      <w:r>
        <w:rPr>
          <w:rFonts w:ascii="Arial" w:hAnsi="Arial"/>
          <w:i/>
        </w:rPr>
        <w:t>a</w:t>
      </w:r>
      <w:r>
        <w:rPr>
          <w:rFonts w:ascii="Arial" w:hAnsi="Arial"/>
          <w:i/>
          <w:spacing w:val="-8"/>
        </w:rPr>
        <w:t xml:space="preserve"> </w:t>
      </w:r>
      <w:r>
        <w:rPr>
          <w:rFonts w:ascii="Arial" w:hAnsi="Arial"/>
          <w:i/>
        </w:rPr>
        <w:t>residentes</w:t>
      </w:r>
      <w:r>
        <w:rPr>
          <w:rFonts w:ascii="Arial" w:hAnsi="Arial"/>
          <w:i/>
          <w:spacing w:val="-7"/>
        </w:rPr>
        <w:t xml:space="preserve"> </w:t>
      </w:r>
      <w:r>
        <w:rPr>
          <w:rFonts w:ascii="Arial" w:hAnsi="Arial"/>
          <w:i/>
          <w:spacing w:val="-2"/>
        </w:rPr>
        <w:t>locales</w:t>
      </w:r>
    </w:p>
    <w:p w:rsidR="009B4BB4" w:rsidRDefault="00C44001">
      <w:pPr>
        <w:pStyle w:val="Textoindependiente"/>
        <w:spacing w:before="9"/>
        <w:rPr>
          <w:rFonts w:ascii="Arial"/>
          <w:i/>
          <w:sz w:val="17"/>
        </w:rPr>
      </w:pPr>
      <w:r>
        <w:rPr>
          <w:rFonts w:ascii="Arial"/>
          <w:i/>
          <w:noProof/>
          <w:sz w:val="17"/>
          <w:lang w:val="es-AR" w:eastAsia="es-AR"/>
        </w:rPr>
        <w:drawing>
          <wp:anchor distT="0" distB="0" distL="0" distR="0" simplePos="0" relativeHeight="487593984" behindDoc="1" locked="0" layoutInCell="1" allowOverlap="1">
            <wp:simplePos x="0" y="0"/>
            <wp:positionH relativeFrom="page">
              <wp:posOffset>2033746</wp:posOffset>
            </wp:positionH>
            <wp:positionV relativeFrom="paragraph">
              <wp:posOffset>145610</wp:posOffset>
            </wp:positionV>
            <wp:extent cx="3220695" cy="1908810"/>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3220695" cy="1908810"/>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220"/>
        <w:rPr>
          <w:rFonts w:ascii="Arial"/>
          <w:i/>
        </w:rPr>
      </w:pPr>
    </w:p>
    <w:p w:rsidR="009B4BB4" w:rsidRDefault="00C44001">
      <w:pPr>
        <w:pStyle w:val="Textoindependiente"/>
        <w:spacing w:before="1" w:line="360" w:lineRule="auto"/>
        <w:ind w:left="425" w:right="607"/>
        <w:jc w:val="both"/>
      </w:pPr>
      <w:r>
        <w:rPr>
          <w:rFonts w:ascii="Arial" w:hAnsi="Arial"/>
          <w:i/>
        </w:rPr>
        <w:t xml:space="preserve">Nota. </w:t>
      </w:r>
      <w:r>
        <w:t>Distribución de la demanda estimada para el proyecto Guardiana. El segmento de visitantes (89%) constituye el mercado primario, mientras que los residentes locales (11%) representan el grupo de control y consumo recurrente. Elaboración propia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pPr>
        <w:pStyle w:val="Textoindependiente"/>
        <w:spacing w:before="0" w:line="360" w:lineRule="auto"/>
        <w:ind w:left="425" w:right="605" w:firstLine="720"/>
        <w:jc w:val="both"/>
      </w:pPr>
      <w:r>
        <w:t>El</w:t>
      </w:r>
      <w:r>
        <w:t xml:space="preserve"> mercado nacional domina la demanda potencial con un 73.5%. Esto</w:t>
      </w:r>
      <w:r>
        <w:rPr>
          <w:spacing w:val="-3"/>
        </w:rPr>
        <w:t xml:space="preserve"> </w:t>
      </w:r>
      <w:r>
        <w:t>posiciona</w:t>
      </w:r>
      <w:r>
        <w:rPr>
          <w:spacing w:val="40"/>
        </w:rPr>
        <w:t xml:space="preserve"> </w:t>
      </w:r>
      <w:r>
        <w:t>a Guardiana como un proyecto con fuerte tracción en el turismo cultural doméstico. Aunque el</w:t>
      </w:r>
      <w:r>
        <w:rPr>
          <w:spacing w:val="-3"/>
        </w:rPr>
        <w:t xml:space="preserve"> </w:t>
      </w:r>
      <w:r>
        <w:t>segmento</w:t>
      </w:r>
      <w:r>
        <w:rPr>
          <w:spacing w:val="-3"/>
        </w:rPr>
        <w:t xml:space="preserve"> </w:t>
      </w:r>
      <w:r>
        <w:t>internacional</w:t>
      </w:r>
      <w:r>
        <w:rPr>
          <w:spacing w:val="-3"/>
        </w:rPr>
        <w:t xml:space="preserve"> </w:t>
      </w:r>
      <w:r>
        <w:t>es</w:t>
      </w:r>
      <w:r>
        <w:rPr>
          <w:spacing w:val="-3"/>
        </w:rPr>
        <w:t xml:space="preserve"> </w:t>
      </w:r>
      <w:r>
        <w:t>menor</w:t>
      </w:r>
      <w:r>
        <w:rPr>
          <w:spacing w:val="-3"/>
        </w:rPr>
        <w:t xml:space="preserve"> </w:t>
      </w:r>
      <w:r>
        <w:t>(15.6%</w:t>
      </w:r>
      <w:r>
        <w:rPr>
          <w:spacing w:val="-3"/>
        </w:rPr>
        <w:t xml:space="preserve"> </w:t>
      </w:r>
      <w:r>
        <w:t>agregado),</w:t>
      </w:r>
      <w:r>
        <w:rPr>
          <w:spacing w:val="-3"/>
        </w:rPr>
        <w:t xml:space="preserve"> </w:t>
      </w:r>
      <w:r>
        <w:t>su</w:t>
      </w:r>
      <w:r>
        <w:rPr>
          <w:spacing w:val="-3"/>
        </w:rPr>
        <w:t xml:space="preserve"> </w:t>
      </w:r>
      <w:r>
        <w:t>relevancia</w:t>
      </w:r>
      <w:r>
        <w:rPr>
          <w:spacing w:val="-3"/>
        </w:rPr>
        <w:t xml:space="preserve"> </w:t>
      </w:r>
      <w:r>
        <w:t>radica</w:t>
      </w:r>
      <w:r>
        <w:rPr>
          <w:spacing w:val="-3"/>
        </w:rPr>
        <w:t xml:space="preserve"> </w:t>
      </w:r>
      <w:r>
        <w:t>en</w:t>
      </w:r>
      <w:r>
        <w:rPr>
          <w:spacing w:val="-3"/>
        </w:rPr>
        <w:t xml:space="preserve"> </w:t>
      </w:r>
      <w:r>
        <w:t>la capacidad d</w:t>
      </w:r>
      <w:r>
        <w:t>e capturar márgenes superiores y divisas, especialmente en los nichos europeo y norteamericano, que suelen valorar más el origen orgánico y artesanal de la miel Melipona.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40"/>
        </w:numPr>
        <w:tabs>
          <w:tab w:val="left" w:pos="1465"/>
        </w:tabs>
        <w:spacing w:before="79"/>
        <w:ind w:left="1465" w:hanging="545"/>
      </w:pPr>
      <w:bookmarkStart w:id="127" w:name="4.2.1_Estructura_etaria_y_Género_"/>
      <w:bookmarkStart w:id="128" w:name="h.i4lgtcfht3qe"/>
      <w:bookmarkEnd w:id="127"/>
      <w:bookmarkEnd w:id="128"/>
      <w:r>
        <w:lastRenderedPageBreak/>
        <w:t>Estructura</w:t>
      </w:r>
      <w:r>
        <w:rPr>
          <w:spacing w:val="-6"/>
        </w:rPr>
        <w:t xml:space="preserve"> </w:t>
      </w:r>
      <w:r>
        <w:t>etaria</w:t>
      </w:r>
      <w:r>
        <w:rPr>
          <w:spacing w:val="-6"/>
        </w:rPr>
        <w:t xml:space="preserve"> </w:t>
      </w:r>
      <w:r>
        <w:t>y</w:t>
      </w:r>
      <w:r>
        <w:rPr>
          <w:spacing w:val="-5"/>
        </w:rPr>
        <w:t xml:space="preserve"> </w:t>
      </w:r>
      <w:r>
        <w:rPr>
          <w:spacing w:val="-2"/>
        </w:rPr>
        <w:t>Género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Existe una concentración crítica (40.6%</w:t>
      </w:r>
      <w:r>
        <w:t>) en adultos de entre 26 y 45 años, un segmento</w:t>
      </w:r>
      <w:r>
        <w:rPr>
          <w:spacing w:val="26"/>
        </w:rPr>
        <w:t xml:space="preserve"> </w:t>
      </w:r>
      <w:r>
        <w:t>con poder adquisitivo y alta afinidad por productos de bienestar. No obstante, el interés del 18.3% en mayores de 56 años sugiere una oportunidad para ofrecer productos de valor medicinal. La estrategia de co</w:t>
      </w:r>
      <w:r>
        <w:t>municación debe ser dual: digital y</w:t>
      </w:r>
      <w:r>
        <w:rPr>
          <w:spacing w:val="40"/>
        </w:rPr>
        <w:t xml:space="preserve"> </w:t>
      </w:r>
      <w:r>
        <w:t>visual para los jóvenes, y enfocada en beneficios funcionales para el segmento senior.</w:t>
      </w:r>
    </w:p>
    <w:p w:rsidR="009B4BB4" w:rsidRDefault="00C44001">
      <w:pPr>
        <w:pStyle w:val="Ttulo1"/>
        <w:spacing w:before="240"/>
      </w:pPr>
      <w:r>
        <w:t>Figura</w:t>
      </w:r>
      <w:r>
        <w:rPr>
          <w:spacing w:val="-6"/>
        </w:rPr>
        <w:t xml:space="preserve"> </w:t>
      </w:r>
      <w:r>
        <w:rPr>
          <w:spacing w:val="-5"/>
        </w:rPr>
        <w:t>4.2</w:t>
      </w:r>
    </w:p>
    <w:p w:rsidR="009B4BB4" w:rsidRDefault="00C44001">
      <w:pPr>
        <w:spacing w:before="38"/>
        <w:ind w:left="455"/>
        <w:rPr>
          <w:rFonts w:ascii="Arial" w:hAnsi="Arial"/>
          <w:i/>
        </w:rPr>
      </w:pPr>
      <w:r>
        <w:rPr>
          <w:rFonts w:ascii="Arial" w:hAnsi="Arial"/>
          <w:i/>
        </w:rPr>
        <w:t>Dispersión</w:t>
      </w:r>
      <w:r>
        <w:rPr>
          <w:rFonts w:ascii="Arial" w:hAnsi="Arial"/>
          <w:i/>
          <w:spacing w:val="-7"/>
        </w:rPr>
        <w:t xml:space="preserve"> </w:t>
      </w:r>
      <w:r>
        <w:rPr>
          <w:rFonts w:ascii="Arial" w:hAnsi="Arial"/>
          <w:i/>
        </w:rPr>
        <w:t>geográfica</w:t>
      </w:r>
      <w:r>
        <w:rPr>
          <w:rFonts w:ascii="Arial" w:hAnsi="Arial"/>
          <w:i/>
          <w:spacing w:val="-7"/>
        </w:rPr>
        <w:t xml:space="preserve"> </w:t>
      </w:r>
      <w:r>
        <w:rPr>
          <w:rFonts w:ascii="Arial" w:hAnsi="Arial"/>
          <w:i/>
        </w:rPr>
        <w:t>global</w:t>
      </w:r>
      <w:r>
        <w:rPr>
          <w:rFonts w:ascii="Arial" w:hAnsi="Arial"/>
          <w:i/>
          <w:spacing w:val="-7"/>
        </w:rPr>
        <w:t xml:space="preserve"> </w:t>
      </w:r>
      <w:r>
        <w:rPr>
          <w:rFonts w:ascii="Arial" w:hAnsi="Arial"/>
          <w:i/>
        </w:rPr>
        <w:t>del</w:t>
      </w:r>
      <w:r>
        <w:rPr>
          <w:rFonts w:ascii="Arial" w:hAnsi="Arial"/>
          <w:i/>
          <w:spacing w:val="-6"/>
        </w:rPr>
        <w:t xml:space="preserve"> </w:t>
      </w:r>
      <w:r>
        <w:rPr>
          <w:rFonts w:ascii="Arial" w:hAnsi="Arial"/>
          <w:i/>
        </w:rPr>
        <w:t>interés</w:t>
      </w:r>
      <w:r>
        <w:rPr>
          <w:rFonts w:ascii="Arial" w:hAnsi="Arial"/>
          <w:i/>
          <w:spacing w:val="-7"/>
        </w:rPr>
        <w:t xml:space="preserve"> </w:t>
      </w:r>
      <w:r>
        <w:rPr>
          <w:rFonts w:ascii="Arial" w:hAnsi="Arial"/>
          <w:i/>
        </w:rPr>
        <w:t>potencial</w:t>
      </w:r>
      <w:r>
        <w:rPr>
          <w:rFonts w:ascii="Arial" w:hAnsi="Arial"/>
          <w:i/>
          <w:spacing w:val="-7"/>
        </w:rPr>
        <w:t xml:space="preserve"> </w:t>
      </w:r>
      <w:r>
        <w:rPr>
          <w:rFonts w:ascii="Arial" w:hAnsi="Arial"/>
          <w:i/>
        </w:rPr>
        <w:t>por</w:t>
      </w:r>
      <w:r>
        <w:rPr>
          <w:rFonts w:ascii="Arial" w:hAnsi="Arial"/>
          <w:i/>
          <w:spacing w:val="-6"/>
        </w:rPr>
        <w:t xml:space="preserve"> </w:t>
      </w:r>
      <w:r>
        <w:rPr>
          <w:rFonts w:ascii="Arial" w:hAnsi="Arial"/>
          <w:i/>
        </w:rPr>
        <w:t>productos</w:t>
      </w:r>
      <w:r>
        <w:rPr>
          <w:rFonts w:ascii="Arial" w:hAnsi="Arial"/>
          <w:i/>
          <w:spacing w:val="-7"/>
        </w:rPr>
        <w:t xml:space="preserve"> </w:t>
      </w:r>
      <w:r>
        <w:rPr>
          <w:rFonts w:ascii="Arial" w:hAnsi="Arial"/>
          <w:i/>
        </w:rPr>
        <w:t>naturales</w:t>
      </w:r>
      <w:r>
        <w:rPr>
          <w:rFonts w:ascii="Arial" w:hAnsi="Arial"/>
          <w:i/>
          <w:spacing w:val="-7"/>
        </w:rPr>
        <w:t xml:space="preserve"> </w:t>
      </w:r>
      <w:r>
        <w:rPr>
          <w:rFonts w:ascii="Arial" w:hAnsi="Arial"/>
          <w:i/>
        </w:rPr>
        <w:t>y</w:t>
      </w:r>
      <w:r>
        <w:rPr>
          <w:rFonts w:ascii="Arial" w:hAnsi="Arial"/>
          <w:i/>
          <w:spacing w:val="-6"/>
        </w:rPr>
        <w:t xml:space="preserve"> </w:t>
      </w:r>
      <w:r>
        <w:rPr>
          <w:rFonts w:ascii="Arial" w:hAnsi="Arial"/>
          <w:i/>
          <w:spacing w:val="-2"/>
        </w:rPr>
        <w:t>culturales</w:t>
      </w:r>
    </w:p>
    <w:p w:rsidR="009B4BB4" w:rsidRDefault="009B4BB4">
      <w:pPr>
        <w:pStyle w:val="Textoindependiente"/>
        <w:spacing w:before="0"/>
        <w:rPr>
          <w:rFonts w:ascii="Arial"/>
          <w:i/>
          <w:sz w:val="20"/>
        </w:rPr>
      </w:pPr>
    </w:p>
    <w:p w:rsidR="009B4BB4" w:rsidRDefault="009B4BB4">
      <w:pPr>
        <w:pStyle w:val="Textoindependiente"/>
        <w:spacing w:before="0"/>
        <w:rPr>
          <w:rFonts w:ascii="Arial"/>
          <w:i/>
          <w:sz w:val="20"/>
        </w:rPr>
      </w:pPr>
    </w:p>
    <w:p w:rsidR="009B4BB4" w:rsidRDefault="00C44001">
      <w:pPr>
        <w:pStyle w:val="Textoindependiente"/>
        <w:spacing w:before="103"/>
        <w:rPr>
          <w:rFonts w:ascii="Arial"/>
          <w:i/>
          <w:sz w:val="20"/>
        </w:rPr>
      </w:pPr>
      <w:r>
        <w:rPr>
          <w:rFonts w:ascii="Arial"/>
          <w:i/>
          <w:noProof/>
          <w:sz w:val="20"/>
          <w:lang w:val="es-AR" w:eastAsia="es-AR"/>
        </w:rPr>
        <w:drawing>
          <wp:anchor distT="0" distB="0" distL="0" distR="0" simplePos="0" relativeHeight="487594496" behindDoc="1" locked="0" layoutInCell="1" allowOverlap="1">
            <wp:simplePos x="0" y="0"/>
            <wp:positionH relativeFrom="page">
              <wp:posOffset>1394324</wp:posOffset>
            </wp:positionH>
            <wp:positionV relativeFrom="paragraph">
              <wp:posOffset>227273</wp:posOffset>
            </wp:positionV>
            <wp:extent cx="4928953" cy="303904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4928953" cy="3039046"/>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196"/>
        <w:rPr>
          <w:rFonts w:ascii="Arial"/>
          <w:i/>
        </w:rPr>
      </w:pPr>
    </w:p>
    <w:p w:rsidR="009B4BB4" w:rsidRDefault="00C44001">
      <w:pPr>
        <w:pStyle w:val="Textoindependiente"/>
        <w:spacing w:before="0" w:line="360" w:lineRule="auto"/>
        <w:ind w:left="425" w:right="604" w:firstLine="30"/>
        <w:jc w:val="both"/>
      </w:pPr>
      <w:r>
        <w:rPr>
          <w:rFonts w:ascii="Arial" w:hAnsi="Arial"/>
          <w:i/>
        </w:rPr>
        <w:t xml:space="preserve">Nota. </w:t>
      </w:r>
      <w:r>
        <w:t>Distribución de la demanda para Guardiana.</w:t>
      </w:r>
      <w:r>
        <w:rPr>
          <w:spacing w:val="-4"/>
        </w:rPr>
        <w:t xml:space="preserve"> </w:t>
      </w:r>
      <w:r>
        <w:t>La</w:t>
      </w:r>
      <w:r>
        <w:rPr>
          <w:spacing w:val="-4"/>
        </w:rPr>
        <w:t xml:space="preserve"> </w:t>
      </w:r>
      <w:r>
        <w:t>predominancia</w:t>
      </w:r>
      <w:r>
        <w:rPr>
          <w:spacing w:val="-4"/>
        </w:rPr>
        <w:t xml:space="preserve"> </w:t>
      </w:r>
      <w:r>
        <w:t>de</w:t>
      </w:r>
      <w:r>
        <w:rPr>
          <w:spacing w:val="-4"/>
        </w:rPr>
        <w:t xml:space="preserve"> </w:t>
      </w:r>
      <w:r>
        <w:t>visitantes</w:t>
      </w:r>
      <w:r>
        <w:rPr>
          <w:spacing w:val="-4"/>
        </w:rPr>
        <w:t xml:space="preserve"> </w:t>
      </w:r>
      <w:r>
        <w:t>(89%) confirma el potencial de la marca como</w:t>
      </w:r>
      <w:r>
        <w:rPr>
          <w:spacing w:val="-5"/>
        </w:rPr>
        <w:t xml:space="preserve"> </w:t>
      </w:r>
      <w:r>
        <w:t>destino</w:t>
      </w:r>
      <w:r>
        <w:rPr>
          <w:spacing w:val="-5"/>
        </w:rPr>
        <w:t xml:space="preserve"> </w:t>
      </w:r>
      <w:r>
        <w:t>de</w:t>
      </w:r>
      <w:r>
        <w:rPr>
          <w:spacing w:val="-5"/>
        </w:rPr>
        <w:t xml:space="preserve"> </w:t>
      </w:r>
      <w:r>
        <w:t>experiencia</w:t>
      </w:r>
      <w:r>
        <w:rPr>
          <w:spacing w:val="-5"/>
        </w:rPr>
        <w:t xml:space="preserve"> </w:t>
      </w:r>
      <w:r>
        <w:t>en</w:t>
      </w:r>
      <w:r>
        <w:rPr>
          <w:spacing w:val="-5"/>
        </w:rPr>
        <w:t xml:space="preserve"> </w:t>
      </w:r>
      <w:r>
        <w:t>Valladolid.</w:t>
      </w:r>
      <w:r>
        <w:rPr>
          <w:spacing w:val="-5"/>
        </w:rPr>
        <w:t xml:space="preserve"> </w:t>
      </w:r>
      <w:r>
        <w:t>Elaboración propia (2025).</w:t>
      </w:r>
    </w:p>
    <w:p w:rsidR="009B4BB4" w:rsidRDefault="00C44001">
      <w:pPr>
        <w:pStyle w:val="Textoindependiente"/>
        <w:spacing w:line="360" w:lineRule="auto"/>
        <w:ind w:left="425" w:right="606" w:firstLine="720"/>
        <w:jc w:val="both"/>
      </w:pPr>
      <w:r>
        <w:t>La transversalidad generacional de la muestra sugiere que Guardiana tien</w:t>
      </w:r>
      <w:r>
        <w:t>e dos drivers de compra claros: el</w:t>
      </w:r>
      <w:r>
        <w:rPr>
          <w:spacing w:val="-4"/>
        </w:rPr>
        <w:t xml:space="preserve"> </w:t>
      </w:r>
      <w:r>
        <w:t>activismo</w:t>
      </w:r>
      <w:r>
        <w:rPr>
          <w:spacing w:val="-4"/>
        </w:rPr>
        <w:t xml:space="preserve"> </w:t>
      </w:r>
      <w:r>
        <w:t>ecológico</w:t>
      </w:r>
      <w:r>
        <w:rPr>
          <w:spacing w:val="-4"/>
        </w:rPr>
        <w:t xml:space="preserve"> </w:t>
      </w:r>
      <w:r>
        <w:t>en</w:t>
      </w:r>
      <w:r>
        <w:rPr>
          <w:spacing w:val="-4"/>
        </w:rPr>
        <w:t xml:space="preserve"> </w:t>
      </w:r>
      <w:r>
        <w:t>los</w:t>
      </w:r>
      <w:r>
        <w:rPr>
          <w:spacing w:val="-4"/>
        </w:rPr>
        <w:t xml:space="preserve"> </w:t>
      </w:r>
      <w:r>
        <w:t>segmentos</w:t>
      </w:r>
      <w:r>
        <w:rPr>
          <w:spacing w:val="-4"/>
        </w:rPr>
        <w:t xml:space="preserve"> </w:t>
      </w:r>
      <w:r>
        <w:t>jóvenes</w:t>
      </w:r>
      <w:r>
        <w:rPr>
          <w:spacing w:val="-4"/>
        </w:rPr>
        <w:t xml:space="preserve"> </w:t>
      </w:r>
      <w:r>
        <w:t>y</w:t>
      </w:r>
      <w:r>
        <w:rPr>
          <w:spacing w:val="-4"/>
        </w:rPr>
        <w:t xml:space="preserve"> </w:t>
      </w:r>
      <w:r>
        <w:t>la</w:t>
      </w:r>
      <w:r>
        <w:rPr>
          <w:spacing w:val="-4"/>
        </w:rPr>
        <w:t xml:space="preserve"> </w:t>
      </w:r>
      <w:r>
        <w:t>búsqueda de</w:t>
      </w:r>
      <w:r>
        <w:rPr>
          <w:spacing w:val="40"/>
        </w:rPr>
        <w:t xml:space="preserve"> </w:t>
      </w:r>
      <w:r>
        <w:t>beneficios</w:t>
      </w:r>
      <w:r>
        <w:rPr>
          <w:spacing w:val="40"/>
        </w:rPr>
        <w:t xml:space="preserve"> </w:t>
      </w:r>
      <w:r>
        <w:t>terapéuticos</w:t>
      </w:r>
      <w:r>
        <w:rPr>
          <w:spacing w:val="26"/>
        </w:rPr>
        <w:t xml:space="preserve"> </w:t>
      </w:r>
      <w:r>
        <w:t>en</w:t>
      </w:r>
      <w:r>
        <w:rPr>
          <w:spacing w:val="26"/>
        </w:rPr>
        <w:t xml:space="preserve"> </w:t>
      </w:r>
      <w:r>
        <w:t>los</w:t>
      </w:r>
      <w:r>
        <w:rPr>
          <w:spacing w:val="26"/>
        </w:rPr>
        <w:t xml:space="preserve"> </w:t>
      </w:r>
      <w:r>
        <w:t>adultos.</w:t>
      </w:r>
      <w:r>
        <w:rPr>
          <w:spacing w:val="26"/>
        </w:rPr>
        <w:t xml:space="preserve"> </w:t>
      </w:r>
      <w:r>
        <w:t>Respecto</w:t>
      </w:r>
      <w:r>
        <w:rPr>
          <w:spacing w:val="26"/>
        </w:rPr>
        <w:t xml:space="preserve"> </w:t>
      </w:r>
      <w:r>
        <w:t>al</w:t>
      </w:r>
      <w:r>
        <w:rPr>
          <w:spacing w:val="26"/>
        </w:rPr>
        <w:t xml:space="preserve"> </w:t>
      </w:r>
      <w:r>
        <w:t>género,</w:t>
      </w:r>
      <w:r>
        <w:rPr>
          <w:spacing w:val="26"/>
        </w:rPr>
        <w:t xml:space="preserve"> </w:t>
      </w:r>
      <w:r>
        <w:t>la</w:t>
      </w:r>
      <w:r>
        <w:rPr>
          <w:spacing w:val="26"/>
        </w:rPr>
        <w:t xml:space="preserve"> </w:t>
      </w:r>
      <w:r>
        <w:t>ligera</w:t>
      </w:r>
      <w:r>
        <w:rPr>
          <w:spacing w:val="26"/>
        </w:rPr>
        <w:t xml:space="preserve"> </w:t>
      </w:r>
      <w:r>
        <w:t>predominancia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4"/>
        <w:jc w:val="both"/>
      </w:pPr>
      <w:proofErr w:type="gramStart"/>
      <w:r>
        <w:lastRenderedPageBreak/>
        <w:t>femenina</w:t>
      </w:r>
      <w:proofErr w:type="gramEnd"/>
      <w:r>
        <w:t xml:space="preserve"> (51%) junto con un 10% de respuestas reservadas,</w:t>
      </w:r>
      <w:r>
        <w:t xml:space="preserve"> apunta a un mercado equilibrado, aunque con una oportunidad natural para estrategias de marketing</w:t>
      </w:r>
      <w:r>
        <w:rPr>
          <w:spacing w:val="40"/>
        </w:rPr>
        <w:t xml:space="preserve"> </w:t>
      </w:r>
      <w:r>
        <w:t>enfocadas en el bienestar y el cuidado familiar.</w:t>
      </w:r>
    </w:p>
    <w:p w:rsidR="009B4BB4" w:rsidRDefault="00C44001">
      <w:pPr>
        <w:pStyle w:val="Ttulo1"/>
        <w:spacing w:before="240"/>
        <w:jc w:val="both"/>
      </w:pPr>
      <w:r>
        <w:t>Figura</w:t>
      </w:r>
      <w:r>
        <w:rPr>
          <w:spacing w:val="-6"/>
        </w:rPr>
        <w:t xml:space="preserve"> </w:t>
      </w:r>
      <w:r>
        <w:rPr>
          <w:spacing w:val="-5"/>
        </w:rPr>
        <w:t>4.3</w:t>
      </w:r>
    </w:p>
    <w:p w:rsidR="009B4BB4" w:rsidRDefault="00C44001">
      <w:pPr>
        <w:spacing w:before="38"/>
        <w:ind w:left="455"/>
        <w:jc w:val="both"/>
        <w:rPr>
          <w:rFonts w:ascii="Arial" w:hAnsi="Arial"/>
          <w:i/>
        </w:rPr>
      </w:pPr>
      <w:r>
        <w:rPr>
          <w:rFonts w:ascii="Arial" w:hAnsi="Arial"/>
          <w:i/>
        </w:rPr>
        <w:t>Perfil</w:t>
      </w:r>
      <w:r>
        <w:rPr>
          <w:rFonts w:ascii="Arial" w:hAnsi="Arial"/>
          <w:i/>
          <w:spacing w:val="-6"/>
        </w:rPr>
        <w:t xml:space="preserve"> </w:t>
      </w:r>
      <w:r>
        <w:rPr>
          <w:rFonts w:ascii="Arial" w:hAnsi="Arial"/>
          <w:i/>
        </w:rPr>
        <w:t>sociodemográfico</w:t>
      </w:r>
      <w:r>
        <w:rPr>
          <w:rFonts w:ascii="Arial" w:hAnsi="Arial"/>
          <w:i/>
          <w:spacing w:val="-6"/>
        </w:rPr>
        <w:t xml:space="preserve"> </w:t>
      </w:r>
      <w:r>
        <w:rPr>
          <w:rFonts w:ascii="Arial" w:hAnsi="Arial"/>
          <w:i/>
        </w:rPr>
        <w:t>del</w:t>
      </w:r>
      <w:r>
        <w:rPr>
          <w:rFonts w:ascii="Arial" w:hAnsi="Arial"/>
          <w:i/>
          <w:spacing w:val="-6"/>
        </w:rPr>
        <w:t xml:space="preserve"> </w:t>
      </w:r>
      <w:r>
        <w:rPr>
          <w:rFonts w:ascii="Arial" w:hAnsi="Arial"/>
          <w:i/>
        </w:rPr>
        <w:t>consumidor</w:t>
      </w:r>
      <w:r>
        <w:rPr>
          <w:rFonts w:ascii="Arial" w:hAnsi="Arial"/>
          <w:i/>
          <w:spacing w:val="-6"/>
        </w:rPr>
        <w:t xml:space="preserve"> </w:t>
      </w:r>
      <w:r>
        <w:rPr>
          <w:rFonts w:ascii="Arial" w:hAnsi="Arial"/>
          <w:i/>
        </w:rPr>
        <w:t>potencial</w:t>
      </w:r>
      <w:r>
        <w:rPr>
          <w:rFonts w:ascii="Arial" w:hAnsi="Arial"/>
          <w:i/>
          <w:spacing w:val="-6"/>
        </w:rPr>
        <w:t xml:space="preserve"> </w:t>
      </w:r>
      <w:r>
        <w:rPr>
          <w:rFonts w:ascii="Arial" w:hAnsi="Arial"/>
          <w:i/>
        </w:rPr>
        <w:t>por</w:t>
      </w:r>
      <w:r>
        <w:rPr>
          <w:rFonts w:ascii="Arial" w:hAnsi="Arial"/>
          <w:i/>
          <w:spacing w:val="-6"/>
        </w:rPr>
        <w:t xml:space="preserve"> </w:t>
      </w:r>
      <w:r>
        <w:rPr>
          <w:rFonts w:ascii="Arial" w:hAnsi="Arial"/>
          <w:i/>
        </w:rPr>
        <w:t>rango</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edad</w:t>
      </w:r>
      <w:r>
        <w:rPr>
          <w:rFonts w:ascii="Arial" w:hAnsi="Arial"/>
          <w:i/>
          <w:spacing w:val="-6"/>
        </w:rPr>
        <w:t xml:space="preserve"> </w:t>
      </w:r>
      <w:r>
        <w:rPr>
          <w:rFonts w:ascii="Arial" w:hAnsi="Arial"/>
          <w:i/>
        </w:rPr>
        <w:t>y</w:t>
      </w:r>
      <w:r>
        <w:rPr>
          <w:rFonts w:ascii="Arial" w:hAnsi="Arial"/>
          <w:i/>
          <w:spacing w:val="-5"/>
        </w:rPr>
        <w:t xml:space="preserve"> </w:t>
      </w:r>
      <w:r>
        <w:rPr>
          <w:rFonts w:ascii="Arial" w:hAnsi="Arial"/>
          <w:i/>
          <w:spacing w:val="-2"/>
        </w:rPr>
        <w:t>género</w:t>
      </w:r>
    </w:p>
    <w:p w:rsidR="009B4BB4" w:rsidRDefault="009B4BB4">
      <w:pPr>
        <w:pStyle w:val="Textoindependiente"/>
        <w:spacing w:before="0"/>
        <w:rPr>
          <w:rFonts w:ascii="Arial"/>
          <w:i/>
          <w:sz w:val="20"/>
        </w:rPr>
      </w:pPr>
    </w:p>
    <w:p w:rsidR="009B4BB4" w:rsidRDefault="00C44001">
      <w:pPr>
        <w:pStyle w:val="Textoindependiente"/>
        <w:spacing w:before="110"/>
        <w:rPr>
          <w:rFonts w:ascii="Arial"/>
          <w:i/>
          <w:sz w:val="20"/>
        </w:rPr>
      </w:pPr>
      <w:r>
        <w:rPr>
          <w:rFonts w:ascii="Arial"/>
          <w:i/>
          <w:noProof/>
          <w:sz w:val="20"/>
          <w:lang w:val="es-AR" w:eastAsia="es-AR"/>
        </w:rPr>
        <w:drawing>
          <wp:anchor distT="0" distB="0" distL="0" distR="0" simplePos="0" relativeHeight="487595008" behindDoc="1" locked="0" layoutInCell="1" allowOverlap="1">
            <wp:simplePos x="0" y="0"/>
            <wp:positionH relativeFrom="page">
              <wp:posOffset>1391861</wp:posOffset>
            </wp:positionH>
            <wp:positionV relativeFrom="paragraph">
              <wp:posOffset>231532</wp:posOffset>
            </wp:positionV>
            <wp:extent cx="4644000" cy="3103721"/>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4644000" cy="3103721"/>
                    </a:xfrm>
                    <a:prstGeom prst="rect">
                      <a:avLst/>
                    </a:prstGeom>
                  </pic:spPr>
                </pic:pic>
              </a:graphicData>
            </a:graphic>
          </wp:anchor>
        </w:drawing>
      </w:r>
    </w:p>
    <w:p w:rsidR="009B4BB4" w:rsidRDefault="00C44001">
      <w:pPr>
        <w:spacing w:before="64"/>
        <w:ind w:right="747"/>
        <w:jc w:val="right"/>
        <w:rPr>
          <w:rFonts w:ascii="Arial"/>
          <w:i/>
        </w:rPr>
      </w:pPr>
      <w:r>
        <w:rPr>
          <w:rFonts w:ascii="Arial"/>
          <w:i/>
          <w:spacing w:val="-2"/>
        </w:rPr>
        <w:t>Nota.</w:t>
      </w:r>
    </w:p>
    <w:p w:rsidR="009B4BB4" w:rsidRDefault="009B4BB4">
      <w:pPr>
        <w:pStyle w:val="Textoindependiente"/>
        <w:spacing w:before="0"/>
        <w:rPr>
          <w:rFonts w:ascii="Arial"/>
          <w:i/>
        </w:rPr>
      </w:pPr>
    </w:p>
    <w:p w:rsidR="009B4BB4" w:rsidRDefault="00C44001">
      <w:pPr>
        <w:pStyle w:val="Textoindependiente"/>
        <w:spacing w:before="0" w:line="480" w:lineRule="auto"/>
        <w:ind w:left="463" w:right="640" w:hanging="1"/>
        <w:jc w:val="center"/>
      </w:pPr>
      <w:r>
        <w:t>Distribución de la muestra (n = 360) obtenida durante el trabajo de campo en Valladolid. Se</w:t>
      </w:r>
      <w:r>
        <w:rPr>
          <w:spacing w:val="-5"/>
        </w:rPr>
        <w:t xml:space="preserve"> </w:t>
      </w:r>
      <w:r>
        <w:t>observa</w:t>
      </w:r>
      <w:r>
        <w:rPr>
          <w:spacing w:val="-5"/>
        </w:rPr>
        <w:t xml:space="preserve"> </w:t>
      </w:r>
      <w:r>
        <w:t>una</w:t>
      </w:r>
      <w:r>
        <w:rPr>
          <w:spacing w:val="-5"/>
        </w:rPr>
        <w:t xml:space="preserve"> </w:t>
      </w:r>
      <w:r>
        <w:t>participación</w:t>
      </w:r>
      <w:r>
        <w:rPr>
          <w:spacing w:val="-5"/>
        </w:rPr>
        <w:t xml:space="preserve"> </w:t>
      </w:r>
      <w:r>
        <w:t>equilibrada</w:t>
      </w:r>
      <w:r>
        <w:rPr>
          <w:spacing w:val="-5"/>
        </w:rPr>
        <w:t xml:space="preserve"> </w:t>
      </w:r>
      <w:r>
        <w:t>entre</w:t>
      </w:r>
      <w:r>
        <w:rPr>
          <w:spacing w:val="-5"/>
        </w:rPr>
        <w:t xml:space="preserve"> </w:t>
      </w:r>
      <w:r>
        <w:t>géneros,</w:t>
      </w:r>
      <w:r>
        <w:rPr>
          <w:spacing w:val="-5"/>
        </w:rPr>
        <w:t xml:space="preserve"> </w:t>
      </w:r>
      <w:r>
        <w:t>con</w:t>
      </w:r>
      <w:r>
        <w:rPr>
          <w:spacing w:val="-5"/>
        </w:rPr>
        <w:t xml:space="preserve"> </w:t>
      </w:r>
      <w:r>
        <w:t>una</w:t>
      </w:r>
      <w:r>
        <w:rPr>
          <w:spacing w:val="-5"/>
        </w:rPr>
        <w:t xml:space="preserve"> </w:t>
      </w:r>
      <w:r>
        <w:t>concentración</w:t>
      </w:r>
      <w:r>
        <w:rPr>
          <w:spacing w:val="-5"/>
        </w:rPr>
        <w:t xml:space="preserve"> </w:t>
      </w:r>
      <w:r>
        <w:t>relevante en los rangos de 18-25 y 36-45 años. Elaboración propia (2025).</w:t>
      </w:r>
    </w:p>
    <w:p w:rsidR="009B4BB4" w:rsidRDefault="00C44001">
      <w:pPr>
        <w:pStyle w:val="Textoindependiente"/>
        <w:spacing w:line="360" w:lineRule="auto"/>
        <w:ind w:left="425" w:right="603" w:firstLine="720"/>
        <w:jc w:val="both"/>
      </w:pPr>
      <w:r>
        <w:t>Los</w:t>
      </w:r>
      <w:r>
        <w:rPr>
          <w:spacing w:val="-5"/>
        </w:rPr>
        <w:t xml:space="preserve"> </w:t>
      </w:r>
      <w:r>
        <w:t>datos</w:t>
      </w:r>
      <w:r>
        <w:rPr>
          <w:spacing w:val="-5"/>
        </w:rPr>
        <w:t xml:space="preserve"> </w:t>
      </w:r>
      <w:r>
        <w:t>muest</w:t>
      </w:r>
      <w:r>
        <w:t>ran</w:t>
      </w:r>
      <w:r>
        <w:rPr>
          <w:spacing w:val="-5"/>
        </w:rPr>
        <w:t xml:space="preserve"> </w:t>
      </w:r>
      <w:r>
        <w:t>un</w:t>
      </w:r>
      <w:r>
        <w:rPr>
          <w:spacing w:val="-5"/>
        </w:rPr>
        <w:t xml:space="preserve"> </w:t>
      </w:r>
      <w:r>
        <w:t>sesgo</w:t>
      </w:r>
      <w:r>
        <w:rPr>
          <w:spacing w:val="-5"/>
        </w:rPr>
        <w:t xml:space="preserve"> </w:t>
      </w:r>
      <w:r>
        <w:t>femenino</w:t>
      </w:r>
      <w:r>
        <w:rPr>
          <w:spacing w:val="-5"/>
        </w:rPr>
        <w:t xml:space="preserve"> </w:t>
      </w:r>
      <w:r>
        <w:t>en</w:t>
      </w:r>
      <w:r>
        <w:rPr>
          <w:spacing w:val="-5"/>
        </w:rPr>
        <w:t xml:space="preserve"> </w:t>
      </w:r>
      <w:r>
        <w:t>los</w:t>
      </w:r>
      <w:r>
        <w:rPr>
          <w:spacing w:val="-5"/>
        </w:rPr>
        <w:t xml:space="preserve"> </w:t>
      </w:r>
      <w:r>
        <w:t>segmentos</w:t>
      </w:r>
      <w:r>
        <w:rPr>
          <w:spacing w:val="-5"/>
        </w:rPr>
        <w:t xml:space="preserve"> </w:t>
      </w:r>
      <w:r>
        <w:t>senior</w:t>
      </w:r>
      <w:r>
        <w:rPr>
          <w:spacing w:val="-5"/>
        </w:rPr>
        <w:t xml:space="preserve"> </w:t>
      </w:r>
      <w:r>
        <w:t>y</w:t>
      </w:r>
      <w:r>
        <w:rPr>
          <w:spacing w:val="-5"/>
        </w:rPr>
        <w:t xml:space="preserve"> </w:t>
      </w:r>
      <w:r>
        <w:t>junior,</w:t>
      </w:r>
      <w:r>
        <w:rPr>
          <w:spacing w:val="-5"/>
        </w:rPr>
        <w:t xml:space="preserve"> </w:t>
      </w:r>
      <w:r>
        <w:t>pero</w:t>
      </w:r>
      <w:r>
        <w:rPr>
          <w:spacing w:val="-5"/>
        </w:rPr>
        <w:t xml:space="preserve"> </w:t>
      </w:r>
      <w:r>
        <w:t>una inversión de tendencia en el rango de 26 a 35 años,</w:t>
      </w:r>
      <w:r>
        <w:rPr>
          <w:spacing w:val="-3"/>
        </w:rPr>
        <w:t xml:space="preserve"> </w:t>
      </w:r>
      <w:r>
        <w:t>donde</w:t>
      </w:r>
      <w:r>
        <w:rPr>
          <w:spacing w:val="-3"/>
        </w:rPr>
        <w:t xml:space="preserve"> </w:t>
      </w:r>
      <w:r>
        <w:t>la</w:t>
      </w:r>
      <w:r>
        <w:rPr>
          <w:spacing w:val="-3"/>
        </w:rPr>
        <w:t xml:space="preserve"> </w:t>
      </w:r>
      <w:r>
        <w:t>participación</w:t>
      </w:r>
      <w:r>
        <w:rPr>
          <w:spacing w:val="-3"/>
        </w:rPr>
        <w:t xml:space="preserve"> </w:t>
      </w:r>
      <w:r>
        <w:t>masculina</w:t>
      </w:r>
      <w:r>
        <w:rPr>
          <w:spacing w:val="-3"/>
        </w:rPr>
        <w:t xml:space="preserve"> </w:t>
      </w:r>
      <w:r>
        <w:t>es superior. Este comportamiento identifica un nicho de mercado específico: hombres jóvenes con interés en superalimentos. Para Guardiana, esto implica que el posicionamiento no debe ser exclusivamente femenino; existe una oportunidad de capturar al consum</w:t>
      </w:r>
      <w:r>
        <w:t>idor masculino mediante una narrativa enfocada en optimización del rendimiento y salud preventiva.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39"/>
        </w:numPr>
        <w:tabs>
          <w:tab w:val="left" w:pos="1465"/>
        </w:tabs>
        <w:spacing w:before="79"/>
        <w:ind w:left="1465" w:hanging="545"/>
      </w:pPr>
      <w:bookmarkStart w:id="129" w:name="4.2.3_Síntesis_del_Perfil_"/>
      <w:bookmarkStart w:id="130" w:name="h.7j6sbl798gdp"/>
      <w:bookmarkEnd w:id="129"/>
      <w:bookmarkEnd w:id="130"/>
      <w:r>
        <w:lastRenderedPageBreak/>
        <w:t>Síntesis</w:t>
      </w:r>
      <w:r>
        <w:rPr>
          <w:spacing w:val="-6"/>
        </w:rPr>
        <w:t xml:space="preserve"> </w:t>
      </w:r>
      <w:r>
        <w:t>del</w:t>
      </w:r>
      <w:r>
        <w:rPr>
          <w:spacing w:val="-5"/>
        </w:rPr>
        <w:t xml:space="preserve"> </w:t>
      </w:r>
      <w:r>
        <w:rPr>
          <w:spacing w:val="-2"/>
        </w:rPr>
        <w:t>Perfil</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2" w:firstLine="720"/>
        <w:jc w:val="both"/>
      </w:pPr>
      <w:r>
        <w:t>El perfil predominante es un turista nacional (26-45 años) con poder</w:t>
      </w:r>
      <w:r>
        <w:rPr>
          <w:spacing w:val="-4"/>
        </w:rPr>
        <w:t xml:space="preserve"> </w:t>
      </w:r>
      <w:r>
        <w:t>adquisitivo</w:t>
      </w:r>
      <w:r>
        <w:rPr>
          <w:spacing w:val="-4"/>
        </w:rPr>
        <w:t xml:space="preserve"> </w:t>
      </w:r>
      <w:r>
        <w:t>y preferencia por el consumo experien</w:t>
      </w:r>
      <w:r>
        <w:t xml:space="preserve">cial. Para Guardiana, este segmento representa un </w:t>
      </w:r>
      <w:r>
        <w:rPr>
          <w:rFonts w:ascii="Arial" w:hAnsi="Arial"/>
          <w:i/>
        </w:rPr>
        <w:t xml:space="preserve">early adopter </w:t>
      </w:r>
      <w:r>
        <w:t xml:space="preserve">de alto valor, validando una estrategia de precios </w:t>
      </w:r>
      <w:r>
        <w:rPr>
          <w:rFonts w:ascii="Arial" w:hAnsi="Arial"/>
          <w:i/>
        </w:rPr>
        <w:t xml:space="preserve">premium </w:t>
      </w:r>
      <w:r>
        <w:t xml:space="preserve">y un empaque con enfoque en </w:t>
      </w:r>
      <w:r>
        <w:rPr>
          <w:rFonts w:ascii="Arial" w:hAnsi="Arial"/>
          <w:i/>
        </w:rPr>
        <w:t>storytelling</w:t>
      </w:r>
      <w:r>
        <w:t>. La comunicación</w:t>
      </w:r>
      <w:r>
        <w:rPr>
          <w:spacing w:val="-3"/>
        </w:rPr>
        <w:t xml:space="preserve"> </w:t>
      </w:r>
      <w:r>
        <w:t>no</w:t>
      </w:r>
      <w:r>
        <w:rPr>
          <w:spacing w:val="-3"/>
        </w:rPr>
        <w:t xml:space="preserve"> </w:t>
      </w:r>
      <w:r>
        <w:t>debe</w:t>
      </w:r>
      <w:r>
        <w:rPr>
          <w:spacing w:val="-3"/>
        </w:rPr>
        <w:t xml:space="preserve"> </w:t>
      </w:r>
      <w:r>
        <w:t>centrarse</w:t>
      </w:r>
      <w:r>
        <w:rPr>
          <w:spacing w:val="-3"/>
        </w:rPr>
        <w:t xml:space="preserve"> </w:t>
      </w:r>
      <w:r>
        <w:t>solo</w:t>
      </w:r>
      <w:r>
        <w:rPr>
          <w:spacing w:val="-3"/>
        </w:rPr>
        <w:t xml:space="preserve"> </w:t>
      </w:r>
      <w:r>
        <w:t>en</w:t>
      </w:r>
      <w:r>
        <w:rPr>
          <w:spacing w:val="-3"/>
        </w:rPr>
        <w:t xml:space="preserve"> </w:t>
      </w:r>
      <w:r>
        <w:t>el</w:t>
      </w:r>
      <w:r>
        <w:rPr>
          <w:spacing w:val="-3"/>
        </w:rPr>
        <w:t xml:space="preserve"> </w:t>
      </w:r>
      <w:r>
        <w:t>producto,</w:t>
      </w:r>
      <w:r>
        <w:rPr>
          <w:spacing w:val="-3"/>
        </w:rPr>
        <w:t xml:space="preserve"> </w:t>
      </w:r>
      <w:r>
        <w:t>sino en la exclusividad de la experi</w:t>
      </w:r>
      <w:r>
        <w:t>encia y el origen cultural.</w:t>
      </w:r>
    </w:p>
    <w:p w:rsidR="009B4BB4" w:rsidRDefault="009B4BB4">
      <w:pPr>
        <w:pStyle w:val="Textoindependiente"/>
        <w:spacing w:before="106"/>
      </w:pPr>
    </w:p>
    <w:p w:rsidR="009B4BB4" w:rsidRDefault="00C44001" w:rsidP="00C44001">
      <w:pPr>
        <w:pStyle w:val="Ttulo1"/>
        <w:numPr>
          <w:ilvl w:val="1"/>
          <w:numId w:val="38"/>
        </w:numPr>
        <w:tabs>
          <w:tab w:val="left" w:pos="788"/>
        </w:tabs>
        <w:spacing w:before="1"/>
        <w:ind w:left="788" w:hanging="363"/>
      </w:pPr>
      <w:bookmarkStart w:id="131" w:name="4.3_Comportamiento_y_hábitos_de_consumo_"/>
      <w:bookmarkStart w:id="132" w:name="h.koy2ujblc6uq"/>
      <w:bookmarkEnd w:id="131"/>
      <w:bookmarkEnd w:id="132"/>
      <w:r>
        <w:t>Comportamiento</w:t>
      </w:r>
      <w:r>
        <w:rPr>
          <w:spacing w:val="-6"/>
        </w:rPr>
        <w:t xml:space="preserve"> </w:t>
      </w:r>
      <w:r>
        <w:t>y</w:t>
      </w:r>
      <w:r>
        <w:rPr>
          <w:spacing w:val="-6"/>
        </w:rPr>
        <w:t xml:space="preserve"> </w:t>
      </w:r>
      <w:r>
        <w:t>hábitos</w:t>
      </w:r>
      <w:r>
        <w:rPr>
          <w:spacing w:val="-6"/>
        </w:rPr>
        <w:t xml:space="preserve"> </w:t>
      </w:r>
      <w:r>
        <w:t>de</w:t>
      </w:r>
      <w:r>
        <w:rPr>
          <w:spacing w:val="-6"/>
        </w:rPr>
        <w:t xml:space="preserve"> </w:t>
      </w:r>
      <w:r>
        <w:rPr>
          <w:spacing w:val="-2"/>
        </w:rPr>
        <w:t>consumo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5" w:firstLine="720"/>
        <w:jc w:val="both"/>
      </w:pPr>
      <w:r>
        <w:t>Para diseñar una estrategia comercial efectiva, es fundamental comprender la relación previa del consumidor con la categoría del producto (miel en general) y su</w:t>
      </w:r>
      <w:r>
        <w:rPr>
          <w:spacing w:val="-3"/>
        </w:rPr>
        <w:t xml:space="preserve"> </w:t>
      </w:r>
      <w:r>
        <w:t>nivel de familiaridad con el nicho específico (miel melipona). Los hallazgos de esta sección permiten a Guardiana definir si su esfuerzo de marketing debe enfocarse</w:t>
      </w:r>
      <w:r>
        <w:rPr>
          <w:spacing w:val="-3"/>
        </w:rPr>
        <w:t xml:space="preserve"> </w:t>
      </w:r>
      <w:r>
        <w:t>en</w:t>
      </w:r>
      <w:r>
        <w:rPr>
          <w:spacing w:val="-3"/>
        </w:rPr>
        <w:t xml:space="preserve"> </w:t>
      </w:r>
      <w:r>
        <w:t>la</w:t>
      </w:r>
      <w:r>
        <w:rPr>
          <w:spacing w:val="-3"/>
        </w:rPr>
        <w:t xml:space="preserve"> </w:t>
      </w:r>
      <w:r>
        <w:t>adopción del producto, en la educación del mercado o en el reemplazo de la competencia.</w:t>
      </w:r>
    </w:p>
    <w:p w:rsidR="009B4BB4" w:rsidRDefault="00C44001" w:rsidP="00C44001">
      <w:pPr>
        <w:pStyle w:val="Ttulo2"/>
        <w:numPr>
          <w:ilvl w:val="2"/>
          <w:numId w:val="38"/>
        </w:numPr>
        <w:tabs>
          <w:tab w:val="left" w:pos="1465"/>
        </w:tabs>
        <w:ind w:left="1465" w:hanging="545"/>
        <w:jc w:val="left"/>
      </w:pPr>
      <w:bookmarkStart w:id="133" w:name="4.3.1_Frecuencia_de_consumo_de_miel_"/>
      <w:bookmarkStart w:id="134" w:name="h.w0ejfnvmrze6"/>
      <w:bookmarkEnd w:id="133"/>
      <w:bookmarkEnd w:id="134"/>
      <w:r>
        <w:t>Frecuencia</w:t>
      </w:r>
      <w:r>
        <w:rPr>
          <w:spacing w:val="-6"/>
        </w:rPr>
        <w:t xml:space="preserve"> </w:t>
      </w:r>
      <w:r>
        <w:t>de</w:t>
      </w:r>
      <w:r>
        <w:rPr>
          <w:spacing w:val="-5"/>
        </w:rPr>
        <w:t xml:space="preserve"> </w:t>
      </w:r>
      <w:r>
        <w:t>consumo</w:t>
      </w:r>
      <w:r>
        <w:rPr>
          <w:spacing w:val="-5"/>
        </w:rPr>
        <w:t xml:space="preserve"> </w:t>
      </w:r>
      <w:r>
        <w:t>de</w:t>
      </w:r>
      <w:r>
        <w:rPr>
          <w:spacing w:val="-5"/>
        </w:rPr>
        <w:t xml:space="preserve"> </w:t>
      </w:r>
      <w:r>
        <w:rPr>
          <w:spacing w:val="-4"/>
        </w:rPr>
        <w:t>miel</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3" w:firstLine="720"/>
        <w:jc w:val="both"/>
      </w:pPr>
      <w:r>
        <w:t>Los datos confirman que la miel es un producto de consumo ocasional (51% menor a</w:t>
      </w:r>
      <w:r>
        <w:rPr>
          <w:spacing w:val="-2"/>
        </w:rPr>
        <w:t xml:space="preserve"> </w:t>
      </w:r>
      <w:r>
        <w:t>una</w:t>
      </w:r>
      <w:r>
        <w:rPr>
          <w:spacing w:val="-2"/>
        </w:rPr>
        <w:t xml:space="preserve"> </w:t>
      </w:r>
      <w:r>
        <w:t>vez</w:t>
      </w:r>
      <w:r>
        <w:rPr>
          <w:spacing w:val="-2"/>
        </w:rPr>
        <w:t xml:space="preserve"> </w:t>
      </w:r>
      <w:r>
        <w:t>al</w:t>
      </w:r>
      <w:r>
        <w:rPr>
          <w:spacing w:val="-2"/>
        </w:rPr>
        <w:t xml:space="preserve"> </w:t>
      </w:r>
      <w:r>
        <w:t>mes),</w:t>
      </w:r>
      <w:r>
        <w:rPr>
          <w:spacing w:val="-2"/>
        </w:rPr>
        <w:t xml:space="preserve"> </w:t>
      </w:r>
      <w:r>
        <w:t>lo</w:t>
      </w:r>
      <w:r>
        <w:rPr>
          <w:spacing w:val="-2"/>
        </w:rPr>
        <w:t xml:space="preserve"> </w:t>
      </w:r>
      <w:r>
        <w:t>que</w:t>
      </w:r>
      <w:r>
        <w:rPr>
          <w:spacing w:val="-2"/>
        </w:rPr>
        <w:t xml:space="preserve"> </w:t>
      </w:r>
      <w:r>
        <w:t>aleja</w:t>
      </w:r>
      <w:r>
        <w:rPr>
          <w:spacing w:val="-2"/>
        </w:rPr>
        <w:t xml:space="preserve"> </w:t>
      </w:r>
      <w:r>
        <w:t>a</w:t>
      </w:r>
      <w:r>
        <w:rPr>
          <w:spacing w:val="-2"/>
        </w:rPr>
        <w:t xml:space="preserve"> </w:t>
      </w:r>
      <w:r>
        <w:t>Guardiana</w:t>
      </w:r>
      <w:r>
        <w:rPr>
          <w:spacing w:val="-2"/>
        </w:rPr>
        <w:t xml:space="preserve"> </w:t>
      </w:r>
      <w:r>
        <w:t>del</w:t>
      </w:r>
      <w:r>
        <w:rPr>
          <w:spacing w:val="-2"/>
        </w:rPr>
        <w:t xml:space="preserve"> </w:t>
      </w:r>
      <w:r>
        <w:t>mercado</w:t>
      </w:r>
      <w:r>
        <w:rPr>
          <w:spacing w:val="-2"/>
        </w:rPr>
        <w:t xml:space="preserve"> </w:t>
      </w:r>
      <w:r>
        <w:t>de</w:t>
      </w:r>
      <w:r>
        <w:rPr>
          <w:spacing w:val="-2"/>
        </w:rPr>
        <w:t xml:space="preserve"> </w:t>
      </w:r>
      <w:r>
        <w:rPr>
          <w:rFonts w:ascii="Arial" w:hAnsi="Arial"/>
          <w:i/>
        </w:rPr>
        <w:t>commodities</w:t>
      </w:r>
      <w:r>
        <w:rPr>
          <w:rFonts w:ascii="Arial" w:hAnsi="Arial"/>
          <w:i/>
          <w:spacing w:val="-2"/>
        </w:rPr>
        <w:t xml:space="preserve"> </w:t>
      </w:r>
      <w:r>
        <w:t>y</w:t>
      </w:r>
      <w:r>
        <w:rPr>
          <w:spacing w:val="-2"/>
        </w:rPr>
        <w:t xml:space="preserve"> </w:t>
      </w:r>
      <w:r>
        <w:t>la</w:t>
      </w:r>
      <w:r>
        <w:rPr>
          <w:spacing w:val="-2"/>
        </w:rPr>
        <w:t xml:space="preserve"> </w:t>
      </w:r>
      <w:r>
        <w:t>sitúa en</w:t>
      </w:r>
      <w:r>
        <w:rPr>
          <w:spacing w:val="-3"/>
        </w:rPr>
        <w:t xml:space="preserve"> </w:t>
      </w:r>
      <w:r>
        <w:t>el</w:t>
      </w:r>
      <w:r>
        <w:rPr>
          <w:spacing w:val="-3"/>
        </w:rPr>
        <w:t xml:space="preserve"> </w:t>
      </w:r>
      <w:r>
        <w:t>de</w:t>
      </w:r>
      <w:r>
        <w:rPr>
          <w:spacing w:val="-3"/>
        </w:rPr>
        <w:t xml:space="preserve"> </w:t>
      </w:r>
      <w:r>
        <w:t>especialidad</w:t>
      </w:r>
      <w:r>
        <w:rPr>
          <w:spacing w:val="-3"/>
        </w:rPr>
        <w:t xml:space="preserve"> </w:t>
      </w:r>
      <w:r>
        <w:t>o</w:t>
      </w:r>
      <w:r>
        <w:rPr>
          <w:spacing w:val="-3"/>
        </w:rPr>
        <w:t xml:space="preserve"> </w:t>
      </w:r>
      <w:r>
        <w:t>regalo.</w:t>
      </w:r>
      <w:r>
        <w:rPr>
          <w:spacing w:val="-3"/>
        </w:rPr>
        <w:t xml:space="preserve"> </w:t>
      </w:r>
      <w:r>
        <w:t>La</w:t>
      </w:r>
      <w:r>
        <w:rPr>
          <w:spacing w:val="-3"/>
        </w:rPr>
        <w:t xml:space="preserve"> </w:t>
      </w:r>
      <w:r>
        <w:t>brecha</w:t>
      </w:r>
      <w:r>
        <w:rPr>
          <w:spacing w:val="-3"/>
        </w:rPr>
        <w:t xml:space="preserve"> </w:t>
      </w:r>
      <w:r>
        <w:t>generacional</w:t>
      </w:r>
      <w:r>
        <w:rPr>
          <w:spacing w:val="-3"/>
        </w:rPr>
        <w:t xml:space="preserve"> </w:t>
      </w:r>
      <w:r>
        <w:t>es</w:t>
      </w:r>
      <w:r>
        <w:rPr>
          <w:spacing w:val="-3"/>
        </w:rPr>
        <w:t xml:space="preserve"> </w:t>
      </w:r>
      <w:r>
        <w:t>clave:</w:t>
      </w:r>
      <w:r>
        <w:rPr>
          <w:spacing w:val="-3"/>
        </w:rPr>
        <w:t xml:space="preserve"> </w:t>
      </w:r>
      <w:r>
        <w:t>mientras</w:t>
      </w:r>
      <w:r>
        <w:rPr>
          <w:spacing w:val="-3"/>
        </w:rPr>
        <w:t xml:space="preserve"> </w:t>
      </w:r>
      <w:r>
        <w:t>los</w:t>
      </w:r>
      <w:r>
        <w:rPr>
          <w:spacing w:val="-3"/>
        </w:rPr>
        <w:t xml:space="preserve"> </w:t>
      </w:r>
      <w:r>
        <w:t>jóvenes</w:t>
      </w:r>
      <w:r>
        <w:rPr>
          <w:spacing w:val="-3"/>
        </w:rPr>
        <w:t xml:space="preserve"> </w:t>
      </w:r>
      <w:r>
        <w:t>son consumidores esporádicos (74.7%), el segmento senior (56+) muestra una lealtad diaria (34%). Esto dicta una estrategia de producto diferenciad</w:t>
      </w:r>
      <w:r>
        <w:t xml:space="preserve">a: presentaciones de formato pequeño (tipo </w:t>
      </w:r>
      <w:r>
        <w:rPr>
          <w:rFonts w:ascii="Arial" w:hAnsi="Arial"/>
          <w:i/>
        </w:rPr>
        <w:t>souvenir</w:t>
      </w:r>
      <w:r>
        <w:t>) para el turista</w:t>
      </w:r>
      <w:r>
        <w:rPr>
          <w:spacing w:val="-4"/>
        </w:rPr>
        <w:t xml:space="preserve"> </w:t>
      </w:r>
      <w:r>
        <w:t>joven</w:t>
      </w:r>
      <w:r>
        <w:rPr>
          <w:spacing w:val="-4"/>
        </w:rPr>
        <w:t xml:space="preserve"> </w:t>
      </w:r>
      <w:r>
        <w:t>y</w:t>
      </w:r>
      <w:r>
        <w:rPr>
          <w:spacing w:val="-4"/>
        </w:rPr>
        <w:t xml:space="preserve"> </w:t>
      </w:r>
      <w:r>
        <w:t>formatos</w:t>
      </w:r>
      <w:r>
        <w:rPr>
          <w:spacing w:val="-4"/>
        </w:rPr>
        <w:t xml:space="preserve"> </w:t>
      </w:r>
      <w:r>
        <w:t>de</w:t>
      </w:r>
      <w:r>
        <w:rPr>
          <w:spacing w:val="-4"/>
        </w:rPr>
        <w:t xml:space="preserve"> </w:t>
      </w:r>
      <w:r>
        <w:t>mayor</w:t>
      </w:r>
      <w:r>
        <w:rPr>
          <w:spacing w:val="-4"/>
        </w:rPr>
        <w:t xml:space="preserve"> </w:t>
      </w:r>
      <w:r>
        <w:t>volumen</w:t>
      </w:r>
      <w:r>
        <w:rPr>
          <w:spacing w:val="-4"/>
        </w:rPr>
        <w:t xml:space="preserve"> </w:t>
      </w:r>
      <w:r>
        <w:t>o</w:t>
      </w:r>
      <w:r>
        <w:rPr>
          <w:spacing w:val="-4"/>
        </w:rPr>
        <w:t xml:space="preserve"> </w:t>
      </w:r>
      <w:r>
        <w:t>terapéuticos para el consumidor maduro.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19"/>
      </w:pPr>
    </w:p>
    <w:p w:rsidR="009B4BB4" w:rsidRDefault="00C44001">
      <w:pPr>
        <w:pStyle w:val="Ttulo1"/>
      </w:pPr>
      <w:r>
        <w:t>Figura</w:t>
      </w:r>
      <w:r>
        <w:rPr>
          <w:spacing w:val="-6"/>
        </w:rPr>
        <w:t xml:space="preserve"> </w:t>
      </w:r>
      <w:r>
        <w:rPr>
          <w:spacing w:val="-5"/>
        </w:rPr>
        <w:t>4.4</w:t>
      </w:r>
    </w:p>
    <w:p w:rsidR="009B4BB4" w:rsidRDefault="00C44001">
      <w:pPr>
        <w:spacing w:before="38"/>
        <w:ind w:left="455"/>
        <w:rPr>
          <w:rFonts w:ascii="Arial"/>
          <w:i/>
        </w:rPr>
      </w:pPr>
      <w:r>
        <w:rPr>
          <w:rFonts w:ascii="Arial"/>
          <w:i/>
        </w:rPr>
        <w:t>Frecuencia</w:t>
      </w:r>
      <w:r>
        <w:rPr>
          <w:rFonts w:ascii="Arial"/>
          <w:i/>
          <w:spacing w:val="-7"/>
        </w:rPr>
        <w:t xml:space="preserve"> </w:t>
      </w:r>
      <w:r>
        <w:rPr>
          <w:rFonts w:ascii="Arial"/>
          <w:i/>
        </w:rPr>
        <w:t>de</w:t>
      </w:r>
      <w:r>
        <w:rPr>
          <w:rFonts w:ascii="Arial"/>
          <w:i/>
          <w:spacing w:val="-5"/>
        </w:rPr>
        <w:t xml:space="preserve"> </w:t>
      </w:r>
      <w:r>
        <w:rPr>
          <w:rFonts w:ascii="Arial"/>
          <w:i/>
        </w:rPr>
        <w:t>consumo</w:t>
      </w:r>
      <w:r>
        <w:rPr>
          <w:rFonts w:ascii="Arial"/>
          <w:i/>
          <w:spacing w:val="-5"/>
        </w:rPr>
        <w:t xml:space="preserve"> </w:t>
      </w:r>
      <w:r>
        <w:rPr>
          <w:rFonts w:ascii="Arial"/>
          <w:i/>
        </w:rPr>
        <w:t>de</w:t>
      </w:r>
      <w:r>
        <w:rPr>
          <w:rFonts w:ascii="Arial"/>
          <w:i/>
          <w:spacing w:val="-5"/>
        </w:rPr>
        <w:t xml:space="preserve"> </w:t>
      </w:r>
      <w:r>
        <w:rPr>
          <w:rFonts w:ascii="Arial"/>
          <w:i/>
        </w:rPr>
        <w:t>miel</w:t>
      </w:r>
      <w:r>
        <w:rPr>
          <w:rFonts w:ascii="Arial"/>
          <w:i/>
          <w:spacing w:val="-5"/>
        </w:rPr>
        <w:t xml:space="preserve"> </w:t>
      </w:r>
      <w:r>
        <w:rPr>
          <w:rFonts w:ascii="Arial"/>
          <w:i/>
        </w:rPr>
        <w:t>segmentada</w:t>
      </w:r>
      <w:r>
        <w:rPr>
          <w:rFonts w:ascii="Arial"/>
          <w:i/>
          <w:spacing w:val="-5"/>
        </w:rPr>
        <w:t xml:space="preserve"> </w:t>
      </w:r>
      <w:r>
        <w:rPr>
          <w:rFonts w:ascii="Arial"/>
          <w:i/>
        </w:rPr>
        <w:t>por</w:t>
      </w:r>
      <w:r>
        <w:rPr>
          <w:rFonts w:ascii="Arial"/>
          <w:i/>
          <w:spacing w:val="-5"/>
        </w:rPr>
        <w:t xml:space="preserve"> </w:t>
      </w:r>
      <w:r>
        <w:rPr>
          <w:rFonts w:ascii="Arial"/>
          <w:i/>
        </w:rPr>
        <w:t>rango</w:t>
      </w:r>
      <w:r>
        <w:rPr>
          <w:rFonts w:ascii="Arial"/>
          <w:i/>
          <w:spacing w:val="-5"/>
        </w:rPr>
        <w:t xml:space="preserve"> </w:t>
      </w:r>
      <w:r>
        <w:rPr>
          <w:rFonts w:ascii="Arial"/>
          <w:i/>
        </w:rPr>
        <w:t>de</w:t>
      </w:r>
      <w:r>
        <w:rPr>
          <w:rFonts w:ascii="Arial"/>
          <w:i/>
          <w:spacing w:val="-5"/>
        </w:rPr>
        <w:t xml:space="preserve"> </w:t>
      </w:r>
      <w:r>
        <w:rPr>
          <w:rFonts w:ascii="Arial"/>
          <w:i/>
          <w:spacing w:val="-4"/>
        </w:rPr>
        <w:t>edad</w:t>
      </w:r>
    </w:p>
    <w:p w:rsidR="009B4BB4" w:rsidRDefault="009B4BB4">
      <w:pPr>
        <w:pStyle w:val="Textoindependiente"/>
        <w:spacing w:before="0"/>
        <w:rPr>
          <w:rFonts w:ascii="Arial"/>
          <w:i/>
          <w:sz w:val="20"/>
        </w:rPr>
      </w:pPr>
    </w:p>
    <w:p w:rsidR="009B4BB4" w:rsidRDefault="00C44001">
      <w:pPr>
        <w:pStyle w:val="Textoindependiente"/>
        <w:spacing w:before="87"/>
        <w:rPr>
          <w:rFonts w:ascii="Arial"/>
          <w:i/>
          <w:sz w:val="20"/>
        </w:rPr>
      </w:pPr>
      <w:r>
        <w:rPr>
          <w:rFonts w:ascii="Arial"/>
          <w:i/>
          <w:noProof/>
          <w:sz w:val="20"/>
          <w:lang w:val="es-AR" w:eastAsia="es-AR"/>
        </w:rPr>
        <w:drawing>
          <wp:anchor distT="0" distB="0" distL="0" distR="0" simplePos="0" relativeHeight="487595520" behindDoc="1" locked="0" layoutInCell="1" allowOverlap="1">
            <wp:simplePos x="0" y="0"/>
            <wp:positionH relativeFrom="page">
              <wp:posOffset>1285235</wp:posOffset>
            </wp:positionH>
            <wp:positionV relativeFrom="paragraph">
              <wp:posOffset>216522</wp:posOffset>
            </wp:positionV>
            <wp:extent cx="5422966" cy="2850356"/>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5422966" cy="2850356"/>
                    </a:xfrm>
                    <a:prstGeom prst="rect">
                      <a:avLst/>
                    </a:prstGeom>
                  </pic:spPr>
                </pic:pic>
              </a:graphicData>
            </a:graphic>
          </wp:anchor>
        </w:drawing>
      </w:r>
    </w:p>
    <w:p w:rsidR="009B4BB4" w:rsidRDefault="009B4BB4">
      <w:pPr>
        <w:pStyle w:val="Textoindependiente"/>
        <w:spacing w:before="163"/>
        <w:rPr>
          <w:rFonts w:ascii="Arial"/>
          <w:i/>
        </w:rPr>
      </w:pPr>
    </w:p>
    <w:p w:rsidR="009B4BB4" w:rsidRDefault="00C44001">
      <w:pPr>
        <w:pStyle w:val="Textoindependiente"/>
        <w:spacing w:before="1" w:line="360" w:lineRule="auto"/>
        <w:ind w:left="425" w:right="606"/>
        <w:jc w:val="both"/>
      </w:pPr>
      <w:r>
        <w:rPr>
          <w:rFonts w:ascii="Arial" w:hAnsi="Arial"/>
          <w:i/>
        </w:rPr>
        <w:t xml:space="preserve">Nota. </w:t>
      </w:r>
      <w:r>
        <w:t>Frecuencia de consumo por rango etario (n=360). Los datos confirman una correlación positiva entre la edad</w:t>
      </w:r>
      <w:r>
        <w:rPr>
          <w:spacing w:val="-3"/>
        </w:rPr>
        <w:t xml:space="preserve"> </w:t>
      </w:r>
      <w:r>
        <w:t>y</w:t>
      </w:r>
      <w:r>
        <w:rPr>
          <w:spacing w:val="-3"/>
        </w:rPr>
        <w:t xml:space="preserve"> </w:t>
      </w:r>
      <w:r>
        <w:t>el</w:t>
      </w:r>
      <w:r>
        <w:rPr>
          <w:spacing w:val="-3"/>
        </w:rPr>
        <w:t xml:space="preserve"> </w:t>
      </w:r>
      <w:r>
        <w:t>consumo</w:t>
      </w:r>
      <w:r>
        <w:rPr>
          <w:spacing w:val="-3"/>
        </w:rPr>
        <w:t xml:space="preserve"> </w:t>
      </w:r>
      <w:r>
        <w:t>diario,</w:t>
      </w:r>
      <w:r>
        <w:rPr>
          <w:spacing w:val="-3"/>
        </w:rPr>
        <w:t xml:space="preserve"> </w:t>
      </w:r>
      <w:r>
        <w:t>alcanzando</w:t>
      </w:r>
      <w:r>
        <w:rPr>
          <w:spacing w:val="-3"/>
        </w:rPr>
        <w:t xml:space="preserve"> </w:t>
      </w:r>
      <w:r>
        <w:t>su</w:t>
      </w:r>
      <w:r>
        <w:rPr>
          <w:spacing w:val="-3"/>
        </w:rPr>
        <w:t xml:space="preserve"> </w:t>
      </w:r>
      <w:r>
        <w:t>punto</w:t>
      </w:r>
      <w:r>
        <w:rPr>
          <w:spacing w:val="-3"/>
        </w:rPr>
        <w:t xml:space="preserve"> </w:t>
      </w:r>
      <w:r>
        <w:t>máximo</w:t>
      </w:r>
      <w:r>
        <w:rPr>
          <w:spacing w:val="-3"/>
        </w:rPr>
        <w:t xml:space="preserve"> </w:t>
      </w:r>
      <w:r>
        <w:t>en</w:t>
      </w:r>
      <w:r>
        <w:rPr>
          <w:spacing w:val="-3"/>
        </w:rPr>
        <w:t xml:space="preserve"> </w:t>
      </w:r>
      <w:r>
        <w:t>el segmento de 56 años o más. Elaboración propia (2025).</w:t>
      </w:r>
    </w:p>
    <w:p w:rsidR="009B4BB4" w:rsidRDefault="00C44001">
      <w:pPr>
        <w:pStyle w:val="Textoindependiente"/>
        <w:spacing w:before="239" w:line="360" w:lineRule="auto"/>
        <w:ind w:left="425" w:right="604" w:firstLine="720"/>
        <w:jc w:val="both"/>
      </w:pPr>
      <w:r>
        <w:t>Los datos confirman una segmentación bimodal.</w:t>
      </w:r>
      <w:r>
        <w:rPr>
          <w:spacing w:val="-4"/>
        </w:rPr>
        <w:t xml:space="preserve"> </w:t>
      </w:r>
      <w:r>
        <w:t>El</w:t>
      </w:r>
      <w:r>
        <w:rPr>
          <w:spacing w:val="-4"/>
        </w:rPr>
        <w:t xml:space="preserve"> </w:t>
      </w:r>
      <w:r>
        <w:t>mercado</w:t>
      </w:r>
      <w:r>
        <w:rPr>
          <w:spacing w:val="-4"/>
        </w:rPr>
        <w:t xml:space="preserve"> </w:t>
      </w:r>
      <w:r>
        <w:t>joven</w:t>
      </w:r>
      <w:r>
        <w:rPr>
          <w:spacing w:val="-4"/>
        </w:rPr>
        <w:t xml:space="preserve"> </w:t>
      </w:r>
      <w:r>
        <w:t>percibe</w:t>
      </w:r>
      <w:r>
        <w:rPr>
          <w:spacing w:val="-4"/>
        </w:rPr>
        <w:t xml:space="preserve"> </w:t>
      </w:r>
      <w:r>
        <w:t>la</w:t>
      </w:r>
      <w:r>
        <w:rPr>
          <w:spacing w:val="-4"/>
        </w:rPr>
        <w:t xml:space="preserve"> </w:t>
      </w:r>
      <w:r>
        <w:t>miel melipona como un bien de</w:t>
      </w:r>
      <w:r>
        <w:rPr>
          <w:spacing w:val="-4"/>
        </w:rPr>
        <w:t xml:space="preserve"> </w:t>
      </w:r>
      <w:r>
        <w:t>especialidad</w:t>
      </w:r>
      <w:r>
        <w:rPr>
          <w:spacing w:val="-4"/>
        </w:rPr>
        <w:t xml:space="preserve"> </w:t>
      </w:r>
      <w:r>
        <w:t>(regalo</w:t>
      </w:r>
      <w:r>
        <w:rPr>
          <w:spacing w:val="-4"/>
        </w:rPr>
        <w:t xml:space="preserve"> </w:t>
      </w:r>
      <w:r>
        <w:t>cultural</w:t>
      </w:r>
      <w:r>
        <w:rPr>
          <w:spacing w:val="-4"/>
        </w:rPr>
        <w:t xml:space="preserve"> </w:t>
      </w:r>
      <w:r>
        <w:t>o</w:t>
      </w:r>
      <w:r>
        <w:rPr>
          <w:spacing w:val="-4"/>
        </w:rPr>
        <w:t xml:space="preserve"> </w:t>
      </w:r>
      <w:r>
        <w:t>bienestar</w:t>
      </w:r>
      <w:r>
        <w:rPr>
          <w:spacing w:val="-4"/>
        </w:rPr>
        <w:t xml:space="preserve"> </w:t>
      </w:r>
      <w:r>
        <w:t>esporádico),</w:t>
      </w:r>
      <w:r>
        <w:rPr>
          <w:spacing w:val="-4"/>
        </w:rPr>
        <w:t xml:space="preserve"> </w:t>
      </w:r>
      <w:r>
        <w:t>mientras que el segmento senior la integra como un insumo funcional de uso recurrente. Esta dualidad exige estrategias de comunicación diferenciadas: valor simbólico para el turista joven y valor terapéutico para el consumidor maduro.</w:t>
      </w:r>
    </w:p>
    <w:p w:rsidR="009B4BB4" w:rsidRDefault="00C44001" w:rsidP="00C44001">
      <w:pPr>
        <w:pStyle w:val="Ttulo2"/>
        <w:numPr>
          <w:ilvl w:val="2"/>
          <w:numId w:val="38"/>
        </w:numPr>
        <w:tabs>
          <w:tab w:val="left" w:pos="1690"/>
        </w:tabs>
        <w:spacing w:before="241"/>
        <w:ind w:left="1690" w:hanging="545"/>
        <w:jc w:val="left"/>
      </w:pPr>
      <w:bookmarkStart w:id="135" w:name="4.3.2_Experiencia_previa_con_miel_melipo"/>
      <w:bookmarkStart w:id="136" w:name="h.gz8lgbh8qnjw"/>
      <w:bookmarkEnd w:id="135"/>
      <w:bookmarkEnd w:id="136"/>
      <w:r>
        <w:t>Experiencia</w:t>
      </w:r>
      <w:r>
        <w:rPr>
          <w:spacing w:val="-6"/>
        </w:rPr>
        <w:t xml:space="preserve"> </w:t>
      </w:r>
      <w:r>
        <w:t>previa</w:t>
      </w:r>
      <w:r>
        <w:rPr>
          <w:spacing w:val="-6"/>
        </w:rPr>
        <w:t xml:space="preserve"> </w:t>
      </w:r>
      <w:r>
        <w:t>co</w:t>
      </w:r>
      <w:r>
        <w:t>n</w:t>
      </w:r>
      <w:r>
        <w:rPr>
          <w:spacing w:val="-6"/>
        </w:rPr>
        <w:t xml:space="preserve"> </w:t>
      </w:r>
      <w:r>
        <w:t>miel</w:t>
      </w:r>
      <w:r>
        <w:rPr>
          <w:spacing w:val="-6"/>
        </w:rPr>
        <w:t xml:space="preserve"> </w:t>
      </w:r>
      <w:r>
        <w:rPr>
          <w:spacing w:val="-2"/>
        </w:rPr>
        <w:t>melipona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10" w:firstLine="720"/>
        <w:jc w:val="both"/>
      </w:pPr>
      <w:r>
        <w:t>La miel melipona se encuentra aún en una etapa introductoria dentro del</w:t>
      </w:r>
      <w:r>
        <w:rPr>
          <w:spacing w:val="40"/>
        </w:rPr>
        <w:t xml:space="preserve"> </w:t>
      </w:r>
      <w:r>
        <w:t>mercado, con un nivel de conocimiento limitado en el público general. Los datos</w:t>
      </w:r>
      <w:r>
        <w:rPr>
          <w:spacing w:val="40"/>
        </w:rPr>
        <w:t xml:space="preserve"> </w:t>
      </w:r>
      <w:r>
        <w:t>muestran que</w:t>
      </w:r>
      <w:r>
        <w:rPr>
          <w:spacing w:val="-3"/>
        </w:rPr>
        <w:t xml:space="preserve"> </w:t>
      </w:r>
      <w:r>
        <w:t>el</w:t>
      </w:r>
      <w:r>
        <w:rPr>
          <w:spacing w:val="-3"/>
        </w:rPr>
        <w:t xml:space="preserve"> </w:t>
      </w:r>
      <w:r>
        <w:t>62%</w:t>
      </w:r>
      <w:r>
        <w:rPr>
          <w:spacing w:val="-3"/>
        </w:rPr>
        <w:t xml:space="preserve"> </w:t>
      </w:r>
      <w:r>
        <w:t>de</w:t>
      </w:r>
      <w:r>
        <w:rPr>
          <w:spacing w:val="-3"/>
        </w:rPr>
        <w:t xml:space="preserve"> </w:t>
      </w:r>
      <w:r>
        <w:t>los</w:t>
      </w:r>
      <w:r>
        <w:rPr>
          <w:spacing w:val="-3"/>
        </w:rPr>
        <w:t xml:space="preserve"> </w:t>
      </w:r>
      <w:r>
        <w:t>encuestados</w:t>
      </w:r>
      <w:r>
        <w:rPr>
          <w:spacing w:val="-3"/>
        </w:rPr>
        <w:t xml:space="preserve"> </w:t>
      </w:r>
      <w:r>
        <w:t>nunca</w:t>
      </w:r>
      <w:r>
        <w:rPr>
          <w:spacing w:val="-3"/>
        </w:rPr>
        <w:t xml:space="preserve"> </w:t>
      </w:r>
      <w:r>
        <w:t>la</w:t>
      </w:r>
      <w:r>
        <w:rPr>
          <w:spacing w:val="-3"/>
        </w:rPr>
        <w:t xml:space="preserve"> </w:t>
      </w:r>
      <w:r>
        <w:t>ha</w:t>
      </w:r>
      <w:r>
        <w:rPr>
          <w:spacing w:val="-3"/>
        </w:rPr>
        <w:t xml:space="preserve"> </w:t>
      </w:r>
      <w:r>
        <w:t>probado,</w:t>
      </w:r>
      <w:r>
        <w:rPr>
          <w:spacing w:val="-3"/>
        </w:rPr>
        <w:t xml:space="preserve"> </w:t>
      </w:r>
      <w:r>
        <w:t>el</w:t>
      </w:r>
      <w:r>
        <w:rPr>
          <w:spacing w:val="-3"/>
        </w:rPr>
        <w:t xml:space="preserve"> </w:t>
      </w:r>
      <w:r>
        <w:t>19.8%</w:t>
      </w:r>
      <w:r>
        <w:rPr>
          <w:spacing w:val="-3"/>
        </w:rPr>
        <w:t xml:space="preserve"> </w:t>
      </w:r>
      <w:r>
        <w:t>la</w:t>
      </w:r>
      <w:r>
        <w:rPr>
          <w:spacing w:val="-3"/>
        </w:rPr>
        <w:t xml:space="preserve"> </w:t>
      </w:r>
      <w:r>
        <w:t>ha</w:t>
      </w:r>
      <w:r>
        <w:rPr>
          <w:spacing w:val="-3"/>
        </w:rPr>
        <w:t xml:space="preserve"> </w:t>
      </w:r>
      <w:r>
        <w:t>consumido</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02"/>
        <w:jc w:val="both"/>
      </w:pPr>
      <w:proofErr w:type="gramStart"/>
      <w:r>
        <w:lastRenderedPageBreak/>
        <w:t>de</w:t>
      </w:r>
      <w:proofErr w:type="gramEnd"/>
      <w:r>
        <w:t xml:space="preserve"> forma exploratoria y solo el 18.2% se considera un consumidor recurrente, lo que confirma que el producto aún no ha alcanzado una adopción masiva y depende de procesos de descubrimiento y educación del consumidor.</w:t>
      </w:r>
    </w:p>
    <w:p w:rsidR="009B4BB4" w:rsidRDefault="00C44001">
      <w:pPr>
        <w:pStyle w:val="Textoindependiente"/>
        <w:spacing w:before="0" w:line="360" w:lineRule="auto"/>
        <w:ind w:left="425" w:right="602" w:firstLine="720"/>
        <w:jc w:val="both"/>
      </w:pPr>
      <w:r>
        <w:t>El cruce de esta var</w:t>
      </w:r>
      <w:r>
        <w:t>iable con el género revela uno de los hallazgos más relevantes. Se observa una brecha clara de conocimiento: las mujeres actúan como principales early adopters del producto; el 43.1% ya la</w:t>
      </w:r>
      <w:r>
        <w:rPr>
          <w:spacing w:val="-3"/>
        </w:rPr>
        <w:t xml:space="preserve"> </w:t>
      </w:r>
      <w:r>
        <w:t>ha</w:t>
      </w:r>
      <w:r>
        <w:rPr>
          <w:spacing w:val="-3"/>
        </w:rPr>
        <w:t xml:space="preserve"> </w:t>
      </w:r>
      <w:r>
        <w:t>probado</w:t>
      </w:r>
      <w:r>
        <w:rPr>
          <w:spacing w:val="-3"/>
        </w:rPr>
        <w:t xml:space="preserve"> </w:t>
      </w:r>
      <w:r>
        <w:t>al</w:t>
      </w:r>
      <w:r>
        <w:rPr>
          <w:spacing w:val="-3"/>
        </w:rPr>
        <w:t xml:space="preserve"> </w:t>
      </w:r>
      <w:r>
        <w:t>menos</w:t>
      </w:r>
      <w:r>
        <w:rPr>
          <w:spacing w:val="-3"/>
        </w:rPr>
        <w:t xml:space="preserve"> </w:t>
      </w:r>
      <w:r>
        <w:t>una</w:t>
      </w:r>
      <w:r>
        <w:rPr>
          <w:spacing w:val="-3"/>
        </w:rPr>
        <w:t xml:space="preserve"> </w:t>
      </w:r>
      <w:r>
        <w:t>vez</w:t>
      </w:r>
      <w:r>
        <w:rPr>
          <w:spacing w:val="-3"/>
        </w:rPr>
        <w:t xml:space="preserve"> </w:t>
      </w:r>
      <w:r>
        <w:t>y</w:t>
      </w:r>
      <w:r>
        <w:rPr>
          <w:spacing w:val="-3"/>
        </w:rPr>
        <w:t xml:space="preserve"> </w:t>
      </w:r>
      <w:r>
        <w:t>el 25.5% la</w:t>
      </w:r>
      <w:r>
        <w:rPr>
          <w:spacing w:val="-4"/>
        </w:rPr>
        <w:t xml:space="preserve"> </w:t>
      </w:r>
      <w:r>
        <w:t>consume</w:t>
      </w:r>
      <w:r>
        <w:rPr>
          <w:spacing w:val="-4"/>
        </w:rPr>
        <w:t xml:space="preserve"> </w:t>
      </w:r>
      <w:r>
        <w:t>de</w:t>
      </w:r>
      <w:r>
        <w:rPr>
          <w:spacing w:val="-4"/>
        </w:rPr>
        <w:t xml:space="preserve"> </w:t>
      </w:r>
      <w:r>
        <w:t>forma</w:t>
      </w:r>
      <w:r>
        <w:rPr>
          <w:spacing w:val="-4"/>
        </w:rPr>
        <w:t xml:space="preserve"> </w:t>
      </w:r>
      <w:r>
        <w:t>recurrente.</w:t>
      </w:r>
      <w:r>
        <w:rPr>
          <w:spacing w:val="-4"/>
        </w:rPr>
        <w:t xml:space="preserve"> </w:t>
      </w:r>
      <w:r>
        <w:t>En</w:t>
      </w:r>
      <w:r>
        <w:rPr>
          <w:spacing w:val="-4"/>
        </w:rPr>
        <w:t xml:space="preserve"> </w:t>
      </w:r>
      <w:r>
        <w:t>contraste,</w:t>
      </w:r>
      <w:r>
        <w:rPr>
          <w:spacing w:val="-4"/>
        </w:rPr>
        <w:t xml:space="preserve"> </w:t>
      </w:r>
      <w:r>
        <w:t>el</w:t>
      </w:r>
      <w:r>
        <w:rPr>
          <w:spacing w:val="-4"/>
        </w:rPr>
        <w:t xml:space="preserve"> </w:t>
      </w:r>
      <w:r>
        <w:t>segmento</w:t>
      </w:r>
      <w:r>
        <w:rPr>
          <w:spacing w:val="-4"/>
        </w:rPr>
        <w:t xml:space="preserve"> </w:t>
      </w:r>
      <w:r>
        <w:t>masculino</w:t>
      </w:r>
      <w:r>
        <w:rPr>
          <w:spacing w:val="-4"/>
        </w:rPr>
        <w:t xml:space="preserve"> </w:t>
      </w:r>
      <w:r>
        <w:t>presenta</w:t>
      </w:r>
      <w:r>
        <w:rPr>
          <w:spacing w:val="-4"/>
        </w:rPr>
        <w:t xml:space="preserve"> </w:t>
      </w:r>
      <w:r>
        <w:t>un alto nivel</w:t>
      </w:r>
      <w:r>
        <w:rPr>
          <w:spacing w:val="-3"/>
        </w:rPr>
        <w:t xml:space="preserve"> </w:t>
      </w:r>
      <w:r>
        <w:t>de</w:t>
      </w:r>
      <w:r>
        <w:rPr>
          <w:spacing w:val="-3"/>
        </w:rPr>
        <w:t xml:space="preserve"> </w:t>
      </w:r>
      <w:r>
        <w:t>desconocimiento:</w:t>
      </w:r>
      <w:r>
        <w:rPr>
          <w:spacing w:val="-3"/>
        </w:rPr>
        <w:t xml:space="preserve"> </w:t>
      </w:r>
      <w:r>
        <w:t>el</w:t>
      </w:r>
      <w:r>
        <w:rPr>
          <w:spacing w:val="-3"/>
        </w:rPr>
        <w:t xml:space="preserve"> </w:t>
      </w:r>
      <w:r>
        <w:t>74.5%</w:t>
      </w:r>
      <w:r>
        <w:rPr>
          <w:spacing w:val="-3"/>
        </w:rPr>
        <w:t xml:space="preserve"> </w:t>
      </w:r>
      <w:r>
        <w:t>de</w:t>
      </w:r>
      <w:r>
        <w:rPr>
          <w:spacing w:val="-3"/>
        </w:rPr>
        <w:t xml:space="preserve"> </w:t>
      </w:r>
      <w:r>
        <w:t>los</w:t>
      </w:r>
      <w:r>
        <w:rPr>
          <w:spacing w:val="-3"/>
        </w:rPr>
        <w:t xml:space="preserve"> </w:t>
      </w:r>
      <w:r>
        <w:t>hombres</w:t>
      </w:r>
      <w:r>
        <w:rPr>
          <w:spacing w:val="-3"/>
        </w:rPr>
        <w:t xml:space="preserve"> </w:t>
      </w:r>
      <w:r>
        <w:t>declara</w:t>
      </w:r>
      <w:r>
        <w:rPr>
          <w:spacing w:val="-3"/>
        </w:rPr>
        <w:t xml:space="preserve"> </w:t>
      </w:r>
      <w:r>
        <w:t>no</w:t>
      </w:r>
      <w:r>
        <w:rPr>
          <w:spacing w:val="-3"/>
        </w:rPr>
        <w:t xml:space="preserve"> </w:t>
      </w:r>
      <w:r>
        <w:t>haberla</w:t>
      </w:r>
      <w:r>
        <w:rPr>
          <w:spacing w:val="-3"/>
        </w:rPr>
        <w:t xml:space="preserve"> </w:t>
      </w:r>
      <w:r>
        <w:t>probado.</w:t>
      </w:r>
      <w:r>
        <w:rPr>
          <w:spacing w:val="-3"/>
        </w:rPr>
        <w:t xml:space="preserve"> </w:t>
      </w:r>
      <w:r>
        <w:t>Esta diferencia sugiere que el crecimiento inicial del producto puede acelerarse enfocando la estrategia en el se</w:t>
      </w:r>
      <w:r>
        <w:t>gmento femenino, que ya muestra mayor apertura y familiaridad. Al mismo tiempo, el segmento masculino representa un mercado potencial de largo plazo que requerirá mayor esfuerzo de educación y posicionamiento.</w:t>
      </w:r>
    </w:p>
    <w:p w:rsidR="009B4BB4" w:rsidRDefault="009B4BB4">
      <w:pPr>
        <w:pStyle w:val="Textoindependiente"/>
        <w:spacing w:before="38"/>
      </w:pPr>
    </w:p>
    <w:p w:rsidR="009B4BB4" w:rsidRDefault="00C44001">
      <w:pPr>
        <w:pStyle w:val="Ttulo1"/>
        <w:jc w:val="both"/>
      </w:pPr>
      <w:r>
        <w:t>Figura</w:t>
      </w:r>
      <w:r>
        <w:rPr>
          <w:spacing w:val="-6"/>
        </w:rPr>
        <w:t xml:space="preserve"> </w:t>
      </w:r>
      <w:r>
        <w:rPr>
          <w:spacing w:val="-5"/>
        </w:rPr>
        <w:t>4.5</w:t>
      </w:r>
    </w:p>
    <w:p w:rsidR="009B4BB4" w:rsidRDefault="00C44001">
      <w:pPr>
        <w:spacing w:before="38"/>
        <w:ind w:left="516"/>
        <w:jc w:val="both"/>
        <w:rPr>
          <w:rFonts w:ascii="Arial" w:hAnsi="Arial"/>
          <w:i/>
        </w:rPr>
      </w:pPr>
      <w:r>
        <w:rPr>
          <w:rFonts w:ascii="Arial" w:hAnsi="Arial"/>
          <w:i/>
        </w:rPr>
        <w:t>Nivel</w:t>
      </w:r>
      <w:r>
        <w:rPr>
          <w:rFonts w:ascii="Arial" w:hAnsi="Arial"/>
          <w:i/>
          <w:spacing w:val="-9"/>
        </w:rPr>
        <w:t xml:space="preserve"> </w:t>
      </w:r>
      <w:r>
        <w:rPr>
          <w:rFonts w:ascii="Arial" w:hAnsi="Arial"/>
          <w:i/>
        </w:rPr>
        <w:t>de</w:t>
      </w:r>
      <w:r>
        <w:rPr>
          <w:rFonts w:ascii="Arial" w:hAnsi="Arial"/>
          <w:i/>
          <w:spacing w:val="-6"/>
        </w:rPr>
        <w:t xml:space="preserve"> </w:t>
      </w:r>
      <w:r>
        <w:rPr>
          <w:rFonts w:ascii="Arial" w:hAnsi="Arial"/>
          <w:i/>
        </w:rPr>
        <w:t>penetración</w:t>
      </w:r>
      <w:r>
        <w:rPr>
          <w:rFonts w:ascii="Arial" w:hAnsi="Arial"/>
          <w:i/>
          <w:spacing w:val="-6"/>
        </w:rPr>
        <w:t xml:space="preserve"> </w:t>
      </w:r>
      <w:r>
        <w:rPr>
          <w:rFonts w:ascii="Arial" w:hAnsi="Arial"/>
          <w:i/>
        </w:rPr>
        <w:t>del</w:t>
      </w:r>
      <w:r>
        <w:rPr>
          <w:rFonts w:ascii="Arial" w:hAnsi="Arial"/>
          <w:i/>
          <w:spacing w:val="-7"/>
        </w:rPr>
        <w:t xml:space="preserve"> </w:t>
      </w:r>
      <w:r>
        <w:rPr>
          <w:rFonts w:ascii="Arial" w:hAnsi="Arial"/>
          <w:i/>
        </w:rPr>
        <w:t>producto:</w:t>
      </w:r>
      <w:r>
        <w:rPr>
          <w:rFonts w:ascii="Arial" w:hAnsi="Arial"/>
          <w:i/>
          <w:spacing w:val="-6"/>
        </w:rPr>
        <w:t xml:space="preserve"> </w:t>
      </w:r>
      <w:r>
        <w:rPr>
          <w:rFonts w:ascii="Arial" w:hAnsi="Arial"/>
          <w:i/>
        </w:rPr>
        <w:t>Comparativa</w:t>
      </w:r>
      <w:r>
        <w:rPr>
          <w:rFonts w:ascii="Arial" w:hAnsi="Arial"/>
          <w:i/>
          <w:spacing w:val="-6"/>
        </w:rPr>
        <w:t xml:space="preserve"> </w:t>
      </w:r>
      <w:r>
        <w:rPr>
          <w:rFonts w:ascii="Arial" w:hAnsi="Arial"/>
          <w:i/>
        </w:rPr>
        <w:t>de</w:t>
      </w:r>
      <w:r>
        <w:rPr>
          <w:rFonts w:ascii="Arial" w:hAnsi="Arial"/>
          <w:i/>
          <w:spacing w:val="-7"/>
        </w:rPr>
        <w:t xml:space="preserve"> </w:t>
      </w:r>
      <w:r>
        <w:rPr>
          <w:rFonts w:ascii="Arial" w:hAnsi="Arial"/>
          <w:i/>
        </w:rPr>
        <w:t>experiencia</w:t>
      </w:r>
      <w:r>
        <w:rPr>
          <w:rFonts w:ascii="Arial" w:hAnsi="Arial"/>
          <w:i/>
          <w:spacing w:val="-6"/>
        </w:rPr>
        <w:t xml:space="preserve"> </w:t>
      </w:r>
      <w:r>
        <w:rPr>
          <w:rFonts w:ascii="Arial" w:hAnsi="Arial"/>
          <w:i/>
        </w:rPr>
        <w:t>previa</w:t>
      </w:r>
      <w:r>
        <w:rPr>
          <w:rFonts w:ascii="Arial" w:hAnsi="Arial"/>
          <w:i/>
          <w:spacing w:val="-6"/>
        </w:rPr>
        <w:t xml:space="preserve"> </w:t>
      </w:r>
      <w:r>
        <w:rPr>
          <w:rFonts w:ascii="Arial" w:hAnsi="Arial"/>
          <w:i/>
        </w:rPr>
        <w:t>por</w:t>
      </w:r>
      <w:r>
        <w:rPr>
          <w:rFonts w:ascii="Arial" w:hAnsi="Arial"/>
          <w:i/>
          <w:spacing w:val="-6"/>
        </w:rPr>
        <w:t xml:space="preserve"> </w:t>
      </w:r>
      <w:r>
        <w:rPr>
          <w:rFonts w:ascii="Arial" w:hAnsi="Arial"/>
          <w:i/>
          <w:spacing w:val="-2"/>
        </w:rPr>
        <w:t>género</w:t>
      </w:r>
    </w:p>
    <w:p w:rsidR="009B4BB4" w:rsidRDefault="009B4BB4">
      <w:pPr>
        <w:pStyle w:val="Textoindependiente"/>
        <w:spacing w:before="0"/>
        <w:rPr>
          <w:rFonts w:ascii="Arial"/>
          <w:i/>
          <w:sz w:val="20"/>
        </w:rPr>
      </w:pPr>
    </w:p>
    <w:p w:rsidR="009B4BB4" w:rsidRDefault="00C44001">
      <w:pPr>
        <w:pStyle w:val="Textoindependiente"/>
        <w:spacing w:before="104"/>
        <w:rPr>
          <w:rFonts w:ascii="Arial"/>
          <w:i/>
          <w:sz w:val="20"/>
        </w:rPr>
      </w:pPr>
      <w:r>
        <w:rPr>
          <w:rFonts w:ascii="Arial"/>
          <w:i/>
          <w:noProof/>
          <w:sz w:val="20"/>
          <w:lang w:val="es-AR" w:eastAsia="es-AR"/>
        </w:rPr>
        <w:drawing>
          <wp:anchor distT="0" distB="0" distL="0" distR="0" simplePos="0" relativeHeight="487596032" behindDoc="1" locked="0" layoutInCell="1" allowOverlap="1">
            <wp:simplePos x="0" y="0"/>
            <wp:positionH relativeFrom="page">
              <wp:posOffset>1286748</wp:posOffset>
            </wp:positionH>
            <wp:positionV relativeFrom="paragraph">
              <wp:posOffset>227417</wp:posOffset>
            </wp:positionV>
            <wp:extent cx="5414388" cy="3017520"/>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5414388" cy="3017520"/>
                    </a:xfrm>
                    <a:prstGeom prst="rect">
                      <a:avLst/>
                    </a:prstGeom>
                  </pic:spPr>
                </pic:pic>
              </a:graphicData>
            </a:graphic>
          </wp:anchor>
        </w:drawing>
      </w:r>
    </w:p>
    <w:p w:rsidR="009B4BB4" w:rsidRDefault="009B4BB4">
      <w:pPr>
        <w:pStyle w:val="Textoindependiente"/>
        <w:spacing w:before="213"/>
        <w:rPr>
          <w:rFonts w:ascii="Arial"/>
          <w:i/>
        </w:rPr>
      </w:pPr>
    </w:p>
    <w:p w:rsidR="009B4BB4" w:rsidRDefault="00C44001">
      <w:pPr>
        <w:pStyle w:val="Textoindependiente"/>
        <w:spacing w:before="0" w:line="360" w:lineRule="auto"/>
        <w:ind w:left="425" w:right="671"/>
      </w:pPr>
      <w:r>
        <w:rPr>
          <w:rFonts w:ascii="Arial" w:hAnsi="Arial"/>
          <w:i/>
        </w:rPr>
        <w:t>Nota.</w:t>
      </w:r>
      <w:r>
        <w:rPr>
          <w:rFonts w:ascii="Arial" w:hAnsi="Arial"/>
          <w:i/>
          <w:spacing w:val="-4"/>
        </w:rPr>
        <w:t xml:space="preserve"> </w:t>
      </w:r>
      <w:r>
        <w:t>Nivel</w:t>
      </w:r>
      <w:r>
        <w:rPr>
          <w:spacing w:val="-4"/>
        </w:rPr>
        <w:t xml:space="preserve"> </w:t>
      </w:r>
      <w:r>
        <w:t>de</w:t>
      </w:r>
      <w:r>
        <w:rPr>
          <w:spacing w:val="-4"/>
        </w:rPr>
        <w:t xml:space="preserve"> </w:t>
      </w:r>
      <w:r>
        <w:t>adopción</w:t>
      </w:r>
      <w:r>
        <w:rPr>
          <w:spacing w:val="-4"/>
        </w:rPr>
        <w:t xml:space="preserve"> </w:t>
      </w:r>
      <w:r>
        <w:t>y</w:t>
      </w:r>
      <w:r>
        <w:rPr>
          <w:spacing w:val="-4"/>
        </w:rPr>
        <w:t xml:space="preserve"> </w:t>
      </w:r>
      <w:r>
        <w:t>frecuencia</w:t>
      </w:r>
      <w:r>
        <w:rPr>
          <w:spacing w:val="-4"/>
        </w:rPr>
        <w:t xml:space="preserve"> </w:t>
      </w:r>
      <w:r>
        <w:t>de</w:t>
      </w:r>
      <w:r>
        <w:rPr>
          <w:spacing w:val="-4"/>
        </w:rPr>
        <w:t xml:space="preserve"> </w:t>
      </w:r>
      <w:r>
        <w:t>consumo</w:t>
      </w:r>
      <w:r>
        <w:rPr>
          <w:spacing w:val="-4"/>
        </w:rPr>
        <w:t xml:space="preserve"> </w:t>
      </w:r>
      <w:r>
        <w:t>(n</w:t>
      </w:r>
      <w:r>
        <w:rPr>
          <w:spacing w:val="-4"/>
        </w:rPr>
        <w:t xml:space="preserve"> </w:t>
      </w:r>
      <w:r>
        <w:t>=</w:t>
      </w:r>
      <w:r>
        <w:rPr>
          <w:spacing w:val="-4"/>
        </w:rPr>
        <w:t xml:space="preserve"> </w:t>
      </w:r>
      <w:r>
        <w:t>360).</w:t>
      </w:r>
      <w:r>
        <w:rPr>
          <w:spacing w:val="-4"/>
        </w:rPr>
        <w:t xml:space="preserve"> </w:t>
      </w:r>
      <w:r>
        <w:t>Los</w:t>
      </w:r>
      <w:r>
        <w:rPr>
          <w:spacing w:val="-4"/>
        </w:rPr>
        <w:t xml:space="preserve"> </w:t>
      </w:r>
      <w:r>
        <w:t>datos</w:t>
      </w:r>
      <w:r>
        <w:rPr>
          <w:spacing w:val="-4"/>
        </w:rPr>
        <w:t xml:space="preserve"> </w:t>
      </w:r>
      <w:r>
        <w:t>confirman</w:t>
      </w:r>
      <w:r>
        <w:rPr>
          <w:spacing w:val="-4"/>
        </w:rPr>
        <w:t xml:space="preserve"> </w:t>
      </w:r>
      <w:r>
        <w:t>una brecha de penetración de mercado favorable al segmento femenino, consolidándose como el principal adoptante del producto en Valladolid. Elaboración propia (2025).</w:t>
      </w:r>
    </w:p>
    <w:p w:rsidR="009B4BB4" w:rsidRDefault="009B4BB4">
      <w:pPr>
        <w:pStyle w:val="Textoindependiente"/>
        <w:spacing w:line="360" w:lineRule="auto"/>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line="360" w:lineRule="auto"/>
        <w:ind w:left="425" w:right="603" w:firstLine="720"/>
        <w:jc w:val="both"/>
      </w:pPr>
      <w:r>
        <w:t>Esto refleja un amplio margen de crecimiento, pero también exige tácti</w:t>
      </w:r>
      <w:r>
        <w:t>cas de comunicación diferenciadas. En el segmento femenino, la estrategia</w:t>
      </w:r>
      <w:r>
        <w:rPr>
          <w:spacing w:val="-4"/>
        </w:rPr>
        <w:t xml:space="preserve"> </w:t>
      </w:r>
      <w:r>
        <w:t>puede</w:t>
      </w:r>
      <w:r>
        <w:rPr>
          <w:spacing w:val="-4"/>
        </w:rPr>
        <w:t xml:space="preserve"> </w:t>
      </w:r>
      <w:r>
        <w:t>enfocarse</w:t>
      </w:r>
      <w:r>
        <w:rPr>
          <w:spacing w:val="-4"/>
        </w:rPr>
        <w:t xml:space="preserve"> </w:t>
      </w:r>
      <w:r>
        <w:t>en la diferenciación, reforzando atributos como pureza, origen e impacto social frente a productos ya conocidos. En el segmento masculino, el principal reto es educat</w:t>
      </w:r>
      <w:r>
        <w:t>ivo y de entrada a la categoría, centrado en explicar qué es la miel melipona, a qué sabe y para qué sirve. En este caso, resultan clave las degustaciones en punto de venta y las activaciones tipo pop-up.</w:t>
      </w:r>
    </w:p>
    <w:p w:rsidR="009B4BB4" w:rsidRDefault="00C44001" w:rsidP="00C44001">
      <w:pPr>
        <w:pStyle w:val="Ttulo2"/>
        <w:numPr>
          <w:ilvl w:val="2"/>
          <w:numId w:val="38"/>
        </w:numPr>
        <w:tabs>
          <w:tab w:val="left" w:pos="1690"/>
        </w:tabs>
        <w:ind w:left="1690" w:hanging="545"/>
        <w:jc w:val="left"/>
      </w:pPr>
      <w:bookmarkStart w:id="137" w:name="4.3.3_Conocimiento_sobre_origen_y_propie"/>
      <w:bookmarkStart w:id="138" w:name="h.lxqxu8mzszqa"/>
      <w:bookmarkEnd w:id="137"/>
      <w:bookmarkEnd w:id="138"/>
      <w:r>
        <w:t>Conocimiento</w:t>
      </w:r>
      <w:r>
        <w:rPr>
          <w:spacing w:val="-9"/>
        </w:rPr>
        <w:t xml:space="preserve"> </w:t>
      </w:r>
      <w:r>
        <w:t>sobre</w:t>
      </w:r>
      <w:r>
        <w:rPr>
          <w:spacing w:val="-7"/>
        </w:rPr>
        <w:t xml:space="preserve"> </w:t>
      </w:r>
      <w:r>
        <w:t>origen</w:t>
      </w:r>
      <w:r>
        <w:rPr>
          <w:spacing w:val="-7"/>
        </w:rPr>
        <w:t xml:space="preserve"> </w:t>
      </w:r>
      <w:r>
        <w:t>y</w:t>
      </w:r>
      <w:r>
        <w:rPr>
          <w:spacing w:val="-7"/>
        </w:rPr>
        <w:t xml:space="preserve"> </w:t>
      </w:r>
      <w:r>
        <w:t>propiedades</w:t>
      </w:r>
      <w:r>
        <w:rPr>
          <w:spacing w:val="-7"/>
        </w:rPr>
        <w:t xml:space="preserve"> </w:t>
      </w:r>
      <w:r>
        <w:rPr>
          <w:spacing w:val="-2"/>
        </w:rPr>
        <w:t>medicinales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4" w:firstLine="811"/>
        <w:jc w:val="both"/>
      </w:pPr>
      <w:r>
        <w:t xml:space="preserve">La percepción de valor de un producto </w:t>
      </w:r>
      <w:r>
        <w:rPr>
          <w:rFonts w:ascii="Arial" w:hAnsi="Arial"/>
          <w:i/>
        </w:rPr>
        <w:t xml:space="preserve">premium </w:t>
      </w:r>
      <w:r>
        <w:t>está directamente relacionada con</w:t>
      </w:r>
      <w:r>
        <w:rPr>
          <w:spacing w:val="26"/>
        </w:rPr>
        <w:t xml:space="preserve"> </w:t>
      </w:r>
      <w:r>
        <w:t>el nivel de información del consumidor. Al analizar si los encuestados conocían que la miel melipona proviene de abejas nativas sin aguijón y que posee propiedades medicinale</w:t>
      </w:r>
      <w:r>
        <w:t>s distintas a la miel convencional, los resultados muestran un alto nivel de desconocimiento: el 67.5% respondió que no poseía esta información,</w:t>
      </w:r>
      <w:r>
        <w:rPr>
          <w:spacing w:val="-4"/>
        </w:rPr>
        <w:t xml:space="preserve"> </w:t>
      </w:r>
      <w:r>
        <w:t>frente</w:t>
      </w:r>
      <w:r>
        <w:rPr>
          <w:spacing w:val="-4"/>
        </w:rPr>
        <w:t xml:space="preserve"> </w:t>
      </w:r>
      <w:r>
        <w:t>a</w:t>
      </w:r>
      <w:r>
        <w:rPr>
          <w:spacing w:val="-4"/>
        </w:rPr>
        <w:t xml:space="preserve"> </w:t>
      </w:r>
      <w:r>
        <w:t>un</w:t>
      </w:r>
      <w:r>
        <w:rPr>
          <w:spacing w:val="-4"/>
        </w:rPr>
        <w:t xml:space="preserve"> </w:t>
      </w:r>
      <w:r>
        <w:t>32.5% que sí la conocía.</w:t>
      </w:r>
    </w:p>
    <w:p w:rsidR="009B4BB4" w:rsidRDefault="00C44001">
      <w:pPr>
        <w:pStyle w:val="Textoindependiente"/>
        <w:spacing w:line="360" w:lineRule="auto"/>
        <w:ind w:left="425" w:right="610" w:firstLine="720"/>
        <w:jc w:val="both"/>
      </w:pPr>
      <w:r>
        <w:t>Al analizar los datos por segmentos, se identifican dos hallazgos clave pa</w:t>
      </w:r>
      <w:r>
        <w:t>ra la estrategia comercial:</w:t>
      </w:r>
    </w:p>
    <w:p w:rsidR="009B4BB4" w:rsidRDefault="00C44001" w:rsidP="00C44001">
      <w:pPr>
        <w:pStyle w:val="Prrafodelista"/>
        <w:numPr>
          <w:ilvl w:val="0"/>
          <w:numId w:val="37"/>
        </w:numPr>
        <w:tabs>
          <w:tab w:val="left" w:pos="1143"/>
          <w:tab w:val="left" w:pos="1145"/>
        </w:tabs>
        <w:spacing w:line="360" w:lineRule="auto"/>
        <w:ind w:right="603"/>
        <w:jc w:val="both"/>
      </w:pPr>
      <w:r>
        <w:rPr>
          <w:rFonts w:ascii="Arial" w:hAnsi="Arial"/>
          <w:b/>
        </w:rPr>
        <w:t xml:space="preserve">La brecha por origen: </w:t>
      </w:r>
      <w:r>
        <w:t>El nivel de</w:t>
      </w:r>
      <w:r>
        <w:rPr>
          <w:spacing w:val="-3"/>
        </w:rPr>
        <w:t xml:space="preserve"> </w:t>
      </w:r>
      <w:r>
        <w:t>conocimiento</w:t>
      </w:r>
      <w:r>
        <w:rPr>
          <w:spacing w:val="-3"/>
        </w:rPr>
        <w:t xml:space="preserve"> </w:t>
      </w:r>
      <w:r>
        <w:t>varía</w:t>
      </w:r>
      <w:r>
        <w:rPr>
          <w:spacing w:val="-3"/>
        </w:rPr>
        <w:t xml:space="preserve"> </w:t>
      </w:r>
      <w:r>
        <w:t>significativamente</w:t>
      </w:r>
      <w:r>
        <w:rPr>
          <w:spacing w:val="-3"/>
        </w:rPr>
        <w:t xml:space="preserve"> </w:t>
      </w:r>
      <w:r>
        <w:t>según</w:t>
      </w:r>
      <w:r>
        <w:rPr>
          <w:spacing w:val="-3"/>
        </w:rPr>
        <w:t xml:space="preserve"> </w:t>
      </w:r>
      <w:r>
        <w:t>el origen del consumidor. Mientras que en la población residente (local) el desconocimiento es menor (52.2%), en el segmento de turistas nacionales asciende al 66.5%. El dato más relevante se observa en el turismo</w:t>
      </w:r>
      <w:r>
        <w:rPr>
          <w:spacing w:val="-3"/>
        </w:rPr>
        <w:t xml:space="preserve"> </w:t>
      </w:r>
      <w:r>
        <w:t>internacional, donde el 82.5% ignora por c</w:t>
      </w:r>
      <w:r>
        <w:t>ompleto el origen y valor de la melipona. Esto indica que, aunque el turismo internacional concentra mayor capacidad de gasto, también presenta la mayor brecha de conocimiento.</w:t>
      </w:r>
    </w:p>
    <w:p w:rsidR="009B4BB4" w:rsidRDefault="00C44001" w:rsidP="00C44001">
      <w:pPr>
        <w:pStyle w:val="Prrafodelista"/>
        <w:numPr>
          <w:ilvl w:val="1"/>
          <w:numId w:val="37"/>
        </w:numPr>
        <w:tabs>
          <w:tab w:val="left" w:pos="1863"/>
          <w:tab w:val="left" w:pos="1865"/>
        </w:tabs>
        <w:spacing w:line="360" w:lineRule="auto"/>
        <w:ind w:right="602"/>
        <w:jc w:val="both"/>
      </w:pPr>
      <w:r>
        <w:rPr>
          <w:rFonts w:ascii="Arial" w:hAnsi="Arial"/>
          <w:b/>
        </w:rPr>
        <w:t xml:space="preserve">Implicación estratégica para Guardiana: </w:t>
      </w:r>
      <w:r>
        <w:t xml:space="preserve">El segmento internacional concentra la </w:t>
      </w:r>
      <w:r>
        <w:t>mayor disposición a pagar y es clave para la rentabilidad</w:t>
      </w:r>
      <w:r>
        <w:rPr>
          <w:spacing w:val="-3"/>
        </w:rPr>
        <w:t xml:space="preserve"> </w:t>
      </w:r>
      <w:r>
        <w:t>del modelo.Sin embargo, los datos muestran</w:t>
      </w:r>
      <w:r>
        <w:rPr>
          <w:spacing w:val="-4"/>
        </w:rPr>
        <w:t xml:space="preserve"> </w:t>
      </w:r>
      <w:r>
        <w:t>que</w:t>
      </w:r>
      <w:r>
        <w:rPr>
          <w:spacing w:val="-4"/>
        </w:rPr>
        <w:t xml:space="preserve"> </w:t>
      </w:r>
      <w:r>
        <w:t>no</w:t>
      </w:r>
      <w:r>
        <w:rPr>
          <w:spacing w:val="-4"/>
        </w:rPr>
        <w:t xml:space="preserve"> </w:t>
      </w:r>
      <w:r>
        <w:t>comprará</w:t>
      </w:r>
      <w:r>
        <w:rPr>
          <w:spacing w:val="-4"/>
        </w:rPr>
        <w:t xml:space="preserve"> </w:t>
      </w:r>
      <w:r>
        <w:t>el</w:t>
      </w:r>
      <w:r>
        <w:rPr>
          <w:spacing w:val="-4"/>
        </w:rPr>
        <w:t xml:space="preserve"> </w:t>
      </w:r>
      <w:r>
        <w:t>producto</w:t>
      </w:r>
      <w:r>
        <w:rPr>
          <w:spacing w:val="-4"/>
        </w:rPr>
        <w:t xml:space="preserve"> </w:t>
      </w:r>
      <w:r>
        <w:t>por tradición, sino que requiere una estrategia de storytelling bilingüe y visual desde</w:t>
      </w:r>
      <w:r>
        <w:rPr>
          <w:spacing w:val="40"/>
        </w:rPr>
        <w:t xml:space="preserve"> </w:t>
      </w:r>
      <w:r>
        <w:t>el</w:t>
      </w:r>
      <w:r>
        <w:rPr>
          <w:spacing w:val="40"/>
        </w:rPr>
        <w:t xml:space="preserve"> </w:t>
      </w:r>
      <w:r>
        <w:t>empaque</w:t>
      </w:r>
      <w:r>
        <w:rPr>
          <w:spacing w:val="40"/>
        </w:rPr>
        <w:t xml:space="preserve"> </w:t>
      </w:r>
      <w:r>
        <w:t>que</w:t>
      </w:r>
      <w:r>
        <w:rPr>
          <w:spacing w:val="40"/>
        </w:rPr>
        <w:t xml:space="preserve"> </w:t>
      </w:r>
      <w:r>
        <w:t>explique</w:t>
      </w:r>
      <w:r>
        <w:rPr>
          <w:spacing w:val="40"/>
        </w:rPr>
        <w:t xml:space="preserve"> </w:t>
      </w:r>
      <w:r>
        <w:t>por</w:t>
      </w:r>
      <w:r>
        <w:rPr>
          <w:spacing w:val="40"/>
        </w:rPr>
        <w:t xml:space="preserve"> </w:t>
      </w:r>
      <w:r>
        <w:t>qué</w:t>
      </w:r>
      <w:r>
        <w:rPr>
          <w:spacing w:val="40"/>
        </w:rPr>
        <w:t xml:space="preserve"> </w:t>
      </w:r>
      <w:r>
        <w:t>un</w:t>
      </w:r>
      <w:r>
        <w:rPr>
          <w:spacing w:val="40"/>
        </w:rPr>
        <w:t xml:space="preserve"> </w:t>
      </w:r>
      <w:r>
        <w:t>form</w:t>
      </w:r>
      <w:r>
        <w:t>ato</w:t>
      </w:r>
      <w:r>
        <w:rPr>
          <w:spacing w:val="40"/>
        </w:rPr>
        <w:t xml:space="preserve"> </w:t>
      </w:r>
      <w:r>
        <w:t>pequeño</w:t>
      </w:r>
      <w:r>
        <w:rPr>
          <w:spacing w:val="40"/>
        </w:rPr>
        <w:t xml:space="preserve"> </w:t>
      </w:r>
      <w:r>
        <w:t>tiene</w:t>
      </w:r>
      <w:r>
        <w:rPr>
          <w:spacing w:val="40"/>
        </w:rPr>
        <w:t xml:space="preserve"> </w:t>
      </w:r>
      <w:r>
        <w:t>un</w:t>
      </w:r>
    </w:p>
    <w:p w:rsidR="009B4BB4" w:rsidRDefault="009B4BB4">
      <w:pPr>
        <w:pStyle w:val="Prrafodelista"/>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1865" w:right="606"/>
        <w:jc w:val="both"/>
      </w:pPr>
      <w:proofErr w:type="gramStart"/>
      <w:r>
        <w:lastRenderedPageBreak/>
        <w:t>precio</w:t>
      </w:r>
      <w:proofErr w:type="gramEnd"/>
      <w:r>
        <w:t xml:space="preserve"> superior. La educación del cliente no es opcional; es la principal herramienta de venta. En este contexto, el empaque deja de ser un elemento funcional y se convierte en el principal punto de contacto para comunicar valor.</w:t>
      </w:r>
    </w:p>
    <w:p w:rsidR="009B4BB4" w:rsidRDefault="009B4BB4">
      <w:pPr>
        <w:pStyle w:val="Textoindependiente"/>
        <w:spacing w:before="38"/>
      </w:pPr>
    </w:p>
    <w:p w:rsidR="009B4BB4" w:rsidRDefault="00C44001">
      <w:pPr>
        <w:pStyle w:val="Ttulo1"/>
        <w:jc w:val="both"/>
      </w:pPr>
      <w:r>
        <w:t>Figura</w:t>
      </w:r>
      <w:r>
        <w:rPr>
          <w:spacing w:val="-6"/>
        </w:rPr>
        <w:t xml:space="preserve"> </w:t>
      </w:r>
      <w:r>
        <w:rPr>
          <w:spacing w:val="-5"/>
        </w:rPr>
        <w:t>4.6</w:t>
      </w:r>
    </w:p>
    <w:p w:rsidR="009B4BB4" w:rsidRDefault="00C44001">
      <w:pPr>
        <w:spacing w:before="38" w:line="276" w:lineRule="auto"/>
        <w:ind w:left="425" w:right="616" w:firstLine="30"/>
        <w:jc w:val="both"/>
        <w:rPr>
          <w:rFonts w:ascii="Arial"/>
          <w:i/>
        </w:rPr>
      </w:pPr>
      <w:r>
        <w:rPr>
          <w:rFonts w:ascii="Arial"/>
          <w:i/>
        </w:rPr>
        <w:t>Nivel de conoc</w:t>
      </w:r>
      <w:r>
        <w:rPr>
          <w:rFonts w:ascii="Arial"/>
          <w:i/>
        </w:rPr>
        <w:t>imiento sobre propiedades medicinales de la</w:t>
      </w:r>
      <w:r>
        <w:rPr>
          <w:rFonts w:ascii="Arial"/>
          <w:i/>
          <w:spacing w:val="-4"/>
        </w:rPr>
        <w:t xml:space="preserve"> </w:t>
      </w:r>
      <w:r>
        <w:rPr>
          <w:rFonts w:ascii="Arial"/>
          <w:i/>
        </w:rPr>
        <w:t>miel</w:t>
      </w:r>
      <w:r>
        <w:rPr>
          <w:rFonts w:ascii="Arial"/>
          <w:i/>
          <w:spacing w:val="-4"/>
        </w:rPr>
        <w:t xml:space="preserve"> </w:t>
      </w:r>
      <w:r>
        <w:rPr>
          <w:rFonts w:ascii="Arial"/>
          <w:i/>
        </w:rPr>
        <w:t>melipona</w:t>
      </w:r>
      <w:r>
        <w:rPr>
          <w:rFonts w:ascii="Arial"/>
          <w:i/>
          <w:spacing w:val="-4"/>
        </w:rPr>
        <w:t xml:space="preserve"> </w:t>
      </w:r>
      <w:r>
        <w:rPr>
          <w:rFonts w:ascii="Arial"/>
          <w:i/>
        </w:rPr>
        <w:t>por</w:t>
      </w:r>
      <w:r>
        <w:rPr>
          <w:rFonts w:ascii="Arial"/>
          <w:i/>
          <w:spacing w:val="-4"/>
        </w:rPr>
        <w:t xml:space="preserve"> </w:t>
      </w:r>
      <w:r>
        <w:rPr>
          <w:rFonts w:ascii="Arial"/>
          <w:i/>
        </w:rPr>
        <w:t>segmento de origen</w:t>
      </w:r>
    </w:p>
    <w:p w:rsidR="009B4BB4" w:rsidRDefault="009B4BB4">
      <w:pPr>
        <w:pStyle w:val="Textoindependiente"/>
        <w:spacing w:before="0"/>
        <w:rPr>
          <w:rFonts w:ascii="Arial"/>
          <w:i/>
          <w:sz w:val="20"/>
        </w:rPr>
      </w:pPr>
    </w:p>
    <w:p w:rsidR="009B4BB4" w:rsidRDefault="00C44001">
      <w:pPr>
        <w:pStyle w:val="Textoindependiente"/>
        <w:spacing w:before="53"/>
        <w:rPr>
          <w:rFonts w:ascii="Arial"/>
          <w:i/>
          <w:sz w:val="20"/>
        </w:rPr>
      </w:pPr>
      <w:r>
        <w:rPr>
          <w:rFonts w:ascii="Arial"/>
          <w:i/>
          <w:noProof/>
          <w:sz w:val="20"/>
          <w:lang w:val="es-AR" w:eastAsia="es-AR"/>
        </w:rPr>
        <w:drawing>
          <wp:anchor distT="0" distB="0" distL="0" distR="0" simplePos="0" relativeHeight="487596544" behindDoc="1" locked="0" layoutInCell="1" allowOverlap="1">
            <wp:simplePos x="0" y="0"/>
            <wp:positionH relativeFrom="page">
              <wp:posOffset>1432115</wp:posOffset>
            </wp:positionH>
            <wp:positionV relativeFrom="paragraph">
              <wp:posOffset>195393</wp:posOffset>
            </wp:positionV>
            <wp:extent cx="4922578" cy="2913697"/>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4922578" cy="2913697"/>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136"/>
        <w:rPr>
          <w:rFonts w:ascii="Arial"/>
          <w:i/>
        </w:rPr>
      </w:pPr>
    </w:p>
    <w:p w:rsidR="009B4BB4" w:rsidRDefault="00C44001">
      <w:pPr>
        <w:pStyle w:val="Textoindependiente"/>
        <w:spacing w:before="0" w:line="360" w:lineRule="auto"/>
        <w:ind w:left="425" w:right="603"/>
        <w:jc w:val="both"/>
      </w:pPr>
      <w:r>
        <w:rPr>
          <w:rFonts w:ascii="Arial" w:hAnsi="Arial"/>
          <w:i/>
        </w:rPr>
        <w:t xml:space="preserve">Nota. </w:t>
      </w:r>
      <w:r>
        <w:t>Comparativa del nivel de información previa de los consumidores según su procedencia.Se observa que el residente local posee un mayor conocimiento intrínseco del producto en comparación con los segmentos turísticos. Elaboración propia con base en el trabaj</w:t>
      </w:r>
      <w:r>
        <w:t>o de campo (Valladolid,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rsidP="00C44001">
      <w:pPr>
        <w:pStyle w:val="Prrafodelista"/>
        <w:numPr>
          <w:ilvl w:val="0"/>
          <w:numId w:val="37"/>
        </w:numPr>
        <w:tabs>
          <w:tab w:val="left" w:pos="1143"/>
          <w:tab w:val="left" w:pos="1145"/>
        </w:tabs>
        <w:spacing w:before="1" w:line="360" w:lineRule="auto"/>
        <w:ind w:right="609"/>
        <w:jc w:val="both"/>
      </w:pPr>
      <w:r>
        <w:rPr>
          <w:rFonts w:ascii="Arial" w:hAnsi="Arial"/>
          <w:b/>
        </w:rPr>
        <w:t xml:space="preserve">La brecha generacional: </w:t>
      </w:r>
      <w:r>
        <w:t>revela un nicho de oportunidad claro. Al analizar el conocimiento por edad, el</w:t>
      </w:r>
      <w:r>
        <w:rPr>
          <w:spacing w:val="-4"/>
        </w:rPr>
        <w:t xml:space="preserve"> </w:t>
      </w:r>
      <w:r>
        <w:t>segmento</w:t>
      </w:r>
      <w:r>
        <w:rPr>
          <w:spacing w:val="-4"/>
        </w:rPr>
        <w:t xml:space="preserve"> </w:t>
      </w:r>
      <w:r>
        <w:t>más</w:t>
      </w:r>
      <w:r>
        <w:rPr>
          <w:spacing w:val="-4"/>
        </w:rPr>
        <w:t xml:space="preserve"> </w:t>
      </w:r>
      <w:r>
        <w:t>joven</w:t>
      </w:r>
      <w:r>
        <w:rPr>
          <w:spacing w:val="-4"/>
        </w:rPr>
        <w:t xml:space="preserve"> </w:t>
      </w:r>
      <w:r>
        <w:t>presenta</w:t>
      </w:r>
      <w:r>
        <w:rPr>
          <w:spacing w:val="-4"/>
        </w:rPr>
        <w:t xml:space="preserve"> </w:t>
      </w:r>
      <w:r>
        <w:t>un</w:t>
      </w:r>
      <w:r>
        <w:rPr>
          <w:spacing w:val="-4"/>
        </w:rPr>
        <w:t xml:space="preserve"> </w:t>
      </w:r>
      <w:r>
        <w:t>desconocimiento</w:t>
      </w:r>
      <w:r>
        <w:rPr>
          <w:spacing w:val="-4"/>
        </w:rPr>
        <w:t xml:space="preserve"> </w:t>
      </w:r>
      <w:r>
        <w:t>casi absoluto (84.2%), mientras que el grupo de 36 a 45 años es el único</w:t>
      </w:r>
      <w:r>
        <w:t xml:space="preserve"> donde la mayoría (54.1%) ya conocía las propiedades de la miel melipona.</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1"/>
          <w:numId w:val="37"/>
        </w:numPr>
        <w:tabs>
          <w:tab w:val="left" w:pos="1863"/>
          <w:tab w:val="left" w:pos="1865"/>
        </w:tabs>
        <w:spacing w:before="79" w:line="360" w:lineRule="auto"/>
        <w:ind w:right="602"/>
        <w:jc w:val="both"/>
      </w:pPr>
      <w:r>
        <w:rPr>
          <w:rFonts w:ascii="Arial" w:hAnsi="Arial"/>
          <w:b/>
        </w:rPr>
        <w:lastRenderedPageBreak/>
        <w:t xml:space="preserve">Implicación estratégica para Guardiana: </w:t>
      </w:r>
      <w:r>
        <w:t>El segmento de 36 a 45 años se perfila como el early adopter ideal y el principal mercado objetivo</w:t>
      </w:r>
      <w:r>
        <w:rPr>
          <w:spacing w:val="-3"/>
        </w:rPr>
        <w:t xml:space="preserve"> </w:t>
      </w:r>
      <w:r>
        <w:t>en</w:t>
      </w:r>
      <w:r>
        <w:rPr>
          <w:spacing w:val="-3"/>
        </w:rPr>
        <w:t xml:space="preserve"> </w:t>
      </w:r>
      <w:r>
        <w:t>el corto plazo. Este grupo cuenta con poder adquisitivo y no requiere inversión significativa en educación del</w:t>
      </w:r>
      <w:r>
        <w:rPr>
          <w:spacing w:val="-4"/>
        </w:rPr>
        <w:t xml:space="preserve"> </w:t>
      </w:r>
      <w:r>
        <w:t>producto,</w:t>
      </w:r>
      <w:r>
        <w:rPr>
          <w:spacing w:val="-4"/>
        </w:rPr>
        <w:t xml:space="preserve"> </w:t>
      </w:r>
      <w:r>
        <w:t>lo</w:t>
      </w:r>
      <w:r>
        <w:rPr>
          <w:spacing w:val="-4"/>
        </w:rPr>
        <w:t xml:space="preserve"> </w:t>
      </w:r>
      <w:r>
        <w:t>que</w:t>
      </w:r>
      <w:r>
        <w:rPr>
          <w:spacing w:val="-4"/>
        </w:rPr>
        <w:t xml:space="preserve"> </w:t>
      </w:r>
      <w:r>
        <w:t>permite</w:t>
      </w:r>
      <w:r>
        <w:rPr>
          <w:spacing w:val="-4"/>
        </w:rPr>
        <w:t xml:space="preserve"> </w:t>
      </w:r>
      <w:r>
        <w:t>enfocar</w:t>
      </w:r>
      <w:r>
        <w:rPr>
          <w:spacing w:val="-4"/>
        </w:rPr>
        <w:t xml:space="preserve"> </w:t>
      </w:r>
      <w:r>
        <w:t>la comunicación en los diferenciadores de Guardiana, como impacto social, pureza y diseño del envase, en lugar d</w:t>
      </w:r>
      <w:r>
        <w:t>e explicar qué es la miel melipona.</w:t>
      </w:r>
    </w:p>
    <w:p w:rsidR="009B4BB4" w:rsidRDefault="00C44001">
      <w:pPr>
        <w:pStyle w:val="Ttulo1"/>
        <w:spacing w:before="240"/>
        <w:jc w:val="both"/>
      </w:pPr>
      <w:r>
        <w:t>Figura</w:t>
      </w:r>
      <w:r>
        <w:rPr>
          <w:spacing w:val="-6"/>
        </w:rPr>
        <w:t xml:space="preserve"> </w:t>
      </w:r>
      <w:r>
        <w:rPr>
          <w:spacing w:val="-5"/>
        </w:rPr>
        <w:t>4.7</w:t>
      </w:r>
    </w:p>
    <w:p w:rsidR="009B4BB4" w:rsidRDefault="00C44001">
      <w:pPr>
        <w:spacing w:before="38" w:line="276" w:lineRule="auto"/>
        <w:ind w:left="425" w:right="613" w:firstLine="30"/>
        <w:jc w:val="both"/>
        <w:rPr>
          <w:rFonts w:ascii="Arial"/>
          <w:i/>
        </w:rPr>
      </w:pPr>
      <w:r>
        <w:rPr>
          <w:rFonts w:ascii="Arial"/>
          <w:i/>
        </w:rPr>
        <w:t>Nivel de conocimiento sobre las propiedades de la miel</w:t>
      </w:r>
      <w:r>
        <w:rPr>
          <w:rFonts w:ascii="Arial"/>
          <w:i/>
          <w:spacing w:val="-4"/>
        </w:rPr>
        <w:t xml:space="preserve"> </w:t>
      </w:r>
      <w:r>
        <w:rPr>
          <w:rFonts w:ascii="Arial"/>
          <w:i/>
        </w:rPr>
        <w:t>melipona</w:t>
      </w:r>
      <w:r>
        <w:rPr>
          <w:rFonts w:ascii="Arial"/>
          <w:i/>
          <w:spacing w:val="-4"/>
        </w:rPr>
        <w:t xml:space="preserve"> </w:t>
      </w:r>
      <w:r>
        <w:rPr>
          <w:rFonts w:ascii="Arial"/>
          <w:i/>
        </w:rPr>
        <w:t>segmentado</w:t>
      </w:r>
      <w:r>
        <w:rPr>
          <w:rFonts w:ascii="Arial"/>
          <w:i/>
          <w:spacing w:val="-4"/>
        </w:rPr>
        <w:t xml:space="preserve"> </w:t>
      </w:r>
      <w:r>
        <w:rPr>
          <w:rFonts w:ascii="Arial"/>
          <w:i/>
        </w:rPr>
        <w:t>por</w:t>
      </w:r>
      <w:r>
        <w:rPr>
          <w:rFonts w:ascii="Arial"/>
          <w:i/>
          <w:spacing w:val="-4"/>
        </w:rPr>
        <w:t xml:space="preserve"> </w:t>
      </w:r>
      <w:r>
        <w:rPr>
          <w:rFonts w:ascii="Arial"/>
          <w:i/>
        </w:rPr>
        <w:t xml:space="preserve">grupo </w:t>
      </w:r>
      <w:r>
        <w:rPr>
          <w:rFonts w:ascii="Arial"/>
          <w:i/>
          <w:spacing w:val="-2"/>
        </w:rPr>
        <w:t>etario</w:t>
      </w:r>
    </w:p>
    <w:p w:rsidR="009B4BB4" w:rsidRDefault="009B4BB4">
      <w:pPr>
        <w:pStyle w:val="Textoindependiente"/>
        <w:spacing w:before="0"/>
        <w:rPr>
          <w:rFonts w:ascii="Arial"/>
          <w:i/>
          <w:sz w:val="20"/>
        </w:rPr>
      </w:pPr>
    </w:p>
    <w:p w:rsidR="009B4BB4" w:rsidRDefault="00C44001">
      <w:pPr>
        <w:pStyle w:val="Textoindependiente"/>
        <w:spacing w:before="79"/>
        <w:rPr>
          <w:rFonts w:ascii="Arial"/>
          <w:i/>
          <w:sz w:val="20"/>
        </w:rPr>
      </w:pPr>
      <w:r>
        <w:rPr>
          <w:rFonts w:ascii="Arial"/>
          <w:i/>
          <w:noProof/>
          <w:sz w:val="20"/>
          <w:lang w:val="es-AR" w:eastAsia="es-AR"/>
        </w:rPr>
        <w:drawing>
          <wp:anchor distT="0" distB="0" distL="0" distR="0" simplePos="0" relativeHeight="487597056" behindDoc="1" locked="0" layoutInCell="1" allowOverlap="1">
            <wp:simplePos x="0" y="0"/>
            <wp:positionH relativeFrom="page">
              <wp:posOffset>1304456</wp:posOffset>
            </wp:positionH>
            <wp:positionV relativeFrom="paragraph">
              <wp:posOffset>211921</wp:posOffset>
            </wp:positionV>
            <wp:extent cx="5356455" cy="3167062"/>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5356455" cy="3167062"/>
                    </a:xfrm>
                    <a:prstGeom prst="rect">
                      <a:avLst/>
                    </a:prstGeom>
                  </pic:spPr>
                </pic:pic>
              </a:graphicData>
            </a:graphic>
          </wp:anchor>
        </w:drawing>
      </w:r>
    </w:p>
    <w:p w:rsidR="009B4BB4" w:rsidRDefault="009B4BB4">
      <w:pPr>
        <w:pStyle w:val="Textoindependiente"/>
        <w:spacing w:before="219"/>
        <w:rPr>
          <w:rFonts w:ascii="Arial"/>
          <w:i/>
        </w:rPr>
      </w:pPr>
    </w:p>
    <w:p w:rsidR="009B4BB4" w:rsidRDefault="00C44001">
      <w:pPr>
        <w:pStyle w:val="Textoindependiente"/>
        <w:spacing w:before="0" w:line="360" w:lineRule="auto"/>
        <w:ind w:left="425" w:right="606"/>
        <w:jc w:val="both"/>
      </w:pPr>
      <w:r>
        <w:rPr>
          <w:rFonts w:ascii="Arial" w:hAnsi="Arial"/>
          <w:i/>
        </w:rPr>
        <w:t xml:space="preserve">Nota. </w:t>
      </w:r>
      <w:r>
        <w:t>Nivel de conocimiento por rango etario ($n=360$). Los datos identifican al segmento de 36-45 años como</w:t>
      </w:r>
      <w:r>
        <w:rPr>
          <w:spacing w:val="-3"/>
        </w:rPr>
        <w:t xml:space="preserve"> </w:t>
      </w:r>
      <w:r>
        <w:t>el</w:t>
      </w:r>
      <w:r>
        <w:rPr>
          <w:spacing w:val="-3"/>
        </w:rPr>
        <w:t xml:space="preserve"> </w:t>
      </w:r>
      <w:r>
        <w:t>perfil</w:t>
      </w:r>
      <w:r>
        <w:rPr>
          <w:spacing w:val="-3"/>
        </w:rPr>
        <w:t xml:space="preserve"> </w:t>
      </w:r>
      <w:r>
        <w:t>de</w:t>
      </w:r>
      <w:r>
        <w:rPr>
          <w:spacing w:val="-3"/>
        </w:rPr>
        <w:t xml:space="preserve"> </w:t>
      </w:r>
      <w:r>
        <w:t>consumo</w:t>
      </w:r>
      <w:r>
        <w:rPr>
          <w:spacing w:val="-3"/>
        </w:rPr>
        <w:t xml:space="preserve"> </w:t>
      </w:r>
      <w:r>
        <w:t>más</w:t>
      </w:r>
      <w:r>
        <w:rPr>
          <w:spacing w:val="-3"/>
        </w:rPr>
        <w:t xml:space="preserve"> </w:t>
      </w:r>
      <w:r>
        <w:t>maduro,</w:t>
      </w:r>
      <w:r>
        <w:rPr>
          <w:spacing w:val="-3"/>
        </w:rPr>
        <w:t xml:space="preserve"> </w:t>
      </w:r>
      <w:r>
        <w:t>mientras</w:t>
      </w:r>
      <w:r>
        <w:rPr>
          <w:spacing w:val="-3"/>
        </w:rPr>
        <w:t xml:space="preserve"> </w:t>
      </w:r>
      <w:r>
        <w:t>que</w:t>
      </w:r>
      <w:r>
        <w:rPr>
          <w:spacing w:val="-3"/>
        </w:rPr>
        <w:t xml:space="preserve"> </w:t>
      </w:r>
      <w:r>
        <w:t>la</w:t>
      </w:r>
      <w:r>
        <w:rPr>
          <w:spacing w:val="-3"/>
        </w:rPr>
        <w:t xml:space="preserve"> </w:t>
      </w:r>
      <w:r>
        <w:t>brecha en el sector joven (18-25) señala una barrera de entrada que requiere estrategias de educación de mercado.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11" w:firstLine="720"/>
        <w:jc w:val="both"/>
      </w:pPr>
      <w:r>
        <w:lastRenderedPageBreak/>
        <w:t>El desconocimiento masivo no representa necesariame</w:t>
      </w:r>
      <w:r>
        <w:t>nte una barrera, sino un espacio donde la</w:t>
      </w:r>
      <w:r>
        <w:rPr>
          <w:spacing w:val="-4"/>
        </w:rPr>
        <w:t xml:space="preserve"> </w:t>
      </w:r>
      <w:r>
        <w:t>marca</w:t>
      </w:r>
      <w:r>
        <w:rPr>
          <w:spacing w:val="-4"/>
        </w:rPr>
        <w:t xml:space="preserve"> </w:t>
      </w:r>
      <w:r>
        <w:t>pueda</w:t>
      </w:r>
      <w:r>
        <w:rPr>
          <w:spacing w:val="-4"/>
        </w:rPr>
        <w:t xml:space="preserve"> </w:t>
      </w:r>
      <w:r>
        <w:t>posicionarse</w:t>
      </w:r>
      <w:r>
        <w:rPr>
          <w:spacing w:val="-4"/>
        </w:rPr>
        <w:t xml:space="preserve"> </w:t>
      </w:r>
      <w:r>
        <w:t>sin</w:t>
      </w:r>
      <w:r>
        <w:rPr>
          <w:spacing w:val="-4"/>
        </w:rPr>
        <w:t xml:space="preserve"> </w:t>
      </w:r>
      <w:r>
        <w:t>competencia</w:t>
      </w:r>
      <w:r>
        <w:rPr>
          <w:spacing w:val="-4"/>
        </w:rPr>
        <w:t xml:space="preserve"> </w:t>
      </w:r>
      <w:r>
        <w:t>directa.</w:t>
      </w:r>
      <w:r>
        <w:rPr>
          <w:spacing w:val="-4"/>
        </w:rPr>
        <w:t xml:space="preserve"> </w:t>
      </w:r>
      <w:r>
        <w:t>En</w:t>
      </w:r>
      <w:r>
        <w:rPr>
          <w:spacing w:val="-4"/>
        </w:rPr>
        <w:t xml:space="preserve"> </w:t>
      </w:r>
      <w:r>
        <w:t>este</w:t>
      </w:r>
      <w:r>
        <w:rPr>
          <w:spacing w:val="-4"/>
        </w:rPr>
        <w:t xml:space="preserve"> </w:t>
      </w:r>
      <w:r>
        <w:t>contexto,</w:t>
      </w:r>
      <w:r>
        <w:rPr>
          <w:spacing w:val="-4"/>
        </w:rPr>
        <w:t xml:space="preserve"> </w:t>
      </w:r>
      <w:r>
        <w:t xml:space="preserve">el </w:t>
      </w:r>
      <w:r>
        <w:rPr>
          <w:rFonts w:ascii="Arial" w:hAnsi="Arial"/>
          <w:i/>
        </w:rPr>
        <w:t xml:space="preserve">storytelling, </w:t>
      </w:r>
      <w:r>
        <w:t>la trazabilidad visible y la</w:t>
      </w:r>
      <w:r>
        <w:rPr>
          <w:spacing w:val="-3"/>
        </w:rPr>
        <w:t xml:space="preserve"> </w:t>
      </w:r>
      <w:r>
        <w:t>educación</w:t>
      </w:r>
      <w:r>
        <w:rPr>
          <w:spacing w:val="-3"/>
        </w:rPr>
        <w:t xml:space="preserve"> </w:t>
      </w:r>
      <w:r>
        <w:t>en</w:t>
      </w:r>
      <w:r>
        <w:rPr>
          <w:spacing w:val="-3"/>
        </w:rPr>
        <w:t xml:space="preserve"> </w:t>
      </w:r>
      <w:r>
        <w:t>el</w:t>
      </w:r>
      <w:r>
        <w:rPr>
          <w:spacing w:val="-3"/>
        </w:rPr>
        <w:t xml:space="preserve"> </w:t>
      </w:r>
      <w:r>
        <w:t>punto</w:t>
      </w:r>
      <w:r>
        <w:rPr>
          <w:spacing w:val="-3"/>
        </w:rPr>
        <w:t xml:space="preserve"> </w:t>
      </w:r>
      <w:r>
        <w:t>de</w:t>
      </w:r>
      <w:r>
        <w:rPr>
          <w:spacing w:val="-3"/>
        </w:rPr>
        <w:t xml:space="preserve"> </w:t>
      </w:r>
      <w:r>
        <w:t>venta</w:t>
      </w:r>
      <w:r>
        <w:rPr>
          <w:spacing w:val="-3"/>
        </w:rPr>
        <w:t xml:space="preserve"> </w:t>
      </w:r>
      <w:r>
        <w:t>funcionan</w:t>
      </w:r>
      <w:r>
        <w:rPr>
          <w:spacing w:val="-3"/>
        </w:rPr>
        <w:t xml:space="preserve"> </w:t>
      </w:r>
      <w:r>
        <w:t>como</w:t>
      </w:r>
      <w:r>
        <w:rPr>
          <w:spacing w:val="-3"/>
        </w:rPr>
        <w:t xml:space="preserve"> </w:t>
      </w:r>
      <w:r>
        <w:t>los principales mecanismos para construir valor.</w:t>
      </w:r>
    </w:p>
    <w:p w:rsidR="009B4BB4" w:rsidRDefault="009B4BB4">
      <w:pPr>
        <w:pStyle w:val="Textoindependiente"/>
        <w:spacing w:before="107"/>
      </w:pPr>
    </w:p>
    <w:p w:rsidR="009B4BB4" w:rsidRDefault="00C44001" w:rsidP="00C44001">
      <w:pPr>
        <w:pStyle w:val="Ttulo1"/>
        <w:numPr>
          <w:ilvl w:val="1"/>
          <w:numId w:val="38"/>
        </w:numPr>
        <w:tabs>
          <w:tab w:val="left" w:pos="788"/>
        </w:tabs>
        <w:ind w:left="788" w:hanging="363"/>
      </w:pPr>
      <w:bookmarkStart w:id="139" w:name="4.4_Percepción_del_producto_y_motivadore"/>
      <w:bookmarkStart w:id="140" w:name="h.x7y4kegqs81i"/>
      <w:bookmarkEnd w:id="139"/>
      <w:bookmarkEnd w:id="140"/>
      <w:r>
        <w:t>Perc</w:t>
      </w:r>
      <w:r>
        <w:t>epción</w:t>
      </w:r>
      <w:r>
        <w:rPr>
          <w:spacing w:val="-6"/>
        </w:rPr>
        <w:t xml:space="preserve"> </w:t>
      </w:r>
      <w:r>
        <w:t>del</w:t>
      </w:r>
      <w:r>
        <w:rPr>
          <w:spacing w:val="-6"/>
        </w:rPr>
        <w:t xml:space="preserve"> </w:t>
      </w:r>
      <w:r>
        <w:t>producto</w:t>
      </w:r>
      <w:r>
        <w:rPr>
          <w:spacing w:val="-6"/>
        </w:rPr>
        <w:t xml:space="preserve"> </w:t>
      </w:r>
      <w:r>
        <w:t>y</w:t>
      </w:r>
      <w:r>
        <w:rPr>
          <w:spacing w:val="-6"/>
        </w:rPr>
        <w:t xml:space="preserve"> </w:t>
      </w:r>
      <w:r>
        <w:t>motivadores</w:t>
      </w:r>
      <w:r>
        <w:rPr>
          <w:spacing w:val="-6"/>
        </w:rPr>
        <w:t xml:space="preserve"> </w:t>
      </w:r>
      <w:r>
        <w:t>de</w:t>
      </w:r>
      <w:r>
        <w:rPr>
          <w:spacing w:val="-5"/>
        </w:rPr>
        <w:t xml:space="preserve"> </w:t>
      </w:r>
      <w:r>
        <w:rPr>
          <w:spacing w:val="-2"/>
        </w:rPr>
        <w:t>compra</w:t>
      </w:r>
    </w:p>
    <w:p w:rsidR="009B4BB4" w:rsidRDefault="009B4BB4">
      <w:pPr>
        <w:pStyle w:val="Textoindependiente"/>
        <w:spacing w:before="114"/>
        <w:rPr>
          <w:rFonts w:ascii="Arial"/>
          <w:b/>
        </w:rPr>
      </w:pPr>
    </w:p>
    <w:p w:rsidR="009B4BB4" w:rsidRDefault="00C44001" w:rsidP="00C44001">
      <w:pPr>
        <w:pStyle w:val="Ttulo2"/>
        <w:numPr>
          <w:ilvl w:val="2"/>
          <w:numId w:val="38"/>
        </w:numPr>
        <w:tabs>
          <w:tab w:val="left" w:pos="1690"/>
        </w:tabs>
        <w:spacing w:before="0"/>
        <w:ind w:left="1690" w:hanging="545"/>
        <w:jc w:val="left"/>
      </w:pPr>
      <w:bookmarkStart w:id="141" w:name="4.4.1_Identificación_de_arquetipos_de_co"/>
      <w:bookmarkStart w:id="142" w:name="h.ouyrdagkljus"/>
      <w:bookmarkEnd w:id="141"/>
      <w:bookmarkEnd w:id="142"/>
      <w:r>
        <w:t>Identificación</w:t>
      </w:r>
      <w:r>
        <w:rPr>
          <w:spacing w:val="-7"/>
        </w:rPr>
        <w:t xml:space="preserve"> </w:t>
      </w:r>
      <w:r>
        <w:t>de</w:t>
      </w:r>
      <w:r>
        <w:rPr>
          <w:spacing w:val="-7"/>
        </w:rPr>
        <w:t xml:space="preserve"> </w:t>
      </w:r>
      <w:r>
        <w:t>arquetipos</w:t>
      </w:r>
      <w:r>
        <w:rPr>
          <w:spacing w:val="-7"/>
        </w:rPr>
        <w:t xml:space="preserve"> </w:t>
      </w:r>
      <w:r>
        <w:t>de</w:t>
      </w:r>
      <w:r>
        <w:rPr>
          <w:spacing w:val="-7"/>
        </w:rPr>
        <w:t xml:space="preserve"> </w:t>
      </w:r>
      <w:r>
        <w:rPr>
          <w:spacing w:val="-2"/>
        </w:rPr>
        <w:t>consumo</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4" w:firstLine="720"/>
        <w:jc w:val="both"/>
      </w:pPr>
      <w:r>
        <w:t>Antes de evaluar atributos del envase o del precio, fue necesario entender el arquetipo de comprador a partir de su autoidentificación de consumo. Los resultados globales muestran una clara inclinación hacia el bienestar: el 63.3% se identificó con la prem</w:t>
      </w:r>
      <w:r>
        <w:t>isa “Siempre elijo lo más natural”, seguido de un 15.8%</w:t>
      </w:r>
      <w:r>
        <w:rPr>
          <w:spacing w:val="-3"/>
        </w:rPr>
        <w:t xml:space="preserve"> </w:t>
      </w:r>
      <w:r>
        <w:t>orientado</w:t>
      </w:r>
      <w:r>
        <w:rPr>
          <w:spacing w:val="-3"/>
        </w:rPr>
        <w:t xml:space="preserve"> </w:t>
      </w:r>
      <w:r>
        <w:t>a</w:t>
      </w:r>
      <w:r>
        <w:rPr>
          <w:spacing w:val="-3"/>
        </w:rPr>
        <w:t xml:space="preserve"> </w:t>
      </w:r>
      <w:r>
        <w:t>la</w:t>
      </w:r>
      <w:r>
        <w:rPr>
          <w:spacing w:val="-3"/>
        </w:rPr>
        <w:t xml:space="preserve"> </w:t>
      </w:r>
      <w:r>
        <w:t>conveniencia “Prefiero lo rápido y accesible”. Los atributos simbólicos como “Valoro historia y exclusividad” (11.8%) y “Busco recuerdos auténticos” (9.3%) completan la distribución. Es</w:t>
      </w:r>
      <w:r>
        <w:t>to sugiere que, en términos</w:t>
      </w:r>
      <w:r>
        <w:rPr>
          <w:spacing w:val="-4"/>
        </w:rPr>
        <w:t xml:space="preserve"> </w:t>
      </w:r>
      <w:r>
        <w:t>agregados,</w:t>
      </w:r>
      <w:r>
        <w:rPr>
          <w:spacing w:val="-4"/>
        </w:rPr>
        <w:t xml:space="preserve"> </w:t>
      </w:r>
      <w:r>
        <w:t>el</w:t>
      </w:r>
      <w:r>
        <w:rPr>
          <w:spacing w:val="-4"/>
        </w:rPr>
        <w:t xml:space="preserve"> </w:t>
      </w:r>
      <w:r>
        <w:t>valor</w:t>
      </w:r>
      <w:r>
        <w:rPr>
          <w:spacing w:val="-4"/>
        </w:rPr>
        <w:t xml:space="preserve"> </w:t>
      </w:r>
      <w:r>
        <w:t>funcional</w:t>
      </w:r>
      <w:r>
        <w:rPr>
          <w:spacing w:val="-4"/>
        </w:rPr>
        <w:t xml:space="preserve"> </w:t>
      </w:r>
      <w:r>
        <w:t>domina</w:t>
      </w:r>
      <w:r>
        <w:rPr>
          <w:spacing w:val="-4"/>
        </w:rPr>
        <w:t xml:space="preserve"> </w:t>
      </w:r>
      <w:r>
        <w:t>sobre</w:t>
      </w:r>
      <w:r>
        <w:rPr>
          <w:spacing w:val="-4"/>
        </w:rPr>
        <w:t xml:space="preserve"> </w:t>
      </w:r>
      <w:r>
        <w:t>el</w:t>
      </w:r>
      <w:r>
        <w:rPr>
          <w:spacing w:val="-4"/>
        </w:rPr>
        <w:t xml:space="preserve"> </w:t>
      </w:r>
      <w:r>
        <w:t>simbólico</w:t>
      </w:r>
      <w:r>
        <w:rPr>
          <w:spacing w:val="-4"/>
        </w:rPr>
        <w:t xml:space="preserve"> </w:t>
      </w:r>
      <w:r>
        <w:t>en la decisión de compra.</w:t>
      </w:r>
    </w:p>
    <w:p w:rsidR="009B4BB4" w:rsidRDefault="00C44001">
      <w:pPr>
        <w:pStyle w:val="Textoindependiente"/>
        <w:spacing w:line="360" w:lineRule="auto"/>
        <w:ind w:left="425" w:right="609" w:firstLine="720"/>
        <w:jc w:val="both"/>
      </w:pPr>
      <w:r>
        <w:t>A nivel agregado, estos</w:t>
      </w:r>
      <w:r>
        <w:rPr>
          <w:spacing w:val="-4"/>
        </w:rPr>
        <w:t xml:space="preserve"> </w:t>
      </w:r>
      <w:r>
        <w:t>datos</w:t>
      </w:r>
      <w:r>
        <w:rPr>
          <w:spacing w:val="-4"/>
        </w:rPr>
        <w:t xml:space="preserve"> </w:t>
      </w:r>
      <w:r>
        <w:t>podrían</w:t>
      </w:r>
      <w:r>
        <w:rPr>
          <w:spacing w:val="-4"/>
        </w:rPr>
        <w:t xml:space="preserve"> </w:t>
      </w:r>
      <w:r>
        <w:t>sugerir</w:t>
      </w:r>
      <w:r>
        <w:rPr>
          <w:spacing w:val="-4"/>
        </w:rPr>
        <w:t xml:space="preserve"> </w:t>
      </w:r>
      <w:r>
        <w:t>una</w:t>
      </w:r>
      <w:r>
        <w:rPr>
          <w:spacing w:val="-4"/>
        </w:rPr>
        <w:t xml:space="preserve"> </w:t>
      </w:r>
      <w:r>
        <w:t>estrategia</w:t>
      </w:r>
      <w:r>
        <w:rPr>
          <w:spacing w:val="-4"/>
        </w:rPr>
        <w:t xml:space="preserve"> </w:t>
      </w:r>
      <w:r>
        <w:t>centrada</w:t>
      </w:r>
      <w:r>
        <w:rPr>
          <w:spacing w:val="-4"/>
        </w:rPr>
        <w:t xml:space="preserve"> </w:t>
      </w:r>
      <w:r>
        <w:t>en</w:t>
      </w:r>
      <w:r>
        <w:rPr>
          <w:spacing w:val="-4"/>
        </w:rPr>
        <w:t xml:space="preserve"> </w:t>
      </w:r>
      <w:r>
        <w:t>la</w:t>
      </w:r>
      <w:r>
        <w:rPr>
          <w:spacing w:val="-4"/>
        </w:rPr>
        <w:t xml:space="preserve"> </w:t>
      </w:r>
      <w:r>
        <w:t>salud. Sin embargo, al analizar los datos por procedencia del consumid</w:t>
      </w:r>
      <w:r>
        <w:t>or, se identifican tres arquetipos con motivadores de compra claramente distintos:</w:t>
      </w:r>
    </w:p>
    <w:p w:rsidR="009B4BB4" w:rsidRDefault="00C44001" w:rsidP="00C44001">
      <w:pPr>
        <w:pStyle w:val="Prrafodelista"/>
        <w:numPr>
          <w:ilvl w:val="0"/>
          <w:numId w:val="36"/>
        </w:numPr>
        <w:tabs>
          <w:tab w:val="left" w:pos="1143"/>
          <w:tab w:val="left" w:pos="1145"/>
        </w:tabs>
        <w:spacing w:line="360" w:lineRule="auto"/>
        <w:ind w:right="602"/>
        <w:jc w:val="both"/>
      </w:pPr>
      <w:r>
        <w:rPr>
          <w:rFonts w:ascii="Arial" w:hAnsi="Arial"/>
          <w:b/>
        </w:rPr>
        <w:t xml:space="preserve">Turista nacional: </w:t>
      </w:r>
      <w:r>
        <w:t>El buscador de bienestar natural. El mercado interno impulsa principalmente la tendencia hacia el consumo saludable. El 70% de los</w:t>
      </w:r>
      <w:r>
        <w:rPr>
          <w:spacing w:val="-4"/>
        </w:rPr>
        <w:t xml:space="preserve"> </w:t>
      </w:r>
      <w:r>
        <w:t>visitantes nacionales de</w:t>
      </w:r>
      <w:r>
        <w:t>claró que su máxima prioridad es elegir “lo más natural”. Para este grupo, la miel</w:t>
      </w:r>
      <w:r>
        <w:rPr>
          <w:spacing w:val="-4"/>
        </w:rPr>
        <w:t xml:space="preserve"> </w:t>
      </w:r>
      <w:r>
        <w:t>melipona</w:t>
      </w:r>
      <w:r>
        <w:rPr>
          <w:spacing w:val="-4"/>
        </w:rPr>
        <w:t xml:space="preserve"> </w:t>
      </w:r>
      <w:r>
        <w:t>no</w:t>
      </w:r>
      <w:r>
        <w:rPr>
          <w:spacing w:val="-4"/>
        </w:rPr>
        <w:t xml:space="preserve"> </w:t>
      </w:r>
      <w:r>
        <w:t>funciona</w:t>
      </w:r>
      <w:r>
        <w:rPr>
          <w:spacing w:val="-4"/>
        </w:rPr>
        <w:t xml:space="preserve"> </w:t>
      </w:r>
      <w:r>
        <w:t>como</w:t>
      </w:r>
      <w:r>
        <w:rPr>
          <w:spacing w:val="-4"/>
        </w:rPr>
        <w:t xml:space="preserve"> </w:t>
      </w:r>
      <w:r>
        <w:t>souvenir,</w:t>
      </w:r>
      <w:r>
        <w:rPr>
          <w:spacing w:val="-4"/>
        </w:rPr>
        <w:t xml:space="preserve"> </w:t>
      </w:r>
      <w:r>
        <w:t>sino</w:t>
      </w:r>
      <w:r>
        <w:rPr>
          <w:spacing w:val="-4"/>
        </w:rPr>
        <w:t xml:space="preserve"> </w:t>
      </w:r>
      <w:r>
        <w:t>como</w:t>
      </w:r>
      <w:r>
        <w:rPr>
          <w:spacing w:val="-4"/>
        </w:rPr>
        <w:t xml:space="preserve"> </w:t>
      </w:r>
      <w:r>
        <w:t>un</w:t>
      </w:r>
      <w:r>
        <w:rPr>
          <w:spacing w:val="-4"/>
        </w:rPr>
        <w:t xml:space="preserve"> </w:t>
      </w:r>
      <w:r>
        <w:t>superalimento</w:t>
      </w:r>
      <w:r>
        <w:rPr>
          <w:spacing w:val="-4"/>
        </w:rPr>
        <w:t xml:space="preserve"> </w:t>
      </w:r>
      <w:r>
        <w:t xml:space="preserve">o </w:t>
      </w:r>
      <w:r>
        <w:rPr>
          <w:spacing w:val="-2"/>
        </w:rPr>
        <w:t>remedio.</w:t>
      </w:r>
    </w:p>
    <w:p w:rsidR="009B4BB4" w:rsidRDefault="00C44001" w:rsidP="00C44001">
      <w:pPr>
        <w:pStyle w:val="Prrafodelista"/>
        <w:numPr>
          <w:ilvl w:val="1"/>
          <w:numId w:val="36"/>
        </w:numPr>
        <w:tabs>
          <w:tab w:val="left" w:pos="1863"/>
          <w:tab w:val="left" w:pos="1865"/>
        </w:tabs>
        <w:spacing w:line="360" w:lineRule="auto"/>
        <w:ind w:right="607"/>
        <w:jc w:val="both"/>
      </w:pPr>
      <w:r>
        <w:rPr>
          <w:rFonts w:ascii="Arial" w:hAnsi="Arial"/>
          <w:b/>
        </w:rPr>
        <w:t xml:space="preserve">Implicación estratégica para Guardiana: </w:t>
      </w:r>
      <w:r>
        <w:t>La comunicación hacia este segmento debe centrarse en la pu</w:t>
      </w:r>
      <w:r>
        <w:t>reza, las propiedades probióticas y la función terapéutica del producto, reforzando su valor como solución funcional más que como objeto turístico.</w:t>
      </w:r>
    </w:p>
    <w:p w:rsidR="009B4BB4" w:rsidRDefault="00C44001" w:rsidP="00C44001">
      <w:pPr>
        <w:pStyle w:val="Prrafodelista"/>
        <w:numPr>
          <w:ilvl w:val="0"/>
          <w:numId w:val="36"/>
        </w:numPr>
        <w:tabs>
          <w:tab w:val="left" w:pos="1143"/>
          <w:tab w:val="left" w:pos="1145"/>
        </w:tabs>
        <w:spacing w:line="360" w:lineRule="auto"/>
        <w:ind w:right="605"/>
        <w:jc w:val="both"/>
      </w:pPr>
      <w:r>
        <w:rPr>
          <w:rFonts w:ascii="Arial" w:hAnsi="Arial"/>
          <w:b/>
        </w:rPr>
        <w:t xml:space="preserve">Turista internacional: </w:t>
      </w:r>
      <w:r>
        <w:t>El buscador del recuerdo accesible. En contraste, la inclinación por lo natural cae a</w:t>
      </w:r>
      <w:r>
        <w:t>l</w:t>
      </w:r>
      <w:r>
        <w:rPr>
          <w:spacing w:val="-3"/>
        </w:rPr>
        <w:t xml:space="preserve"> </w:t>
      </w:r>
      <w:r>
        <w:t>41.3%</w:t>
      </w:r>
      <w:r>
        <w:rPr>
          <w:spacing w:val="-3"/>
        </w:rPr>
        <w:t xml:space="preserve"> </w:t>
      </w:r>
      <w:r>
        <w:t>en</w:t>
      </w:r>
      <w:r>
        <w:rPr>
          <w:spacing w:val="-3"/>
        </w:rPr>
        <w:t xml:space="preserve"> </w:t>
      </w:r>
      <w:r>
        <w:t>el</w:t>
      </w:r>
      <w:r>
        <w:rPr>
          <w:spacing w:val="-3"/>
        </w:rPr>
        <w:t xml:space="preserve"> </w:t>
      </w:r>
      <w:r>
        <w:t>turista</w:t>
      </w:r>
      <w:r>
        <w:rPr>
          <w:spacing w:val="-3"/>
        </w:rPr>
        <w:t xml:space="preserve"> </w:t>
      </w:r>
      <w:r>
        <w:t>internacional.</w:t>
      </w:r>
      <w:r>
        <w:rPr>
          <w:spacing w:val="-3"/>
        </w:rPr>
        <w:t xml:space="preserve"> </w:t>
      </w:r>
      <w:r>
        <w:t>Para</w:t>
      </w:r>
      <w:r>
        <w:rPr>
          <w:spacing w:val="-3"/>
        </w:rPr>
        <w:t xml:space="preserve"> </w:t>
      </w:r>
      <w:r>
        <w:t>este</w:t>
      </w:r>
      <w:r>
        <w:rPr>
          <w:spacing w:val="-3"/>
        </w:rPr>
        <w:t xml:space="preserve"> </w:t>
      </w:r>
      <w:r>
        <w:t>grupo,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09"/>
        <w:jc w:val="both"/>
      </w:pPr>
      <w:proofErr w:type="gramStart"/>
      <w:r>
        <w:lastRenderedPageBreak/>
        <w:t>los</w:t>
      </w:r>
      <w:proofErr w:type="gramEnd"/>
      <w:r>
        <w:t xml:space="preserve"> atributos de conveniencia y turismo cobran mayor relevancia: el 27% prefiere “lo rápido y accesible” y casi el</w:t>
      </w:r>
      <w:r>
        <w:rPr>
          <w:spacing w:val="-3"/>
        </w:rPr>
        <w:t xml:space="preserve"> </w:t>
      </w:r>
      <w:r>
        <w:t>16%</w:t>
      </w:r>
      <w:r>
        <w:rPr>
          <w:spacing w:val="-3"/>
        </w:rPr>
        <w:t xml:space="preserve"> </w:t>
      </w:r>
      <w:r>
        <w:t>busca</w:t>
      </w:r>
      <w:r>
        <w:rPr>
          <w:spacing w:val="-3"/>
        </w:rPr>
        <w:t xml:space="preserve"> </w:t>
      </w:r>
      <w:r>
        <w:t>“recuerdos</w:t>
      </w:r>
      <w:r>
        <w:rPr>
          <w:spacing w:val="-3"/>
        </w:rPr>
        <w:t xml:space="preserve"> </w:t>
      </w:r>
      <w:r>
        <w:t>auténticos”,</w:t>
      </w:r>
      <w:r>
        <w:rPr>
          <w:spacing w:val="-3"/>
        </w:rPr>
        <w:t xml:space="preserve"> </w:t>
      </w:r>
      <w:r>
        <w:t>el</w:t>
      </w:r>
      <w:r>
        <w:rPr>
          <w:spacing w:val="-3"/>
        </w:rPr>
        <w:t xml:space="preserve"> </w:t>
      </w:r>
      <w:r>
        <w:t>doble</w:t>
      </w:r>
      <w:r>
        <w:rPr>
          <w:spacing w:val="-3"/>
        </w:rPr>
        <w:t xml:space="preserve"> </w:t>
      </w:r>
      <w:r>
        <w:t>que</w:t>
      </w:r>
      <w:r>
        <w:rPr>
          <w:spacing w:val="-3"/>
        </w:rPr>
        <w:t xml:space="preserve"> </w:t>
      </w:r>
      <w:r>
        <w:t>el turista nacional.</w:t>
      </w:r>
    </w:p>
    <w:p w:rsidR="009B4BB4" w:rsidRDefault="00C44001" w:rsidP="00C44001">
      <w:pPr>
        <w:pStyle w:val="Prrafodelista"/>
        <w:numPr>
          <w:ilvl w:val="1"/>
          <w:numId w:val="36"/>
        </w:numPr>
        <w:tabs>
          <w:tab w:val="left" w:pos="1863"/>
          <w:tab w:val="left" w:pos="1865"/>
        </w:tabs>
        <w:spacing w:line="360" w:lineRule="auto"/>
        <w:ind w:right="604"/>
        <w:jc w:val="both"/>
      </w:pPr>
      <w:r>
        <w:rPr>
          <w:rFonts w:ascii="Arial" w:hAnsi="Arial"/>
          <w:b/>
        </w:rPr>
        <w:t xml:space="preserve">Implicación estratégica para Guardiana: </w:t>
      </w:r>
      <w:r>
        <w:t xml:space="preserve">El turista internacional prioriza formatos prácticos tipo </w:t>
      </w:r>
      <w:r>
        <w:rPr>
          <w:rFonts w:ascii="Arial" w:hAnsi="Arial"/>
          <w:i/>
        </w:rPr>
        <w:t xml:space="preserve">grab-and-go. </w:t>
      </w:r>
      <w:r>
        <w:t>Quieren un empaque hermoso, fácil de llevar en el avión, que cuente la historia maya rápidamente. No adquiere la miel como un producto medicinal,</w:t>
      </w:r>
      <w:r>
        <w:t xml:space="preserve"> sino como un recuerdo auténtico de su experiencia en Yucatán.</w:t>
      </w:r>
      <w:r>
        <w:rPr>
          <w:spacing w:val="-5"/>
        </w:rPr>
        <w:t xml:space="preserve"> </w:t>
      </w:r>
      <w:r>
        <w:t>Esto</w:t>
      </w:r>
      <w:r>
        <w:rPr>
          <w:spacing w:val="-5"/>
        </w:rPr>
        <w:t xml:space="preserve"> </w:t>
      </w:r>
      <w:r>
        <w:t>desplaza</w:t>
      </w:r>
      <w:r>
        <w:rPr>
          <w:spacing w:val="-5"/>
        </w:rPr>
        <w:t xml:space="preserve"> </w:t>
      </w:r>
      <w:r>
        <w:t>el</w:t>
      </w:r>
      <w:r>
        <w:rPr>
          <w:spacing w:val="-5"/>
        </w:rPr>
        <w:t xml:space="preserve"> </w:t>
      </w:r>
      <w:r>
        <w:t>foco</w:t>
      </w:r>
      <w:r>
        <w:rPr>
          <w:spacing w:val="-5"/>
        </w:rPr>
        <w:t xml:space="preserve"> </w:t>
      </w:r>
      <w:r>
        <w:t>de</w:t>
      </w:r>
      <w:r>
        <w:rPr>
          <w:spacing w:val="-5"/>
        </w:rPr>
        <w:t xml:space="preserve"> </w:t>
      </w:r>
      <w:r>
        <w:t>valor</w:t>
      </w:r>
      <w:r>
        <w:rPr>
          <w:spacing w:val="-5"/>
        </w:rPr>
        <w:t xml:space="preserve"> </w:t>
      </w:r>
      <w:r>
        <w:t>del producto hacia su capacidad</w:t>
      </w:r>
      <w:r>
        <w:rPr>
          <w:spacing w:val="-4"/>
        </w:rPr>
        <w:t xml:space="preserve"> </w:t>
      </w:r>
      <w:r>
        <w:t>de</w:t>
      </w:r>
      <w:r>
        <w:rPr>
          <w:spacing w:val="-4"/>
        </w:rPr>
        <w:t xml:space="preserve"> </w:t>
      </w:r>
      <w:r>
        <w:t>representar</w:t>
      </w:r>
      <w:r>
        <w:rPr>
          <w:spacing w:val="-4"/>
        </w:rPr>
        <w:t xml:space="preserve"> </w:t>
      </w:r>
      <w:r>
        <w:t>una</w:t>
      </w:r>
      <w:r>
        <w:rPr>
          <w:spacing w:val="-4"/>
        </w:rPr>
        <w:t xml:space="preserve"> </w:t>
      </w:r>
      <w:r>
        <w:t>experiencia,</w:t>
      </w:r>
      <w:r>
        <w:rPr>
          <w:spacing w:val="-4"/>
        </w:rPr>
        <w:t xml:space="preserve"> </w:t>
      </w:r>
      <w:r>
        <w:t>más</w:t>
      </w:r>
      <w:r>
        <w:rPr>
          <w:spacing w:val="-4"/>
        </w:rPr>
        <w:t xml:space="preserve"> </w:t>
      </w:r>
      <w:r>
        <w:t>que</w:t>
      </w:r>
      <w:r>
        <w:rPr>
          <w:spacing w:val="-4"/>
        </w:rPr>
        <w:t xml:space="preserve"> </w:t>
      </w:r>
      <w:r>
        <w:t>sus propiedades funcionales.</w:t>
      </w:r>
    </w:p>
    <w:p w:rsidR="009B4BB4" w:rsidRDefault="00C44001" w:rsidP="00C44001">
      <w:pPr>
        <w:pStyle w:val="Prrafodelista"/>
        <w:numPr>
          <w:ilvl w:val="0"/>
          <w:numId w:val="36"/>
        </w:numPr>
        <w:tabs>
          <w:tab w:val="left" w:pos="1143"/>
          <w:tab w:val="left" w:pos="1145"/>
        </w:tabs>
        <w:spacing w:line="360" w:lineRule="auto"/>
        <w:ind w:right="605"/>
        <w:jc w:val="both"/>
      </w:pPr>
      <w:r>
        <w:rPr>
          <w:rFonts w:ascii="Arial" w:hAnsi="Arial"/>
          <w:b/>
        </w:rPr>
        <w:t xml:space="preserve">Residente local: </w:t>
      </w:r>
      <w:r>
        <w:t>El guardián de la exclusividad: La población</w:t>
      </w:r>
      <w:r>
        <w:t xml:space="preserve"> local y de la península muestra el índice más alto en la categoría “Valor historia y</w:t>
      </w:r>
      <w:r>
        <w:rPr>
          <w:spacing w:val="40"/>
        </w:rPr>
        <w:t xml:space="preserve"> </w:t>
      </w:r>
      <w:r>
        <w:t>exclusividad”, alcanzando casi un 30%, el triple que el promedio nacional.</w:t>
      </w:r>
    </w:p>
    <w:p w:rsidR="009B4BB4" w:rsidRDefault="00C44001" w:rsidP="00C44001">
      <w:pPr>
        <w:pStyle w:val="Prrafodelista"/>
        <w:numPr>
          <w:ilvl w:val="1"/>
          <w:numId w:val="36"/>
        </w:numPr>
        <w:tabs>
          <w:tab w:val="left" w:pos="1863"/>
          <w:tab w:val="left" w:pos="1865"/>
        </w:tabs>
        <w:spacing w:line="360" w:lineRule="auto"/>
        <w:ind w:right="609"/>
        <w:jc w:val="both"/>
      </w:pPr>
      <w:r>
        <w:rPr>
          <w:rFonts w:ascii="Arial" w:hAnsi="Arial"/>
          <w:b/>
        </w:rPr>
        <w:t xml:space="preserve">Implicación estratégica para Guardiana: </w:t>
      </w:r>
      <w:r>
        <w:t>El consumidor local adquiere melipona principalmente co</w:t>
      </w:r>
      <w:r>
        <w:t>mo un producto de estatus o para regalo institucional. Saben</w:t>
      </w:r>
      <w:r>
        <w:rPr>
          <w:spacing w:val="-4"/>
        </w:rPr>
        <w:t xml:space="preserve"> </w:t>
      </w:r>
      <w:r>
        <w:t>que</w:t>
      </w:r>
      <w:r>
        <w:rPr>
          <w:spacing w:val="-4"/>
        </w:rPr>
        <w:t xml:space="preserve"> </w:t>
      </w:r>
      <w:r>
        <w:t>es</w:t>
      </w:r>
      <w:r>
        <w:rPr>
          <w:spacing w:val="-4"/>
        </w:rPr>
        <w:t xml:space="preserve"> </w:t>
      </w:r>
      <w:r>
        <w:t>un</w:t>
      </w:r>
      <w:r>
        <w:rPr>
          <w:spacing w:val="-4"/>
        </w:rPr>
        <w:t xml:space="preserve"> </w:t>
      </w:r>
      <w:r>
        <w:t>producto</w:t>
      </w:r>
      <w:r>
        <w:rPr>
          <w:spacing w:val="-4"/>
        </w:rPr>
        <w:t xml:space="preserve"> </w:t>
      </w:r>
      <w:r>
        <w:t>cultural</w:t>
      </w:r>
      <w:r>
        <w:rPr>
          <w:spacing w:val="-4"/>
        </w:rPr>
        <w:t xml:space="preserve"> </w:t>
      </w:r>
      <w:r>
        <w:t>valioso</w:t>
      </w:r>
      <w:r>
        <w:rPr>
          <w:spacing w:val="-4"/>
        </w:rPr>
        <w:t xml:space="preserve"> </w:t>
      </w:r>
      <w:r>
        <w:t>y</w:t>
      </w:r>
      <w:r>
        <w:rPr>
          <w:spacing w:val="-4"/>
        </w:rPr>
        <w:t xml:space="preserve"> </w:t>
      </w:r>
      <w:r>
        <w:t>buscan</w:t>
      </w:r>
      <w:r>
        <w:rPr>
          <w:spacing w:val="-4"/>
        </w:rPr>
        <w:t xml:space="preserve"> </w:t>
      </w:r>
      <w:r>
        <w:t xml:space="preserve">ediciones </w:t>
      </w:r>
      <w:r>
        <w:rPr>
          <w:rFonts w:ascii="Arial" w:hAnsi="Arial"/>
          <w:i/>
        </w:rPr>
        <w:t xml:space="preserve">premium </w:t>
      </w:r>
      <w:r>
        <w:t>o colaboraciones artísticas que refuercen su valor cultural.</w:t>
      </w:r>
    </w:p>
    <w:p w:rsidR="009B4BB4" w:rsidRDefault="00C44001">
      <w:pPr>
        <w:pStyle w:val="Textoindependiente"/>
        <w:spacing w:line="360" w:lineRule="auto"/>
        <w:ind w:left="425" w:right="604" w:firstLine="720"/>
        <w:jc w:val="both"/>
      </w:pPr>
      <w:r>
        <w:t>Este análisis confirma que Guardiana no puede depender de</w:t>
      </w:r>
      <w:r>
        <w:rPr>
          <w:spacing w:val="-4"/>
        </w:rPr>
        <w:t xml:space="preserve"> </w:t>
      </w:r>
      <w:r>
        <w:t>una</w:t>
      </w:r>
      <w:r>
        <w:rPr>
          <w:spacing w:val="-4"/>
        </w:rPr>
        <w:t xml:space="preserve"> </w:t>
      </w:r>
      <w:r>
        <w:t>única</w:t>
      </w:r>
      <w:r>
        <w:rPr>
          <w:spacing w:val="-4"/>
        </w:rPr>
        <w:t xml:space="preserve"> </w:t>
      </w:r>
      <w:r>
        <w:t>narrativa. La estrategia de posicionamiento debe ser híbrida: el núcleo del producto será su naturalidad y poder medicinal, para capturar el volumen del turista nacional, pero su diseño de empaque y distribución debe integrar elementos de conveniencia y na</w:t>
      </w:r>
      <w:r>
        <w:t xml:space="preserve">rrativa maya auténtica, para maximizar la rentabilidad en el segmento de turismo internacional. Esto implica que el producto es el mismo, pero su narrativa y rol cambian según el </w:t>
      </w:r>
      <w:r>
        <w:rPr>
          <w:spacing w:val="-2"/>
        </w:rPr>
        <w:t>segmento.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lastRenderedPageBreak/>
        <w:t>Figura</w:t>
      </w:r>
      <w:r>
        <w:rPr>
          <w:spacing w:val="-6"/>
        </w:rPr>
        <w:t xml:space="preserve"> </w:t>
      </w:r>
      <w:r>
        <w:rPr>
          <w:spacing w:val="-5"/>
        </w:rPr>
        <w:t>4.8</w:t>
      </w:r>
    </w:p>
    <w:p w:rsidR="009B4BB4" w:rsidRDefault="00C44001">
      <w:pPr>
        <w:spacing w:before="127"/>
        <w:ind w:left="455"/>
        <w:rPr>
          <w:rFonts w:ascii="Arial"/>
          <w:i/>
        </w:rPr>
      </w:pPr>
      <w:r>
        <w:rPr>
          <w:rFonts w:ascii="Arial"/>
          <w:i/>
        </w:rPr>
        <w:t>Arquetipos</w:t>
      </w:r>
      <w:r>
        <w:rPr>
          <w:rFonts w:ascii="Arial"/>
          <w:i/>
          <w:spacing w:val="-9"/>
        </w:rPr>
        <w:t xml:space="preserve"> </w:t>
      </w:r>
      <w:r>
        <w:rPr>
          <w:rFonts w:ascii="Arial"/>
          <w:i/>
        </w:rPr>
        <w:t>de</w:t>
      </w:r>
      <w:r>
        <w:rPr>
          <w:rFonts w:ascii="Arial"/>
          <w:i/>
          <w:spacing w:val="-6"/>
        </w:rPr>
        <w:t xml:space="preserve"> </w:t>
      </w:r>
      <w:r>
        <w:rPr>
          <w:rFonts w:ascii="Arial"/>
          <w:i/>
        </w:rPr>
        <w:t>consumo</w:t>
      </w:r>
      <w:r>
        <w:rPr>
          <w:rFonts w:ascii="Arial"/>
          <w:i/>
          <w:spacing w:val="-7"/>
        </w:rPr>
        <w:t xml:space="preserve"> </w:t>
      </w:r>
      <w:r>
        <w:rPr>
          <w:rFonts w:ascii="Arial"/>
          <w:i/>
        </w:rPr>
        <w:t>declarados</w:t>
      </w:r>
      <w:r>
        <w:rPr>
          <w:rFonts w:ascii="Arial"/>
          <w:i/>
          <w:spacing w:val="-6"/>
        </w:rPr>
        <w:t xml:space="preserve"> </w:t>
      </w:r>
      <w:r>
        <w:rPr>
          <w:rFonts w:ascii="Arial"/>
          <w:i/>
        </w:rPr>
        <w:t>segme</w:t>
      </w:r>
      <w:r>
        <w:rPr>
          <w:rFonts w:ascii="Arial"/>
          <w:i/>
        </w:rPr>
        <w:t>ntados</w:t>
      </w:r>
      <w:r>
        <w:rPr>
          <w:rFonts w:ascii="Arial"/>
          <w:i/>
          <w:spacing w:val="-7"/>
        </w:rPr>
        <w:t xml:space="preserve"> </w:t>
      </w:r>
      <w:r>
        <w:rPr>
          <w:rFonts w:ascii="Arial"/>
          <w:i/>
        </w:rPr>
        <w:t>por</w:t>
      </w:r>
      <w:r>
        <w:rPr>
          <w:rFonts w:ascii="Arial"/>
          <w:i/>
          <w:spacing w:val="-6"/>
        </w:rPr>
        <w:t xml:space="preserve"> </w:t>
      </w:r>
      <w:r>
        <w:rPr>
          <w:rFonts w:ascii="Arial"/>
          <w:i/>
        </w:rPr>
        <w:t>origen</w:t>
      </w:r>
      <w:r>
        <w:rPr>
          <w:rFonts w:ascii="Arial"/>
          <w:i/>
          <w:spacing w:val="-7"/>
        </w:rPr>
        <w:t xml:space="preserve"> </w:t>
      </w:r>
      <w:r>
        <w:rPr>
          <w:rFonts w:ascii="Arial"/>
          <w:i/>
        </w:rPr>
        <w:t>del</w:t>
      </w:r>
      <w:r>
        <w:rPr>
          <w:rFonts w:ascii="Arial"/>
          <w:i/>
          <w:spacing w:val="-6"/>
        </w:rPr>
        <w:t xml:space="preserve"> </w:t>
      </w:r>
      <w:r>
        <w:rPr>
          <w:rFonts w:ascii="Arial"/>
          <w:i/>
          <w:spacing w:val="-2"/>
        </w:rPr>
        <w:t>mercado</w:t>
      </w:r>
    </w:p>
    <w:p w:rsidR="009B4BB4" w:rsidRDefault="009B4BB4">
      <w:pPr>
        <w:pStyle w:val="Textoindependiente"/>
        <w:spacing w:before="0"/>
        <w:rPr>
          <w:rFonts w:ascii="Arial"/>
          <w:i/>
          <w:sz w:val="20"/>
        </w:rPr>
      </w:pPr>
    </w:p>
    <w:p w:rsidR="009B4BB4" w:rsidRDefault="00C44001">
      <w:pPr>
        <w:pStyle w:val="Textoindependiente"/>
        <w:spacing w:before="154"/>
        <w:rPr>
          <w:rFonts w:ascii="Arial"/>
          <w:i/>
          <w:sz w:val="20"/>
        </w:rPr>
      </w:pPr>
      <w:r>
        <w:rPr>
          <w:rFonts w:ascii="Arial"/>
          <w:i/>
          <w:noProof/>
          <w:sz w:val="20"/>
          <w:lang w:val="es-AR" w:eastAsia="es-AR"/>
        </w:rPr>
        <w:drawing>
          <wp:anchor distT="0" distB="0" distL="0" distR="0" simplePos="0" relativeHeight="487597568" behindDoc="1" locked="0" layoutInCell="1" allowOverlap="1">
            <wp:simplePos x="0" y="0"/>
            <wp:positionH relativeFrom="page">
              <wp:posOffset>1275370</wp:posOffset>
            </wp:positionH>
            <wp:positionV relativeFrom="paragraph">
              <wp:posOffset>259505</wp:posOffset>
            </wp:positionV>
            <wp:extent cx="5142537" cy="2702052"/>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9" cstate="print"/>
                    <a:stretch>
                      <a:fillRect/>
                    </a:stretch>
                  </pic:blipFill>
                  <pic:spPr>
                    <a:xfrm>
                      <a:off x="0" y="0"/>
                      <a:ext cx="5142537" cy="2702052"/>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134"/>
        <w:rPr>
          <w:rFonts w:ascii="Arial"/>
          <w:i/>
        </w:rPr>
      </w:pPr>
    </w:p>
    <w:p w:rsidR="009B4BB4" w:rsidRDefault="00C44001">
      <w:pPr>
        <w:pStyle w:val="Textoindependiente"/>
        <w:spacing w:before="0" w:line="360" w:lineRule="auto"/>
        <w:ind w:left="425" w:right="604" w:firstLine="30"/>
        <w:jc w:val="both"/>
      </w:pPr>
      <w:r>
        <w:rPr>
          <w:rFonts w:ascii="Arial" w:hAnsi="Arial"/>
          <w:i/>
        </w:rPr>
        <w:t xml:space="preserve">Nota. </w:t>
      </w:r>
      <w:r>
        <w:t>Diferenciación psicográfica de consumidores (n=360). El segmento nacional prioriza la naturalidad del producto; el internacional, su valor simbólico. Datos base para la estrategia de comunicación de Guardiana. Elabo</w:t>
      </w:r>
      <w:r>
        <w:t>ración propia (2025).</w:t>
      </w:r>
    </w:p>
    <w:p w:rsidR="009B4BB4" w:rsidRDefault="009B4BB4">
      <w:pPr>
        <w:pStyle w:val="Textoindependiente"/>
        <w:spacing w:before="107"/>
      </w:pPr>
    </w:p>
    <w:p w:rsidR="009B4BB4" w:rsidRDefault="00C44001" w:rsidP="00C44001">
      <w:pPr>
        <w:pStyle w:val="Ttulo1"/>
        <w:numPr>
          <w:ilvl w:val="1"/>
          <w:numId w:val="38"/>
        </w:numPr>
        <w:tabs>
          <w:tab w:val="left" w:pos="788"/>
        </w:tabs>
        <w:spacing w:before="1"/>
        <w:ind w:left="788" w:hanging="363"/>
      </w:pPr>
      <w:bookmarkStart w:id="143" w:name="4.5_Propuesta_de_producto_y_preferencias"/>
      <w:bookmarkStart w:id="144" w:name="h.xfqluggdtbz4"/>
      <w:bookmarkEnd w:id="143"/>
      <w:bookmarkEnd w:id="144"/>
      <w:r>
        <w:t>Propuesta</w:t>
      </w:r>
      <w:r>
        <w:rPr>
          <w:spacing w:val="-6"/>
        </w:rPr>
        <w:t xml:space="preserve"> </w:t>
      </w:r>
      <w:r>
        <w:t>de</w:t>
      </w:r>
      <w:r>
        <w:rPr>
          <w:spacing w:val="-6"/>
        </w:rPr>
        <w:t xml:space="preserve"> </w:t>
      </w:r>
      <w:r>
        <w:t>producto</w:t>
      </w:r>
      <w:r>
        <w:rPr>
          <w:spacing w:val="-5"/>
        </w:rPr>
        <w:t xml:space="preserve"> </w:t>
      </w:r>
      <w:r>
        <w:t>y</w:t>
      </w:r>
      <w:r>
        <w:rPr>
          <w:spacing w:val="-6"/>
        </w:rPr>
        <w:t xml:space="preserve"> </w:t>
      </w:r>
      <w:r>
        <w:t>preferencias</w:t>
      </w:r>
      <w:r>
        <w:rPr>
          <w:spacing w:val="-6"/>
        </w:rPr>
        <w:t xml:space="preserve"> </w:t>
      </w:r>
      <w:r>
        <w:t>de</w:t>
      </w:r>
      <w:r>
        <w:rPr>
          <w:spacing w:val="-5"/>
        </w:rPr>
        <w:t xml:space="preserve"> </w:t>
      </w:r>
      <w:r>
        <w:rPr>
          <w:spacing w:val="-2"/>
        </w:rPr>
        <w:t>concepto</w:t>
      </w:r>
    </w:p>
    <w:p w:rsidR="009B4BB4" w:rsidRDefault="00C44001">
      <w:pPr>
        <w:pStyle w:val="Textoindependiente"/>
        <w:spacing w:before="246" w:line="360" w:lineRule="auto"/>
        <w:ind w:left="425" w:right="605" w:firstLine="720"/>
        <w:jc w:val="both"/>
      </w:pPr>
      <w:r>
        <w:t>Para</w:t>
      </w:r>
      <w:r>
        <w:rPr>
          <w:spacing w:val="26"/>
        </w:rPr>
        <w:t xml:space="preserve"> </w:t>
      </w:r>
      <w:r>
        <w:t>validar</w:t>
      </w:r>
      <w:r>
        <w:rPr>
          <w:spacing w:val="26"/>
        </w:rPr>
        <w:t xml:space="preserve"> </w:t>
      </w:r>
      <w:r>
        <w:t>la</w:t>
      </w:r>
      <w:r>
        <w:rPr>
          <w:spacing w:val="26"/>
        </w:rPr>
        <w:t xml:space="preserve"> </w:t>
      </w:r>
      <w:r>
        <w:t>dirección</w:t>
      </w:r>
      <w:r>
        <w:rPr>
          <w:spacing w:val="26"/>
        </w:rPr>
        <w:t xml:space="preserve"> </w:t>
      </w:r>
      <w:r>
        <w:t>de</w:t>
      </w:r>
      <w:r>
        <w:rPr>
          <w:spacing w:val="26"/>
        </w:rPr>
        <w:t xml:space="preserve"> </w:t>
      </w:r>
      <w:r>
        <w:t>la</w:t>
      </w:r>
      <w:r>
        <w:rPr>
          <w:spacing w:val="26"/>
        </w:rPr>
        <w:t xml:space="preserve"> </w:t>
      </w:r>
      <w:r>
        <w:t>marca y definir el Producto Mínimo Viable (MVP), se presentaron tres propuestas conceptuales a los encuestados para identificar cuál narrativa</w:t>
      </w:r>
      <w:r>
        <w:rPr>
          <w:spacing w:val="-4"/>
        </w:rPr>
        <w:t xml:space="preserve"> </w:t>
      </w:r>
      <w:r>
        <w:t>de</w:t>
      </w:r>
      <w:r>
        <w:rPr>
          <w:spacing w:val="-4"/>
        </w:rPr>
        <w:t xml:space="preserve"> </w:t>
      </w:r>
      <w:r>
        <w:t>valor</w:t>
      </w:r>
      <w:r>
        <w:rPr>
          <w:spacing w:val="-4"/>
        </w:rPr>
        <w:t xml:space="preserve"> </w:t>
      </w:r>
      <w:r>
        <w:t>resultaba</w:t>
      </w:r>
      <w:r>
        <w:rPr>
          <w:spacing w:val="-4"/>
        </w:rPr>
        <w:t xml:space="preserve"> </w:t>
      </w:r>
      <w:r>
        <w:t>más</w:t>
      </w:r>
      <w:r>
        <w:rPr>
          <w:spacing w:val="-4"/>
        </w:rPr>
        <w:t xml:space="preserve"> </w:t>
      </w:r>
      <w:r>
        <w:t>atractiva.</w:t>
      </w:r>
      <w:r>
        <w:rPr>
          <w:spacing w:val="-4"/>
        </w:rPr>
        <w:t xml:space="preserve"> </w:t>
      </w:r>
      <w:r>
        <w:t>Los</w:t>
      </w:r>
      <w:r>
        <w:rPr>
          <w:spacing w:val="-4"/>
        </w:rPr>
        <w:t xml:space="preserve"> </w:t>
      </w:r>
      <w:r>
        <w:t>resultados</w:t>
      </w:r>
      <w:r>
        <w:rPr>
          <w:spacing w:val="-4"/>
        </w:rPr>
        <w:t xml:space="preserve"> </w:t>
      </w:r>
      <w:r>
        <w:t>muestran</w:t>
      </w:r>
      <w:r>
        <w:rPr>
          <w:spacing w:val="-4"/>
        </w:rPr>
        <w:t xml:space="preserve"> </w:t>
      </w:r>
      <w:r>
        <w:t>una</w:t>
      </w:r>
      <w:r>
        <w:rPr>
          <w:spacing w:val="-4"/>
        </w:rPr>
        <w:t xml:space="preserve"> </w:t>
      </w:r>
      <w:r>
        <w:t>jerarquía</w:t>
      </w:r>
      <w:r>
        <w:rPr>
          <w:spacing w:val="-4"/>
        </w:rPr>
        <w:t xml:space="preserve"> </w:t>
      </w:r>
      <w:r>
        <w:t>clara</w:t>
      </w:r>
      <w:r>
        <w:rPr>
          <w:spacing w:val="-4"/>
        </w:rPr>
        <w:t xml:space="preserve"> </w:t>
      </w:r>
      <w:r>
        <w:t>en las preferencias:</w:t>
      </w:r>
    </w:p>
    <w:p w:rsidR="009B4BB4" w:rsidRDefault="00C44001" w:rsidP="00C44001">
      <w:pPr>
        <w:pStyle w:val="Prrafodelista"/>
        <w:numPr>
          <w:ilvl w:val="0"/>
          <w:numId w:val="35"/>
        </w:numPr>
        <w:tabs>
          <w:tab w:val="left" w:pos="1145"/>
        </w:tabs>
        <w:spacing w:before="0" w:line="360" w:lineRule="auto"/>
        <w:ind w:right="606"/>
      </w:pPr>
      <w:r>
        <w:rPr>
          <w:rFonts w:ascii="Arial" w:hAnsi="Arial"/>
          <w:b/>
        </w:rPr>
        <w:t xml:space="preserve">Edición colaborativa (51%): </w:t>
      </w:r>
      <w:r>
        <w:t>Enfocada en arte maya exclusivo y apoyo</w:t>
      </w:r>
      <w:r>
        <w:rPr>
          <w:spacing w:val="-4"/>
        </w:rPr>
        <w:t xml:space="preserve"> </w:t>
      </w:r>
      <w:r>
        <w:t>directo</w:t>
      </w:r>
      <w:r>
        <w:rPr>
          <w:spacing w:val="-4"/>
        </w:rPr>
        <w:t xml:space="preserve"> </w:t>
      </w:r>
      <w:r>
        <w:t>a comunidades meliponicultoras.</w:t>
      </w:r>
    </w:p>
    <w:p w:rsidR="009B4BB4" w:rsidRDefault="00C44001" w:rsidP="00C44001">
      <w:pPr>
        <w:pStyle w:val="Prrafodelista"/>
        <w:numPr>
          <w:ilvl w:val="0"/>
          <w:numId w:val="35"/>
        </w:numPr>
        <w:tabs>
          <w:tab w:val="left" w:pos="1145"/>
        </w:tabs>
        <w:spacing w:before="0" w:line="360" w:lineRule="auto"/>
        <w:ind w:right="615"/>
      </w:pPr>
      <w:r>
        <w:rPr>
          <w:rFonts w:ascii="Arial" w:hAnsi="Arial"/>
          <w:b/>
        </w:rPr>
        <w:t>Esencia</w:t>
      </w:r>
      <w:r>
        <w:rPr>
          <w:rFonts w:ascii="Arial" w:hAnsi="Arial"/>
          <w:b/>
          <w:spacing w:val="26"/>
        </w:rPr>
        <w:t xml:space="preserve"> </w:t>
      </w:r>
      <w:r>
        <w:rPr>
          <w:rFonts w:ascii="Arial" w:hAnsi="Arial"/>
          <w:b/>
        </w:rPr>
        <w:t>Maya</w:t>
      </w:r>
      <w:r>
        <w:rPr>
          <w:rFonts w:ascii="Arial" w:hAnsi="Arial"/>
          <w:b/>
          <w:spacing w:val="26"/>
        </w:rPr>
        <w:t xml:space="preserve"> </w:t>
      </w:r>
      <w:r>
        <w:rPr>
          <w:rFonts w:ascii="Arial" w:hAnsi="Arial"/>
          <w:b/>
        </w:rPr>
        <w:t>(35%):</w:t>
      </w:r>
      <w:r>
        <w:rPr>
          <w:rFonts w:ascii="Arial" w:hAnsi="Arial"/>
          <w:b/>
          <w:spacing w:val="26"/>
        </w:rPr>
        <w:t xml:space="preserve"> </w:t>
      </w:r>
      <w:r>
        <w:t>Enfocada</w:t>
      </w:r>
      <w:r>
        <w:rPr>
          <w:spacing w:val="26"/>
        </w:rPr>
        <w:t xml:space="preserve"> </w:t>
      </w:r>
      <w:r>
        <w:t>en</w:t>
      </w:r>
      <w:r>
        <w:rPr>
          <w:spacing w:val="26"/>
        </w:rPr>
        <w:t xml:space="preserve"> </w:t>
      </w:r>
      <w:r>
        <w:t>la</w:t>
      </w:r>
      <w:r>
        <w:rPr>
          <w:spacing w:val="26"/>
        </w:rPr>
        <w:t xml:space="preserve"> </w:t>
      </w:r>
      <w:r>
        <w:t>pureza,</w:t>
      </w:r>
      <w:r>
        <w:rPr>
          <w:spacing w:val="26"/>
        </w:rPr>
        <w:t xml:space="preserve"> </w:t>
      </w:r>
      <w:r>
        <w:t>el</w:t>
      </w:r>
      <w:r>
        <w:rPr>
          <w:spacing w:val="26"/>
        </w:rPr>
        <w:t xml:space="preserve"> </w:t>
      </w:r>
      <w:r>
        <w:t>producto</w:t>
      </w:r>
      <w:r>
        <w:rPr>
          <w:spacing w:val="26"/>
        </w:rPr>
        <w:t xml:space="preserve"> </w:t>
      </w:r>
      <w:r>
        <w:t>cru</w:t>
      </w:r>
      <w:r>
        <w:t>do</w:t>
      </w:r>
      <w:r>
        <w:rPr>
          <w:spacing w:val="26"/>
        </w:rPr>
        <w:t xml:space="preserve"> </w:t>
      </w:r>
      <w:r>
        <w:t xml:space="preserve">y el alto poder </w:t>
      </w:r>
      <w:r>
        <w:rPr>
          <w:spacing w:val="-2"/>
        </w:rPr>
        <w:t>antibacteriano/probiótico.</w:t>
      </w:r>
    </w:p>
    <w:p w:rsidR="009B4BB4" w:rsidRDefault="00C44001" w:rsidP="00C44001">
      <w:pPr>
        <w:pStyle w:val="Prrafodelista"/>
        <w:numPr>
          <w:ilvl w:val="0"/>
          <w:numId w:val="35"/>
        </w:numPr>
        <w:tabs>
          <w:tab w:val="left" w:pos="1145"/>
        </w:tabs>
        <w:spacing w:before="0" w:line="360" w:lineRule="auto"/>
        <w:ind w:right="615"/>
      </w:pPr>
      <w:r>
        <w:rPr>
          <w:rFonts w:ascii="Arial" w:hAnsi="Arial"/>
          <w:b/>
        </w:rPr>
        <w:t xml:space="preserve">Vitalidad Familiar (14%): </w:t>
      </w:r>
      <w:r>
        <w:t>Enfocada en la nutrición clara</w:t>
      </w:r>
      <w:r>
        <w:rPr>
          <w:spacing w:val="-4"/>
        </w:rPr>
        <w:t xml:space="preserve"> </w:t>
      </w:r>
      <w:r>
        <w:t>para</w:t>
      </w:r>
      <w:r>
        <w:rPr>
          <w:spacing w:val="-4"/>
        </w:rPr>
        <w:t xml:space="preserve"> </w:t>
      </w:r>
      <w:r>
        <w:t>las</w:t>
      </w:r>
      <w:r>
        <w:rPr>
          <w:spacing w:val="-4"/>
        </w:rPr>
        <w:t xml:space="preserve"> </w:t>
      </w:r>
      <w:r>
        <w:t>distintas</w:t>
      </w:r>
      <w:r>
        <w:rPr>
          <w:spacing w:val="-4"/>
        </w:rPr>
        <w:t xml:space="preserve"> </w:t>
      </w:r>
      <w:r>
        <w:t>etapas de la familia.</w:t>
      </w:r>
    </w:p>
    <w:p w:rsidR="009B4BB4" w:rsidRDefault="009B4BB4">
      <w:pPr>
        <w:pStyle w:val="Prrafodelista"/>
        <w:spacing w:line="360" w:lineRule="auto"/>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4" w:firstLine="720"/>
        <w:jc w:val="both"/>
      </w:pPr>
      <w:r>
        <w:lastRenderedPageBreak/>
        <w:t>La preferencia por la Edición Colaborativa confirma que los factores sociales y culturales funcionan como diferenciadores clave en la decisión de compra de productos de nicho. Para el consumidor, la miel melipona trasciende la categoría de alimento y se po</w:t>
      </w:r>
      <w:r>
        <w:t>siciona como un producto con valor cultural y funcional; su valor radica en el impacto directo en los meliponarios y el relato biocultural auténtico, los cuales deben ser el eje central de la propuesta de valor de Guardiana.</w:t>
      </w:r>
      <w:r>
        <w:rPr>
          <w:spacing w:val="40"/>
        </w:rPr>
        <w:t xml:space="preserve"> </w:t>
      </w:r>
      <w:r>
        <w:t xml:space="preserve">Esto refuerza que la propuesta </w:t>
      </w:r>
      <w:r>
        <w:t>de valor debe construirse desde el significado del producto, no solo desde sus atributos.</w:t>
      </w:r>
    </w:p>
    <w:p w:rsidR="009B4BB4" w:rsidRDefault="00C44001">
      <w:pPr>
        <w:pStyle w:val="Textoindependiente"/>
        <w:spacing w:line="360" w:lineRule="auto"/>
        <w:ind w:left="425" w:right="615" w:firstLine="720"/>
        <w:jc w:val="both"/>
      </w:pPr>
      <w:r>
        <w:t>Al analizar estas preferencias por procedencia, se observa una dualidad en los motivadores de compra que Guardiana debe gestionar en el diseño de su empaque:</w:t>
      </w:r>
    </w:p>
    <w:p w:rsidR="009B4BB4" w:rsidRDefault="00C44001">
      <w:pPr>
        <w:pStyle w:val="Textoindependiente"/>
        <w:spacing w:line="360" w:lineRule="auto"/>
        <w:ind w:left="425" w:right="603" w:firstLine="720"/>
        <w:jc w:val="both"/>
      </w:pPr>
      <w:r>
        <w:t>El turis</w:t>
      </w:r>
      <w:r>
        <w:t>mo internacional y los residentes locales muestran una preferencia clara por la Edición Colaborativa, el comportamiento</w:t>
      </w:r>
      <w:r>
        <w:rPr>
          <w:spacing w:val="-4"/>
        </w:rPr>
        <w:t xml:space="preserve"> </w:t>
      </w:r>
      <w:r>
        <w:t>del</w:t>
      </w:r>
      <w:r>
        <w:rPr>
          <w:spacing w:val="-4"/>
        </w:rPr>
        <w:t xml:space="preserve"> </w:t>
      </w:r>
      <w:r>
        <w:t>turista</w:t>
      </w:r>
      <w:r>
        <w:rPr>
          <w:spacing w:val="-4"/>
        </w:rPr>
        <w:t xml:space="preserve"> </w:t>
      </w:r>
      <w:r>
        <w:t>nacional</w:t>
      </w:r>
      <w:r>
        <w:rPr>
          <w:spacing w:val="-4"/>
        </w:rPr>
        <w:t xml:space="preserve"> </w:t>
      </w:r>
      <w:r>
        <w:t>es</w:t>
      </w:r>
      <w:r>
        <w:rPr>
          <w:spacing w:val="-4"/>
        </w:rPr>
        <w:t xml:space="preserve"> </w:t>
      </w:r>
      <w:r>
        <w:t>más</w:t>
      </w:r>
      <w:r>
        <w:rPr>
          <w:spacing w:val="-4"/>
        </w:rPr>
        <w:t xml:space="preserve"> </w:t>
      </w:r>
      <w:r>
        <w:t>equilibrado.En este grupo, la Esencia Maya alcanza un 41% de preferencia, compitiendo casi a la par con el i</w:t>
      </w:r>
      <w:r>
        <w:t>mpacto social. Lo que</w:t>
      </w:r>
      <w:r>
        <w:rPr>
          <w:spacing w:val="40"/>
        </w:rPr>
        <w:t xml:space="preserve"> </w:t>
      </w:r>
      <w:r>
        <w:t>indica que el consumidor nacional prioriza beneficios funcionales sobre atributos simbólicos.</w:t>
      </w:r>
    </w:p>
    <w:p w:rsidR="009B4BB4" w:rsidRDefault="00C44001" w:rsidP="00C44001">
      <w:pPr>
        <w:pStyle w:val="Prrafodelista"/>
        <w:numPr>
          <w:ilvl w:val="0"/>
          <w:numId w:val="35"/>
        </w:numPr>
        <w:tabs>
          <w:tab w:val="left" w:pos="1145"/>
        </w:tabs>
        <w:spacing w:line="360" w:lineRule="auto"/>
        <w:ind w:right="603"/>
        <w:jc w:val="both"/>
      </w:pPr>
      <w:r>
        <w:rPr>
          <w:rFonts w:ascii="Arial" w:hAnsi="Arial"/>
          <w:b/>
        </w:rPr>
        <w:t xml:space="preserve">Implicación estratégica para Guardiana: </w:t>
      </w:r>
      <w:r>
        <w:t>Este hallazgo define las</w:t>
      </w:r>
      <w:r>
        <w:rPr>
          <w:spacing w:val="-4"/>
        </w:rPr>
        <w:t xml:space="preserve"> </w:t>
      </w:r>
      <w:r>
        <w:t>directrices</w:t>
      </w:r>
      <w:r>
        <w:rPr>
          <w:spacing w:val="-4"/>
        </w:rPr>
        <w:t xml:space="preserve"> </w:t>
      </w:r>
      <w:r>
        <w:t>de diseño para el empaque inicial. Para maximizar las ventas en</w:t>
      </w:r>
      <w:r>
        <w:t xml:space="preserve"> ambos</w:t>
      </w:r>
      <w:r>
        <w:rPr>
          <w:spacing w:val="-4"/>
        </w:rPr>
        <w:t xml:space="preserve"> </w:t>
      </w:r>
      <w:r>
        <w:t>segmentos, el producto no puede limitarse a un enfoque estético o cultural. Guardiana debe posicionar la Edición Colaborativa como su concepto principal, como gancho visual y de impacto</w:t>
      </w:r>
      <w:r>
        <w:rPr>
          <w:spacing w:val="-3"/>
        </w:rPr>
        <w:t xml:space="preserve"> </w:t>
      </w:r>
      <w:r>
        <w:t>social</w:t>
      </w:r>
      <w:r>
        <w:rPr>
          <w:spacing w:val="-3"/>
        </w:rPr>
        <w:t xml:space="preserve"> </w:t>
      </w:r>
      <w:r>
        <w:t>para</w:t>
      </w:r>
      <w:r>
        <w:rPr>
          <w:spacing w:val="-3"/>
        </w:rPr>
        <w:t xml:space="preserve"> </w:t>
      </w:r>
      <w:r>
        <w:t>el</w:t>
      </w:r>
      <w:r>
        <w:rPr>
          <w:spacing w:val="-3"/>
        </w:rPr>
        <w:t xml:space="preserve"> </w:t>
      </w:r>
      <w:r>
        <w:t>segmento</w:t>
      </w:r>
      <w:r>
        <w:rPr>
          <w:spacing w:val="-3"/>
        </w:rPr>
        <w:t xml:space="preserve"> </w:t>
      </w:r>
      <w:r>
        <w:t>internacional;</w:t>
      </w:r>
      <w:r>
        <w:rPr>
          <w:spacing w:val="-3"/>
        </w:rPr>
        <w:t xml:space="preserve"> </w:t>
      </w:r>
      <w:r>
        <w:t>pero</w:t>
      </w:r>
      <w:r>
        <w:rPr>
          <w:spacing w:val="-3"/>
        </w:rPr>
        <w:t xml:space="preserve"> </w:t>
      </w:r>
      <w:r>
        <w:t>el</w:t>
      </w:r>
      <w:r>
        <w:rPr>
          <w:spacing w:val="-3"/>
        </w:rPr>
        <w:t xml:space="preserve"> </w:t>
      </w:r>
      <w:r>
        <w:t>etiquetado</w:t>
      </w:r>
      <w:r>
        <w:rPr>
          <w:spacing w:val="-3"/>
        </w:rPr>
        <w:t xml:space="preserve"> </w:t>
      </w:r>
      <w:r>
        <w:t xml:space="preserve">debe </w:t>
      </w:r>
      <w:r>
        <w:t>destacar de</w:t>
      </w:r>
      <w:r>
        <w:rPr>
          <w:spacing w:val="-3"/>
        </w:rPr>
        <w:t xml:space="preserve"> </w:t>
      </w:r>
      <w:r>
        <w:t>forma</w:t>
      </w:r>
      <w:r>
        <w:rPr>
          <w:spacing w:val="-3"/>
        </w:rPr>
        <w:t xml:space="preserve"> </w:t>
      </w:r>
      <w:r>
        <w:t>clara</w:t>
      </w:r>
      <w:r>
        <w:rPr>
          <w:spacing w:val="-3"/>
        </w:rPr>
        <w:t xml:space="preserve"> </w:t>
      </w:r>
      <w:r>
        <w:t>los</w:t>
      </w:r>
      <w:r>
        <w:rPr>
          <w:spacing w:val="-3"/>
        </w:rPr>
        <w:t xml:space="preserve"> </w:t>
      </w:r>
      <w:r>
        <w:t>beneficios</w:t>
      </w:r>
      <w:r>
        <w:rPr>
          <w:spacing w:val="-3"/>
        </w:rPr>
        <w:t xml:space="preserve"> </w:t>
      </w:r>
      <w:r>
        <w:t>antibacterianos</w:t>
      </w:r>
      <w:r>
        <w:rPr>
          <w:spacing w:val="-3"/>
        </w:rPr>
        <w:t xml:space="preserve"> </w:t>
      </w:r>
      <w:r>
        <w:t>y</w:t>
      </w:r>
      <w:r>
        <w:rPr>
          <w:spacing w:val="-3"/>
        </w:rPr>
        <w:t xml:space="preserve"> </w:t>
      </w:r>
      <w:r>
        <w:t>la</w:t>
      </w:r>
      <w:r>
        <w:rPr>
          <w:spacing w:val="-3"/>
        </w:rPr>
        <w:t xml:space="preserve"> </w:t>
      </w:r>
      <w:r>
        <w:t>pureza</w:t>
      </w:r>
      <w:r>
        <w:rPr>
          <w:spacing w:val="-3"/>
        </w:rPr>
        <w:t xml:space="preserve"> </w:t>
      </w:r>
      <w:r>
        <w:t>cruda,</w:t>
      </w:r>
      <w:r>
        <w:rPr>
          <w:spacing w:val="-3"/>
        </w:rPr>
        <w:t xml:space="preserve"> </w:t>
      </w:r>
      <w:r>
        <w:t>que</w:t>
      </w:r>
      <w:r>
        <w:rPr>
          <w:spacing w:val="-3"/>
        </w:rPr>
        <w:t xml:space="preserve"> </w:t>
      </w:r>
      <w:r>
        <w:t>es</w:t>
      </w:r>
      <w:r>
        <w:rPr>
          <w:spacing w:val="-3"/>
        </w:rPr>
        <w:t xml:space="preserve"> </w:t>
      </w:r>
      <w:r>
        <w:t>el factor de cierre de venta para el turista nacional. Más que desarrollar múltiples versiones, el reto está en adaptar la narrativa del producto a cada segmento.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lastRenderedPageBreak/>
        <w:t>Figura</w:t>
      </w:r>
      <w:r>
        <w:rPr>
          <w:spacing w:val="55"/>
        </w:rPr>
        <w:t xml:space="preserve"> </w:t>
      </w:r>
      <w:r>
        <w:rPr>
          <w:spacing w:val="-5"/>
        </w:rPr>
        <w:t>4.9</w:t>
      </w:r>
    </w:p>
    <w:p w:rsidR="009B4BB4" w:rsidRDefault="00C44001">
      <w:pPr>
        <w:spacing w:before="127"/>
        <w:ind w:left="455"/>
        <w:rPr>
          <w:rFonts w:ascii="Arial"/>
          <w:i/>
        </w:rPr>
      </w:pPr>
      <w:r>
        <w:rPr>
          <w:rFonts w:ascii="Arial"/>
          <w:i/>
        </w:rPr>
        <w:t>Preferencia</w:t>
      </w:r>
      <w:r>
        <w:rPr>
          <w:rFonts w:ascii="Arial"/>
          <w:i/>
          <w:spacing w:val="-7"/>
        </w:rPr>
        <w:t xml:space="preserve"> </w:t>
      </w:r>
      <w:r>
        <w:rPr>
          <w:rFonts w:ascii="Arial"/>
          <w:i/>
        </w:rPr>
        <w:t>de</w:t>
      </w:r>
      <w:r>
        <w:rPr>
          <w:rFonts w:ascii="Arial"/>
          <w:i/>
          <w:spacing w:val="-6"/>
        </w:rPr>
        <w:t xml:space="preserve"> </w:t>
      </w:r>
      <w:r>
        <w:rPr>
          <w:rFonts w:ascii="Arial"/>
          <w:i/>
        </w:rPr>
        <w:t>concepto</w:t>
      </w:r>
      <w:r>
        <w:rPr>
          <w:rFonts w:ascii="Arial"/>
          <w:i/>
          <w:spacing w:val="-7"/>
        </w:rPr>
        <w:t xml:space="preserve"> </w:t>
      </w:r>
      <w:r>
        <w:rPr>
          <w:rFonts w:ascii="Arial"/>
          <w:i/>
        </w:rPr>
        <w:t>de</w:t>
      </w:r>
      <w:r>
        <w:rPr>
          <w:rFonts w:ascii="Arial"/>
          <w:i/>
          <w:spacing w:val="-6"/>
        </w:rPr>
        <w:t xml:space="preserve"> </w:t>
      </w:r>
      <w:r>
        <w:rPr>
          <w:rFonts w:ascii="Arial"/>
          <w:i/>
        </w:rPr>
        <w:t>producto</w:t>
      </w:r>
      <w:r>
        <w:rPr>
          <w:rFonts w:ascii="Arial"/>
          <w:i/>
          <w:spacing w:val="-7"/>
        </w:rPr>
        <w:t xml:space="preserve"> </w:t>
      </w:r>
      <w:r>
        <w:rPr>
          <w:rFonts w:ascii="Arial"/>
          <w:i/>
        </w:rPr>
        <w:t>segmentada</w:t>
      </w:r>
      <w:r>
        <w:rPr>
          <w:rFonts w:ascii="Arial"/>
          <w:i/>
          <w:spacing w:val="-6"/>
        </w:rPr>
        <w:t xml:space="preserve"> </w:t>
      </w:r>
      <w:r>
        <w:rPr>
          <w:rFonts w:ascii="Arial"/>
          <w:i/>
        </w:rPr>
        <w:t>por</w:t>
      </w:r>
      <w:r>
        <w:rPr>
          <w:rFonts w:ascii="Arial"/>
          <w:i/>
          <w:spacing w:val="-7"/>
        </w:rPr>
        <w:t xml:space="preserve"> </w:t>
      </w:r>
      <w:r>
        <w:rPr>
          <w:rFonts w:ascii="Arial"/>
          <w:i/>
        </w:rPr>
        <w:t>procedencia</w:t>
      </w:r>
      <w:r>
        <w:rPr>
          <w:rFonts w:ascii="Arial"/>
          <w:i/>
          <w:spacing w:val="-6"/>
        </w:rPr>
        <w:t xml:space="preserve"> </w:t>
      </w:r>
      <w:r>
        <w:rPr>
          <w:rFonts w:ascii="Arial"/>
          <w:i/>
        </w:rPr>
        <w:t>del</w:t>
      </w:r>
      <w:r>
        <w:rPr>
          <w:rFonts w:ascii="Arial"/>
          <w:i/>
          <w:spacing w:val="-6"/>
        </w:rPr>
        <w:t xml:space="preserve"> </w:t>
      </w:r>
      <w:r>
        <w:rPr>
          <w:rFonts w:ascii="Arial"/>
          <w:i/>
          <w:spacing w:val="-2"/>
        </w:rPr>
        <w:t>mercado</w:t>
      </w:r>
    </w:p>
    <w:p w:rsidR="009B4BB4" w:rsidRDefault="009B4BB4">
      <w:pPr>
        <w:pStyle w:val="Textoindependiente"/>
        <w:spacing w:before="0"/>
        <w:rPr>
          <w:rFonts w:ascii="Arial"/>
          <w:i/>
          <w:sz w:val="20"/>
        </w:rPr>
      </w:pPr>
    </w:p>
    <w:p w:rsidR="009B4BB4" w:rsidRDefault="00C44001">
      <w:pPr>
        <w:pStyle w:val="Textoindependiente"/>
        <w:spacing w:before="157"/>
        <w:rPr>
          <w:rFonts w:ascii="Arial"/>
          <w:i/>
          <w:sz w:val="20"/>
        </w:rPr>
      </w:pPr>
      <w:r>
        <w:rPr>
          <w:rFonts w:ascii="Arial"/>
          <w:i/>
          <w:noProof/>
          <w:sz w:val="20"/>
          <w:lang w:val="es-AR" w:eastAsia="es-AR"/>
        </w:rPr>
        <w:drawing>
          <wp:anchor distT="0" distB="0" distL="0" distR="0" simplePos="0" relativeHeight="487598080" behindDoc="1" locked="0" layoutInCell="1" allowOverlap="1">
            <wp:simplePos x="0" y="0"/>
            <wp:positionH relativeFrom="page">
              <wp:posOffset>1265433</wp:posOffset>
            </wp:positionH>
            <wp:positionV relativeFrom="paragraph">
              <wp:posOffset>261426</wp:posOffset>
            </wp:positionV>
            <wp:extent cx="5450577" cy="2660332"/>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5450577" cy="2660332"/>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137"/>
        <w:rPr>
          <w:rFonts w:ascii="Arial"/>
          <w:i/>
        </w:rPr>
      </w:pPr>
    </w:p>
    <w:p w:rsidR="009B4BB4" w:rsidRDefault="00C44001">
      <w:pPr>
        <w:spacing w:line="360" w:lineRule="auto"/>
        <w:ind w:left="425" w:right="611" w:firstLine="30"/>
        <w:jc w:val="both"/>
        <w:rPr>
          <w:sz w:val="20"/>
        </w:rPr>
      </w:pPr>
      <w:r>
        <w:rPr>
          <w:rFonts w:ascii="Arial" w:hAnsi="Arial"/>
          <w:i/>
          <w:sz w:val="20"/>
        </w:rPr>
        <w:t xml:space="preserve">Nota. </w:t>
      </w:r>
      <w:r>
        <w:rPr>
          <w:sz w:val="20"/>
        </w:rPr>
        <w:t xml:space="preserve">Validación de conceptos de marca y </w:t>
      </w:r>
      <w:r>
        <w:rPr>
          <w:rFonts w:ascii="Arial" w:hAnsi="Arial"/>
          <w:i/>
          <w:sz w:val="20"/>
        </w:rPr>
        <w:t xml:space="preserve">product-market fit </w:t>
      </w:r>
      <w:r>
        <w:rPr>
          <w:sz w:val="20"/>
        </w:rPr>
        <w:t>(n=400). La preferencia transversal por la "Edición Colaborativa"</w:t>
      </w:r>
      <w:r>
        <w:rPr>
          <w:sz w:val="20"/>
        </w:rPr>
        <w:t xml:space="preserve"> confirma el valor del impacto social como diferenciador competitivo. Por otro lado, la tracción de "Esencia Maya" en el mercado nacional sugiere una oportunidad de segmentación táctica basada en identidad cultural y orgullo de origen. Elaboración propia (</w:t>
      </w:r>
      <w:r>
        <w:rPr>
          <w:sz w:val="20"/>
        </w:rPr>
        <w:t>2025).</w:t>
      </w:r>
    </w:p>
    <w:p w:rsidR="009B4BB4" w:rsidRDefault="009B4BB4">
      <w:pPr>
        <w:pStyle w:val="Textoindependiente"/>
        <w:spacing w:before="0"/>
        <w:rPr>
          <w:sz w:val="20"/>
        </w:rPr>
      </w:pPr>
    </w:p>
    <w:p w:rsidR="009B4BB4" w:rsidRDefault="009B4BB4">
      <w:pPr>
        <w:pStyle w:val="Textoindependiente"/>
        <w:spacing w:before="0"/>
        <w:rPr>
          <w:sz w:val="20"/>
        </w:rPr>
      </w:pPr>
    </w:p>
    <w:p w:rsidR="009B4BB4" w:rsidRDefault="009B4BB4">
      <w:pPr>
        <w:pStyle w:val="Textoindependiente"/>
        <w:spacing w:before="135"/>
        <w:rPr>
          <w:sz w:val="20"/>
        </w:rPr>
      </w:pPr>
    </w:p>
    <w:p w:rsidR="009B4BB4" w:rsidRDefault="00C44001" w:rsidP="00C44001">
      <w:pPr>
        <w:pStyle w:val="Ttulo2"/>
        <w:numPr>
          <w:ilvl w:val="2"/>
          <w:numId w:val="38"/>
        </w:numPr>
        <w:tabs>
          <w:tab w:val="left" w:pos="970"/>
        </w:tabs>
        <w:spacing w:before="0"/>
        <w:ind w:left="970" w:hanging="545"/>
        <w:jc w:val="left"/>
      </w:pPr>
      <w:bookmarkStart w:id="145" w:name="4.5.1_Preferencias_de_formato_y_presenta"/>
      <w:bookmarkStart w:id="146" w:name="h.84ryf67z2s01"/>
      <w:bookmarkEnd w:id="145"/>
      <w:bookmarkEnd w:id="146"/>
      <w:r>
        <w:t>Preferencias</w:t>
      </w:r>
      <w:r>
        <w:rPr>
          <w:spacing w:val="-6"/>
        </w:rPr>
        <w:t xml:space="preserve"> </w:t>
      </w:r>
      <w:r>
        <w:t>de</w:t>
      </w:r>
      <w:r>
        <w:rPr>
          <w:spacing w:val="-5"/>
        </w:rPr>
        <w:t xml:space="preserve"> </w:t>
      </w:r>
      <w:r>
        <w:t>formato</w:t>
      </w:r>
      <w:r>
        <w:rPr>
          <w:spacing w:val="-6"/>
        </w:rPr>
        <w:t xml:space="preserve"> </w:t>
      </w:r>
      <w:r>
        <w:t>y</w:t>
      </w:r>
      <w:r>
        <w:rPr>
          <w:spacing w:val="-5"/>
        </w:rPr>
        <w:t xml:space="preserve"> </w:t>
      </w:r>
      <w:r>
        <w:rPr>
          <w:spacing w:val="-2"/>
        </w:rPr>
        <w:t>presentación</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13" w:firstLine="720"/>
        <w:jc w:val="both"/>
      </w:pPr>
      <w:r>
        <w:t>La elección del empaque impacta directamente en la estructura de costos, la logística de distribución y la percepción de valor del cliente. Al evaluar el formato más práctico, los resultados muestran una pr</w:t>
      </w:r>
      <w:r>
        <w:t>eferencia clara por un volumen intermedio:</w:t>
      </w:r>
    </w:p>
    <w:p w:rsidR="009B4BB4" w:rsidRDefault="00C44001" w:rsidP="00C44001">
      <w:pPr>
        <w:pStyle w:val="Prrafodelista"/>
        <w:numPr>
          <w:ilvl w:val="3"/>
          <w:numId w:val="38"/>
        </w:numPr>
        <w:tabs>
          <w:tab w:val="left" w:pos="1145"/>
        </w:tabs>
      </w:pPr>
      <w:r>
        <w:t>Tarro</w:t>
      </w:r>
      <w:r>
        <w:rPr>
          <w:spacing w:val="-9"/>
        </w:rPr>
        <w:t xml:space="preserve"> </w:t>
      </w:r>
      <w:r>
        <w:t>mediano</w:t>
      </w:r>
      <w:r>
        <w:rPr>
          <w:spacing w:val="-9"/>
        </w:rPr>
        <w:t xml:space="preserve"> </w:t>
      </w:r>
      <w:r>
        <w:t>de</w:t>
      </w:r>
      <w:r>
        <w:rPr>
          <w:spacing w:val="-9"/>
        </w:rPr>
        <w:t xml:space="preserve"> </w:t>
      </w:r>
      <w:r>
        <w:t>100</w:t>
      </w:r>
      <w:r>
        <w:rPr>
          <w:spacing w:val="-9"/>
        </w:rPr>
        <w:t xml:space="preserve"> </w:t>
      </w:r>
      <w:r>
        <w:t>ml:</w:t>
      </w:r>
      <w:r>
        <w:rPr>
          <w:spacing w:val="-8"/>
        </w:rPr>
        <w:t xml:space="preserve"> </w:t>
      </w:r>
      <w:r>
        <w:rPr>
          <w:spacing w:val="-2"/>
        </w:rPr>
        <w:t>49.8%</w:t>
      </w:r>
    </w:p>
    <w:p w:rsidR="009B4BB4" w:rsidRDefault="00C44001" w:rsidP="00C44001">
      <w:pPr>
        <w:pStyle w:val="Prrafodelista"/>
        <w:numPr>
          <w:ilvl w:val="3"/>
          <w:numId w:val="38"/>
        </w:numPr>
        <w:tabs>
          <w:tab w:val="left" w:pos="1145"/>
        </w:tabs>
        <w:spacing w:before="126"/>
      </w:pPr>
      <w:r>
        <w:t>Gotero</w:t>
      </w:r>
      <w:r>
        <w:rPr>
          <w:spacing w:val="-4"/>
        </w:rPr>
        <w:t xml:space="preserve"> </w:t>
      </w:r>
      <w:r>
        <w:t>de</w:t>
      </w:r>
      <w:r>
        <w:rPr>
          <w:spacing w:val="-3"/>
        </w:rPr>
        <w:t xml:space="preserve"> </w:t>
      </w:r>
      <w:r>
        <w:t>20</w:t>
      </w:r>
      <w:r>
        <w:rPr>
          <w:spacing w:val="-3"/>
        </w:rPr>
        <w:t xml:space="preserve"> </w:t>
      </w:r>
      <w:r>
        <w:t>ml:</w:t>
      </w:r>
      <w:r>
        <w:rPr>
          <w:spacing w:val="-3"/>
        </w:rPr>
        <w:t xml:space="preserve"> </w:t>
      </w:r>
      <w:r>
        <w:rPr>
          <w:spacing w:val="-2"/>
        </w:rPr>
        <w:t>20.5%</w:t>
      </w:r>
    </w:p>
    <w:p w:rsidR="009B4BB4" w:rsidRDefault="00C44001" w:rsidP="00C44001">
      <w:pPr>
        <w:pStyle w:val="Prrafodelista"/>
        <w:numPr>
          <w:ilvl w:val="3"/>
          <w:numId w:val="38"/>
        </w:numPr>
        <w:tabs>
          <w:tab w:val="left" w:pos="1145"/>
        </w:tabs>
        <w:spacing w:before="127"/>
      </w:pPr>
      <w:r>
        <w:t>Sachet</w:t>
      </w:r>
      <w:r>
        <w:rPr>
          <w:spacing w:val="-4"/>
        </w:rPr>
        <w:t xml:space="preserve"> </w:t>
      </w:r>
      <w:r>
        <w:t>de</w:t>
      </w:r>
      <w:r>
        <w:rPr>
          <w:spacing w:val="-3"/>
        </w:rPr>
        <w:t xml:space="preserve"> </w:t>
      </w:r>
      <w:r>
        <w:t>30</w:t>
      </w:r>
      <w:r>
        <w:rPr>
          <w:spacing w:val="-3"/>
        </w:rPr>
        <w:t xml:space="preserve"> </w:t>
      </w:r>
      <w:r>
        <w:t>ml:</w:t>
      </w:r>
      <w:r>
        <w:rPr>
          <w:spacing w:val="-3"/>
        </w:rPr>
        <w:t xml:space="preserve"> </w:t>
      </w:r>
      <w:r>
        <w:rPr>
          <w:spacing w:val="-2"/>
        </w:rPr>
        <w:t>13.0%</w:t>
      </w:r>
    </w:p>
    <w:p w:rsidR="009B4BB4" w:rsidRDefault="00C44001" w:rsidP="00C44001">
      <w:pPr>
        <w:pStyle w:val="Prrafodelista"/>
        <w:numPr>
          <w:ilvl w:val="3"/>
          <w:numId w:val="38"/>
        </w:numPr>
        <w:tabs>
          <w:tab w:val="left" w:pos="1145"/>
        </w:tabs>
        <w:spacing w:before="126"/>
      </w:pPr>
      <w:r>
        <w:t>Botella</w:t>
      </w:r>
      <w:r>
        <w:rPr>
          <w:spacing w:val="-4"/>
        </w:rPr>
        <w:t xml:space="preserve"> </w:t>
      </w:r>
      <w:r>
        <w:t>de</w:t>
      </w:r>
      <w:r>
        <w:rPr>
          <w:spacing w:val="-4"/>
        </w:rPr>
        <w:t xml:space="preserve"> </w:t>
      </w:r>
      <w:r>
        <w:t>250</w:t>
      </w:r>
      <w:r>
        <w:rPr>
          <w:spacing w:val="-4"/>
        </w:rPr>
        <w:t xml:space="preserve"> </w:t>
      </w:r>
      <w:r>
        <w:t>ml:</w:t>
      </w:r>
      <w:r>
        <w:rPr>
          <w:spacing w:val="-3"/>
        </w:rPr>
        <w:t xml:space="preserve"> </w:t>
      </w:r>
      <w:r>
        <w:rPr>
          <w:spacing w:val="-4"/>
        </w:rPr>
        <w:t>8.8%</w:t>
      </w:r>
    </w:p>
    <w:p w:rsidR="009B4BB4" w:rsidRDefault="00C44001" w:rsidP="00C44001">
      <w:pPr>
        <w:pStyle w:val="Prrafodelista"/>
        <w:numPr>
          <w:ilvl w:val="3"/>
          <w:numId w:val="38"/>
        </w:numPr>
        <w:tabs>
          <w:tab w:val="left" w:pos="1145"/>
        </w:tabs>
        <w:spacing w:before="127"/>
      </w:pPr>
      <w:r>
        <w:t>Stick</w:t>
      </w:r>
      <w:r>
        <w:rPr>
          <w:spacing w:val="-3"/>
        </w:rPr>
        <w:t xml:space="preserve"> </w:t>
      </w:r>
      <w:r>
        <w:t>de</w:t>
      </w:r>
      <w:r>
        <w:rPr>
          <w:spacing w:val="-3"/>
        </w:rPr>
        <w:t xml:space="preserve"> </w:t>
      </w:r>
      <w:r>
        <w:t>10</w:t>
      </w:r>
      <w:r>
        <w:rPr>
          <w:spacing w:val="-3"/>
        </w:rPr>
        <w:t xml:space="preserve"> </w:t>
      </w:r>
      <w:r>
        <w:t>g:</w:t>
      </w:r>
      <w:r>
        <w:rPr>
          <w:spacing w:val="-2"/>
        </w:rPr>
        <w:t xml:space="preserve"> </w:t>
      </w:r>
      <w:r>
        <w:rPr>
          <w:spacing w:val="-4"/>
        </w:rPr>
        <w:t>8.0%</w:t>
      </w:r>
    </w:p>
    <w:p w:rsidR="009B4BB4" w:rsidRDefault="009B4BB4">
      <w:pPr>
        <w:pStyle w:val="Prrafodelista"/>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8" w:firstLine="720"/>
        <w:jc w:val="both"/>
      </w:pPr>
      <w:r>
        <w:lastRenderedPageBreak/>
        <w:t>A nivel general, el tarro de 100 ml se posiciona como el</w:t>
      </w:r>
      <w:r>
        <w:rPr>
          <w:spacing w:val="-3"/>
        </w:rPr>
        <w:t xml:space="preserve"> </w:t>
      </w:r>
      <w:r>
        <w:t>formato</w:t>
      </w:r>
      <w:r>
        <w:rPr>
          <w:spacing w:val="-3"/>
        </w:rPr>
        <w:t xml:space="preserve"> </w:t>
      </w:r>
      <w:r>
        <w:t>principal,</w:t>
      </w:r>
      <w:r>
        <w:rPr>
          <w:spacing w:val="-3"/>
        </w:rPr>
        <w:t xml:space="preserve"> </w:t>
      </w:r>
      <w:r>
        <w:t>ya</w:t>
      </w:r>
      <w:r>
        <w:rPr>
          <w:spacing w:val="-3"/>
        </w:rPr>
        <w:t xml:space="preserve"> </w:t>
      </w:r>
      <w:r>
        <w:t xml:space="preserve">que combina un tamaño adecuado para transmitir un carácter </w:t>
      </w:r>
      <w:r>
        <w:rPr>
          <w:rFonts w:ascii="Arial" w:hAnsi="Arial"/>
          <w:i/>
        </w:rPr>
        <w:t>premium</w:t>
      </w:r>
      <w:r>
        <w:t>, justificar un ticket promedio alto y funcionar perfectamente como regalo o souvenir de viaje,</w:t>
      </w:r>
      <w:r>
        <w:rPr>
          <w:spacing w:val="40"/>
        </w:rPr>
        <w:t xml:space="preserve"> </w:t>
      </w:r>
      <w:r>
        <w:t>y</w:t>
      </w:r>
      <w:r>
        <w:rPr>
          <w:spacing w:val="-3"/>
        </w:rPr>
        <w:t xml:space="preserve"> </w:t>
      </w:r>
      <w:r>
        <w:t>cumplir</w:t>
      </w:r>
      <w:r>
        <w:rPr>
          <w:spacing w:val="-3"/>
        </w:rPr>
        <w:t xml:space="preserve"> </w:t>
      </w:r>
      <w:r>
        <w:t>con las restricciones de líquidos en cabina. En términos prácticos, es</w:t>
      </w:r>
      <w:r>
        <w:t>te formato equilibra percepción de valor, portabilidad y viabilidad logística.</w:t>
      </w:r>
    </w:p>
    <w:p w:rsidR="009B4BB4" w:rsidRDefault="00C44001">
      <w:pPr>
        <w:pStyle w:val="Textoindependiente"/>
        <w:spacing w:line="360" w:lineRule="auto"/>
        <w:ind w:left="425" w:right="612" w:firstLine="720"/>
        <w:jc w:val="both"/>
      </w:pPr>
      <w:r>
        <w:t>Sin embargo, al analizar los datos por segmento de mercado, se identifican dinámicas de consumo que requieren una estrategia de empaques diferenciada:</w:t>
      </w:r>
    </w:p>
    <w:p w:rsidR="009B4BB4" w:rsidRDefault="00C44001">
      <w:pPr>
        <w:pStyle w:val="Textoindependiente"/>
        <w:spacing w:line="360" w:lineRule="auto"/>
        <w:ind w:left="1145" w:right="603"/>
        <w:jc w:val="both"/>
      </w:pPr>
      <w:r>
        <w:t>El nicho del gotero: El</w:t>
      </w:r>
      <w:r>
        <w:rPr>
          <w:spacing w:val="80"/>
        </w:rPr>
        <w:t xml:space="preserve"> </w:t>
      </w:r>
      <w:r>
        <w:t>tu</w:t>
      </w:r>
      <w:r>
        <w:t>rista internacional muestra un interés bajo por el gotero de 20 ml, con apenas el 4.7% de preferencia, el turismo nacional lo eleva al 24.6%. El cruce con las ideas</w:t>
      </w:r>
      <w:r>
        <w:rPr>
          <w:spacing w:val="-4"/>
        </w:rPr>
        <w:t xml:space="preserve"> </w:t>
      </w:r>
      <w:r>
        <w:t>de</w:t>
      </w:r>
      <w:r>
        <w:rPr>
          <w:spacing w:val="-4"/>
        </w:rPr>
        <w:t xml:space="preserve"> </w:t>
      </w:r>
      <w:r>
        <w:t>producto</w:t>
      </w:r>
      <w:r>
        <w:rPr>
          <w:spacing w:val="-4"/>
        </w:rPr>
        <w:t xml:space="preserve"> </w:t>
      </w:r>
      <w:r>
        <w:t>refuerza</w:t>
      </w:r>
      <w:r>
        <w:rPr>
          <w:spacing w:val="-4"/>
        </w:rPr>
        <w:t xml:space="preserve"> </w:t>
      </w:r>
      <w:r>
        <w:t>esta</w:t>
      </w:r>
      <w:r>
        <w:rPr>
          <w:spacing w:val="-4"/>
        </w:rPr>
        <w:t xml:space="preserve"> </w:t>
      </w:r>
      <w:r>
        <w:t>tendencia:</w:t>
      </w:r>
      <w:r>
        <w:rPr>
          <w:spacing w:val="-4"/>
        </w:rPr>
        <w:t xml:space="preserve"> </w:t>
      </w:r>
      <w:r>
        <w:t>entre</w:t>
      </w:r>
      <w:r>
        <w:rPr>
          <w:spacing w:val="-4"/>
        </w:rPr>
        <w:t xml:space="preserve"> </w:t>
      </w:r>
      <w:r>
        <w:t xml:space="preserve">aquellos consumidores que eligieron el concepto </w:t>
      </w:r>
      <w:r>
        <w:t>Esencia Maya, con enfoque en el poder antibacteriano y pureza de la miel, la preferencia por el gotero aumenta hasta 28.8%y la del stick individual al 14.4%. Este comportamiento confirma que el formato está directamente vinculado al uso percibido del produ</w:t>
      </w:r>
      <w:r>
        <w:t>cto.</w:t>
      </w:r>
    </w:p>
    <w:p w:rsidR="009B4BB4" w:rsidRDefault="00C44001" w:rsidP="00C44001">
      <w:pPr>
        <w:pStyle w:val="Prrafodelista"/>
        <w:numPr>
          <w:ilvl w:val="3"/>
          <w:numId w:val="38"/>
        </w:numPr>
        <w:tabs>
          <w:tab w:val="left" w:pos="1145"/>
        </w:tabs>
        <w:spacing w:line="360" w:lineRule="auto"/>
        <w:ind w:right="603"/>
        <w:jc w:val="both"/>
      </w:pPr>
      <w:r>
        <w:rPr>
          <w:rFonts w:ascii="Arial" w:hAnsi="Arial"/>
          <w:b/>
        </w:rPr>
        <w:t xml:space="preserve">Implicación estratégica para Guardiana: </w:t>
      </w:r>
      <w:r>
        <w:t>Se confirma una segmentación funcional del portafolio. El tarro de 100 ml debe ser el producto insignia de la Edición Colaborativa, orientado a capturar volumen en el turismo internacional. Por otro lado, el got</w:t>
      </w:r>
      <w:r>
        <w:t>ero de 20 ml no debe posicionarse como miel, sino como un suplemento o extracto terapéutico, dirigido al consumidor nacional que ya reconoce sus propiedades medicinales y busca una dosificación precisa para afecciones respiratorias u oculares. A nivel de p</w:t>
      </w:r>
      <w:r>
        <w:t xml:space="preserve">ortafolio, esto permite cubrir dos momentos de consumo distintos sin necesidad de ampliar la complejidad </w:t>
      </w:r>
      <w:r>
        <w:rPr>
          <w:spacing w:val="-2"/>
        </w:rPr>
        <w:t>operativa.</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lastRenderedPageBreak/>
        <w:t>Figura</w:t>
      </w:r>
      <w:r>
        <w:rPr>
          <w:spacing w:val="-8"/>
        </w:rPr>
        <w:t xml:space="preserve"> </w:t>
      </w:r>
      <w:r>
        <w:rPr>
          <w:spacing w:val="-4"/>
        </w:rPr>
        <w:t>4.10</w:t>
      </w:r>
    </w:p>
    <w:p w:rsidR="009B4BB4" w:rsidRDefault="00C44001">
      <w:pPr>
        <w:spacing w:before="38"/>
        <w:ind w:left="455"/>
        <w:rPr>
          <w:rFonts w:ascii="Arial"/>
          <w:i/>
        </w:rPr>
      </w:pPr>
      <w:r>
        <w:rPr>
          <w:rFonts w:ascii="Arial"/>
          <w:i/>
        </w:rPr>
        <w:t>Preferencia</w:t>
      </w:r>
      <w:r>
        <w:rPr>
          <w:rFonts w:ascii="Arial"/>
          <w:i/>
          <w:spacing w:val="-6"/>
        </w:rPr>
        <w:t xml:space="preserve"> </w:t>
      </w:r>
      <w:r>
        <w:rPr>
          <w:rFonts w:ascii="Arial"/>
          <w:i/>
        </w:rPr>
        <w:t>de</w:t>
      </w:r>
      <w:r>
        <w:rPr>
          <w:rFonts w:ascii="Arial"/>
          <w:i/>
          <w:spacing w:val="-6"/>
        </w:rPr>
        <w:t xml:space="preserve"> </w:t>
      </w:r>
      <w:r>
        <w:rPr>
          <w:rFonts w:ascii="Arial"/>
          <w:i/>
        </w:rPr>
        <w:t>formato</w:t>
      </w:r>
      <w:r>
        <w:rPr>
          <w:rFonts w:ascii="Arial"/>
          <w:i/>
          <w:spacing w:val="-6"/>
        </w:rPr>
        <w:t xml:space="preserve"> </w:t>
      </w:r>
      <w:r>
        <w:rPr>
          <w:rFonts w:ascii="Arial"/>
          <w:i/>
        </w:rPr>
        <w:t>de</w:t>
      </w:r>
      <w:r>
        <w:rPr>
          <w:rFonts w:ascii="Arial"/>
          <w:i/>
          <w:spacing w:val="-6"/>
        </w:rPr>
        <w:t xml:space="preserve"> </w:t>
      </w:r>
      <w:r>
        <w:rPr>
          <w:rFonts w:ascii="Arial"/>
          <w:i/>
        </w:rPr>
        <w:t>empaque</w:t>
      </w:r>
      <w:r>
        <w:rPr>
          <w:rFonts w:ascii="Arial"/>
          <w:i/>
          <w:spacing w:val="-6"/>
        </w:rPr>
        <w:t xml:space="preserve"> </w:t>
      </w:r>
      <w:r>
        <w:rPr>
          <w:rFonts w:ascii="Arial"/>
          <w:i/>
        </w:rPr>
        <w:t>segmentada</w:t>
      </w:r>
      <w:r>
        <w:rPr>
          <w:rFonts w:ascii="Arial"/>
          <w:i/>
          <w:spacing w:val="-6"/>
        </w:rPr>
        <w:t xml:space="preserve"> </w:t>
      </w:r>
      <w:r>
        <w:rPr>
          <w:rFonts w:ascii="Arial"/>
          <w:i/>
        </w:rPr>
        <w:t>por</w:t>
      </w:r>
      <w:r>
        <w:rPr>
          <w:rFonts w:ascii="Arial"/>
          <w:i/>
          <w:spacing w:val="-6"/>
        </w:rPr>
        <w:t xml:space="preserve"> </w:t>
      </w:r>
      <w:r>
        <w:rPr>
          <w:rFonts w:ascii="Arial"/>
          <w:i/>
        </w:rPr>
        <w:t>concepto</w:t>
      </w:r>
      <w:r>
        <w:rPr>
          <w:rFonts w:ascii="Arial"/>
          <w:i/>
          <w:spacing w:val="-6"/>
        </w:rPr>
        <w:t xml:space="preserve"> </w:t>
      </w:r>
      <w:r>
        <w:rPr>
          <w:rFonts w:ascii="Arial"/>
          <w:i/>
        </w:rPr>
        <w:t>de</w:t>
      </w:r>
      <w:r>
        <w:rPr>
          <w:rFonts w:ascii="Arial"/>
          <w:i/>
          <w:spacing w:val="-6"/>
        </w:rPr>
        <w:t xml:space="preserve"> </w:t>
      </w:r>
      <w:r>
        <w:rPr>
          <w:rFonts w:ascii="Arial"/>
          <w:i/>
        </w:rPr>
        <w:t>producto</w:t>
      </w:r>
      <w:r>
        <w:rPr>
          <w:rFonts w:ascii="Arial"/>
          <w:i/>
          <w:spacing w:val="-6"/>
        </w:rPr>
        <w:t xml:space="preserve"> </w:t>
      </w:r>
      <w:r>
        <w:rPr>
          <w:rFonts w:ascii="Arial"/>
          <w:i/>
          <w:spacing w:val="-2"/>
        </w:rPr>
        <w:t>esperado</w:t>
      </w:r>
    </w:p>
    <w:p w:rsidR="009B4BB4" w:rsidRDefault="009B4BB4">
      <w:pPr>
        <w:pStyle w:val="Textoindependiente"/>
        <w:spacing w:before="0"/>
        <w:rPr>
          <w:rFonts w:ascii="Arial"/>
          <w:i/>
          <w:sz w:val="20"/>
        </w:rPr>
      </w:pPr>
    </w:p>
    <w:p w:rsidR="009B4BB4" w:rsidRDefault="00C44001">
      <w:pPr>
        <w:pStyle w:val="Textoindependiente"/>
        <w:spacing w:before="63"/>
        <w:rPr>
          <w:rFonts w:ascii="Arial"/>
          <w:i/>
          <w:sz w:val="20"/>
        </w:rPr>
      </w:pPr>
      <w:r>
        <w:rPr>
          <w:rFonts w:ascii="Arial"/>
          <w:i/>
          <w:noProof/>
          <w:sz w:val="20"/>
          <w:lang w:val="es-AR" w:eastAsia="es-AR"/>
        </w:rPr>
        <w:drawing>
          <wp:anchor distT="0" distB="0" distL="0" distR="0" simplePos="0" relativeHeight="487598592" behindDoc="1" locked="0" layoutInCell="1" allowOverlap="1">
            <wp:simplePos x="0" y="0"/>
            <wp:positionH relativeFrom="page">
              <wp:posOffset>1036630</wp:posOffset>
            </wp:positionH>
            <wp:positionV relativeFrom="paragraph">
              <wp:posOffset>201422</wp:posOffset>
            </wp:positionV>
            <wp:extent cx="5467716" cy="2596991"/>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5467716" cy="2596991"/>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123"/>
        <w:rPr>
          <w:rFonts w:ascii="Arial"/>
          <w:i/>
        </w:rPr>
      </w:pPr>
    </w:p>
    <w:p w:rsidR="009B4BB4" w:rsidRDefault="00C44001">
      <w:pPr>
        <w:spacing w:line="360" w:lineRule="auto"/>
        <w:ind w:left="425" w:right="606" w:firstLine="30"/>
        <w:jc w:val="both"/>
        <w:rPr>
          <w:sz w:val="20"/>
        </w:rPr>
      </w:pPr>
      <w:r>
        <w:rPr>
          <w:rFonts w:ascii="Arial" w:hAnsi="Arial"/>
          <w:i/>
          <w:sz w:val="20"/>
        </w:rPr>
        <w:t xml:space="preserve">Nota. </w:t>
      </w:r>
      <w:r>
        <w:rPr>
          <w:sz w:val="20"/>
        </w:rPr>
        <w:t>El gráfico muestra la relación entre el concepto de marca y el envase</w:t>
      </w:r>
      <w:r>
        <w:rPr>
          <w:spacing w:val="-3"/>
          <w:sz w:val="20"/>
        </w:rPr>
        <w:t xml:space="preserve"> </w:t>
      </w:r>
      <w:r>
        <w:rPr>
          <w:sz w:val="20"/>
        </w:rPr>
        <w:t>preferido.</w:t>
      </w:r>
      <w:r>
        <w:rPr>
          <w:spacing w:val="-3"/>
          <w:sz w:val="20"/>
        </w:rPr>
        <w:t xml:space="preserve"> </w:t>
      </w:r>
      <w:r>
        <w:rPr>
          <w:sz w:val="20"/>
        </w:rPr>
        <w:t>El</w:t>
      </w:r>
      <w:r>
        <w:rPr>
          <w:spacing w:val="-3"/>
          <w:sz w:val="20"/>
        </w:rPr>
        <w:t xml:space="preserve"> </w:t>
      </w:r>
      <w:r>
        <w:rPr>
          <w:sz w:val="20"/>
        </w:rPr>
        <w:t>tarro</w:t>
      </w:r>
      <w:r>
        <w:rPr>
          <w:spacing w:val="-3"/>
          <w:sz w:val="20"/>
        </w:rPr>
        <w:t xml:space="preserve"> </w:t>
      </w:r>
      <w:r>
        <w:rPr>
          <w:sz w:val="20"/>
        </w:rPr>
        <w:t>de 100 ml destaca como el formato</w:t>
      </w:r>
      <w:r>
        <w:rPr>
          <w:spacing w:val="-3"/>
          <w:sz w:val="20"/>
        </w:rPr>
        <w:t xml:space="preserve"> </w:t>
      </w:r>
      <w:r>
        <w:rPr>
          <w:sz w:val="20"/>
        </w:rPr>
        <w:t>líder</w:t>
      </w:r>
      <w:r>
        <w:rPr>
          <w:spacing w:val="-3"/>
          <w:sz w:val="20"/>
        </w:rPr>
        <w:t xml:space="preserve"> </w:t>
      </w:r>
      <w:r>
        <w:rPr>
          <w:sz w:val="20"/>
        </w:rPr>
        <w:t>para</w:t>
      </w:r>
      <w:r>
        <w:rPr>
          <w:spacing w:val="-3"/>
          <w:sz w:val="20"/>
        </w:rPr>
        <w:t xml:space="preserve"> </w:t>
      </w:r>
      <w:r>
        <w:rPr>
          <w:sz w:val="20"/>
        </w:rPr>
        <w:t>el</w:t>
      </w:r>
      <w:r>
        <w:rPr>
          <w:spacing w:val="-3"/>
          <w:sz w:val="20"/>
        </w:rPr>
        <w:t xml:space="preserve"> </w:t>
      </w:r>
      <w:r>
        <w:rPr>
          <w:sz w:val="20"/>
        </w:rPr>
        <w:t>concepto</w:t>
      </w:r>
      <w:r>
        <w:rPr>
          <w:spacing w:val="-3"/>
          <w:sz w:val="20"/>
        </w:rPr>
        <w:t xml:space="preserve"> </w:t>
      </w:r>
      <w:r>
        <w:rPr>
          <w:sz w:val="20"/>
        </w:rPr>
        <w:t>de</w:t>
      </w:r>
      <w:r>
        <w:rPr>
          <w:spacing w:val="-3"/>
          <w:sz w:val="20"/>
        </w:rPr>
        <w:t xml:space="preserve"> </w:t>
      </w:r>
      <w:r>
        <w:rPr>
          <w:sz w:val="20"/>
        </w:rPr>
        <w:t>vitalidad</w:t>
      </w:r>
      <w:r>
        <w:rPr>
          <w:spacing w:val="-3"/>
          <w:sz w:val="20"/>
        </w:rPr>
        <w:t xml:space="preserve"> </w:t>
      </w:r>
      <w:r>
        <w:rPr>
          <w:sz w:val="20"/>
        </w:rPr>
        <w:t>familiar,</w:t>
      </w:r>
      <w:r>
        <w:rPr>
          <w:spacing w:val="-3"/>
          <w:sz w:val="20"/>
        </w:rPr>
        <w:t xml:space="preserve"> </w:t>
      </w:r>
      <w:r>
        <w:rPr>
          <w:sz w:val="20"/>
        </w:rPr>
        <w:t>mientras</w:t>
      </w:r>
      <w:r>
        <w:rPr>
          <w:spacing w:val="-3"/>
          <w:sz w:val="20"/>
        </w:rPr>
        <w:t xml:space="preserve"> </w:t>
      </w:r>
      <w:r>
        <w:rPr>
          <w:sz w:val="20"/>
        </w:rPr>
        <w:t>que</w:t>
      </w:r>
      <w:r>
        <w:rPr>
          <w:spacing w:val="-3"/>
          <w:sz w:val="20"/>
        </w:rPr>
        <w:t xml:space="preserve"> </w:t>
      </w:r>
      <w:r>
        <w:rPr>
          <w:sz w:val="20"/>
        </w:rPr>
        <w:t>el</w:t>
      </w:r>
      <w:r>
        <w:rPr>
          <w:spacing w:val="-3"/>
          <w:sz w:val="20"/>
        </w:rPr>
        <w:t xml:space="preserve"> </w:t>
      </w:r>
      <w:r>
        <w:rPr>
          <w:sz w:val="20"/>
        </w:rPr>
        <w:t>gotero de 20 ml tiene mayor aceptación en el concepto de salud y purez</w:t>
      </w:r>
      <w:r>
        <w:rPr>
          <w:sz w:val="20"/>
        </w:rPr>
        <w:t>a (Esencia Maya). Elaboración propia con base en el trabajo de campo (Valladolid, 2025).</w:t>
      </w:r>
    </w:p>
    <w:p w:rsidR="009B4BB4" w:rsidRDefault="009B4BB4">
      <w:pPr>
        <w:pStyle w:val="Textoindependiente"/>
        <w:spacing w:before="130"/>
        <w:rPr>
          <w:sz w:val="20"/>
        </w:rPr>
      </w:pPr>
    </w:p>
    <w:p w:rsidR="009B4BB4" w:rsidRDefault="00C44001" w:rsidP="00C44001">
      <w:pPr>
        <w:pStyle w:val="Ttulo1"/>
        <w:numPr>
          <w:ilvl w:val="1"/>
          <w:numId w:val="38"/>
        </w:numPr>
        <w:tabs>
          <w:tab w:val="left" w:pos="788"/>
        </w:tabs>
        <w:ind w:left="788" w:hanging="363"/>
      </w:pPr>
      <w:bookmarkStart w:id="147" w:name="4.6_Análisis_de_conversión_y_disposición"/>
      <w:bookmarkStart w:id="148" w:name="h.l2bklolicxln"/>
      <w:bookmarkEnd w:id="147"/>
      <w:bookmarkEnd w:id="148"/>
      <w:r>
        <w:t>Análisis</w:t>
      </w:r>
      <w:r>
        <w:rPr>
          <w:spacing w:val="-6"/>
        </w:rPr>
        <w:t xml:space="preserve"> </w:t>
      </w:r>
      <w:r>
        <w:t>de</w:t>
      </w:r>
      <w:r>
        <w:rPr>
          <w:spacing w:val="-5"/>
        </w:rPr>
        <w:t xml:space="preserve"> </w:t>
      </w:r>
      <w:r>
        <w:t>conversión</w:t>
      </w:r>
      <w:r>
        <w:rPr>
          <w:spacing w:val="-6"/>
        </w:rPr>
        <w:t xml:space="preserve"> </w:t>
      </w:r>
      <w:r>
        <w:t>y</w:t>
      </w:r>
      <w:r>
        <w:rPr>
          <w:spacing w:val="-5"/>
        </w:rPr>
        <w:t xml:space="preserve"> </w:t>
      </w:r>
      <w:r>
        <w:t>disposición</w:t>
      </w:r>
      <w:r>
        <w:rPr>
          <w:spacing w:val="-6"/>
        </w:rPr>
        <w:t xml:space="preserve"> </w:t>
      </w:r>
      <w:r>
        <w:t>a</w:t>
      </w:r>
      <w:r>
        <w:rPr>
          <w:spacing w:val="-5"/>
        </w:rPr>
        <w:t xml:space="preserve"> </w:t>
      </w:r>
      <w:r>
        <w:rPr>
          <w:spacing w:val="-2"/>
        </w:rPr>
        <w:t>pagar</w:t>
      </w:r>
    </w:p>
    <w:p w:rsidR="009B4BB4" w:rsidRDefault="009B4BB4">
      <w:pPr>
        <w:pStyle w:val="Textoindependiente"/>
        <w:spacing w:before="114"/>
        <w:rPr>
          <w:rFonts w:ascii="Arial"/>
          <w:b/>
        </w:rPr>
      </w:pPr>
    </w:p>
    <w:p w:rsidR="009B4BB4" w:rsidRDefault="00C44001" w:rsidP="00C44001">
      <w:pPr>
        <w:pStyle w:val="Ttulo2"/>
        <w:numPr>
          <w:ilvl w:val="2"/>
          <w:numId w:val="38"/>
        </w:numPr>
        <w:tabs>
          <w:tab w:val="left" w:pos="610"/>
        </w:tabs>
        <w:spacing w:before="0"/>
        <w:ind w:left="610" w:hanging="545"/>
        <w:jc w:val="left"/>
      </w:pPr>
      <w:bookmarkStart w:id="149" w:name="4.6.1_Probabilidad_de_compra_e_intención"/>
      <w:bookmarkStart w:id="150" w:name="h.jsuza0ud3qr2"/>
      <w:bookmarkEnd w:id="149"/>
      <w:bookmarkEnd w:id="150"/>
      <w:r>
        <w:t>Probabilidad</w:t>
      </w:r>
      <w:r>
        <w:rPr>
          <w:spacing w:val="-6"/>
        </w:rPr>
        <w:t xml:space="preserve"> </w:t>
      </w:r>
      <w:r>
        <w:t>de</w:t>
      </w:r>
      <w:r>
        <w:rPr>
          <w:spacing w:val="-5"/>
        </w:rPr>
        <w:t xml:space="preserve"> </w:t>
      </w:r>
      <w:r>
        <w:t>compra</w:t>
      </w:r>
      <w:r>
        <w:rPr>
          <w:spacing w:val="-5"/>
        </w:rPr>
        <w:t xml:space="preserve"> </w:t>
      </w:r>
      <w:r>
        <w:t>e</w:t>
      </w:r>
      <w:r>
        <w:rPr>
          <w:spacing w:val="-6"/>
        </w:rPr>
        <w:t xml:space="preserve"> </w:t>
      </w:r>
      <w:r>
        <w:t>intención</w:t>
      </w:r>
      <w:r>
        <w:rPr>
          <w:spacing w:val="-5"/>
        </w:rPr>
        <w:t xml:space="preserve"> </w:t>
      </w:r>
      <w:r>
        <w:t>de</w:t>
      </w:r>
      <w:r>
        <w:rPr>
          <w:spacing w:val="-5"/>
        </w:rPr>
        <w:t xml:space="preserve"> </w:t>
      </w:r>
      <w:r>
        <w:rPr>
          <w:spacing w:val="-2"/>
        </w:rPr>
        <w:t>conversión</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6" w:firstLine="720"/>
        <w:jc w:val="both"/>
      </w:pPr>
      <w:r>
        <w:t>Evaluar el interés conceptual de un producto no es suficiente para sostener un modelo financiero; también es necesario medir la intención real de compra. Por ello, se pidió a los encuestados que calificaran en una escala de 0 a 10 qué tan probable sería qu</w:t>
      </w:r>
      <w:r>
        <w:t>e compraran la miel melipona de Guardiana si estuviera disponible hoy mismo en el punto de venta.</w:t>
      </w:r>
    </w:p>
    <w:p w:rsidR="009B4BB4" w:rsidRDefault="00C44001">
      <w:pPr>
        <w:pStyle w:val="Textoindependiente"/>
        <w:spacing w:before="0"/>
        <w:ind w:left="1145"/>
        <w:jc w:val="both"/>
      </w:pPr>
      <w:r>
        <w:t>Los</w:t>
      </w:r>
      <w:r>
        <w:rPr>
          <w:spacing w:val="-8"/>
        </w:rPr>
        <w:t xml:space="preserve"> </w:t>
      </w:r>
      <w:r>
        <w:t>resultados</w:t>
      </w:r>
      <w:r>
        <w:rPr>
          <w:spacing w:val="-5"/>
        </w:rPr>
        <w:t xml:space="preserve"> </w:t>
      </w:r>
      <w:r>
        <w:t>reflejan</w:t>
      </w:r>
      <w:r>
        <w:rPr>
          <w:spacing w:val="-6"/>
        </w:rPr>
        <w:t xml:space="preserve"> </w:t>
      </w:r>
      <w:r>
        <w:t>un</w:t>
      </w:r>
      <w:r>
        <w:rPr>
          <w:spacing w:val="-5"/>
        </w:rPr>
        <w:t xml:space="preserve"> </w:t>
      </w:r>
      <w:r>
        <w:t>alto</w:t>
      </w:r>
      <w:r>
        <w:rPr>
          <w:spacing w:val="-6"/>
        </w:rPr>
        <w:t xml:space="preserve"> </w:t>
      </w:r>
      <w:r>
        <w:t>potencial</w:t>
      </w:r>
      <w:r>
        <w:rPr>
          <w:spacing w:val="-5"/>
        </w:rPr>
        <w:t xml:space="preserve"> </w:t>
      </w:r>
      <w:r>
        <w:t>de</w:t>
      </w:r>
      <w:r>
        <w:rPr>
          <w:spacing w:val="-5"/>
        </w:rPr>
        <w:t xml:space="preserve"> </w:t>
      </w:r>
      <w:r>
        <w:rPr>
          <w:spacing w:val="-2"/>
        </w:rPr>
        <w:t>conversión:</w:t>
      </w:r>
    </w:p>
    <w:p w:rsidR="009B4BB4" w:rsidRDefault="00C44001" w:rsidP="00C44001">
      <w:pPr>
        <w:pStyle w:val="Prrafodelista"/>
        <w:numPr>
          <w:ilvl w:val="3"/>
          <w:numId w:val="38"/>
        </w:numPr>
        <w:tabs>
          <w:tab w:val="left" w:pos="1145"/>
        </w:tabs>
        <w:spacing w:before="127" w:line="360" w:lineRule="auto"/>
        <w:ind w:right="615"/>
        <w:jc w:val="both"/>
      </w:pPr>
      <w:r>
        <w:t>Las calificaciones</w:t>
      </w:r>
      <w:r>
        <w:rPr>
          <w:spacing w:val="-4"/>
        </w:rPr>
        <w:t xml:space="preserve"> </w:t>
      </w:r>
      <w:r>
        <w:t>de</w:t>
      </w:r>
      <w:r>
        <w:rPr>
          <w:spacing w:val="-4"/>
        </w:rPr>
        <w:t xml:space="preserve"> </w:t>
      </w:r>
      <w:r>
        <w:t>alta</w:t>
      </w:r>
      <w:r>
        <w:rPr>
          <w:spacing w:val="-4"/>
        </w:rPr>
        <w:t xml:space="preserve"> </w:t>
      </w:r>
      <w:r>
        <w:t>probabilidad</w:t>
      </w:r>
      <w:r>
        <w:rPr>
          <w:spacing w:val="-4"/>
        </w:rPr>
        <w:t xml:space="preserve"> </w:t>
      </w:r>
      <w:r>
        <w:t>concentran</w:t>
      </w:r>
      <w:r>
        <w:rPr>
          <w:spacing w:val="-4"/>
        </w:rPr>
        <w:t xml:space="preserve"> </w:t>
      </w:r>
      <w:r>
        <w:t>la</w:t>
      </w:r>
      <w:r>
        <w:rPr>
          <w:spacing w:val="-4"/>
        </w:rPr>
        <w:t xml:space="preserve"> </w:t>
      </w:r>
      <w:r>
        <w:t>mayor</w:t>
      </w:r>
      <w:r>
        <w:rPr>
          <w:spacing w:val="-4"/>
        </w:rPr>
        <w:t xml:space="preserve"> </w:t>
      </w:r>
      <w:r>
        <w:t>parte</w:t>
      </w:r>
      <w:r>
        <w:rPr>
          <w:spacing w:val="-4"/>
        </w:rPr>
        <w:t xml:space="preserve"> </w:t>
      </w:r>
      <w:r>
        <w:t>de</w:t>
      </w:r>
      <w:r>
        <w:rPr>
          <w:spacing w:val="-4"/>
        </w:rPr>
        <w:t xml:space="preserve"> </w:t>
      </w:r>
      <w:r>
        <w:t>la</w:t>
      </w:r>
      <w:r>
        <w:rPr>
          <w:spacing w:val="-4"/>
        </w:rPr>
        <w:t xml:space="preserve"> </w:t>
      </w:r>
      <w:r>
        <w:t>muestra</w:t>
      </w:r>
      <w:proofErr w:type="gramStart"/>
      <w:r>
        <w:t>:un</w:t>
      </w:r>
      <w:proofErr w:type="gramEnd"/>
      <w:r>
        <w:t xml:space="preserve"> 22% otorgó una cal</w:t>
      </w:r>
      <w:r>
        <w:t>ificación de 8 y un 20% otorgó la calificación máxima de 10.</w:t>
      </w:r>
    </w:p>
    <w:p w:rsidR="009B4BB4" w:rsidRDefault="00C44001" w:rsidP="00C44001">
      <w:pPr>
        <w:pStyle w:val="Prrafodelista"/>
        <w:numPr>
          <w:ilvl w:val="3"/>
          <w:numId w:val="38"/>
        </w:numPr>
        <w:tabs>
          <w:tab w:val="left" w:pos="1145"/>
        </w:tabs>
        <w:spacing w:before="0" w:line="360" w:lineRule="auto"/>
        <w:ind w:right="604"/>
        <w:jc w:val="both"/>
      </w:pPr>
      <w:r>
        <w:t xml:space="preserve">La zona de consideración media-alta (calificación de 7), agrupó al 12% de la </w:t>
      </w:r>
      <w:r>
        <w:rPr>
          <w:spacing w:val="-2"/>
        </w:rPr>
        <w:t>muestra.</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3"/>
          <w:numId w:val="38"/>
        </w:numPr>
        <w:tabs>
          <w:tab w:val="left" w:pos="1145"/>
        </w:tabs>
        <w:spacing w:before="79"/>
      </w:pPr>
      <w:r>
        <w:lastRenderedPageBreak/>
        <w:t>El</w:t>
      </w:r>
      <w:r>
        <w:rPr>
          <w:spacing w:val="-7"/>
        </w:rPr>
        <w:t xml:space="preserve"> </w:t>
      </w:r>
      <w:r>
        <w:t>nivel</w:t>
      </w:r>
      <w:r>
        <w:rPr>
          <w:spacing w:val="-4"/>
        </w:rPr>
        <w:t xml:space="preserve"> </w:t>
      </w:r>
      <w:r>
        <w:t>5,</w:t>
      </w:r>
      <w:r>
        <w:rPr>
          <w:spacing w:val="-4"/>
        </w:rPr>
        <w:t xml:space="preserve"> </w:t>
      </w:r>
      <w:r>
        <w:t>los</w:t>
      </w:r>
      <w:r>
        <w:rPr>
          <w:spacing w:val="-4"/>
        </w:rPr>
        <w:t xml:space="preserve"> </w:t>
      </w:r>
      <w:r>
        <w:t>más</w:t>
      </w:r>
      <w:r>
        <w:rPr>
          <w:spacing w:val="-4"/>
        </w:rPr>
        <w:t xml:space="preserve"> </w:t>
      </w:r>
      <w:r>
        <w:t>neutrales</w:t>
      </w:r>
      <w:r>
        <w:rPr>
          <w:spacing w:val="-4"/>
        </w:rPr>
        <w:t xml:space="preserve"> </w:t>
      </w:r>
      <w:r>
        <w:t>o</w:t>
      </w:r>
      <w:r>
        <w:rPr>
          <w:spacing w:val="-5"/>
        </w:rPr>
        <w:t xml:space="preserve"> </w:t>
      </w:r>
      <w:r>
        <w:t>indecisos,</w:t>
      </w:r>
      <w:r>
        <w:rPr>
          <w:spacing w:val="-4"/>
        </w:rPr>
        <w:t xml:space="preserve"> </w:t>
      </w:r>
      <w:r>
        <w:t>fue</w:t>
      </w:r>
      <w:r>
        <w:rPr>
          <w:spacing w:val="-4"/>
        </w:rPr>
        <w:t xml:space="preserve"> </w:t>
      </w:r>
      <w:r>
        <w:t>elegido</w:t>
      </w:r>
      <w:r>
        <w:rPr>
          <w:spacing w:val="-4"/>
        </w:rPr>
        <w:t xml:space="preserve"> </w:t>
      </w:r>
      <w:r>
        <w:t>por</w:t>
      </w:r>
      <w:r>
        <w:rPr>
          <w:spacing w:val="-4"/>
        </w:rPr>
        <w:t xml:space="preserve"> </w:t>
      </w:r>
      <w:r>
        <w:t>un</w:t>
      </w:r>
      <w:r>
        <w:rPr>
          <w:spacing w:val="-4"/>
        </w:rPr>
        <w:t xml:space="preserve"> 16%.</w:t>
      </w:r>
    </w:p>
    <w:p w:rsidR="009B4BB4" w:rsidRDefault="00C44001" w:rsidP="00C44001">
      <w:pPr>
        <w:pStyle w:val="Prrafodelista"/>
        <w:numPr>
          <w:ilvl w:val="3"/>
          <w:numId w:val="38"/>
        </w:numPr>
        <w:tabs>
          <w:tab w:val="left" w:pos="1145"/>
        </w:tabs>
        <w:spacing w:before="127" w:line="360" w:lineRule="auto"/>
        <w:ind w:right="604"/>
        <w:jc w:val="both"/>
      </w:pPr>
      <w:r>
        <w:t>Las calificaciones de baja probabilidad (0 a 3) representaron una minoría</w:t>
      </w:r>
      <w:r>
        <w:rPr>
          <w:spacing w:val="40"/>
        </w:rPr>
        <w:t xml:space="preserve"> </w:t>
      </w:r>
      <w:r>
        <w:t>marginal, mientras que un 4% se abstuvo de responder.</w:t>
      </w:r>
    </w:p>
    <w:p w:rsidR="009B4BB4" w:rsidRDefault="00C44001">
      <w:pPr>
        <w:pStyle w:val="Textoindependiente"/>
        <w:spacing w:line="360" w:lineRule="auto"/>
        <w:ind w:left="425" w:right="604" w:firstLine="720"/>
        <w:jc w:val="both"/>
      </w:pPr>
      <w:r>
        <w:t>Más de la mitad de los</w:t>
      </w:r>
      <w:r>
        <w:rPr>
          <w:spacing w:val="-3"/>
        </w:rPr>
        <w:t xml:space="preserve"> </w:t>
      </w:r>
      <w:r>
        <w:t>participantes</w:t>
      </w:r>
      <w:r>
        <w:rPr>
          <w:spacing w:val="-3"/>
        </w:rPr>
        <w:t xml:space="preserve"> </w:t>
      </w:r>
      <w:r>
        <w:t>se</w:t>
      </w:r>
      <w:r>
        <w:rPr>
          <w:spacing w:val="-3"/>
        </w:rPr>
        <w:t xml:space="preserve"> </w:t>
      </w:r>
      <w:r>
        <w:t>ubica</w:t>
      </w:r>
      <w:r>
        <w:rPr>
          <w:spacing w:val="-3"/>
        </w:rPr>
        <w:t xml:space="preserve"> </w:t>
      </w:r>
      <w:r>
        <w:t>en</w:t>
      </w:r>
      <w:r>
        <w:rPr>
          <w:spacing w:val="-3"/>
        </w:rPr>
        <w:t xml:space="preserve"> </w:t>
      </w:r>
      <w:r>
        <w:t>un</w:t>
      </w:r>
      <w:r>
        <w:rPr>
          <w:spacing w:val="-3"/>
        </w:rPr>
        <w:t xml:space="preserve"> </w:t>
      </w:r>
      <w:r>
        <w:t>rango</w:t>
      </w:r>
      <w:r>
        <w:rPr>
          <w:spacing w:val="-3"/>
        </w:rPr>
        <w:t xml:space="preserve"> </w:t>
      </w:r>
      <w:r>
        <w:t>de</w:t>
      </w:r>
      <w:r>
        <w:rPr>
          <w:spacing w:val="-3"/>
        </w:rPr>
        <w:t xml:space="preserve"> </w:t>
      </w:r>
      <w:r>
        <w:t>intención</w:t>
      </w:r>
      <w:r>
        <w:rPr>
          <w:spacing w:val="-3"/>
        </w:rPr>
        <w:t xml:space="preserve"> </w:t>
      </w:r>
      <w:r>
        <w:t>de</w:t>
      </w:r>
      <w:r>
        <w:rPr>
          <w:spacing w:val="-3"/>
        </w:rPr>
        <w:t xml:space="preserve"> </w:t>
      </w:r>
      <w:r>
        <w:t>compra de 7 a 10. Para un producto de nicho en etapa i</w:t>
      </w:r>
      <w:r>
        <w:t>ntroductoria, este nivel de intención es sólido. Existe tracción; el reto está en la presentación, la comunicación del</w:t>
      </w:r>
      <w:r>
        <w:rPr>
          <w:spacing w:val="-3"/>
        </w:rPr>
        <w:t xml:space="preserve"> </w:t>
      </w:r>
      <w:r>
        <w:t>beneficio</w:t>
      </w:r>
      <w:r>
        <w:rPr>
          <w:spacing w:val="-3"/>
        </w:rPr>
        <w:t xml:space="preserve"> </w:t>
      </w:r>
      <w:r>
        <w:t>y</w:t>
      </w:r>
      <w:r>
        <w:rPr>
          <w:spacing w:val="-3"/>
        </w:rPr>
        <w:t xml:space="preserve"> </w:t>
      </w:r>
      <w:r>
        <w:t>el canal de venta.</w:t>
      </w:r>
    </w:p>
    <w:p w:rsidR="009B4BB4" w:rsidRDefault="00C44001">
      <w:pPr>
        <w:pStyle w:val="Textoindependiente"/>
        <w:spacing w:line="360" w:lineRule="auto"/>
        <w:ind w:left="425" w:right="604" w:firstLine="720"/>
        <w:jc w:val="both"/>
      </w:pPr>
      <w:r>
        <w:t>Para identificar</w:t>
      </w:r>
      <w:r>
        <w:rPr>
          <w:spacing w:val="-4"/>
        </w:rPr>
        <w:t xml:space="preserve"> </w:t>
      </w:r>
      <w:r>
        <w:t>patrones</w:t>
      </w:r>
      <w:r>
        <w:rPr>
          <w:spacing w:val="-4"/>
        </w:rPr>
        <w:t xml:space="preserve"> </w:t>
      </w:r>
      <w:r>
        <w:t>de</w:t>
      </w:r>
      <w:r>
        <w:rPr>
          <w:spacing w:val="-4"/>
        </w:rPr>
        <w:t xml:space="preserve"> </w:t>
      </w:r>
      <w:r>
        <w:t>conversión,</w:t>
      </w:r>
      <w:r>
        <w:rPr>
          <w:spacing w:val="-4"/>
        </w:rPr>
        <w:t xml:space="preserve"> </w:t>
      </w:r>
      <w:r>
        <w:t>se</w:t>
      </w:r>
      <w:r>
        <w:rPr>
          <w:spacing w:val="-4"/>
        </w:rPr>
        <w:t xml:space="preserve"> </w:t>
      </w:r>
      <w:r>
        <w:t>analizó</w:t>
      </w:r>
      <w:r>
        <w:rPr>
          <w:spacing w:val="-4"/>
        </w:rPr>
        <w:t xml:space="preserve"> </w:t>
      </w:r>
      <w:r>
        <w:t>la</w:t>
      </w:r>
      <w:r>
        <w:rPr>
          <w:spacing w:val="-4"/>
        </w:rPr>
        <w:t xml:space="preserve"> </w:t>
      </w:r>
      <w:r>
        <w:t>relación</w:t>
      </w:r>
      <w:r>
        <w:rPr>
          <w:spacing w:val="-4"/>
        </w:rPr>
        <w:t xml:space="preserve"> </w:t>
      </w:r>
      <w:r>
        <w:t>entre</w:t>
      </w:r>
      <w:r>
        <w:rPr>
          <w:spacing w:val="-4"/>
        </w:rPr>
        <w:t xml:space="preserve"> </w:t>
      </w:r>
      <w:r>
        <w:t>la</w:t>
      </w:r>
      <w:r>
        <w:rPr>
          <w:spacing w:val="-4"/>
        </w:rPr>
        <w:t xml:space="preserve"> </w:t>
      </w:r>
      <w:r>
        <w:t>intención</w:t>
      </w:r>
      <w:r>
        <w:rPr>
          <w:spacing w:val="-4"/>
        </w:rPr>
        <w:t xml:space="preserve"> </w:t>
      </w:r>
      <w:r>
        <w:t>de compra y el concepto</w:t>
      </w:r>
      <w:r>
        <w:t xml:space="preserve"> elegido. Este análisis muestra la brecha entre la preferencia declarada y la intención de compra.</w:t>
      </w:r>
    </w:p>
    <w:p w:rsidR="009B4BB4" w:rsidRDefault="00C44001">
      <w:pPr>
        <w:pStyle w:val="Textoindependiente"/>
        <w:spacing w:line="360" w:lineRule="auto"/>
        <w:ind w:left="425" w:right="605" w:firstLine="720"/>
        <w:jc w:val="both"/>
      </w:pPr>
      <w:r>
        <w:t>Aunque la Edición Colaborativa, enfocada en arte y el apoyo social, fue el concepto más votado, al revisar su probabilidad de compra, solo el 39% de los encu</w:t>
      </w:r>
      <w:r>
        <w:t>estados muestra una intención alta de compra (8 a 10). En contraste, el concepto Esencia Maya, enfocado en la pureza y el poder antibacteriano, a pesar de ser el segundo más votado, alcanza una intención de compra alta en el 53.2% de sus votantes.</w:t>
      </w:r>
    </w:p>
    <w:p w:rsidR="009B4BB4" w:rsidRDefault="00C44001" w:rsidP="00C44001">
      <w:pPr>
        <w:pStyle w:val="Prrafodelista"/>
        <w:numPr>
          <w:ilvl w:val="3"/>
          <w:numId w:val="38"/>
        </w:numPr>
        <w:tabs>
          <w:tab w:val="left" w:pos="1145"/>
        </w:tabs>
        <w:spacing w:line="360" w:lineRule="auto"/>
        <w:ind w:right="602"/>
        <w:jc w:val="both"/>
      </w:pPr>
      <w:r>
        <w:rPr>
          <w:rFonts w:ascii="Arial" w:hAnsi="Arial"/>
          <w:b/>
        </w:rPr>
        <w:t>Implicac</w:t>
      </w:r>
      <w:r>
        <w:rPr>
          <w:rFonts w:ascii="Arial" w:hAnsi="Arial"/>
          <w:b/>
        </w:rPr>
        <w:t xml:space="preserve">ión estratégica para Guardiana: </w:t>
      </w:r>
      <w:r>
        <w:t>Este hallazgo define la lógica del modelo de comercialización. El arte y el impacto social funcionan como herramientas de atracción, pero la salud y las propiedades medicinales son el verdadero motor transaccional. El consum</w:t>
      </w:r>
      <w:r>
        <w:t>idor valora el impacto social, pero decide</w:t>
      </w:r>
      <w:r>
        <w:rPr>
          <w:spacing w:val="-4"/>
        </w:rPr>
        <w:t xml:space="preserve"> </w:t>
      </w:r>
      <w:r>
        <w:t>la</w:t>
      </w:r>
      <w:r>
        <w:rPr>
          <w:spacing w:val="-4"/>
        </w:rPr>
        <w:t xml:space="preserve"> </w:t>
      </w:r>
      <w:r>
        <w:t>compra</w:t>
      </w:r>
      <w:r>
        <w:rPr>
          <w:spacing w:val="-4"/>
        </w:rPr>
        <w:t xml:space="preserve"> </w:t>
      </w:r>
      <w:r>
        <w:t>en</w:t>
      </w:r>
      <w:r>
        <w:rPr>
          <w:spacing w:val="-4"/>
        </w:rPr>
        <w:t xml:space="preserve"> </w:t>
      </w:r>
      <w:r>
        <w:t>función</w:t>
      </w:r>
      <w:r>
        <w:rPr>
          <w:spacing w:val="-4"/>
        </w:rPr>
        <w:t xml:space="preserve"> </w:t>
      </w:r>
      <w:r>
        <w:t>de</w:t>
      </w:r>
      <w:r>
        <w:rPr>
          <w:spacing w:val="-4"/>
        </w:rPr>
        <w:t xml:space="preserve"> </w:t>
      </w:r>
      <w:r>
        <w:t>su</w:t>
      </w:r>
      <w:r>
        <w:rPr>
          <w:spacing w:val="-4"/>
        </w:rPr>
        <w:t xml:space="preserve"> </w:t>
      </w:r>
      <w:r>
        <w:t>beneficio</w:t>
      </w:r>
      <w:r>
        <w:rPr>
          <w:spacing w:val="-4"/>
        </w:rPr>
        <w:t xml:space="preserve"> </w:t>
      </w:r>
      <w:r>
        <w:t>personal.</w:t>
      </w:r>
      <w:r>
        <w:rPr>
          <w:spacing w:val="-4"/>
        </w:rPr>
        <w:t xml:space="preserve"> </w:t>
      </w:r>
      <w:r>
        <w:t>En</w:t>
      </w:r>
      <w:r>
        <w:rPr>
          <w:spacing w:val="-4"/>
        </w:rPr>
        <w:t xml:space="preserve"> </w:t>
      </w:r>
      <w:r>
        <w:t>consecuencia,</w:t>
      </w:r>
      <w:r>
        <w:rPr>
          <w:spacing w:val="-4"/>
        </w:rPr>
        <w:t xml:space="preserve"> </w:t>
      </w:r>
      <w:r>
        <w:t>los</w:t>
      </w:r>
      <w:r>
        <w:rPr>
          <w:spacing w:val="-4"/>
        </w:rPr>
        <w:t xml:space="preserve"> </w:t>
      </w:r>
      <w:r>
        <w:t>textos comerciales en el envase, la página web y el discurso de ventas deben cerrar enfatizando el poder probiótico y antibacteriano de la miel melipona como</w:t>
      </w:r>
      <w:r>
        <w:rPr>
          <w:spacing w:val="40"/>
        </w:rPr>
        <w:t xml:space="preserve"> </w:t>
      </w:r>
      <w:r>
        <w:t>principal argumento de conversión. En términos de comunicación, el impacto social capta la atenció</w:t>
      </w:r>
      <w:r>
        <w:t>n, pero los beneficios funcionales son los que convierten.</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lastRenderedPageBreak/>
        <w:t>Figura</w:t>
      </w:r>
      <w:r>
        <w:rPr>
          <w:spacing w:val="-8"/>
        </w:rPr>
        <w:t xml:space="preserve"> </w:t>
      </w:r>
      <w:r>
        <w:rPr>
          <w:spacing w:val="-4"/>
        </w:rPr>
        <w:t>4.11</w:t>
      </w:r>
    </w:p>
    <w:p w:rsidR="009B4BB4" w:rsidRDefault="00C44001">
      <w:pPr>
        <w:spacing w:before="38"/>
        <w:ind w:left="455"/>
        <w:rPr>
          <w:rFonts w:ascii="Arial" w:hAnsi="Arial"/>
          <w:i/>
        </w:rPr>
      </w:pPr>
      <w:r>
        <w:rPr>
          <w:rFonts w:ascii="Arial" w:hAnsi="Arial"/>
          <w:i/>
        </w:rPr>
        <w:t>Tasa</w:t>
      </w:r>
      <w:r>
        <w:rPr>
          <w:rFonts w:ascii="Arial" w:hAnsi="Arial"/>
          <w:i/>
          <w:spacing w:val="-9"/>
        </w:rPr>
        <w:t xml:space="preserve"> </w:t>
      </w:r>
      <w:r>
        <w:rPr>
          <w:rFonts w:ascii="Arial" w:hAnsi="Arial"/>
          <w:i/>
        </w:rPr>
        <w:t>de</w:t>
      </w:r>
      <w:r>
        <w:rPr>
          <w:rFonts w:ascii="Arial" w:hAnsi="Arial"/>
          <w:i/>
          <w:spacing w:val="-6"/>
        </w:rPr>
        <w:t xml:space="preserve"> </w:t>
      </w:r>
      <w:r>
        <w:rPr>
          <w:rFonts w:ascii="Arial" w:hAnsi="Arial"/>
          <w:i/>
        </w:rPr>
        <w:t>alta</w:t>
      </w:r>
      <w:r>
        <w:rPr>
          <w:rFonts w:ascii="Arial" w:hAnsi="Arial"/>
          <w:i/>
          <w:spacing w:val="-7"/>
        </w:rPr>
        <w:t xml:space="preserve"> </w:t>
      </w:r>
      <w:r>
        <w:rPr>
          <w:rFonts w:ascii="Arial" w:hAnsi="Arial"/>
          <w:i/>
        </w:rPr>
        <w:t>intención</w:t>
      </w:r>
      <w:r>
        <w:rPr>
          <w:rFonts w:ascii="Arial" w:hAnsi="Arial"/>
          <w:i/>
          <w:spacing w:val="-6"/>
        </w:rPr>
        <w:t xml:space="preserve"> </w:t>
      </w:r>
      <w:r>
        <w:rPr>
          <w:rFonts w:ascii="Arial" w:hAnsi="Arial"/>
          <w:i/>
        </w:rPr>
        <w:t>de</w:t>
      </w:r>
      <w:r>
        <w:rPr>
          <w:rFonts w:ascii="Arial" w:hAnsi="Arial"/>
          <w:i/>
          <w:spacing w:val="-7"/>
        </w:rPr>
        <w:t xml:space="preserve"> </w:t>
      </w:r>
      <w:r>
        <w:rPr>
          <w:rFonts w:ascii="Arial" w:hAnsi="Arial"/>
          <w:i/>
        </w:rPr>
        <w:t>compra</w:t>
      </w:r>
      <w:r>
        <w:rPr>
          <w:rFonts w:ascii="Arial" w:hAnsi="Arial"/>
          <w:i/>
          <w:spacing w:val="-6"/>
        </w:rPr>
        <w:t xml:space="preserve"> </w:t>
      </w:r>
      <w:r>
        <w:rPr>
          <w:rFonts w:ascii="Arial" w:hAnsi="Arial"/>
          <w:i/>
        </w:rPr>
        <w:t>cruzada</w:t>
      </w:r>
      <w:r>
        <w:rPr>
          <w:rFonts w:ascii="Arial" w:hAnsi="Arial"/>
          <w:i/>
          <w:spacing w:val="-6"/>
        </w:rPr>
        <w:t xml:space="preserve"> </w:t>
      </w:r>
      <w:r>
        <w:rPr>
          <w:rFonts w:ascii="Arial" w:hAnsi="Arial"/>
          <w:i/>
        </w:rPr>
        <w:t>por</w:t>
      </w:r>
      <w:r>
        <w:rPr>
          <w:rFonts w:ascii="Arial" w:hAnsi="Arial"/>
          <w:i/>
          <w:spacing w:val="-7"/>
        </w:rPr>
        <w:t xml:space="preserve"> </w:t>
      </w:r>
      <w:r>
        <w:rPr>
          <w:rFonts w:ascii="Arial" w:hAnsi="Arial"/>
          <w:i/>
        </w:rPr>
        <w:t>el</w:t>
      </w:r>
      <w:r>
        <w:rPr>
          <w:rFonts w:ascii="Arial" w:hAnsi="Arial"/>
          <w:i/>
          <w:spacing w:val="-6"/>
        </w:rPr>
        <w:t xml:space="preserve"> </w:t>
      </w:r>
      <w:r>
        <w:rPr>
          <w:rFonts w:ascii="Arial" w:hAnsi="Arial"/>
          <w:i/>
        </w:rPr>
        <w:t>concepto</w:t>
      </w:r>
      <w:r>
        <w:rPr>
          <w:rFonts w:ascii="Arial" w:hAnsi="Arial"/>
          <w:i/>
          <w:spacing w:val="-7"/>
        </w:rPr>
        <w:t xml:space="preserve"> </w:t>
      </w:r>
      <w:r>
        <w:rPr>
          <w:rFonts w:ascii="Arial" w:hAnsi="Arial"/>
          <w:i/>
        </w:rPr>
        <w:t>de</w:t>
      </w:r>
      <w:r>
        <w:rPr>
          <w:rFonts w:ascii="Arial" w:hAnsi="Arial"/>
          <w:i/>
          <w:spacing w:val="-6"/>
        </w:rPr>
        <w:t xml:space="preserve"> </w:t>
      </w:r>
      <w:r>
        <w:rPr>
          <w:rFonts w:ascii="Arial" w:hAnsi="Arial"/>
          <w:i/>
        </w:rPr>
        <w:t>producto</w:t>
      </w:r>
      <w:r>
        <w:rPr>
          <w:rFonts w:ascii="Arial" w:hAnsi="Arial"/>
          <w:i/>
          <w:spacing w:val="-6"/>
        </w:rPr>
        <w:t xml:space="preserve"> </w:t>
      </w:r>
      <w:r>
        <w:rPr>
          <w:rFonts w:ascii="Arial" w:hAnsi="Arial"/>
          <w:i/>
          <w:spacing w:val="-2"/>
        </w:rPr>
        <w:t>preferido</w:t>
      </w:r>
    </w:p>
    <w:p w:rsidR="009B4BB4" w:rsidRDefault="009B4BB4">
      <w:pPr>
        <w:pStyle w:val="Textoindependiente"/>
        <w:spacing w:before="0"/>
        <w:rPr>
          <w:rFonts w:ascii="Arial"/>
          <w:i/>
          <w:sz w:val="20"/>
        </w:rPr>
      </w:pPr>
    </w:p>
    <w:p w:rsidR="009B4BB4" w:rsidRDefault="00C44001">
      <w:pPr>
        <w:pStyle w:val="Textoindependiente"/>
        <w:spacing w:before="108"/>
        <w:rPr>
          <w:rFonts w:ascii="Arial"/>
          <w:i/>
          <w:sz w:val="20"/>
        </w:rPr>
      </w:pPr>
      <w:r>
        <w:rPr>
          <w:rFonts w:ascii="Arial"/>
          <w:i/>
          <w:noProof/>
          <w:sz w:val="20"/>
          <w:lang w:val="es-AR" w:eastAsia="es-AR"/>
        </w:rPr>
        <w:drawing>
          <wp:anchor distT="0" distB="0" distL="0" distR="0" simplePos="0" relativeHeight="487599104" behindDoc="1" locked="0" layoutInCell="1" allowOverlap="1">
            <wp:simplePos x="0" y="0"/>
            <wp:positionH relativeFrom="page">
              <wp:posOffset>1298445</wp:posOffset>
            </wp:positionH>
            <wp:positionV relativeFrom="paragraph">
              <wp:posOffset>229958</wp:posOffset>
            </wp:positionV>
            <wp:extent cx="5436135" cy="3103721"/>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2" cstate="print"/>
                    <a:stretch>
                      <a:fillRect/>
                    </a:stretch>
                  </pic:blipFill>
                  <pic:spPr>
                    <a:xfrm>
                      <a:off x="0" y="0"/>
                      <a:ext cx="5436135" cy="3103721"/>
                    </a:xfrm>
                    <a:prstGeom prst="rect">
                      <a:avLst/>
                    </a:prstGeom>
                  </pic:spPr>
                </pic:pic>
              </a:graphicData>
            </a:graphic>
          </wp:anchor>
        </w:drawing>
      </w:r>
    </w:p>
    <w:p w:rsidR="009B4BB4" w:rsidRDefault="009B4BB4">
      <w:pPr>
        <w:pStyle w:val="Textoindependiente"/>
        <w:spacing w:before="148"/>
        <w:rPr>
          <w:rFonts w:ascii="Arial"/>
          <w:i/>
        </w:rPr>
      </w:pPr>
    </w:p>
    <w:p w:rsidR="009B4BB4" w:rsidRDefault="00C44001">
      <w:pPr>
        <w:pStyle w:val="Textoindependiente"/>
        <w:spacing w:before="0" w:line="360" w:lineRule="auto"/>
        <w:ind w:left="425" w:right="605"/>
        <w:jc w:val="both"/>
      </w:pPr>
      <w:r>
        <w:rPr>
          <w:rFonts w:ascii="Arial" w:hAnsi="Arial"/>
          <w:i/>
        </w:rPr>
        <w:t xml:space="preserve">Nota. </w:t>
      </w:r>
      <w:r>
        <w:t xml:space="preserve">Análisis de </w:t>
      </w:r>
      <w:r>
        <w:rPr>
          <w:rFonts w:ascii="Arial" w:hAnsi="Arial"/>
          <w:i/>
        </w:rPr>
        <w:t xml:space="preserve">Top-of-Box </w:t>
      </w:r>
      <w:r>
        <w:t>(calificaciones 8-10)</w:t>
      </w:r>
      <w:r>
        <w:rPr>
          <w:spacing w:val="-5"/>
        </w:rPr>
        <w:t xml:space="preserve"> </w:t>
      </w:r>
      <w:r>
        <w:t>sobre</w:t>
      </w:r>
      <w:r>
        <w:rPr>
          <w:spacing w:val="-5"/>
        </w:rPr>
        <w:t xml:space="preserve"> </w:t>
      </w:r>
      <w:r>
        <w:t>la</w:t>
      </w:r>
      <w:r>
        <w:rPr>
          <w:spacing w:val="-5"/>
        </w:rPr>
        <w:t xml:space="preserve"> </w:t>
      </w:r>
      <w:r>
        <w:t>intención</w:t>
      </w:r>
      <w:r>
        <w:rPr>
          <w:spacing w:val="-5"/>
        </w:rPr>
        <w:t xml:space="preserve"> </w:t>
      </w:r>
      <w:r>
        <w:t>de</w:t>
      </w:r>
      <w:r>
        <w:rPr>
          <w:spacing w:val="-5"/>
        </w:rPr>
        <w:t xml:space="preserve"> </w:t>
      </w:r>
      <w:r>
        <w:t>compra</w:t>
      </w:r>
      <w:r>
        <w:rPr>
          <w:spacing w:val="-5"/>
        </w:rPr>
        <w:t xml:space="preserve"> </w:t>
      </w:r>
      <w:r>
        <w:t>(</w:t>
      </w:r>
      <w:r>
        <w:rPr>
          <w:rFonts w:ascii="Arial" w:hAnsi="Arial"/>
          <w:i/>
        </w:rPr>
        <w:t>n</w:t>
      </w:r>
      <w:r>
        <w:rPr>
          <w:rFonts w:ascii="Arial" w:hAnsi="Arial"/>
          <w:i/>
          <w:spacing w:val="-5"/>
        </w:rPr>
        <w:t xml:space="preserve"> </w:t>
      </w:r>
      <w:r>
        <w:t>=</w:t>
      </w:r>
      <w:r>
        <w:rPr>
          <w:spacing w:val="-5"/>
        </w:rPr>
        <w:t xml:space="preserve"> </w:t>
      </w:r>
      <w:r>
        <w:t>400). Los resultados validan la aceptación del concepto "Esencia Maya" superior al 50%, sustentando la viabilidad del posicionamiento terapéutico. Elaboración propia (2025).</w:t>
      </w:r>
    </w:p>
    <w:p w:rsidR="009B4BB4" w:rsidRDefault="00C44001" w:rsidP="00C44001">
      <w:pPr>
        <w:pStyle w:val="Ttulo2"/>
        <w:numPr>
          <w:ilvl w:val="2"/>
          <w:numId w:val="38"/>
        </w:numPr>
        <w:tabs>
          <w:tab w:val="left" w:pos="970"/>
        </w:tabs>
        <w:ind w:left="970" w:hanging="545"/>
        <w:jc w:val="left"/>
      </w:pPr>
      <w:bookmarkStart w:id="151" w:name="4.6.2_Disposición_a_pagar_y_valor_percib"/>
      <w:bookmarkStart w:id="152" w:name="h.7r56h1591det"/>
      <w:bookmarkEnd w:id="151"/>
      <w:bookmarkEnd w:id="152"/>
      <w:r>
        <w:t>Disposición</w:t>
      </w:r>
      <w:r>
        <w:rPr>
          <w:spacing w:val="-5"/>
        </w:rPr>
        <w:t xml:space="preserve"> </w:t>
      </w:r>
      <w:r>
        <w:t>a</w:t>
      </w:r>
      <w:r>
        <w:rPr>
          <w:spacing w:val="-5"/>
        </w:rPr>
        <w:t xml:space="preserve"> </w:t>
      </w:r>
      <w:r>
        <w:t>pagar</w:t>
      </w:r>
      <w:r>
        <w:rPr>
          <w:spacing w:val="-4"/>
        </w:rPr>
        <w:t xml:space="preserve"> </w:t>
      </w:r>
      <w:r>
        <w:t>y</w:t>
      </w:r>
      <w:r>
        <w:rPr>
          <w:spacing w:val="-5"/>
        </w:rPr>
        <w:t xml:space="preserve"> </w:t>
      </w:r>
      <w:r>
        <w:t>valor</w:t>
      </w:r>
      <w:r>
        <w:rPr>
          <w:spacing w:val="-4"/>
        </w:rPr>
        <w:t xml:space="preserve"> </w:t>
      </w:r>
      <w:r>
        <w:rPr>
          <w:spacing w:val="-2"/>
        </w:rPr>
        <w:t>percibido</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4" w:firstLine="720"/>
        <w:jc w:val="both"/>
      </w:pPr>
      <w:r>
        <w:t>La</w:t>
      </w:r>
      <w:r>
        <w:rPr>
          <w:spacing w:val="-3"/>
        </w:rPr>
        <w:t xml:space="preserve"> </w:t>
      </w:r>
      <w:r>
        <w:t>viabilidad</w:t>
      </w:r>
      <w:r>
        <w:rPr>
          <w:spacing w:val="-3"/>
        </w:rPr>
        <w:t xml:space="preserve"> </w:t>
      </w:r>
      <w:r>
        <w:t>comercial</w:t>
      </w:r>
      <w:r>
        <w:rPr>
          <w:spacing w:val="-3"/>
        </w:rPr>
        <w:t xml:space="preserve"> </w:t>
      </w:r>
      <w:r>
        <w:t>de</w:t>
      </w:r>
      <w:r>
        <w:rPr>
          <w:spacing w:val="-3"/>
        </w:rPr>
        <w:t xml:space="preserve"> </w:t>
      </w:r>
      <w:r>
        <w:t>Guardiana</w:t>
      </w:r>
      <w:r>
        <w:rPr>
          <w:spacing w:val="-3"/>
        </w:rPr>
        <w:t xml:space="preserve"> </w:t>
      </w:r>
      <w:r>
        <w:t>depen</w:t>
      </w:r>
      <w:r>
        <w:t>de</w:t>
      </w:r>
      <w:r>
        <w:rPr>
          <w:spacing w:val="-3"/>
        </w:rPr>
        <w:t xml:space="preserve"> </w:t>
      </w:r>
      <w:r>
        <w:t>de</w:t>
      </w:r>
      <w:r>
        <w:rPr>
          <w:spacing w:val="-3"/>
        </w:rPr>
        <w:t xml:space="preserve"> </w:t>
      </w:r>
      <w:r>
        <w:t>su</w:t>
      </w:r>
      <w:r>
        <w:rPr>
          <w:spacing w:val="-3"/>
        </w:rPr>
        <w:t xml:space="preserve"> </w:t>
      </w:r>
      <w:r>
        <w:t>capacidad</w:t>
      </w:r>
      <w:r>
        <w:rPr>
          <w:spacing w:val="-3"/>
        </w:rPr>
        <w:t xml:space="preserve"> </w:t>
      </w:r>
      <w:r>
        <w:t>para</w:t>
      </w:r>
      <w:r>
        <w:rPr>
          <w:spacing w:val="-3"/>
        </w:rPr>
        <w:t xml:space="preserve"> </w:t>
      </w:r>
      <w:r>
        <w:t>sostener</w:t>
      </w:r>
      <w:r>
        <w:rPr>
          <w:spacing w:val="-3"/>
        </w:rPr>
        <w:t xml:space="preserve"> </w:t>
      </w:r>
      <w:r>
        <w:t xml:space="preserve">una estructura de precios </w:t>
      </w:r>
      <w:r>
        <w:rPr>
          <w:rFonts w:ascii="Arial" w:hAnsi="Arial"/>
          <w:i/>
        </w:rPr>
        <w:t xml:space="preserve">premium </w:t>
      </w:r>
      <w:r>
        <w:t>que</w:t>
      </w:r>
      <w:r>
        <w:rPr>
          <w:spacing w:val="-3"/>
        </w:rPr>
        <w:t xml:space="preserve"> </w:t>
      </w:r>
      <w:r>
        <w:t>absorba</w:t>
      </w:r>
      <w:r>
        <w:rPr>
          <w:spacing w:val="-3"/>
        </w:rPr>
        <w:t xml:space="preserve"> </w:t>
      </w:r>
      <w:r>
        <w:t>costos</w:t>
      </w:r>
      <w:r>
        <w:rPr>
          <w:spacing w:val="-4"/>
        </w:rPr>
        <w:t xml:space="preserve"> </w:t>
      </w:r>
      <w:r>
        <w:t>logísticos,</w:t>
      </w:r>
      <w:r>
        <w:rPr>
          <w:spacing w:val="-3"/>
        </w:rPr>
        <w:t xml:space="preserve"> </w:t>
      </w:r>
      <w:r>
        <w:t>empaque</w:t>
      </w:r>
      <w:r>
        <w:rPr>
          <w:spacing w:val="-3"/>
        </w:rPr>
        <w:t xml:space="preserve"> </w:t>
      </w:r>
      <w:r>
        <w:t>de</w:t>
      </w:r>
      <w:r>
        <w:rPr>
          <w:spacing w:val="-4"/>
        </w:rPr>
        <w:t xml:space="preserve"> </w:t>
      </w:r>
      <w:r>
        <w:t>alta</w:t>
      </w:r>
      <w:r>
        <w:rPr>
          <w:spacing w:val="-3"/>
        </w:rPr>
        <w:t xml:space="preserve"> </w:t>
      </w:r>
      <w:r>
        <w:t>gama</w:t>
      </w:r>
      <w:r>
        <w:rPr>
          <w:spacing w:val="-3"/>
        </w:rPr>
        <w:t xml:space="preserve"> </w:t>
      </w:r>
      <w:r>
        <w:t>y</w:t>
      </w:r>
      <w:r>
        <w:rPr>
          <w:spacing w:val="-4"/>
        </w:rPr>
        <w:t xml:space="preserve"> </w:t>
      </w:r>
      <w:r>
        <w:t>el margen destinado al comercio justo con los productores. Para estimar la sensibilidad al precio y definir el rango de venta al públic</w:t>
      </w:r>
      <w:r>
        <w:t>o y establecer el precio de venta al público óptimo,</w:t>
      </w:r>
      <w:r>
        <w:rPr>
          <w:spacing w:val="-3"/>
        </w:rPr>
        <w:t xml:space="preserve"> </w:t>
      </w:r>
      <w:r>
        <w:t>se</w:t>
      </w:r>
      <w:r>
        <w:rPr>
          <w:spacing w:val="-3"/>
        </w:rPr>
        <w:t xml:space="preserve"> </w:t>
      </w:r>
      <w:r>
        <w:t>evaluó</w:t>
      </w:r>
      <w:r>
        <w:rPr>
          <w:spacing w:val="-3"/>
        </w:rPr>
        <w:t xml:space="preserve"> </w:t>
      </w:r>
      <w:r>
        <w:t>el</w:t>
      </w:r>
      <w:r>
        <w:rPr>
          <w:spacing w:val="-3"/>
        </w:rPr>
        <w:t xml:space="preserve"> </w:t>
      </w:r>
      <w:r>
        <w:t>rango</w:t>
      </w:r>
      <w:r>
        <w:rPr>
          <w:spacing w:val="-3"/>
        </w:rPr>
        <w:t xml:space="preserve"> </w:t>
      </w:r>
      <w:r>
        <w:t>de</w:t>
      </w:r>
      <w:r>
        <w:rPr>
          <w:spacing w:val="-3"/>
        </w:rPr>
        <w:t xml:space="preserve"> </w:t>
      </w:r>
      <w:r>
        <w:t>precio</w:t>
      </w:r>
      <w:r>
        <w:rPr>
          <w:spacing w:val="-3"/>
        </w:rPr>
        <w:t xml:space="preserve"> </w:t>
      </w:r>
      <w:r>
        <w:t>considerado</w:t>
      </w:r>
      <w:r>
        <w:rPr>
          <w:spacing w:val="-3"/>
        </w:rPr>
        <w:t xml:space="preserve"> </w:t>
      </w:r>
      <w:r>
        <w:t>“justo”</w:t>
      </w:r>
      <w:r>
        <w:rPr>
          <w:spacing w:val="-3"/>
        </w:rPr>
        <w:t xml:space="preserve"> </w:t>
      </w:r>
      <w:r>
        <w:t>por</w:t>
      </w:r>
      <w:r>
        <w:rPr>
          <w:spacing w:val="-3"/>
        </w:rPr>
        <w:t xml:space="preserve"> </w:t>
      </w:r>
      <w:r>
        <w:t>el</w:t>
      </w:r>
      <w:r>
        <w:rPr>
          <w:spacing w:val="-3"/>
        </w:rPr>
        <w:t xml:space="preserve"> </w:t>
      </w:r>
      <w:r>
        <w:t>consumidor</w:t>
      </w:r>
      <w:r>
        <w:rPr>
          <w:spacing w:val="-3"/>
        </w:rPr>
        <w:t xml:space="preserve"> </w:t>
      </w:r>
      <w:r>
        <w:t>para</w:t>
      </w:r>
      <w:r>
        <w:rPr>
          <w:spacing w:val="-3"/>
        </w:rPr>
        <w:t xml:space="preserve"> </w:t>
      </w:r>
      <w:r>
        <w:t>un</w:t>
      </w:r>
      <w:r>
        <w:rPr>
          <w:spacing w:val="-3"/>
        </w:rPr>
        <w:t xml:space="preserve"> </w:t>
      </w:r>
      <w:r>
        <w:t>frasco estándar de 100 g de miel melipona.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ind w:left="210" w:right="623"/>
        <w:jc w:val="center"/>
      </w:pPr>
      <w:r>
        <w:lastRenderedPageBreak/>
        <w:t>La</w:t>
      </w:r>
      <w:r>
        <w:rPr>
          <w:spacing w:val="-6"/>
        </w:rPr>
        <w:t xml:space="preserve"> </w:t>
      </w:r>
      <w:r>
        <w:t>distribución</w:t>
      </w:r>
      <w:r>
        <w:rPr>
          <w:spacing w:val="-6"/>
        </w:rPr>
        <w:t xml:space="preserve"> </w:t>
      </w:r>
      <w:r>
        <w:t>de</w:t>
      </w:r>
      <w:r>
        <w:rPr>
          <w:spacing w:val="-6"/>
        </w:rPr>
        <w:t xml:space="preserve"> </w:t>
      </w:r>
      <w:r>
        <w:t>tolerancia</w:t>
      </w:r>
      <w:r>
        <w:rPr>
          <w:spacing w:val="-6"/>
        </w:rPr>
        <w:t xml:space="preserve"> </w:t>
      </w:r>
      <w:r>
        <w:t>de</w:t>
      </w:r>
      <w:r>
        <w:rPr>
          <w:spacing w:val="-6"/>
        </w:rPr>
        <w:t xml:space="preserve"> </w:t>
      </w:r>
      <w:r>
        <w:t>precio</w:t>
      </w:r>
      <w:r>
        <w:rPr>
          <w:spacing w:val="-6"/>
        </w:rPr>
        <w:t xml:space="preserve"> </w:t>
      </w:r>
      <w:r>
        <w:t>muestra</w:t>
      </w:r>
      <w:r>
        <w:rPr>
          <w:spacing w:val="-6"/>
        </w:rPr>
        <w:t xml:space="preserve"> </w:t>
      </w:r>
      <w:r>
        <w:t>los</w:t>
      </w:r>
      <w:r>
        <w:rPr>
          <w:spacing w:val="-6"/>
        </w:rPr>
        <w:t xml:space="preserve"> </w:t>
      </w:r>
      <w:r>
        <w:t>siguientes</w:t>
      </w:r>
      <w:r>
        <w:rPr>
          <w:spacing w:val="-6"/>
        </w:rPr>
        <w:t xml:space="preserve"> </w:t>
      </w:r>
      <w:r>
        <w:rPr>
          <w:spacing w:val="-2"/>
        </w:rPr>
        <w:t>resultados:</w:t>
      </w:r>
    </w:p>
    <w:p w:rsidR="009B4BB4" w:rsidRDefault="009B4BB4">
      <w:pPr>
        <w:pStyle w:val="Textoindependiente"/>
        <w:spacing w:before="0"/>
      </w:pPr>
    </w:p>
    <w:p w:rsidR="009B4BB4" w:rsidRDefault="009B4BB4">
      <w:pPr>
        <w:pStyle w:val="Textoindependiente"/>
        <w:spacing w:before="0"/>
      </w:pPr>
    </w:p>
    <w:p w:rsidR="009B4BB4" w:rsidRDefault="00C44001" w:rsidP="00C44001">
      <w:pPr>
        <w:pStyle w:val="Prrafodelista"/>
        <w:numPr>
          <w:ilvl w:val="3"/>
          <w:numId w:val="38"/>
        </w:numPr>
        <w:tabs>
          <w:tab w:val="left" w:pos="1145"/>
        </w:tabs>
        <w:spacing w:before="0" w:line="360" w:lineRule="auto"/>
        <w:ind w:right="607"/>
      </w:pPr>
      <w:r>
        <w:t>$500</w:t>
      </w:r>
      <w:r>
        <w:rPr>
          <w:spacing w:val="26"/>
        </w:rPr>
        <w:t xml:space="preserve"> </w:t>
      </w:r>
      <w:r>
        <w:t>a</w:t>
      </w:r>
      <w:r>
        <w:rPr>
          <w:spacing w:val="26"/>
        </w:rPr>
        <w:t xml:space="preserve"> </w:t>
      </w:r>
      <w:r>
        <w:t>$699</w:t>
      </w:r>
      <w:r>
        <w:rPr>
          <w:spacing w:val="26"/>
        </w:rPr>
        <w:t xml:space="preserve"> </w:t>
      </w:r>
      <w:r>
        <w:t>MXN</w:t>
      </w:r>
      <w:r>
        <w:rPr>
          <w:spacing w:val="26"/>
        </w:rPr>
        <w:t xml:space="preserve"> </w:t>
      </w:r>
      <w:r>
        <w:t>($25</w:t>
      </w:r>
      <w:r>
        <w:rPr>
          <w:spacing w:val="26"/>
        </w:rPr>
        <w:t xml:space="preserve"> </w:t>
      </w:r>
      <w:r>
        <w:t>–</w:t>
      </w:r>
      <w:r>
        <w:rPr>
          <w:spacing w:val="26"/>
        </w:rPr>
        <w:t xml:space="preserve"> </w:t>
      </w:r>
      <w:r>
        <w:t>$35</w:t>
      </w:r>
      <w:r>
        <w:rPr>
          <w:spacing w:val="26"/>
        </w:rPr>
        <w:t xml:space="preserve"> </w:t>
      </w:r>
      <w:r>
        <w:t>USD):</w:t>
      </w:r>
      <w:r>
        <w:rPr>
          <w:spacing w:val="26"/>
        </w:rPr>
        <w:t xml:space="preserve"> </w:t>
      </w:r>
      <w:r>
        <w:t>57.5%</w:t>
      </w:r>
      <w:r>
        <w:rPr>
          <w:spacing w:val="26"/>
        </w:rPr>
        <w:t xml:space="preserve"> </w:t>
      </w:r>
      <w:r>
        <w:t>(Concentración</w:t>
      </w:r>
      <w:r>
        <w:rPr>
          <w:spacing w:val="26"/>
        </w:rPr>
        <w:t xml:space="preserve"> </w:t>
      </w:r>
      <w:r>
        <w:t>principal</w:t>
      </w:r>
      <w:r>
        <w:rPr>
          <w:spacing w:val="26"/>
        </w:rPr>
        <w:t xml:space="preserve"> </w:t>
      </w:r>
      <w:r>
        <w:t>/</w:t>
      </w:r>
      <w:r>
        <w:rPr>
          <w:spacing w:val="26"/>
        </w:rPr>
        <w:t xml:space="preserve"> </w:t>
      </w:r>
      <w:r>
        <w:t>Zona</w:t>
      </w:r>
      <w:r>
        <w:rPr>
          <w:spacing w:val="26"/>
        </w:rPr>
        <w:t xml:space="preserve"> </w:t>
      </w:r>
      <w:r>
        <w:t xml:space="preserve">de </w:t>
      </w:r>
      <w:r>
        <w:rPr>
          <w:spacing w:val="-2"/>
        </w:rPr>
        <w:t>confort).</w:t>
      </w:r>
    </w:p>
    <w:p w:rsidR="009B4BB4" w:rsidRDefault="00C44001" w:rsidP="00C44001">
      <w:pPr>
        <w:pStyle w:val="Prrafodelista"/>
        <w:numPr>
          <w:ilvl w:val="3"/>
          <w:numId w:val="38"/>
        </w:numPr>
        <w:tabs>
          <w:tab w:val="left" w:pos="1145"/>
        </w:tabs>
        <w:spacing w:before="0"/>
      </w:pPr>
      <w:r>
        <w:t>$700</w:t>
      </w:r>
      <w:r>
        <w:rPr>
          <w:spacing w:val="-9"/>
        </w:rPr>
        <w:t xml:space="preserve"> </w:t>
      </w:r>
      <w:r>
        <w:t>a</w:t>
      </w:r>
      <w:r>
        <w:rPr>
          <w:spacing w:val="-6"/>
        </w:rPr>
        <w:t xml:space="preserve"> </w:t>
      </w:r>
      <w:r>
        <w:t>$899</w:t>
      </w:r>
      <w:r>
        <w:rPr>
          <w:spacing w:val="-7"/>
        </w:rPr>
        <w:t xml:space="preserve"> </w:t>
      </w:r>
      <w:r>
        <w:t>MXN</w:t>
      </w:r>
      <w:r>
        <w:rPr>
          <w:spacing w:val="-6"/>
        </w:rPr>
        <w:t xml:space="preserve"> </w:t>
      </w:r>
      <w:r>
        <w:t>($35</w:t>
      </w:r>
      <w:r>
        <w:rPr>
          <w:spacing w:val="-7"/>
        </w:rPr>
        <w:t xml:space="preserve"> </w:t>
      </w:r>
      <w:r>
        <w:t>–</w:t>
      </w:r>
      <w:r>
        <w:rPr>
          <w:spacing w:val="-6"/>
        </w:rPr>
        <w:t xml:space="preserve"> </w:t>
      </w:r>
      <w:r>
        <w:t>$45</w:t>
      </w:r>
      <w:r>
        <w:rPr>
          <w:spacing w:val="-7"/>
        </w:rPr>
        <w:t xml:space="preserve"> </w:t>
      </w:r>
      <w:r>
        <w:t>USD):</w:t>
      </w:r>
      <w:r>
        <w:rPr>
          <w:spacing w:val="-6"/>
        </w:rPr>
        <w:t xml:space="preserve"> </w:t>
      </w:r>
      <w:r>
        <w:t>21.5%</w:t>
      </w:r>
      <w:r>
        <w:rPr>
          <w:spacing w:val="-7"/>
        </w:rPr>
        <w:t xml:space="preserve"> </w:t>
      </w:r>
      <w:r>
        <w:t>(Tolerancia</w:t>
      </w:r>
      <w:r>
        <w:rPr>
          <w:spacing w:val="-6"/>
        </w:rPr>
        <w:t xml:space="preserve"> </w:t>
      </w:r>
      <w:r>
        <w:rPr>
          <w:rFonts w:ascii="Arial" w:hAnsi="Arial"/>
          <w:i/>
          <w:spacing w:val="-2"/>
        </w:rPr>
        <w:t>premium</w:t>
      </w:r>
      <w:r>
        <w:rPr>
          <w:spacing w:val="-2"/>
        </w:rPr>
        <w:t>).</w:t>
      </w:r>
    </w:p>
    <w:p w:rsidR="009B4BB4" w:rsidRDefault="00C44001" w:rsidP="00C44001">
      <w:pPr>
        <w:pStyle w:val="Prrafodelista"/>
        <w:numPr>
          <w:ilvl w:val="3"/>
          <w:numId w:val="38"/>
        </w:numPr>
        <w:tabs>
          <w:tab w:val="left" w:pos="1145"/>
        </w:tabs>
        <w:spacing w:before="127" w:line="360" w:lineRule="auto"/>
        <w:ind w:right="607"/>
      </w:pPr>
      <w:r>
        <w:t>Menos</w:t>
      </w:r>
      <w:r>
        <w:rPr>
          <w:spacing w:val="40"/>
        </w:rPr>
        <w:t xml:space="preserve"> </w:t>
      </w:r>
      <w:r>
        <w:t>de</w:t>
      </w:r>
      <w:r>
        <w:rPr>
          <w:spacing w:val="40"/>
        </w:rPr>
        <w:t xml:space="preserve"> </w:t>
      </w:r>
      <w:r>
        <w:t>$500</w:t>
      </w:r>
      <w:r>
        <w:rPr>
          <w:spacing w:val="40"/>
        </w:rPr>
        <w:t xml:space="preserve"> </w:t>
      </w:r>
      <w:r>
        <w:t>MXN</w:t>
      </w:r>
      <w:r>
        <w:rPr>
          <w:spacing w:val="40"/>
        </w:rPr>
        <w:t xml:space="preserve"> </w:t>
      </w:r>
      <w:r>
        <w:t>(&lt;</w:t>
      </w:r>
      <w:r>
        <w:rPr>
          <w:spacing w:val="40"/>
        </w:rPr>
        <w:t xml:space="preserve"> </w:t>
      </w:r>
      <w:r>
        <w:t>$25</w:t>
      </w:r>
      <w:r>
        <w:rPr>
          <w:spacing w:val="40"/>
        </w:rPr>
        <w:t xml:space="preserve"> </w:t>
      </w:r>
      <w:r>
        <w:t>USD):</w:t>
      </w:r>
      <w:r>
        <w:rPr>
          <w:spacing w:val="40"/>
        </w:rPr>
        <w:t xml:space="preserve"> </w:t>
      </w:r>
      <w:r>
        <w:t>10.3%</w:t>
      </w:r>
      <w:r>
        <w:rPr>
          <w:spacing w:val="40"/>
        </w:rPr>
        <w:t xml:space="preserve"> </w:t>
      </w:r>
      <w:r>
        <w:t>(Sensibilidad</w:t>
      </w:r>
      <w:r>
        <w:rPr>
          <w:spacing w:val="40"/>
        </w:rPr>
        <w:t xml:space="preserve"> </w:t>
      </w:r>
      <w:r>
        <w:t>al</w:t>
      </w:r>
      <w:r>
        <w:rPr>
          <w:spacing w:val="40"/>
        </w:rPr>
        <w:t xml:space="preserve"> </w:t>
      </w:r>
      <w:r>
        <w:t>precio</w:t>
      </w:r>
      <w:r>
        <w:rPr>
          <w:spacing w:val="40"/>
        </w:rPr>
        <w:t xml:space="preserve"> </w:t>
      </w:r>
      <w:r>
        <w:t>/</w:t>
      </w:r>
      <w:r>
        <w:rPr>
          <w:spacing w:val="27"/>
        </w:rPr>
        <w:t xml:space="preserve"> </w:t>
      </w:r>
      <w:r>
        <w:t>Riesgo</w:t>
      </w:r>
      <w:r>
        <w:rPr>
          <w:spacing w:val="27"/>
        </w:rPr>
        <w:t xml:space="preserve"> </w:t>
      </w:r>
      <w:r>
        <w:t xml:space="preserve">de </w:t>
      </w:r>
      <w:r>
        <w:rPr>
          <w:spacing w:val="-2"/>
        </w:rPr>
        <w:t>abaratamiento).</w:t>
      </w:r>
    </w:p>
    <w:p w:rsidR="009B4BB4" w:rsidRDefault="00C44001" w:rsidP="00C44001">
      <w:pPr>
        <w:pStyle w:val="Prrafodelista"/>
        <w:numPr>
          <w:ilvl w:val="3"/>
          <w:numId w:val="38"/>
        </w:numPr>
        <w:tabs>
          <w:tab w:val="left" w:pos="1145"/>
        </w:tabs>
        <w:spacing w:before="0"/>
      </w:pPr>
      <w:r>
        <w:t>$900</w:t>
      </w:r>
      <w:r>
        <w:rPr>
          <w:spacing w:val="-8"/>
        </w:rPr>
        <w:t xml:space="preserve"> </w:t>
      </w:r>
      <w:r>
        <w:t>MXN</w:t>
      </w:r>
      <w:r>
        <w:rPr>
          <w:spacing w:val="-6"/>
        </w:rPr>
        <w:t xml:space="preserve"> </w:t>
      </w:r>
      <w:r>
        <w:t>o</w:t>
      </w:r>
      <w:r>
        <w:rPr>
          <w:spacing w:val="-6"/>
        </w:rPr>
        <w:t xml:space="preserve"> </w:t>
      </w:r>
      <w:r>
        <w:t>más</w:t>
      </w:r>
      <w:r>
        <w:rPr>
          <w:spacing w:val="-5"/>
        </w:rPr>
        <w:t xml:space="preserve"> </w:t>
      </w:r>
      <w:r>
        <w:t>(≥</w:t>
      </w:r>
      <w:r>
        <w:rPr>
          <w:spacing w:val="-6"/>
        </w:rPr>
        <w:t xml:space="preserve"> </w:t>
      </w:r>
      <w:r>
        <w:t>$45</w:t>
      </w:r>
      <w:r>
        <w:rPr>
          <w:spacing w:val="-6"/>
        </w:rPr>
        <w:t xml:space="preserve"> </w:t>
      </w:r>
      <w:r>
        <w:t>USD):</w:t>
      </w:r>
      <w:r>
        <w:rPr>
          <w:spacing w:val="-5"/>
        </w:rPr>
        <w:t xml:space="preserve"> </w:t>
      </w:r>
      <w:r>
        <w:t>1.3%</w:t>
      </w:r>
      <w:r>
        <w:rPr>
          <w:spacing w:val="-6"/>
        </w:rPr>
        <w:t xml:space="preserve"> </w:t>
      </w:r>
      <w:r>
        <w:t>(Techo</w:t>
      </w:r>
      <w:r>
        <w:rPr>
          <w:spacing w:val="-6"/>
        </w:rPr>
        <w:t xml:space="preserve"> </w:t>
      </w:r>
      <w:r>
        <w:t>de</w:t>
      </w:r>
      <w:r>
        <w:rPr>
          <w:spacing w:val="-5"/>
        </w:rPr>
        <w:t xml:space="preserve"> </w:t>
      </w:r>
      <w:r>
        <w:rPr>
          <w:spacing w:val="-2"/>
        </w:rPr>
        <w:t>mercado).</w:t>
      </w:r>
    </w:p>
    <w:p w:rsidR="009B4BB4" w:rsidRDefault="00C44001" w:rsidP="00C44001">
      <w:pPr>
        <w:pStyle w:val="Prrafodelista"/>
        <w:numPr>
          <w:ilvl w:val="3"/>
          <w:numId w:val="38"/>
        </w:numPr>
        <w:tabs>
          <w:tab w:val="left" w:pos="1145"/>
        </w:tabs>
        <w:spacing w:before="126"/>
      </w:pPr>
      <w:r>
        <w:t>No</w:t>
      </w:r>
      <w:r>
        <w:rPr>
          <w:spacing w:val="-7"/>
        </w:rPr>
        <w:t xml:space="preserve"> </w:t>
      </w:r>
      <w:r>
        <w:t>contestaron:</w:t>
      </w:r>
      <w:r>
        <w:rPr>
          <w:spacing w:val="-7"/>
        </w:rPr>
        <w:t xml:space="preserve"> </w:t>
      </w:r>
      <w:r>
        <w:rPr>
          <w:spacing w:val="-2"/>
        </w:rPr>
        <w:t>9.5%.</w:t>
      </w:r>
    </w:p>
    <w:p w:rsidR="009B4BB4" w:rsidRDefault="009B4BB4">
      <w:pPr>
        <w:pStyle w:val="Textoindependiente"/>
        <w:spacing w:before="113"/>
      </w:pPr>
    </w:p>
    <w:p w:rsidR="009B4BB4" w:rsidRDefault="00C44001">
      <w:pPr>
        <w:pStyle w:val="Textoindependiente"/>
        <w:spacing w:before="1" w:line="360" w:lineRule="auto"/>
        <w:ind w:left="425" w:right="603" w:firstLine="720"/>
        <w:jc w:val="both"/>
      </w:pPr>
      <w:r>
        <w:t xml:space="preserve">Estos resultados establecen un rango de aceptación claro entre $25 y $35 USD, coherente con el posicionamiento </w:t>
      </w:r>
      <w:r>
        <w:rPr>
          <w:rFonts w:ascii="Arial" w:hAnsi="Arial"/>
          <w:i/>
        </w:rPr>
        <w:t>premium</w:t>
      </w:r>
      <w:r>
        <w:rPr>
          <w:rFonts w:ascii="Arial" w:hAnsi="Arial"/>
          <w:i/>
          <w:spacing w:val="-4"/>
        </w:rPr>
        <w:t xml:space="preserve"> </w:t>
      </w:r>
      <w:r>
        <w:t>del</w:t>
      </w:r>
      <w:r>
        <w:rPr>
          <w:spacing w:val="-4"/>
        </w:rPr>
        <w:t xml:space="preserve"> </w:t>
      </w:r>
      <w:r>
        <w:t>producto.</w:t>
      </w:r>
      <w:r>
        <w:rPr>
          <w:spacing w:val="-4"/>
        </w:rPr>
        <w:t xml:space="preserve"> </w:t>
      </w:r>
      <w:r>
        <w:t>El</w:t>
      </w:r>
      <w:r>
        <w:rPr>
          <w:spacing w:val="-4"/>
        </w:rPr>
        <w:t xml:space="preserve"> </w:t>
      </w:r>
      <w:r>
        <w:t>análisis</w:t>
      </w:r>
      <w:r>
        <w:rPr>
          <w:spacing w:val="-4"/>
        </w:rPr>
        <w:t xml:space="preserve"> </w:t>
      </w:r>
      <w:r>
        <w:t>cualitativo</w:t>
      </w:r>
      <w:r>
        <w:rPr>
          <w:spacing w:val="-4"/>
        </w:rPr>
        <w:t xml:space="preserve"> </w:t>
      </w:r>
      <w:r>
        <w:t>revela</w:t>
      </w:r>
      <w:r>
        <w:rPr>
          <w:spacing w:val="-4"/>
        </w:rPr>
        <w:t xml:space="preserve"> </w:t>
      </w:r>
      <w:r>
        <w:t>que el 10.3% de</w:t>
      </w:r>
      <w:r>
        <w:rPr>
          <w:spacing w:val="-3"/>
        </w:rPr>
        <w:t xml:space="preserve"> </w:t>
      </w:r>
      <w:r>
        <w:t>los</w:t>
      </w:r>
      <w:r>
        <w:rPr>
          <w:spacing w:val="-3"/>
        </w:rPr>
        <w:t xml:space="preserve"> </w:t>
      </w:r>
      <w:r>
        <w:t>encuestados</w:t>
      </w:r>
      <w:r>
        <w:rPr>
          <w:spacing w:val="-3"/>
        </w:rPr>
        <w:t xml:space="preserve"> </w:t>
      </w:r>
      <w:r>
        <w:t>que</w:t>
      </w:r>
      <w:r>
        <w:rPr>
          <w:spacing w:val="-3"/>
        </w:rPr>
        <w:t xml:space="preserve"> </w:t>
      </w:r>
      <w:r>
        <w:t>seleccionaron</w:t>
      </w:r>
      <w:r>
        <w:rPr>
          <w:spacing w:val="-3"/>
        </w:rPr>
        <w:t xml:space="preserve"> </w:t>
      </w:r>
      <w:r>
        <w:t>precios</w:t>
      </w:r>
      <w:r>
        <w:rPr>
          <w:spacing w:val="-3"/>
        </w:rPr>
        <w:t xml:space="preserve"> </w:t>
      </w:r>
      <w:r>
        <w:t>menores</w:t>
      </w:r>
      <w:r>
        <w:rPr>
          <w:spacing w:val="-3"/>
        </w:rPr>
        <w:t xml:space="preserve"> </w:t>
      </w:r>
      <w:r>
        <w:t>a</w:t>
      </w:r>
      <w:r>
        <w:rPr>
          <w:spacing w:val="-3"/>
        </w:rPr>
        <w:t xml:space="preserve"> </w:t>
      </w:r>
      <w:r>
        <w:t>$500</w:t>
      </w:r>
      <w:r>
        <w:rPr>
          <w:spacing w:val="-3"/>
        </w:rPr>
        <w:t xml:space="preserve"> </w:t>
      </w:r>
      <w:r>
        <w:t>MXN</w:t>
      </w:r>
      <w:r>
        <w:rPr>
          <w:spacing w:val="-3"/>
        </w:rPr>
        <w:t xml:space="preserve"> </w:t>
      </w:r>
      <w:r>
        <w:t>declararon explícitamente que “un precio demasiado barato los haría dudar de la autenticidad o calidad del producto”. Esto confirma que, en productos nutracéuticos o de herencia cultural, el precio a</w:t>
      </w:r>
      <w:r>
        <w:t>ctúa como un indicador de calidad y autenticidad;</w:t>
      </w:r>
      <w:r>
        <w:rPr>
          <w:spacing w:val="-3"/>
        </w:rPr>
        <w:t xml:space="preserve"> </w:t>
      </w:r>
      <w:r>
        <w:t>competir</w:t>
      </w:r>
      <w:r>
        <w:rPr>
          <w:spacing w:val="-3"/>
        </w:rPr>
        <w:t xml:space="preserve"> </w:t>
      </w:r>
      <w:r>
        <w:t>por</w:t>
      </w:r>
      <w:r>
        <w:rPr>
          <w:spacing w:val="-3"/>
        </w:rPr>
        <w:t xml:space="preserve"> </w:t>
      </w:r>
      <w:r>
        <w:t>precio bajo no solo reduce el margen, sino que también erosiona la confianza en la marca. En este tipo de productos, el precio no solo define accesibilidad, sino también credibilidad.</w:t>
      </w:r>
    </w:p>
    <w:p w:rsidR="009B4BB4" w:rsidRDefault="00C44001">
      <w:pPr>
        <w:pStyle w:val="Textoindependiente"/>
        <w:spacing w:line="360" w:lineRule="auto"/>
        <w:ind w:left="425" w:right="602" w:firstLine="720"/>
        <w:jc w:val="both"/>
      </w:pPr>
      <w:r>
        <w:t>Para eval</w:t>
      </w:r>
      <w:r>
        <w:t>uar el peso</w:t>
      </w:r>
      <w:r>
        <w:rPr>
          <w:spacing w:val="-3"/>
        </w:rPr>
        <w:t xml:space="preserve"> </w:t>
      </w:r>
      <w:r>
        <w:t>real</w:t>
      </w:r>
      <w:r>
        <w:rPr>
          <w:spacing w:val="-3"/>
        </w:rPr>
        <w:t xml:space="preserve"> </w:t>
      </w:r>
      <w:r>
        <w:t>de</w:t>
      </w:r>
      <w:r>
        <w:rPr>
          <w:spacing w:val="-3"/>
        </w:rPr>
        <w:t xml:space="preserve"> </w:t>
      </w:r>
      <w:r>
        <w:t>la</w:t>
      </w:r>
      <w:r>
        <w:rPr>
          <w:spacing w:val="-3"/>
        </w:rPr>
        <w:t xml:space="preserve"> </w:t>
      </w:r>
      <w:r>
        <w:t>narrativa</w:t>
      </w:r>
      <w:r>
        <w:rPr>
          <w:spacing w:val="-3"/>
        </w:rPr>
        <w:t xml:space="preserve"> </w:t>
      </w:r>
      <w:r>
        <w:t>biocultural</w:t>
      </w:r>
      <w:r>
        <w:rPr>
          <w:spacing w:val="-3"/>
        </w:rPr>
        <w:t xml:space="preserve"> </w:t>
      </w:r>
      <w:r>
        <w:t>en</w:t>
      </w:r>
      <w:r>
        <w:rPr>
          <w:spacing w:val="-3"/>
        </w:rPr>
        <w:t xml:space="preserve"> </w:t>
      </w:r>
      <w:r>
        <w:t>la</w:t>
      </w:r>
      <w:r>
        <w:rPr>
          <w:spacing w:val="-3"/>
        </w:rPr>
        <w:t xml:space="preserve"> </w:t>
      </w:r>
      <w:r>
        <w:t>disposición</w:t>
      </w:r>
      <w:r>
        <w:rPr>
          <w:spacing w:val="-3"/>
        </w:rPr>
        <w:t xml:space="preserve"> </w:t>
      </w:r>
      <w:r>
        <w:t>a</w:t>
      </w:r>
      <w:r>
        <w:rPr>
          <w:spacing w:val="-3"/>
        </w:rPr>
        <w:t xml:space="preserve"> </w:t>
      </w:r>
      <w:r>
        <w:t>pagar</w:t>
      </w:r>
      <w:r>
        <w:rPr>
          <w:spacing w:val="-3"/>
        </w:rPr>
        <w:t xml:space="preserve"> </w:t>
      </w:r>
      <w:r>
        <w:t>de</w:t>
      </w:r>
      <w:r>
        <w:rPr>
          <w:spacing w:val="-3"/>
        </w:rPr>
        <w:t xml:space="preserve"> </w:t>
      </w:r>
      <w:r>
        <w:t>la empresa o si solo es un adorno de marketing, se cruzó el rango de precio</w:t>
      </w:r>
      <w:r>
        <w:rPr>
          <w:spacing w:val="-3"/>
        </w:rPr>
        <w:t xml:space="preserve"> </w:t>
      </w:r>
      <w:r>
        <w:t>aceptado</w:t>
      </w:r>
      <w:r>
        <w:rPr>
          <w:spacing w:val="-3"/>
        </w:rPr>
        <w:t xml:space="preserve"> </w:t>
      </w:r>
      <w:r>
        <w:t>con</w:t>
      </w:r>
      <w:r>
        <w:rPr>
          <w:spacing w:val="40"/>
        </w:rPr>
        <w:t xml:space="preserve"> </w:t>
      </w:r>
      <w:r>
        <w:t>la disposición del cliente de apoyar económicamente a los meliponicultores.</w:t>
      </w:r>
    </w:p>
    <w:p w:rsidR="009B4BB4" w:rsidRDefault="00C44001">
      <w:pPr>
        <w:pStyle w:val="Textoindependiente"/>
        <w:spacing w:line="360" w:lineRule="auto"/>
        <w:ind w:left="425" w:right="606" w:firstLine="720"/>
        <w:jc w:val="both"/>
      </w:pPr>
      <w:r>
        <w:t>Los datos muestra</w:t>
      </w:r>
      <w:r>
        <w:t>n una relación directa: Entre los consumidores que declaran buscar un “producto barato sin impacto social”, el 80.4% se concentra en el rango de precio más bajo ($500-$699) y apenas un 6.5% toleraría pagar más de $700 pesos. Sin embargo, entre los consumid</w:t>
      </w:r>
      <w:r>
        <w:t xml:space="preserve">ores que eligieron el “producto con impacto social”, la tolerancia al precio </w:t>
      </w:r>
      <w:r>
        <w:rPr>
          <w:rFonts w:ascii="Arial" w:hAnsi="Arial"/>
          <w:i/>
        </w:rPr>
        <w:t xml:space="preserve">premium </w:t>
      </w:r>
      <w:r>
        <w:t>se multiplica por cuatro: el 26.3% de ellos está dispuesto a pagar la</w:t>
      </w:r>
      <w:r>
        <w:rPr>
          <w:spacing w:val="-3"/>
        </w:rPr>
        <w:t xml:space="preserve"> </w:t>
      </w:r>
      <w:r>
        <w:t>franja</w:t>
      </w:r>
      <w:r>
        <w:rPr>
          <w:spacing w:val="-3"/>
        </w:rPr>
        <w:t xml:space="preserve"> </w:t>
      </w:r>
      <w:r>
        <w:t>alta.</w:t>
      </w:r>
      <w:r>
        <w:rPr>
          <w:spacing w:val="-3"/>
        </w:rPr>
        <w:t xml:space="preserve"> </w:t>
      </w:r>
      <w:r>
        <w:t>Este</w:t>
      </w:r>
      <w:r>
        <w:rPr>
          <w:spacing w:val="-3"/>
        </w:rPr>
        <w:t xml:space="preserve"> </w:t>
      </w:r>
      <w:r>
        <w:t>comportamiento</w:t>
      </w:r>
      <w:r>
        <w:rPr>
          <w:spacing w:val="-3"/>
        </w:rPr>
        <w:t xml:space="preserve"> </w:t>
      </w:r>
      <w:r>
        <w:t>confirma</w:t>
      </w:r>
      <w:r>
        <w:rPr>
          <w:spacing w:val="-3"/>
        </w:rPr>
        <w:t xml:space="preserve"> </w:t>
      </w:r>
      <w:r>
        <w:t>que</w:t>
      </w:r>
      <w:r>
        <w:rPr>
          <w:spacing w:val="-3"/>
        </w:rPr>
        <w:t xml:space="preserve"> </w:t>
      </w:r>
      <w:r>
        <w:t>el</w:t>
      </w:r>
      <w:r>
        <w:rPr>
          <w:spacing w:val="-3"/>
        </w:rPr>
        <w:t xml:space="preserve"> </w:t>
      </w:r>
      <w:r>
        <w:t>impacto</w:t>
      </w:r>
      <w:r>
        <w:rPr>
          <w:spacing w:val="-3"/>
        </w:rPr>
        <w:t xml:space="preserve"> </w:t>
      </w:r>
      <w:r>
        <w:t>social</w:t>
      </w:r>
      <w:r>
        <w:rPr>
          <w:spacing w:val="-3"/>
        </w:rPr>
        <w:t xml:space="preserve"> </w:t>
      </w:r>
      <w:r>
        <w:t>no</w:t>
      </w:r>
      <w:r>
        <w:rPr>
          <w:spacing w:val="-3"/>
        </w:rPr>
        <w:t xml:space="preserve"> </w:t>
      </w:r>
      <w:r>
        <w:t>es</w:t>
      </w:r>
      <w:r>
        <w:rPr>
          <w:spacing w:val="-3"/>
        </w:rPr>
        <w:t xml:space="preserve"> </w:t>
      </w:r>
      <w:r>
        <w:t>un</w:t>
      </w:r>
      <w:r>
        <w:rPr>
          <w:spacing w:val="-3"/>
        </w:rPr>
        <w:t xml:space="preserve"> </w:t>
      </w:r>
      <w:r>
        <w:t>atributo decorativo, sino un driver directo de valor.</w:t>
      </w:r>
    </w:p>
    <w:p w:rsidR="009B4BB4" w:rsidRDefault="00C44001" w:rsidP="00C44001">
      <w:pPr>
        <w:pStyle w:val="Prrafodelista"/>
        <w:numPr>
          <w:ilvl w:val="3"/>
          <w:numId w:val="38"/>
        </w:numPr>
        <w:tabs>
          <w:tab w:val="left" w:pos="1145"/>
        </w:tabs>
        <w:spacing w:line="360" w:lineRule="auto"/>
        <w:ind w:right="603"/>
        <w:jc w:val="both"/>
      </w:pPr>
      <w:r>
        <w:rPr>
          <w:rFonts w:ascii="Arial" w:hAnsi="Arial"/>
          <w:b/>
        </w:rPr>
        <w:t xml:space="preserve">Implicación estratégica para Guardiana: </w:t>
      </w:r>
      <w:r>
        <w:t>Este hallazgo demuestra que, dentro del modelo de negocio que la donación a los meliponarios no es un gasto filantrópico</w:t>
      </w:r>
      <w:r>
        <w:rPr>
          <w:spacing w:val="25"/>
        </w:rPr>
        <w:t xml:space="preserve"> </w:t>
      </w:r>
      <w:r>
        <w:t>que</w:t>
      </w:r>
      <w:r>
        <w:rPr>
          <w:spacing w:val="25"/>
        </w:rPr>
        <w:t xml:space="preserve"> </w:t>
      </w:r>
      <w:r>
        <w:t>reduzca</w:t>
      </w:r>
      <w:r>
        <w:rPr>
          <w:spacing w:val="25"/>
        </w:rPr>
        <w:t xml:space="preserve"> </w:t>
      </w:r>
      <w:r>
        <w:t>la rentabilidad de la empresa</w:t>
      </w:r>
      <w:r>
        <w:t>, sino un generador directo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05"/>
        <w:jc w:val="both"/>
      </w:pPr>
      <w:proofErr w:type="gramStart"/>
      <w:r>
        <w:lastRenderedPageBreak/>
        <w:t>de</w:t>
      </w:r>
      <w:proofErr w:type="gramEnd"/>
      <w:r>
        <w:t xml:space="preserve"> margen. La transparencia en el impacto social</w:t>
      </w:r>
      <w:r>
        <w:rPr>
          <w:spacing w:val="-3"/>
        </w:rPr>
        <w:t xml:space="preserve"> </w:t>
      </w:r>
      <w:r>
        <w:t>eleva</w:t>
      </w:r>
      <w:r>
        <w:rPr>
          <w:spacing w:val="-3"/>
        </w:rPr>
        <w:t xml:space="preserve"> </w:t>
      </w:r>
      <w:r>
        <w:t>la</w:t>
      </w:r>
      <w:r>
        <w:rPr>
          <w:spacing w:val="-3"/>
        </w:rPr>
        <w:t xml:space="preserve"> </w:t>
      </w:r>
      <w:r>
        <w:t>disposición</w:t>
      </w:r>
      <w:r>
        <w:rPr>
          <w:spacing w:val="-3"/>
        </w:rPr>
        <w:t xml:space="preserve"> </w:t>
      </w:r>
      <w:r>
        <w:t>a</w:t>
      </w:r>
      <w:r>
        <w:rPr>
          <w:spacing w:val="-3"/>
        </w:rPr>
        <w:t xml:space="preserve"> </w:t>
      </w:r>
      <w:r>
        <w:t>pagar</w:t>
      </w:r>
      <w:r>
        <w:rPr>
          <w:spacing w:val="-3"/>
        </w:rPr>
        <w:t xml:space="preserve"> </w:t>
      </w:r>
      <w:r>
        <w:t>del cliente, lo que permite a Guardiana fijar su precio base</w:t>
      </w:r>
      <w:r>
        <w:rPr>
          <w:spacing w:val="-3"/>
        </w:rPr>
        <w:t xml:space="preserve"> </w:t>
      </w:r>
      <w:r>
        <w:t>en</w:t>
      </w:r>
      <w:r>
        <w:rPr>
          <w:spacing w:val="-3"/>
        </w:rPr>
        <w:t xml:space="preserve"> </w:t>
      </w:r>
      <w:r>
        <w:t>el</w:t>
      </w:r>
      <w:r>
        <w:rPr>
          <w:spacing w:val="-3"/>
        </w:rPr>
        <w:t xml:space="preserve"> </w:t>
      </w:r>
      <w:r>
        <w:t>rango</w:t>
      </w:r>
      <w:r>
        <w:rPr>
          <w:spacing w:val="-3"/>
        </w:rPr>
        <w:t xml:space="preserve"> </w:t>
      </w:r>
      <w:r>
        <w:rPr>
          <w:rFonts w:ascii="Arial" w:hAnsi="Arial"/>
          <w:i/>
        </w:rPr>
        <w:t>premium</w:t>
      </w:r>
      <w:r>
        <w:rPr>
          <w:rFonts w:ascii="Arial" w:hAnsi="Arial"/>
          <w:i/>
          <w:spacing w:val="-3"/>
        </w:rPr>
        <w:t xml:space="preserve"> </w:t>
      </w:r>
      <w:r>
        <w:t>($35 USD) sin perder competitividad, siempre que la</w:t>
      </w:r>
      <w:r>
        <w:t xml:space="preserve"> comunicación en el punto de</w:t>
      </w:r>
      <w:r>
        <w:rPr>
          <w:spacing w:val="40"/>
        </w:rPr>
        <w:t xml:space="preserve"> </w:t>
      </w:r>
      <w:r>
        <w:t>venta haga visible que la compra</w:t>
      </w:r>
      <w:r>
        <w:rPr>
          <w:spacing w:val="-3"/>
        </w:rPr>
        <w:t xml:space="preserve"> </w:t>
      </w:r>
      <w:r>
        <w:t>protege</w:t>
      </w:r>
      <w:r>
        <w:rPr>
          <w:spacing w:val="-3"/>
        </w:rPr>
        <w:t xml:space="preserve"> </w:t>
      </w:r>
      <w:r>
        <w:t>a</w:t>
      </w:r>
      <w:r>
        <w:rPr>
          <w:spacing w:val="-3"/>
        </w:rPr>
        <w:t xml:space="preserve"> </w:t>
      </w:r>
      <w:r>
        <w:t>las</w:t>
      </w:r>
      <w:r>
        <w:rPr>
          <w:spacing w:val="-3"/>
        </w:rPr>
        <w:t xml:space="preserve"> </w:t>
      </w:r>
      <w:r>
        <w:t>abejas</w:t>
      </w:r>
      <w:r>
        <w:rPr>
          <w:spacing w:val="-3"/>
        </w:rPr>
        <w:t xml:space="preserve"> </w:t>
      </w:r>
      <w:r>
        <w:t>y</w:t>
      </w:r>
      <w:r>
        <w:rPr>
          <w:spacing w:val="-3"/>
        </w:rPr>
        <w:t xml:space="preserve"> </w:t>
      </w:r>
      <w:r>
        <w:t>comunidades</w:t>
      </w:r>
      <w:r>
        <w:rPr>
          <w:spacing w:val="-3"/>
        </w:rPr>
        <w:t xml:space="preserve"> </w:t>
      </w:r>
      <w:r>
        <w:t>mayas.</w:t>
      </w:r>
      <w:r>
        <w:rPr>
          <w:spacing w:val="40"/>
        </w:rPr>
        <w:t xml:space="preserve"> </w:t>
      </w:r>
      <w:r>
        <w:t>En términos de pricing, el impacto social deja de ser un costo y se convierte en una palanca de rentabilidad.</w:t>
      </w:r>
    </w:p>
    <w:p w:rsidR="009B4BB4" w:rsidRDefault="00C44001">
      <w:pPr>
        <w:pStyle w:val="Ttulo1"/>
        <w:spacing w:before="240"/>
      </w:pPr>
      <w:r>
        <w:t>Figura</w:t>
      </w:r>
      <w:r>
        <w:rPr>
          <w:spacing w:val="-8"/>
        </w:rPr>
        <w:t xml:space="preserve"> </w:t>
      </w:r>
      <w:r>
        <w:rPr>
          <w:spacing w:val="-4"/>
        </w:rPr>
        <w:t>4.12</w:t>
      </w:r>
    </w:p>
    <w:p w:rsidR="009B4BB4" w:rsidRDefault="00C44001">
      <w:pPr>
        <w:spacing w:before="38"/>
        <w:ind w:left="516"/>
        <w:rPr>
          <w:rFonts w:ascii="Arial"/>
          <w:i/>
        </w:rPr>
      </w:pPr>
      <w:r>
        <w:rPr>
          <w:rFonts w:ascii="Arial"/>
          <w:i/>
        </w:rPr>
        <w:t>Curva</w:t>
      </w:r>
      <w:r>
        <w:rPr>
          <w:rFonts w:ascii="Arial"/>
          <w:i/>
          <w:spacing w:val="-8"/>
        </w:rPr>
        <w:t xml:space="preserve"> </w:t>
      </w:r>
      <w:r>
        <w:rPr>
          <w:rFonts w:ascii="Arial"/>
          <w:i/>
        </w:rPr>
        <w:t>de</w:t>
      </w:r>
      <w:r>
        <w:rPr>
          <w:rFonts w:ascii="Arial"/>
          <w:i/>
          <w:spacing w:val="-6"/>
        </w:rPr>
        <w:t xml:space="preserve"> </w:t>
      </w:r>
      <w:r>
        <w:rPr>
          <w:rFonts w:ascii="Arial"/>
          <w:i/>
        </w:rPr>
        <w:t>tolerancia</w:t>
      </w:r>
      <w:r>
        <w:rPr>
          <w:rFonts w:ascii="Arial"/>
          <w:i/>
          <w:spacing w:val="-5"/>
        </w:rPr>
        <w:t xml:space="preserve"> </w:t>
      </w:r>
      <w:r>
        <w:rPr>
          <w:rFonts w:ascii="Arial"/>
          <w:i/>
        </w:rPr>
        <w:t>al</w:t>
      </w:r>
      <w:r>
        <w:rPr>
          <w:rFonts w:ascii="Arial"/>
          <w:i/>
          <w:spacing w:val="-6"/>
        </w:rPr>
        <w:t xml:space="preserve"> </w:t>
      </w:r>
      <w:r>
        <w:rPr>
          <w:rFonts w:ascii="Arial"/>
          <w:i/>
        </w:rPr>
        <w:t>precio</w:t>
      </w:r>
      <w:r>
        <w:rPr>
          <w:rFonts w:ascii="Arial"/>
          <w:i/>
          <w:spacing w:val="-5"/>
        </w:rPr>
        <w:t xml:space="preserve"> </w:t>
      </w:r>
      <w:r>
        <w:rPr>
          <w:rFonts w:ascii="Arial"/>
          <w:i/>
        </w:rPr>
        <w:t>correlacionada</w:t>
      </w:r>
      <w:r>
        <w:rPr>
          <w:rFonts w:ascii="Arial"/>
          <w:i/>
          <w:spacing w:val="-6"/>
        </w:rPr>
        <w:t xml:space="preserve"> </w:t>
      </w:r>
      <w:r>
        <w:rPr>
          <w:rFonts w:ascii="Arial"/>
          <w:i/>
        </w:rPr>
        <w:t>con</w:t>
      </w:r>
      <w:r>
        <w:rPr>
          <w:rFonts w:ascii="Arial"/>
          <w:i/>
          <w:spacing w:val="-6"/>
        </w:rPr>
        <w:t xml:space="preserve"> </w:t>
      </w:r>
      <w:r>
        <w:rPr>
          <w:rFonts w:ascii="Arial"/>
          <w:i/>
        </w:rPr>
        <w:t>la</w:t>
      </w:r>
      <w:r>
        <w:rPr>
          <w:rFonts w:ascii="Arial"/>
          <w:i/>
          <w:spacing w:val="-5"/>
        </w:rPr>
        <w:t xml:space="preserve"> </w:t>
      </w:r>
      <w:r>
        <w:rPr>
          <w:rFonts w:ascii="Arial"/>
          <w:i/>
        </w:rPr>
        <w:t>preferencia</w:t>
      </w:r>
      <w:r>
        <w:rPr>
          <w:rFonts w:ascii="Arial"/>
          <w:i/>
          <w:spacing w:val="-6"/>
        </w:rPr>
        <w:t xml:space="preserve"> </w:t>
      </w:r>
      <w:r>
        <w:rPr>
          <w:rFonts w:ascii="Arial"/>
          <w:i/>
        </w:rPr>
        <w:t>por</w:t>
      </w:r>
      <w:r>
        <w:rPr>
          <w:rFonts w:ascii="Arial"/>
          <w:i/>
          <w:spacing w:val="-5"/>
        </w:rPr>
        <w:t xml:space="preserve"> </w:t>
      </w:r>
      <w:r>
        <w:rPr>
          <w:rFonts w:ascii="Arial"/>
          <w:i/>
        </w:rPr>
        <w:t>el</w:t>
      </w:r>
      <w:r>
        <w:rPr>
          <w:rFonts w:ascii="Arial"/>
          <w:i/>
          <w:spacing w:val="-6"/>
        </w:rPr>
        <w:t xml:space="preserve"> </w:t>
      </w:r>
      <w:r>
        <w:rPr>
          <w:rFonts w:ascii="Arial"/>
          <w:i/>
        </w:rPr>
        <w:t>impacto</w:t>
      </w:r>
      <w:r>
        <w:rPr>
          <w:rFonts w:ascii="Arial"/>
          <w:i/>
          <w:spacing w:val="-5"/>
        </w:rPr>
        <w:t xml:space="preserve"> </w:t>
      </w:r>
      <w:r>
        <w:rPr>
          <w:rFonts w:ascii="Arial"/>
          <w:i/>
          <w:spacing w:val="-2"/>
        </w:rPr>
        <w:t>social</w:t>
      </w:r>
    </w:p>
    <w:p w:rsidR="009B4BB4" w:rsidRDefault="009B4BB4">
      <w:pPr>
        <w:pStyle w:val="Textoindependiente"/>
        <w:spacing w:before="0"/>
        <w:rPr>
          <w:rFonts w:ascii="Arial"/>
          <w:i/>
          <w:sz w:val="20"/>
        </w:rPr>
      </w:pPr>
    </w:p>
    <w:p w:rsidR="009B4BB4" w:rsidRDefault="00C44001">
      <w:pPr>
        <w:pStyle w:val="Textoindependiente"/>
        <w:spacing w:before="117"/>
        <w:rPr>
          <w:rFonts w:ascii="Arial"/>
          <w:i/>
          <w:sz w:val="20"/>
        </w:rPr>
      </w:pPr>
      <w:r>
        <w:rPr>
          <w:rFonts w:ascii="Arial"/>
          <w:i/>
          <w:noProof/>
          <w:sz w:val="20"/>
          <w:lang w:val="es-AR" w:eastAsia="es-AR"/>
        </w:rPr>
        <w:drawing>
          <wp:anchor distT="0" distB="0" distL="0" distR="0" simplePos="0" relativeHeight="487599616" behindDoc="1" locked="0" layoutInCell="1" allowOverlap="1">
            <wp:simplePos x="0" y="0"/>
            <wp:positionH relativeFrom="page">
              <wp:posOffset>1304456</wp:posOffset>
            </wp:positionH>
            <wp:positionV relativeFrom="paragraph">
              <wp:posOffset>236009</wp:posOffset>
            </wp:positionV>
            <wp:extent cx="5356455" cy="314325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3" cstate="print"/>
                    <a:stretch>
                      <a:fillRect/>
                    </a:stretch>
                  </pic:blipFill>
                  <pic:spPr>
                    <a:xfrm>
                      <a:off x="0" y="0"/>
                      <a:ext cx="5356455" cy="3143250"/>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243"/>
        <w:rPr>
          <w:rFonts w:ascii="Arial"/>
          <w:i/>
        </w:rPr>
      </w:pPr>
    </w:p>
    <w:p w:rsidR="009B4BB4" w:rsidRDefault="00C44001">
      <w:pPr>
        <w:pStyle w:val="Textoindependiente"/>
        <w:spacing w:before="1" w:line="360" w:lineRule="auto"/>
        <w:ind w:left="425" w:right="605" w:firstLine="30"/>
        <w:jc w:val="both"/>
      </w:pPr>
      <w:r>
        <w:rPr>
          <w:rFonts w:ascii="Arial" w:hAnsi="Arial"/>
          <w:i/>
        </w:rPr>
        <w:t xml:space="preserve">Nota. </w:t>
      </w:r>
      <w:r>
        <w:t>Comparativa de elasticidad-precio entre segmentos de mercado (n = 400). El segmento de impacto social presenta la menor sensibilidad al precio, permitiendo un posicionamiento premium frente</w:t>
      </w:r>
      <w:r>
        <w:rPr>
          <w:spacing w:val="-4"/>
        </w:rPr>
        <w:t xml:space="preserve"> </w:t>
      </w:r>
      <w:r>
        <w:t>a</w:t>
      </w:r>
      <w:r>
        <w:rPr>
          <w:spacing w:val="-4"/>
        </w:rPr>
        <w:t xml:space="preserve"> </w:t>
      </w:r>
      <w:r>
        <w:t>la</w:t>
      </w:r>
      <w:r>
        <w:rPr>
          <w:spacing w:val="-4"/>
        </w:rPr>
        <w:t xml:space="preserve"> </w:t>
      </w:r>
      <w:r>
        <w:t>alta</w:t>
      </w:r>
      <w:r>
        <w:rPr>
          <w:spacing w:val="-4"/>
        </w:rPr>
        <w:t xml:space="preserve"> </w:t>
      </w:r>
      <w:r>
        <w:t>elasticidad</w:t>
      </w:r>
      <w:r>
        <w:rPr>
          <w:spacing w:val="-4"/>
        </w:rPr>
        <w:t xml:space="preserve"> </w:t>
      </w:r>
      <w:r>
        <w:t>del</w:t>
      </w:r>
      <w:r>
        <w:rPr>
          <w:spacing w:val="-4"/>
        </w:rPr>
        <w:t xml:space="preserve"> </w:t>
      </w:r>
      <w:r>
        <w:t>segmento</w:t>
      </w:r>
      <w:r>
        <w:rPr>
          <w:spacing w:val="-4"/>
        </w:rPr>
        <w:t xml:space="preserve"> </w:t>
      </w:r>
      <w:r>
        <w:t>de</w:t>
      </w:r>
      <w:r>
        <w:rPr>
          <w:spacing w:val="-4"/>
        </w:rPr>
        <w:t xml:space="preserve"> </w:t>
      </w:r>
      <w:r>
        <w:t>ahorro.</w:t>
      </w:r>
      <w:r>
        <w:rPr>
          <w:spacing w:val="-4"/>
        </w:rPr>
        <w:t xml:space="preserve"> </w:t>
      </w:r>
      <w:r>
        <w:t>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38"/>
        </w:numPr>
        <w:tabs>
          <w:tab w:val="left" w:pos="788"/>
        </w:tabs>
        <w:spacing w:before="79"/>
        <w:ind w:left="788" w:hanging="363"/>
      </w:pPr>
      <w:bookmarkStart w:id="153" w:name="4.7_Estrategia_de_canales_y_comunicación"/>
      <w:bookmarkStart w:id="154" w:name="h.vp1cg5sn7mz0"/>
      <w:bookmarkEnd w:id="153"/>
      <w:bookmarkEnd w:id="154"/>
      <w:r>
        <w:lastRenderedPageBreak/>
        <w:t>Estrategia</w:t>
      </w:r>
      <w:r>
        <w:rPr>
          <w:spacing w:val="-5"/>
        </w:rPr>
        <w:t xml:space="preserve"> </w:t>
      </w:r>
      <w:r>
        <w:t>de</w:t>
      </w:r>
      <w:r>
        <w:rPr>
          <w:spacing w:val="-5"/>
        </w:rPr>
        <w:t xml:space="preserve"> </w:t>
      </w:r>
      <w:r>
        <w:t>canales</w:t>
      </w:r>
      <w:r>
        <w:rPr>
          <w:spacing w:val="-5"/>
        </w:rPr>
        <w:t xml:space="preserve"> </w:t>
      </w:r>
      <w:r>
        <w:t>y</w:t>
      </w:r>
      <w:r>
        <w:rPr>
          <w:spacing w:val="-5"/>
        </w:rPr>
        <w:t xml:space="preserve"> </w:t>
      </w:r>
      <w:r>
        <w:rPr>
          <w:spacing w:val="-2"/>
        </w:rPr>
        <w:t>comunicación</w:t>
      </w:r>
    </w:p>
    <w:p w:rsidR="009B4BB4" w:rsidRDefault="009B4BB4">
      <w:pPr>
        <w:pStyle w:val="Textoindependiente"/>
        <w:spacing w:before="113"/>
        <w:rPr>
          <w:rFonts w:ascii="Arial"/>
          <w:b/>
        </w:rPr>
      </w:pPr>
    </w:p>
    <w:p w:rsidR="009B4BB4" w:rsidRDefault="00C44001" w:rsidP="00C44001">
      <w:pPr>
        <w:pStyle w:val="Ttulo2"/>
        <w:numPr>
          <w:ilvl w:val="2"/>
          <w:numId w:val="38"/>
        </w:numPr>
        <w:tabs>
          <w:tab w:val="left" w:pos="970"/>
        </w:tabs>
        <w:spacing w:before="1"/>
        <w:ind w:left="970" w:hanging="545"/>
        <w:jc w:val="left"/>
      </w:pPr>
      <w:bookmarkStart w:id="155" w:name="4.7.1_Canales_de_compra_y_preferencia_de"/>
      <w:bookmarkStart w:id="156" w:name="h.me6ewjwqcgjj"/>
      <w:bookmarkEnd w:id="155"/>
      <w:bookmarkEnd w:id="156"/>
      <w:r>
        <w:t>Canales</w:t>
      </w:r>
      <w:r>
        <w:rPr>
          <w:spacing w:val="-7"/>
        </w:rPr>
        <w:t xml:space="preserve"> </w:t>
      </w:r>
      <w:r>
        <w:t>de</w:t>
      </w:r>
      <w:r>
        <w:rPr>
          <w:spacing w:val="-5"/>
        </w:rPr>
        <w:t xml:space="preserve"> </w:t>
      </w:r>
      <w:r>
        <w:t>compra</w:t>
      </w:r>
      <w:r>
        <w:rPr>
          <w:spacing w:val="-5"/>
        </w:rPr>
        <w:t xml:space="preserve"> </w:t>
      </w:r>
      <w:r>
        <w:t>y</w:t>
      </w:r>
      <w:r>
        <w:rPr>
          <w:spacing w:val="-5"/>
        </w:rPr>
        <w:t xml:space="preserve"> </w:t>
      </w:r>
      <w:r>
        <w:t>preferencia</w:t>
      </w:r>
      <w:r>
        <w:rPr>
          <w:spacing w:val="-5"/>
        </w:rPr>
        <w:t xml:space="preserve"> </w:t>
      </w:r>
      <w:r>
        <w:t>de</w:t>
      </w:r>
      <w:r>
        <w:rPr>
          <w:spacing w:val="-4"/>
        </w:rPr>
        <w:t xml:space="preserve"> </w:t>
      </w:r>
      <w:r>
        <w:rPr>
          <w:spacing w:val="-2"/>
        </w:rPr>
        <w:t>distribución</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3" w:firstLine="720"/>
        <w:jc w:val="both"/>
      </w:pPr>
      <w:r>
        <w:t>Para estructurar una red de distribución eficiente, se consultó a los encuestados sobre sus canales de compra preferidos, permitiendo selección múltiple. Al analizar la penetración de cada canal sobre el</w:t>
      </w:r>
      <w:r>
        <w:rPr>
          <w:spacing w:val="-3"/>
        </w:rPr>
        <w:t xml:space="preserve"> </w:t>
      </w:r>
      <w:r>
        <w:t>total</w:t>
      </w:r>
      <w:r>
        <w:rPr>
          <w:spacing w:val="-3"/>
        </w:rPr>
        <w:t xml:space="preserve"> </w:t>
      </w:r>
      <w:r>
        <w:t>de</w:t>
      </w:r>
      <w:r>
        <w:rPr>
          <w:spacing w:val="-3"/>
        </w:rPr>
        <w:t xml:space="preserve"> </w:t>
      </w:r>
      <w:r>
        <w:t>la</w:t>
      </w:r>
      <w:r>
        <w:rPr>
          <w:spacing w:val="-3"/>
        </w:rPr>
        <w:t xml:space="preserve"> </w:t>
      </w:r>
      <w:r>
        <w:t>muestra,</w:t>
      </w:r>
      <w:r>
        <w:rPr>
          <w:spacing w:val="-3"/>
        </w:rPr>
        <w:t xml:space="preserve"> </w:t>
      </w:r>
      <w:r>
        <w:t>las</w:t>
      </w:r>
      <w:r>
        <w:rPr>
          <w:spacing w:val="-3"/>
        </w:rPr>
        <w:t xml:space="preserve"> </w:t>
      </w:r>
      <w:r>
        <w:t>preferencias</w:t>
      </w:r>
      <w:r>
        <w:rPr>
          <w:spacing w:val="-3"/>
        </w:rPr>
        <w:t xml:space="preserve"> </w:t>
      </w:r>
      <w:r>
        <w:t>se</w:t>
      </w:r>
      <w:r>
        <w:rPr>
          <w:spacing w:val="-3"/>
        </w:rPr>
        <w:t xml:space="preserve"> </w:t>
      </w:r>
      <w:r>
        <w:t>distribuyen</w:t>
      </w:r>
      <w:r>
        <w:rPr>
          <w:spacing w:val="-3"/>
        </w:rPr>
        <w:t xml:space="preserve"> </w:t>
      </w:r>
      <w:r>
        <w:t>de la siguiente manera:</w:t>
      </w:r>
    </w:p>
    <w:p w:rsidR="009B4BB4" w:rsidRDefault="00C44001" w:rsidP="00C44001">
      <w:pPr>
        <w:pStyle w:val="Prrafodelista"/>
        <w:numPr>
          <w:ilvl w:val="3"/>
          <w:numId w:val="38"/>
        </w:numPr>
        <w:tabs>
          <w:tab w:val="left" w:pos="1145"/>
        </w:tabs>
      </w:pPr>
      <w:r>
        <w:t>Tienda</w:t>
      </w:r>
      <w:r>
        <w:rPr>
          <w:spacing w:val="-6"/>
        </w:rPr>
        <w:t xml:space="preserve"> </w:t>
      </w:r>
      <w:r>
        <w:t>física</w:t>
      </w:r>
      <w:r>
        <w:rPr>
          <w:spacing w:val="-6"/>
        </w:rPr>
        <w:t xml:space="preserve"> </w:t>
      </w:r>
      <w:r>
        <w:t>local:</w:t>
      </w:r>
      <w:r>
        <w:rPr>
          <w:spacing w:val="-6"/>
        </w:rPr>
        <w:t xml:space="preserve"> </w:t>
      </w:r>
      <w:r>
        <w:t>90.5%</w:t>
      </w:r>
      <w:r>
        <w:rPr>
          <w:spacing w:val="-6"/>
        </w:rPr>
        <w:t xml:space="preserve"> </w:t>
      </w:r>
      <w:r>
        <w:t>de</w:t>
      </w:r>
      <w:r>
        <w:rPr>
          <w:spacing w:val="-6"/>
        </w:rPr>
        <w:t xml:space="preserve"> </w:t>
      </w:r>
      <w:r>
        <w:t>los</w:t>
      </w:r>
      <w:r>
        <w:rPr>
          <w:spacing w:val="-6"/>
        </w:rPr>
        <w:t xml:space="preserve"> </w:t>
      </w:r>
      <w:r>
        <w:rPr>
          <w:spacing w:val="-2"/>
        </w:rPr>
        <w:t>consumidores.</w:t>
      </w:r>
    </w:p>
    <w:p w:rsidR="009B4BB4" w:rsidRDefault="00C44001" w:rsidP="00C44001">
      <w:pPr>
        <w:pStyle w:val="Prrafodelista"/>
        <w:numPr>
          <w:ilvl w:val="3"/>
          <w:numId w:val="38"/>
        </w:numPr>
        <w:tabs>
          <w:tab w:val="left" w:pos="1145"/>
        </w:tabs>
        <w:spacing w:before="127"/>
      </w:pPr>
      <w:r>
        <w:t>Marketplace</w:t>
      </w:r>
      <w:r>
        <w:rPr>
          <w:spacing w:val="-9"/>
        </w:rPr>
        <w:t xml:space="preserve"> </w:t>
      </w:r>
      <w:r>
        <w:t>(Amazon,</w:t>
      </w:r>
      <w:r>
        <w:rPr>
          <w:spacing w:val="-8"/>
        </w:rPr>
        <w:t xml:space="preserve"> </w:t>
      </w:r>
      <w:r>
        <w:t>mercado</w:t>
      </w:r>
      <w:r>
        <w:rPr>
          <w:spacing w:val="-8"/>
        </w:rPr>
        <w:t xml:space="preserve"> </w:t>
      </w:r>
      <w:r>
        <w:t>libre):</w:t>
      </w:r>
      <w:r>
        <w:rPr>
          <w:spacing w:val="-8"/>
        </w:rPr>
        <w:t xml:space="preserve"> </w:t>
      </w:r>
      <w:r>
        <w:rPr>
          <w:spacing w:val="-2"/>
        </w:rPr>
        <w:t>65.8%</w:t>
      </w:r>
    </w:p>
    <w:p w:rsidR="009B4BB4" w:rsidRDefault="00C44001" w:rsidP="00C44001">
      <w:pPr>
        <w:pStyle w:val="Prrafodelista"/>
        <w:numPr>
          <w:ilvl w:val="3"/>
          <w:numId w:val="38"/>
        </w:numPr>
        <w:tabs>
          <w:tab w:val="left" w:pos="1145"/>
        </w:tabs>
        <w:spacing w:before="126"/>
      </w:pPr>
      <w:r>
        <w:t>E-commerce</w:t>
      </w:r>
      <w:r>
        <w:rPr>
          <w:spacing w:val="-10"/>
        </w:rPr>
        <w:t xml:space="preserve"> </w:t>
      </w:r>
      <w:r>
        <w:t>(web</w:t>
      </w:r>
      <w:r>
        <w:rPr>
          <w:spacing w:val="-7"/>
        </w:rPr>
        <w:t xml:space="preserve"> </w:t>
      </w:r>
      <w:r>
        <w:t>propia):</w:t>
      </w:r>
      <w:r>
        <w:rPr>
          <w:spacing w:val="-7"/>
        </w:rPr>
        <w:t xml:space="preserve"> </w:t>
      </w:r>
      <w:r>
        <w:rPr>
          <w:spacing w:val="-2"/>
        </w:rPr>
        <w:t>33.8%</w:t>
      </w:r>
    </w:p>
    <w:p w:rsidR="009B4BB4" w:rsidRDefault="00C44001" w:rsidP="00C44001">
      <w:pPr>
        <w:pStyle w:val="Prrafodelista"/>
        <w:numPr>
          <w:ilvl w:val="3"/>
          <w:numId w:val="38"/>
        </w:numPr>
        <w:tabs>
          <w:tab w:val="left" w:pos="1145"/>
        </w:tabs>
        <w:spacing w:before="127"/>
      </w:pPr>
      <w:r>
        <w:t>Pop-up</w:t>
      </w:r>
      <w:r>
        <w:rPr>
          <w:spacing w:val="-6"/>
        </w:rPr>
        <w:t xml:space="preserve"> </w:t>
      </w:r>
      <w:r>
        <w:t>en</w:t>
      </w:r>
      <w:r>
        <w:rPr>
          <w:spacing w:val="-6"/>
        </w:rPr>
        <w:t xml:space="preserve"> </w:t>
      </w:r>
      <w:r>
        <w:t>hoteles</w:t>
      </w:r>
      <w:r>
        <w:rPr>
          <w:spacing w:val="-5"/>
        </w:rPr>
        <w:t xml:space="preserve"> </w:t>
      </w:r>
      <w:r>
        <w:t>o</w:t>
      </w:r>
      <w:r>
        <w:rPr>
          <w:spacing w:val="-6"/>
        </w:rPr>
        <w:t xml:space="preserve"> </w:t>
      </w:r>
      <w:r>
        <w:t>aeropuertos:</w:t>
      </w:r>
      <w:r>
        <w:rPr>
          <w:spacing w:val="-5"/>
        </w:rPr>
        <w:t xml:space="preserve"> 10%</w:t>
      </w:r>
    </w:p>
    <w:p w:rsidR="009B4BB4" w:rsidRDefault="009B4BB4">
      <w:pPr>
        <w:pStyle w:val="Textoindependiente"/>
        <w:spacing w:before="113"/>
      </w:pPr>
    </w:p>
    <w:p w:rsidR="009B4BB4" w:rsidRDefault="00C44001">
      <w:pPr>
        <w:pStyle w:val="Textoindependiente"/>
        <w:spacing w:before="0" w:line="360" w:lineRule="auto"/>
        <w:ind w:left="425" w:right="603" w:firstLine="720"/>
        <w:jc w:val="both"/>
      </w:pPr>
      <w:r>
        <w:t>El punto de venta físico en el destino se consolida como</w:t>
      </w:r>
      <w:r>
        <w:rPr>
          <w:spacing w:val="-3"/>
        </w:rPr>
        <w:t xml:space="preserve"> </w:t>
      </w:r>
      <w:r>
        <w:t>el</w:t>
      </w:r>
      <w:r>
        <w:rPr>
          <w:spacing w:val="-3"/>
        </w:rPr>
        <w:t xml:space="preserve"> </w:t>
      </w:r>
      <w:r>
        <w:t>canal</w:t>
      </w:r>
      <w:r>
        <w:rPr>
          <w:spacing w:val="-3"/>
        </w:rPr>
        <w:t xml:space="preserve"> </w:t>
      </w:r>
      <w:r>
        <w:t>domin</w:t>
      </w:r>
      <w:r>
        <w:t>ante</w:t>
      </w:r>
      <w:r>
        <w:rPr>
          <w:spacing w:val="-3"/>
        </w:rPr>
        <w:t xml:space="preserve"> </w:t>
      </w:r>
      <w:r>
        <w:t>para el primer contacto con el cliente. Esto es coherente con la lógica del</w:t>
      </w:r>
      <w:r>
        <w:rPr>
          <w:spacing w:val="-3"/>
        </w:rPr>
        <w:t xml:space="preserve"> </w:t>
      </w:r>
      <w:r>
        <w:t>consumo</w:t>
      </w:r>
      <w:r>
        <w:rPr>
          <w:spacing w:val="-3"/>
        </w:rPr>
        <w:t xml:space="preserve"> </w:t>
      </w:r>
      <w:r>
        <w:t>turístico</w:t>
      </w:r>
      <w:r>
        <w:rPr>
          <w:spacing w:val="-3"/>
        </w:rPr>
        <w:t xml:space="preserve"> </w:t>
      </w:r>
      <w:r>
        <w:t>y el modelo experiencial, donde el cliente necesita</w:t>
      </w:r>
      <w:r>
        <w:rPr>
          <w:spacing w:val="-5"/>
        </w:rPr>
        <w:t xml:space="preserve"> </w:t>
      </w:r>
      <w:r>
        <w:t>ver,</w:t>
      </w:r>
      <w:r>
        <w:rPr>
          <w:spacing w:val="-5"/>
        </w:rPr>
        <w:t xml:space="preserve"> </w:t>
      </w:r>
      <w:r>
        <w:t>tocar</w:t>
      </w:r>
      <w:r>
        <w:rPr>
          <w:spacing w:val="-5"/>
        </w:rPr>
        <w:t xml:space="preserve"> </w:t>
      </w:r>
      <w:r>
        <w:t>y,</w:t>
      </w:r>
      <w:r>
        <w:rPr>
          <w:spacing w:val="-5"/>
        </w:rPr>
        <w:t xml:space="preserve"> </w:t>
      </w:r>
      <w:r>
        <w:t>en</w:t>
      </w:r>
      <w:r>
        <w:rPr>
          <w:spacing w:val="-5"/>
        </w:rPr>
        <w:t xml:space="preserve"> </w:t>
      </w:r>
      <w:r>
        <w:t>muchos</w:t>
      </w:r>
      <w:r>
        <w:rPr>
          <w:spacing w:val="-5"/>
        </w:rPr>
        <w:t xml:space="preserve"> </w:t>
      </w:r>
      <w:r>
        <w:t>casos,</w:t>
      </w:r>
      <w:r>
        <w:rPr>
          <w:spacing w:val="-5"/>
        </w:rPr>
        <w:t xml:space="preserve"> </w:t>
      </w:r>
      <w:r>
        <w:t xml:space="preserve">degustar un producto </w:t>
      </w:r>
      <w:r>
        <w:rPr>
          <w:rFonts w:ascii="Arial" w:hAnsi="Arial"/>
          <w:i/>
        </w:rPr>
        <w:t xml:space="preserve">premium </w:t>
      </w:r>
      <w:r>
        <w:t xml:space="preserve">antes de realizar la primera compra. Este comportamiento es consistente con categorías donde la confianza se construye a partir de la experiencia </w:t>
      </w:r>
      <w:r>
        <w:rPr>
          <w:spacing w:val="-2"/>
        </w:rPr>
        <w:t>sensorial.</w:t>
      </w:r>
    </w:p>
    <w:p w:rsidR="009B4BB4" w:rsidRDefault="00C44001">
      <w:pPr>
        <w:pStyle w:val="Textoindependiente"/>
        <w:spacing w:line="360" w:lineRule="auto"/>
        <w:ind w:left="425" w:right="602" w:firstLine="720"/>
        <w:jc w:val="both"/>
      </w:pPr>
      <w:r>
        <w:t>Para definir en qué plataformas Guardiana debe concentrar su inversión comercial, se hizo un análisis cruzado</w:t>
      </w:r>
      <w:r>
        <w:rPr>
          <w:spacing w:val="-3"/>
        </w:rPr>
        <w:t xml:space="preserve"> </w:t>
      </w:r>
      <w:r>
        <w:t>de</w:t>
      </w:r>
      <w:r>
        <w:rPr>
          <w:spacing w:val="-3"/>
        </w:rPr>
        <w:t xml:space="preserve"> </w:t>
      </w:r>
      <w:r>
        <w:t>la</w:t>
      </w:r>
      <w:r>
        <w:rPr>
          <w:spacing w:val="-3"/>
        </w:rPr>
        <w:t xml:space="preserve"> </w:t>
      </w:r>
      <w:r>
        <w:t>preferencia</w:t>
      </w:r>
      <w:r>
        <w:rPr>
          <w:spacing w:val="-3"/>
        </w:rPr>
        <w:t xml:space="preserve"> </w:t>
      </w:r>
      <w:r>
        <w:t>de</w:t>
      </w:r>
      <w:r>
        <w:rPr>
          <w:spacing w:val="-3"/>
        </w:rPr>
        <w:t xml:space="preserve"> </w:t>
      </w:r>
      <w:r>
        <w:t>canales</w:t>
      </w:r>
      <w:r>
        <w:rPr>
          <w:spacing w:val="-3"/>
        </w:rPr>
        <w:t xml:space="preserve"> </w:t>
      </w:r>
      <w:r>
        <w:t>según</w:t>
      </w:r>
      <w:r>
        <w:rPr>
          <w:spacing w:val="-3"/>
        </w:rPr>
        <w:t xml:space="preserve"> </w:t>
      </w:r>
      <w:r>
        <w:t>la</w:t>
      </w:r>
      <w:r>
        <w:rPr>
          <w:spacing w:val="-3"/>
        </w:rPr>
        <w:t xml:space="preserve"> </w:t>
      </w:r>
      <w:r>
        <w:t>procedencia del consumidor; este análisis muestra que la estrategia logística debe ser asimétrica:</w:t>
      </w:r>
    </w:p>
    <w:p w:rsidR="009B4BB4" w:rsidRDefault="00C44001" w:rsidP="00C44001">
      <w:pPr>
        <w:pStyle w:val="Prrafodelista"/>
        <w:numPr>
          <w:ilvl w:val="0"/>
          <w:numId w:val="34"/>
        </w:numPr>
        <w:tabs>
          <w:tab w:val="left" w:pos="1143"/>
          <w:tab w:val="left" w:pos="1145"/>
        </w:tabs>
        <w:spacing w:line="360" w:lineRule="auto"/>
        <w:ind w:right="603"/>
        <w:jc w:val="both"/>
      </w:pPr>
      <w:r>
        <w:rPr>
          <w:rFonts w:ascii="Arial" w:hAnsi="Arial"/>
          <w:b/>
        </w:rPr>
        <w:t>El mercad</w:t>
      </w:r>
      <w:r>
        <w:rPr>
          <w:rFonts w:ascii="Arial" w:hAnsi="Arial"/>
          <w:b/>
        </w:rPr>
        <w:t xml:space="preserve">o internacional: </w:t>
      </w:r>
      <w:r>
        <w:t>Para el total de los turistas internacionales encuestados, la tienda física local es el canal indispensable; no consideran el canal online para este tipo de producto. Sin embargo, este segmento presentó</w:t>
      </w:r>
      <w:r>
        <w:rPr>
          <w:spacing w:val="40"/>
        </w:rPr>
        <w:t xml:space="preserve"> </w:t>
      </w:r>
      <w:r>
        <w:t>una particularidad: el 33.3% selecci</w:t>
      </w:r>
      <w:r>
        <w:t>onó el pop-up en aeropuerto u hotel, diez veces más que el turista nacional, que apenas registró un 3%.</w:t>
      </w:r>
    </w:p>
    <w:p w:rsidR="009B4BB4" w:rsidRDefault="00C44001" w:rsidP="00C44001">
      <w:pPr>
        <w:pStyle w:val="Prrafodelista"/>
        <w:numPr>
          <w:ilvl w:val="1"/>
          <w:numId w:val="34"/>
        </w:numPr>
        <w:tabs>
          <w:tab w:val="left" w:pos="1863"/>
          <w:tab w:val="left" w:pos="1865"/>
        </w:tabs>
        <w:spacing w:line="360" w:lineRule="auto"/>
        <w:ind w:right="604"/>
        <w:jc w:val="both"/>
      </w:pPr>
      <w:r>
        <w:rPr>
          <w:rFonts w:ascii="Arial" w:hAnsi="Arial"/>
          <w:b/>
        </w:rPr>
        <w:t xml:space="preserve">Implicación estratégica para Guardiana: </w:t>
      </w:r>
      <w:r>
        <w:t>El turista</w:t>
      </w:r>
      <w:r>
        <w:rPr>
          <w:spacing w:val="-5"/>
        </w:rPr>
        <w:t xml:space="preserve"> </w:t>
      </w:r>
      <w:r>
        <w:t>internacional</w:t>
      </w:r>
      <w:r>
        <w:rPr>
          <w:spacing w:val="-5"/>
        </w:rPr>
        <w:t xml:space="preserve"> </w:t>
      </w:r>
      <w:r>
        <w:t>tiende</w:t>
      </w:r>
      <w:r>
        <w:rPr>
          <w:spacing w:val="-5"/>
        </w:rPr>
        <w:t xml:space="preserve"> </w:t>
      </w:r>
      <w:r>
        <w:t>a realizar compras</w:t>
      </w:r>
      <w:r>
        <w:rPr>
          <w:spacing w:val="-5"/>
        </w:rPr>
        <w:t xml:space="preserve"> </w:t>
      </w:r>
      <w:r>
        <w:t>de</w:t>
      </w:r>
      <w:r>
        <w:rPr>
          <w:spacing w:val="-5"/>
        </w:rPr>
        <w:t xml:space="preserve"> </w:t>
      </w:r>
      <w:r>
        <w:t>impulso</w:t>
      </w:r>
      <w:r>
        <w:rPr>
          <w:spacing w:val="-5"/>
        </w:rPr>
        <w:t xml:space="preserve"> </w:t>
      </w:r>
      <w:r>
        <w:t>de</w:t>
      </w:r>
      <w:r>
        <w:rPr>
          <w:spacing w:val="-5"/>
        </w:rPr>
        <w:t xml:space="preserve"> </w:t>
      </w:r>
      <w:r>
        <w:t>último</w:t>
      </w:r>
      <w:r>
        <w:rPr>
          <w:spacing w:val="-5"/>
        </w:rPr>
        <w:t xml:space="preserve"> </w:t>
      </w:r>
      <w:r>
        <w:t>momento.</w:t>
      </w:r>
      <w:r>
        <w:rPr>
          <w:spacing w:val="-5"/>
        </w:rPr>
        <w:t xml:space="preserve"> </w:t>
      </w:r>
      <w:r>
        <w:t>Guardiana</w:t>
      </w:r>
      <w:r>
        <w:rPr>
          <w:spacing w:val="-5"/>
        </w:rPr>
        <w:t xml:space="preserve"> </w:t>
      </w:r>
      <w:r>
        <w:t>debe</w:t>
      </w:r>
      <w:r>
        <w:rPr>
          <w:spacing w:val="-5"/>
        </w:rPr>
        <w:t xml:space="preserve"> </w:t>
      </w:r>
      <w:r>
        <w:t>asegurar presenc</w:t>
      </w:r>
      <w:r>
        <w:t>ia en boutiques de hoteles de lujo en la Riviera Maya o</w:t>
      </w:r>
      <w:r>
        <w:rPr>
          <w:spacing w:val="-3"/>
        </w:rPr>
        <w:t xml:space="preserve"> </w:t>
      </w:r>
      <w:r>
        <w:t>Duty</w:t>
      </w:r>
      <w:r>
        <w:rPr>
          <w:spacing w:val="-3"/>
        </w:rPr>
        <w:t xml:space="preserve"> </w:t>
      </w:r>
      <w:r>
        <w:t>Free de</w:t>
      </w:r>
      <w:r>
        <w:rPr>
          <w:spacing w:val="26"/>
        </w:rPr>
        <w:t xml:space="preserve"> </w:t>
      </w:r>
      <w:r>
        <w:t>Cancún/Mérida,</w:t>
      </w:r>
      <w:r>
        <w:rPr>
          <w:spacing w:val="26"/>
        </w:rPr>
        <w:t xml:space="preserve"> </w:t>
      </w:r>
      <w:r>
        <w:t>ya</w:t>
      </w:r>
      <w:r>
        <w:rPr>
          <w:spacing w:val="26"/>
        </w:rPr>
        <w:t xml:space="preserve"> </w:t>
      </w:r>
      <w:r>
        <w:t>que,</w:t>
      </w:r>
      <w:r>
        <w:rPr>
          <w:spacing w:val="26"/>
        </w:rPr>
        <w:t xml:space="preserve"> </w:t>
      </w:r>
      <w:r>
        <w:t>una vez que el turista internacional regresa a</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865" w:right="613"/>
        <w:jc w:val="both"/>
      </w:pPr>
      <w:proofErr w:type="gramStart"/>
      <w:r>
        <w:lastRenderedPageBreak/>
        <w:t>su</w:t>
      </w:r>
      <w:proofErr w:type="gramEnd"/>
      <w:r>
        <w:t xml:space="preserve"> país, la recompra es logísticamente inviable. En este caso, el canal</w:t>
      </w:r>
      <w:r>
        <w:rPr>
          <w:spacing w:val="-4"/>
        </w:rPr>
        <w:t xml:space="preserve"> </w:t>
      </w:r>
      <w:r>
        <w:t>no solo facilita la compra, sino que la detona.</w:t>
      </w:r>
    </w:p>
    <w:p w:rsidR="009B4BB4" w:rsidRDefault="00C44001" w:rsidP="00C44001">
      <w:pPr>
        <w:pStyle w:val="Prrafodelista"/>
        <w:numPr>
          <w:ilvl w:val="0"/>
          <w:numId w:val="34"/>
        </w:numPr>
        <w:tabs>
          <w:tab w:val="left" w:pos="1143"/>
          <w:tab w:val="left" w:pos="1145"/>
        </w:tabs>
        <w:spacing w:before="0" w:line="360" w:lineRule="auto"/>
        <w:ind w:right="603"/>
        <w:jc w:val="both"/>
      </w:pPr>
      <w:r>
        <w:rPr>
          <w:rFonts w:ascii="Arial" w:hAnsi="Arial"/>
          <w:b/>
        </w:rPr>
        <w:t xml:space="preserve">El mercado nacional: </w:t>
      </w:r>
      <w:r>
        <w:t>En contraste, el turista nacional y residente</w:t>
      </w:r>
      <w:r>
        <w:rPr>
          <w:spacing w:val="-3"/>
        </w:rPr>
        <w:t xml:space="preserve"> </w:t>
      </w:r>
      <w:r>
        <w:t>local,</w:t>
      </w:r>
      <w:r>
        <w:rPr>
          <w:spacing w:val="-3"/>
        </w:rPr>
        <w:t xml:space="preserve"> </w:t>
      </w:r>
      <w:r>
        <w:t>muestra un comportamiento omnicanal consolidado. Aunque valoran la tienda física (89.7%), el 70.6% de los consumidores mexicanos requi</w:t>
      </w:r>
      <w:r>
        <w:t xml:space="preserve">ere presencia en </w:t>
      </w:r>
      <w:r>
        <w:rPr>
          <w:rFonts w:ascii="Arial" w:hAnsi="Arial"/>
          <w:i/>
          <w:spacing w:val="-2"/>
        </w:rPr>
        <w:t>marketplaces</w:t>
      </w:r>
      <w:r>
        <w:rPr>
          <w:spacing w:val="-2"/>
        </w:rPr>
        <w:t>.</w:t>
      </w:r>
    </w:p>
    <w:p w:rsidR="009B4BB4" w:rsidRDefault="00C44001" w:rsidP="00C44001">
      <w:pPr>
        <w:pStyle w:val="Prrafodelista"/>
        <w:numPr>
          <w:ilvl w:val="1"/>
          <w:numId w:val="34"/>
        </w:numPr>
        <w:tabs>
          <w:tab w:val="left" w:pos="1863"/>
          <w:tab w:val="left" w:pos="1865"/>
        </w:tabs>
        <w:spacing w:before="0" w:line="360" w:lineRule="auto"/>
        <w:ind w:right="606"/>
        <w:jc w:val="both"/>
      </w:pPr>
      <w:r>
        <w:rPr>
          <w:rFonts w:ascii="Arial" w:hAnsi="Arial"/>
          <w:b/>
        </w:rPr>
        <w:t xml:space="preserve">Implicación estratégica para Guardiana: </w:t>
      </w:r>
      <w:r>
        <w:t>La tienda física en Valladolid funciona como canal de adquisición para el cliente nacional, Amazon y Mercadolibre funcionan como motor de retención y aumento del valor del cliente en el</w:t>
      </w:r>
      <w:r>
        <w:t xml:space="preserve"> tiempo. El consumidor</w:t>
      </w:r>
      <w:r>
        <w:rPr>
          <w:spacing w:val="-3"/>
        </w:rPr>
        <w:t xml:space="preserve"> </w:t>
      </w:r>
      <w:r>
        <w:t>nacional</w:t>
      </w:r>
      <w:r>
        <w:rPr>
          <w:spacing w:val="-3"/>
        </w:rPr>
        <w:t xml:space="preserve"> </w:t>
      </w:r>
      <w:r>
        <w:t>que</w:t>
      </w:r>
      <w:r>
        <w:rPr>
          <w:spacing w:val="-3"/>
        </w:rPr>
        <w:t xml:space="preserve"> </w:t>
      </w:r>
      <w:r>
        <w:t>prueba</w:t>
      </w:r>
      <w:r>
        <w:rPr>
          <w:spacing w:val="-3"/>
        </w:rPr>
        <w:t xml:space="preserve"> </w:t>
      </w:r>
      <w:r>
        <w:t>la</w:t>
      </w:r>
      <w:r>
        <w:rPr>
          <w:spacing w:val="-3"/>
        </w:rPr>
        <w:t xml:space="preserve"> </w:t>
      </w:r>
      <w:r>
        <w:t>miel</w:t>
      </w:r>
      <w:r>
        <w:rPr>
          <w:spacing w:val="-3"/>
        </w:rPr>
        <w:t xml:space="preserve"> </w:t>
      </w:r>
      <w:r>
        <w:t>en</w:t>
      </w:r>
      <w:r>
        <w:rPr>
          <w:spacing w:val="-3"/>
        </w:rPr>
        <w:t xml:space="preserve"> </w:t>
      </w:r>
      <w:r>
        <w:t>destino y comprueba sus beneficios medicinales buscará reabastecerse a través de</w:t>
      </w:r>
      <w:r>
        <w:rPr>
          <w:spacing w:val="-4"/>
        </w:rPr>
        <w:t xml:space="preserve"> </w:t>
      </w:r>
      <w:r>
        <w:t>envío</w:t>
      </w:r>
      <w:r>
        <w:rPr>
          <w:spacing w:val="-4"/>
        </w:rPr>
        <w:t xml:space="preserve"> </w:t>
      </w:r>
      <w:r>
        <w:t>rápido,</w:t>
      </w:r>
      <w:r>
        <w:rPr>
          <w:spacing w:val="-4"/>
        </w:rPr>
        <w:t xml:space="preserve"> </w:t>
      </w:r>
      <w:r>
        <w:t>aun</w:t>
      </w:r>
      <w:r>
        <w:rPr>
          <w:spacing w:val="-4"/>
        </w:rPr>
        <w:t xml:space="preserve"> </w:t>
      </w:r>
      <w:r>
        <w:t>cuando</w:t>
      </w:r>
      <w:r>
        <w:rPr>
          <w:spacing w:val="-4"/>
        </w:rPr>
        <w:t xml:space="preserve"> </w:t>
      </w:r>
      <w:r>
        <w:t>ya</w:t>
      </w:r>
      <w:r>
        <w:rPr>
          <w:spacing w:val="-4"/>
        </w:rPr>
        <w:t xml:space="preserve"> </w:t>
      </w:r>
      <w:r>
        <w:t>no</w:t>
      </w:r>
      <w:r>
        <w:rPr>
          <w:spacing w:val="-4"/>
        </w:rPr>
        <w:t xml:space="preserve"> </w:t>
      </w:r>
      <w:r>
        <w:t>se</w:t>
      </w:r>
      <w:r>
        <w:rPr>
          <w:spacing w:val="-4"/>
        </w:rPr>
        <w:t xml:space="preserve"> </w:t>
      </w:r>
      <w:r>
        <w:t>encuentre</w:t>
      </w:r>
      <w:r>
        <w:rPr>
          <w:spacing w:val="-4"/>
        </w:rPr>
        <w:t xml:space="preserve"> </w:t>
      </w:r>
      <w:r>
        <w:t>en</w:t>
      </w:r>
      <w:r>
        <w:rPr>
          <w:spacing w:val="-4"/>
        </w:rPr>
        <w:t xml:space="preserve"> </w:t>
      </w:r>
      <w:r>
        <w:t>el</w:t>
      </w:r>
      <w:r>
        <w:rPr>
          <w:spacing w:val="-4"/>
        </w:rPr>
        <w:t xml:space="preserve"> </w:t>
      </w:r>
      <w:r>
        <w:t>destino.</w:t>
      </w:r>
      <w:r>
        <w:rPr>
          <w:spacing w:val="-4"/>
        </w:rPr>
        <w:t xml:space="preserve"> </w:t>
      </w:r>
      <w:r>
        <w:t>En</w:t>
      </w:r>
      <w:r>
        <w:rPr>
          <w:spacing w:val="-4"/>
        </w:rPr>
        <w:t xml:space="preserve"> </w:t>
      </w:r>
      <w:r>
        <w:t>términos de distribución, el canal físico captura la demand</w:t>
      </w:r>
      <w:r>
        <w:t>a, mientras que el canal digital la sostiene en el tiempo.</w:t>
      </w:r>
    </w:p>
    <w:p w:rsidR="009B4BB4" w:rsidRDefault="009B4BB4">
      <w:pPr>
        <w:pStyle w:val="Textoindependiente"/>
        <w:spacing w:before="127"/>
      </w:pPr>
    </w:p>
    <w:p w:rsidR="009B4BB4" w:rsidRDefault="00C44001">
      <w:pPr>
        <w:pStyle w:val="Ttulo1"/>
      </w:pPr>
      <w:r>
        <w:t>Figura</w:t>
      </w:r>
      <w:r>
        <w:rPr>
          <w:spacing w:val="-8"/>
        </w:rPr>
        <w:t xml:space="preserve"> </w:t>
      </w:r>
      <w:r>
        <w:rPr>
          <w:spacing w:val="-4"/>
        </w:rPr>
        <w:t>4.13</w:t>
      </w:r>
    </w:p>
    <w:p w:rsidR="009B4BB4" w:rsidRDefault="00C44001">
      <w:pPr>
        <w:spacing w:before="38" w:line="276" w:lineRule="auto"/>
        <w:ind w:left="425" w:right="671" w:firstLine="30"/>
        <w:rPr>
          <w:rFonts w:ascii="Arial" w:hAnsi="Arial"/>
          <w:i/>
        </w:rPr>
      </w:pPr>
      <w:r>
        <w:rPr>
          <w:rFonts w:ascii="Arial" w:hAnsi="Arial"/>
          <w:i/>
        </w:rPr>
        <w:t>Preferencia</w:t>
      </w:r>
      <w:r>
        <w:rPr>
          <w:rFonts w:ascii="Arial" w:hAnsi="Arial"/>
          <w:i/>
          <w:spacing w:val="40"/>
        </w:rPr>
        <w:t xml:space="preserve"> </w:t>
      </w:r>
      <w:r>
        <w:rPr>
          <w:rFonts w:ascii="Arial" w:hAnsi="Arial"/>
          <w:i/>
        </w:rPr>
        <w:t>de</w:t>
      </w:r>
      <w:r>
        <w:rPr>
          <w:rFonts w:ascii="Arial" w:hAnsi="Arial"/>
          <w:i/>
          <w:spacing w:val="40"/>
        </w:rPr>
        <w:t xml:space="preserve"> </w:t>
      </w:r>
      <w:r>
        <w:rPr>
          <w:rFonts w:ascii="Arial" w:hAnsi="Arial"/>
          <w:i/>
        </w:rPr>
        <w:t>canales</w:t>
      </w:r>
      <w:r>
        <w:rPr>
          <w:rFonts w:ascii="Arial" w:hAnsi="Arial"/>
          <w:i/>
          <w:spacing w:val="40"/>
        </w:rPr>
        <w:t xml:space="preserve"> </w:t>
      </w:r>
      <w:r>
        <w:rPr>
          <w:rFonts w:ascii="Arial" w:hAnsi="Arial"/>
          <w:i/>
        </w:rPr>
        <w:t>de</w:t>
      </w:r>
      <w:r>
        <w:rPr>
          <w:rFonts w:ascii="Arial" w:hAnsi="Arial"/>
          <w:i/>
          <w:spacing w:val="40"/>
        </w:rPr>
        <w:t xml:space="preserve"> </w:t>
      </w:r>
      <w:r>
        <w:rPr>
          <w:rFonts w:ascii="Arial" w:hAnsi="Arial"/>
          <w:i/>
        </w:rPr>
        <w:t xml:space="preserve">distribución y comercialización segmentados por origen del </w:t>
      </w:r>
      <w:r>
        <w:rPr>
          <w:rFonts w:ascii="Arial" w:hAnsi="Arial"/>
          <w:i/>
          <w:spacing w:val="-2"/>
        </w:rPr>
        <w:t>turismo</w:t>
      </w:r>
    </w:p>
    <w:p w:rsidR="009B4BB4" w:rsidRDefault="00C44001">
      <w:pPr>
        <w:pStyle w:val="Textoindependiente"/>
        <w:spacing w:before="197"/>
        <w:rPr>
          <w:rFonts w:ascii="Arial"/>
          <w:i/>
          <w:sz w:val="20"/>
        </w:rPr>
      </w:pPr>
      <w:r>
        <w:rPr>
          <w:rFonts w:ascii="Arial"/>
          <w:i/>
          <w:noProof/>
          <w:sz w:val="20"/>
          <w:lang w:val="es-AR" w:eastAsia="es-AR"/>
        </w:rPr>
        <w:drawing>
          <wp:anchor distT="0" distB="0" distL="0" distR="0" simplePos="0" relativeHeight="487600128" behindDoc="1" locked="0" layoutInCell="1" allowOverlap="1">
            <wp:simplePos x="0" y="0"/>
            <wp:positionH relativeFrom="page">
              <wp:posOffset>1612790</wp:posOffset>
            </wp:positionH>
            <wp:positionV relativeFrom="paragraph">
              <wp:posOffset>286878</wp:posOffset>
            </wp:positionV>
            <wp:extent cx="4559949" cy="2102834"/>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4" cstate="print"/>
                    <a:stretch>
                      <a:fillRect/>
                    </a:stretch>
                  </pic:blipFill>
                  <pic:spPr>
                    <a:xfrm>
                      <a:off x="0" y="0"/>
                      <a:ext cx="4559949" cy="2102834"/>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58"/>
        <w:rPr>
          <w:rFonts w:ascii="Arial"/>
          <w:i/>
        </w:rPr>
      </w:pPr>
    </w:p>
    <w:p w:rsidR="009B4BB4" w:rsidRDefault="00C44001">
      <w:pPr>
        <w:pStyle w:val="Textoindependiente"/>
        <w:spacing w:before="0" w:line="360" w:lineRule="auto"/>
        <w:ind w:left="425" w:right="671" w:firstLine="30"/>
      </w:pPr>
      <w:r>
        <w:rPr>
          <w:rFonts w:ascii="Arial" w:hAnsi="Arial"/>
          <w:i/>
        </w:rPr>
        <w:t xml:space="preserve">Nota. </w:t>
      </w:r>
      <w:r>
        <w:t>Comparativa de canales de adquisición y recompra (</w:t>
      </w:r>
      <w:r>
        <w:rPr>
          <w:rFonts w:ascii="Arial" w:hAnsi="Arial"/>
          <w:i/>
        </w:rPr>
        <w:t xml:space="preserve">n </w:t>
      </w:r>
      <w:r>
        <w:t>= 400). Se identifica la tienda</w:t>
      </w:r>
      <w:r>
        <w:rPr>
          <w:spacing w:val="-4"/>
        </w:rPr>
        <w:t xml:space="preserve"> </w:t>
      </w:r>
      <w:r>
        <w:t>física</w:t>
      </w:r>
      <w:r>
        <w:rPr>
          <w:spacing w:val="-4"/>
        </w:rPr>
        <w:t xml:space="preserve"> </w:t>
      </w:r>
      <w:r>
        <w:t>como</w:t>
      </w:r>
      <w:r>
        <w:rPr>
          <w:spacing w:val="-4"/>
        </w:rPr>
        <w:t xml:space="preserve"> </w:t>
      </w:r>
      <w:r>
        <w:t>punto</w:t>
      </w:r>
      <w:r>
        <w:rPr>
          <w:spacing w:val="-4"/>
        </w:rPr>
        <w:t xml:space="preserve"> </w:t>
      </w:r>
      <w:r>
        <w:t>de</w:t>
      </w:r>
      <w:r>
        <w:rPr>
          <w:spacing w:val="-4"/>
        </w:rPr>
        <w:t xml:space="preserve"> </w:t>
      </w:r>
      <w:r>
        <w:t>conversión</w:t>
      </w:r>
      <w:r>
        <w:rPr>
          <w:spacing w:val="-4"/>
        </w:rPr>
        <w:t xml:space="preserve"> </w:t>
      </w:r>
      <w:r>
        <w:t>crítico</w:t>
      </w:r>
      <w:r>
        <w:rPr>
          <w:spacing w:val="-4"/>
        </w:rPr>
        <w:t xml:space="preserve"> </w:t>
      </w:r>
      <w:r>
        <w:t>y</w:t>
      </w:r>
      <w:r>
        <w:rPr>
          <w:spacing w:val="-4"/>
        </w:rPr>
        <w:t xml:space="preserve"> </w:t>
      </w:r>
      <w:r>
        <w:t>los</w:t>
      </w:r>
      <w:r>
        <w:rPr>
          <w:spacing w:val="-4"/>
        </w:rPr>
        <w:t xml:space="preserve"> </w:t>
      </w:r>
      <w:r>
        <w:rPr>
          <w:rFonts w:ascii="Arial" w:hAnsi="Arial"/>
          <w:i/>
        </w:rPr>
        <w:t>marketplaces</w:t>
      </w:r>
      <w:r>
        <w:rPr>
          <w:rFonts w:ascii="Arial" w:hAnsi="Arial"/>
          <w:i/>
          <w:spacing w:val="-4"/>
        </w:rPr>
        <w:t xml:space="preserve"> </w:t>
      </w:r>
      <w:r>
        <w:t>como</w:t>
      </w:r>
      <w:r>
        <w:rPr>
          <w:spacing w:val="-4"/>
        </w:rPr>
        <w:t xml:space="preserve"> </w:t>
      </w:r>
      <w:r>
        <w:t>canal</w:t>
      </w:r>
      <w:r>
        <w:rPr>
          <w:spacing w:val="-4"/>
        </w:rPr>
        <w:t xml:space="preserve"> </w:t>
      </w:r>
      <w:r>
        <w:t>preferente para el mercado nacional. Elaboración propia (2025).</w:t>
      </w:r>
    </w:p>
    <w:p w:rsidR="009B4BB4" w:rsidRDefault="009B4BB4">
      <w:pPr>
        <w:pStyle w:val="Textoindependiente"/>
        <w:spacing w:line="360" w:lineRule="auto"/>
        <w:sectPr w:rsidR="009B4BB4">
          <w:pgSz w:w="11920" w:h="16840"/>
          <w:pgMar w:top="1500" w:right="850" w:bottom="1940" w:left="1275" w:header="0" w:footer="1747" w:gutter="0"/>
          <w:cols w:space="720"/>
        </w:sectPr>
      </w:pPr>
    </w:p>
    <w:p w:rsidR="009B4BB4" w:rsidRDefault="00C44001" w:rsidP="00C44001">
      <w:pPr>
        <w:pStyle w:val="Ttulo2"/>
        <w:numPr>
          <w:ilvl w:val="2"/>
          <w:numId w:val="38"/>
        </w:numPr>
        <w:tabs>
          <w:tab w:val="left" w:pos="970"/>
        </w:tabs>
        <w:spacing w:before="79"/>
        <w:ind w:left="970" w:hanging="545"/>
        <w:jc w:val="left"/>
      </w:pPr>
      <w:bookmarkStart w:id="157" w:name="4.7.2_Atributos_de_valor_y_ejes_de_comun"/>
      <w:bookmarkStart w:id="158" w:name="h.x73wac2w9qj3"/>
      <w:bookmarkEnd w:id="157"/>
      <w:bookmarkEnd w:id="158"/>
      <w:r>
        <w:lastRenderedPageBreak/>
        <w:t>Atributos</w:t>
      </w:r>
      <w:r>
        <w:rPr>
          <w:spacing w:val="-4"/>
        </w:rPr>
        <w:t xml:space="preserve"> </w:t>
      </w:r>
      <w:r>
        <w:t>de</w:t>
      </w:r>
      <w:r>
        <w:rPr>
          <w:spacing w:val="-4"/>
        </w:rPr>
        <w:t xml:space="preserve"> </w:t>
      </w:r>
      <w:r>
        <w:t>valor</w:t>
      </w:r>
      <w:r>
        <w:rPr>
          <w:spacing w:val="-4"/>
        </w:rPr>
        <w:t xml:space="preserve"> </w:t>
      </w:r>
      <w:r>
        <w:t>y</w:t>
      </w:r>
      <w:r>
        <w:rPr>
          <w:spacing w:val="-4"/>
        </w:rPr>
        <w:t xml:space="preserve"> </w:t>
      </w:r>
      <w:r>
        <w:t>ejes</w:t>
      </w:r>
      <w:r>
        <w:rPr>
          <w:spacing w:val="-4"/>
        </w:rPr>
        <w:t xml:space="preserve"> </w:t>
      </w:r>
      <w:r>
        <w:t>de</w:t>
      </w:r>
      <w:r>
        <w:rPr>
          <w:spacing w:val="-3"/>
        </w:rPr>
        <w:t xml:space="preserve"> </w:t>
      </w:r>
      <w:r>
        <w:rPr>
          <w:spacing w:val="-2"/>
        </w:rPr>
        <w:t>comunicación</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9" w:firstLine="720"/>
        <w:jc w:val="both"/>
      </w:pPr>
      <w:r>
        <w:t xml:space="preserve">Para definir la jerarquía de </w:t>
      </w:r>
      <w:r>
        <w:t>los mensajes en el empaque y en las campañas publicitarias, se pidió a los encuestados que seleccionaran</w:t>
      </w:r>
      <w:r>
        <w:rPr>
          <w:spacing w:val="-4"/>
        </w:rPr>
        <w:t xml:space="preserve"> </w:t>
      </w:r>
      <w:r>
        <w:t>los</w:t>
      </w:r>
      <w:r>
        <w:rPr>
          <w:spacing w:val="-4"/>
        </w:rPr>
        <w:t xml:space="preserve"> </w:t>
      </w:r>
      <w:r>
        <w:t>atributos</w:t>
      </w:r>
      <w:r>
        <w:rPr>
          <w:spacing w:val="-4"/>
        </w:rPr>
        <w:t xml:space="preserve"> </w:t>
      </w:r>
      <w:r>
        <w:t>que</w:t>
      </w:r>
      <w:r>
        <w:rPr>
          <w:spacing w:val="-4"/>
        </w:rPr>
        <w:t xml:space="preserve"> </w:t>
      </w:r>
      <w:r>
        <w:t>más</w:t>
      </w:r>
      <w:r>
        <w:rPr>
          <w:spacing w:val="-4"/>
        </w:rPr>
        <w:t xml:space="preserve"> </w:t>
      </w:r>
      <w:r>
        <w:t>valoran al</w:t>
      </w:r>
      <w:r>
        <w:rPr>
          <w:spacing w:val="26"/>
        </w:rPr>
        <w:t xml:space="preserve"> </w:t>
      </w:r>
      <w:r>
        <w:t>adquirir</w:t>
      </w:r>
      <w:r>
        <w:rPr>
          <w:spacing w:val="26"/>
        </w:rPr>
        <w:t xml:space="preserve"> </w:t>
      </w:r>
      <w:r>
        <w:t>miel</w:t>
      </w:r>
      <w:r>
        <w:rPr>
          <w:spacing w:val="26"/>
        </w:rPr>
        <w:t xml:space="preserve"> </w:t>
      </w:r>
      <w:r>
        <w:t>melipona</w:t>
      </w:r>
      <w:r>
        <w:rPr>
          <w:spacing w:val="26"/>
        </w:rPr>
        <w:t xml:space="preserve"> </w:t>
      </w:r>
      <w:r>
        <w:t>en</w:t>
      </w:r>
      <w:r>
        <w:rPr>
          <w:spacing w:val="26"/>
        </w:rPr>
        <w:t xml:space="preserve"> </w:t>
      </w:r>
      <w:r>
        <w:t>una</w:t>
      </w:r>
      <w:r>
        <w:rPr>
          <w:spacing w:val="26"/>
        </w:rPr>
        <w:t xml:space="preserve"> </w:t>
      </w:r>
      <w:r>
        <w:t xml:space="preserve">pregunta de opción múltiple. Al analizar la penetración de cada atributo en la muestra, </w:t>
      </w:r>
      <w:r>
        <w:t>se estableció la siguiente priorización:</w:t>
      </w:r>
    </w:p>
    <w:p w:rsidR="009B4BB4" w:rsidRDefault="009B4BB4">
      <w:pPr>
        <w:pStyle w:val="Textoindependiente"/>
        <w:spacing w:before="126"/>
      </w:pPr>
    </w:p>
    <w:p w:rsidR="009B4BB4" w:rsidRDefault="00C44001" w:rsidP="00C44001">
      <w:pPr>
        <w:pStyle w:val="Prrafodelista"/>
        <w:numPr>
          <w:ilvl w:val="3"/>
          <w:numId w:val="38"/>
        </w:numPr>
        <w:tabs>
          <w:tab w:val="left" w:pos="1145"/>
        </w:tabs>
        <w:spacing w:before="0"/>
      </w:pPr>
      <w:r>
        <w:t>Beneficios</w:t>
      </w:r>
      <w:r>
        <w:rPr>
          <w:spacing w:val="-6"/>
        </w:rPr>
        <w:t xml:space="preserve"> </w:t>
      </w:r>
      <w:r>
        <w:t>de</w:t>
      </w:r>
      <w:r>
        <w:rPr>
          <w:spacing w:val="-5"/>
        </w:rPr>
        <w:t xml:space="preserve"> </w:t>
      </w:r>
      <w:r>
        <w:t>salud</w:t>
      </w:r>
      <w:r>
        <w:rPr>
          <w:spacing w:val="-6"/>
        </w:rPr>
        <w:t xml:space="preserve"> </w:t>
      </w:r>
      <w:r>
        <w:t>documentados:</w:t>
      </w:r>
      <w:r>
        <w:rPr>
          <w:spacing w:val="-5"/>
        </w:rPr>
        <w:t xml:space="preserve"> </w:t>
      </w:r>
      <w:r>
        <w:t>87%</w:t>
      </w:r>
      <w:r>
        <w:rPr>
          <w:spacing w:val="-6"/>
        </w:rPr>
        <w:t xml:space="preserve"> </w:t>
      </w:r>
      <w:r>
        <w:t>de</w:t>
      </w:r>
      <w:r>
        <w:rPr>
          <w:spacing w:val="-5"/>
        </w:rPr>
        <w:t xml:space="preserve"> </w:t>
      </w:r>
      <w:r>
        <w:t>los</w:t>
      </w:r>
      <w:r>
        <w:rPr>
          <w:spacing w:val="-5"/>
        </w:rPr>
        <w:t xml:space="preserve"> </w:t>
      </w:r>
      <w:r>
        <w:rPr>
          <w:spacing w:val="-2"/>
        </w:rPr>
        <w:t>encuestados.</w:t>
      </w:r>
    </w:p>
    <w:p w:rsidR="009B4BB4" w:rsidRDefault="00C44001" w:rsidP="00C44001">
      <w:pPr>
        <w:pStyle w:val="Prrafodelista"/>
        <w:numPr>
          <w:ilvl w:val="3"/>
          <w:numId w:val="38"/>
        </w:numPr>
        <w:tabs>
          <w:tab w:val="left" w:pos="1145"/>
        </w:tabs>
        <w:spacing w:before="127"/>
      </w:pPr>
      <w:r>
        <w:t>Historia</w:t>
      </w:r>
      <w:r>
        <w:rPr>
          <w:spacing w:val="-6"/>
        </w:rPr>
        <w:t xml:space="preserve"> </w:t>
      </w:r>
      <w:r>
        <w:t>y</w:t>
      </w:r>
      <w:r>
        <w:rPr>
          <w:spacing w:val="-5"/>
        </w:rPr>
        <w:t xml:space="preserve"> </w:t>
      </w:r>
      <w:r>
        <w:t>origen:</w:t>
      </w:r>
      <w:r>
        <w:rPr>
          <w:spacing w:val="-5"/>
        </w:rPr>
        <w:t xml:space="preserve"> </w:t>
      </w:r>
      <w:r>
        <w:rPr>
          <w:spacing w:val="-2"/>
        </w:rPr>
        <w:t>47.7%</w:t>
      </w:r>
    </w:p>
    <w:p w:rsidR="009B4BB4" w:rsidRDefault="00C44001" w:rsidP="00C44001">
      <w:pPr>
        <w:pStyle w:val="Prrafodelista"/>
        <w:numPr>
          <w:ilvl w:val="3"/>
          <w:numId w:val="38"/>
        </w:numPr>
        <w:tabs>
          <w:tab w:val="left" w:pos="1145"/>
        </w:tabs>
        <w:spacing w:before="126"/>
      </w:pPr>
      <w:r>
        <w:t>Impacto</w:t>
      </w:r>
      <w:r>
        <w:rPr>
          <w:spacing w:val="-7"/>
        </w:rPr>
        <w:t xml:space="preserve"> </w:t>
      </w:r>
      <w:r>
        <w:t>social</w:t>
      </w:r>
      <w:r>
        <w:rPr>
          <w:spacing w:val="-6"/>
        </w:rPr>
        <w:t xml:space="preserve"> </w:t>
      </w:r>
      <w:r>
        <w:t>directo</w:t>
      </w:r>
      <w:r>
        <w:rPr>
          <w:spacing w:val="-7"/>
        </w:rPr>
        <w:t xml:space="preserve"> </w:t>
      </w:r>
      <w:r>
        <w:t>al</w:t>
      </w:r>
      <w:r>
        <w:rPr>
          <w:spacing w:val="-6"/>
        </w:rPr>
        <w:t xml:space="preserve"> </w:t>
      </w:r>
      <w:r>
        <w:t>productor:</w:t>
      </w:r>
      <w:r>
        <w:rPr>
          <w:spacing w:val="-6"/>
        </w:rPr>
        <w:t xml:space="preserve"> </w:t>
      </w:r>
      <w:r>
        <w:rPr>
          <w:spacing w:val="-2"/>
        </w:rPr>
        <w:t>43.5%</w:t>
      </w:r>
    </w:p>
    <w:p w:rsidR="009B4BB4" w:rsidRDefault="00C44001" w:rsidP="00C44001">
      <w:pPr>
        <w:pStyle w:val="Prrafodelista"/>
        <w:numPr>
          <w:ilvl w:val="3"/>
          <w:numId w:val="38"/>
        </w:numPr>
        <w:tabs>
          <w:tab w:val="left" w:pos="1145"/>
        </w:tabs>
        <w:spacing w:before="127"/>
      </w:pPr>
      <w:r>
        <w:t>Diseño</w:t>
      </w:r>
      <w:r>
        <w:rPr>
          <w:spacing w:val="-7"/>
        </w:rPr>
        <w:t xml:space="preserve"> </w:t>
      </w:r>
      <w:r>
        <w:t>y</w:t>
      </w:r>
      <w:r>
        <w:rPr>
          <w:spacing w:val="-7"/>
        </w:rPr>
        <w:t xml:space="preserve"> </w:t>
      </w:r>
      <w:r>
        <w:t>exclusividad:</w:t>
      </w:r>
      <w:r>
        <w:rPr>
          <w:spacing w:val="-6"/>
        </w:rPr>
        <w:t xml:space="preserve"> </w:t>
      </w:r>
      <w:r>
        <w:rPr>
          <w:spacing w:val="-2"/>
        </w:rPr>
        <w:t>21.7%</w:t>
      </w:r>
    </w:p>
    <w:p w:rsidR="009B4BB4" w:rsidRDefault="009B4BB4">
      <w:pPr>
        <w:pStyle w:val="Textoindependiente"/>
        <w:spacing w:before="0"/>
      </w:pPr>
    </w:p>
    <w:p w:rsidR="009B4BB4" w:rsidRDefault="009B4BB4">
      <w:pPr>
        <w:pStyle w:val="Textoindependiente"/>
        <w:spacing w:before="0"/>
      </w:pPr>
    </w:p>
    <w:p w:rsidR="009B4BB4" w:rsidRDefault="00C44001">
      <w:pPr>
        <w:pStyle w:val="Textoindependiente"/>
        <w:spacing w:before="0" w:line="360" w:lineRule="auto"/>
        <w:ind w:left="425" w:right="606" w:firstLine="720"/>
        <w:jc w:val="both"/>
      </w:pPr>
      <w:r>
        <w:t>La principal prioridad recae en la dimensión de la salud. Para casi 9 de cada 10 encuestados, las propiedades medicinales respaldadas son el principal detonador de compra, seguidas por la narrativa de origen y el impacto en la comunidad. El diseño estético</w:t>
      </w:r>
      <w:r>
        <w:t>, aunque relevante para justificar el precio premium, funciona como un complemento visual. En consecuencia, el posicionamiento de Guardiana no puede ser superficial; debe construirse sobre tres pilares: salud funcional, origen biocultural y comercio justo.</w:t>
      </w:r>
    </w:p>
    <w:p w:rsidR="009B4BB4" w:rsidRDefault="00C44001">
      <w:pPr>
        <w:pStyle w:val="Textoindependiente"/>
        <w:spacing w:line="360" w:lineRule="auto"/>
        <w:ind w:left="425" w:right="613" w:firstLine="720"/>
        <w:jc w:val="both"/>
      </w:pPr>
      <w:r>
        <w:t>Al analizar estas preferencias por segmento según el segmento de mercado, queda claro que los mensajes de venta no pueden ser uniformes. Las expectativas cambian según la procedencia del turista:</w:t>
      </w:r>
    </w:p>
    <w:p w:rsidR="009B4BB4" w:rsidRDefault="00C44001" w:rsidP="00C44001">
      <w:pPr>
        <w:pStyle w:val="Prrafodelista"/>
        <w:numPr>
          <w:ilvl w:val="0"/>
          <w:numId w:val="33"/>
        </w:numPr>
        <w:tabs>
          <w:tab w:val="left" w:pos="1143"/>
          <w:tab w:val="left" w:pos="1145"/>
        </w:tabs>
        <w:spacing w:line="360" w:lineRule="auto"/>
        <w:ind w:right="607"/>
        <w:jc w:val="both"/>
      </w:pPr>
      <w:r>
        <w:rPr>
          <w:rFonts w:ascii="Arial" w:hAnsi="Arial"/>
          <w:b/>
        </w:rPr>
        <w:t xml:space="preserve">Mercado nacional: </w:t>
      </w:r>
      <w:r>
        <w:t>En el mercado nacional, la salud es un re</w:t>
      </w:r>
      <w:r>
        <w:t>quisito básico. El 92.8% de los mexicanos</w:t>
      </w:r>
      <w:r>
        <w:rPr>
          <w:spacing w:val="-4"/>
        </w:rPr>
        <w:t xml:space="preserve"> </w:t>
      </w:r>
      <w:r>
        <w:t>espera</w:t>
      </w:r>
      <w:r>
        <w:rPr>
          <w:spacing w:val="-4"/>
        </w:rPr>
        <w:t xml:space="preserve"> </w:t>
      </w:r>
      <w:r>
        <w:t>ver</w:t>
      </w:r>
      <w:r>
        <w:rPr>
          <w:spacing w:val="-4"/>
        </w:rPr>
        <w:t xml:space="preserve"> </w:t>
      </w:r>
      <w:r>
        <w:t>beneficios</w:t>
      </w:r>
      <w:r>
        <w:rPr>
          <w:spacing w:val="-4"/>
        </w:rPr>
        <w:t xml:space="preserve"> </w:t>
      </w:r>
      <w:r>
        <w:t>de</w:t>
      </w:r>
      <w:r>
        <w:rPr>
          <w:spacing w:val="-4"/>
        </w:rPr>
        <w:t xml:space="preserve"> </w:t>
      </w:r>
      <w:r>
        <w:t>salud</w:t>
      </w:r>
      <w:r>
        <w:rPr>
          <w:spacing w:val="-4"/>
        </w:rPr>
        <w:t xml:space="preserve"> </w:t>
      </w:r>
      <w:r>
        <w:t>claramente</w:t>
      </w:r>
      <w:r>
        <w:rPr>
          <w:spacing w:val="-4"/>
        </w:rPr>
        <w:t xml:space="preserve"> </w:t>
      </w:r>
      <w:r>
        <w:t>comunicados. En contraste, su interés por el diseño y exclusividad es el más bajo de todos los segmentos, apenas 18.4%.</w:t>
      </w:r>
    </w:p>
    <w:p w:rsidR="009B4BB4" w:rsidRDefault="00C44001" w:rsidP="00C44001">
      <w:pPr>
        <w:pStyle w:val="Prrafodelista"/>
        <w:numPr>
          <w:ilvl w:val="1"/>
          <w:numId w:val="33"/>
        </w:numPr>
        <w:tabs>
          <w:tab w:val="left" w:pos="1863"/>
          <w:tab w:val="left" w:pos="1865"/>
        </w:tabs>
        <w:spacing w:line="360" w:lineRule="auto"/>
        <w:ind w:right="609"/>
        <w:jc w:val="both"/>
      </w:pPr>
      <w:r>
        <w:rPr>
          <w:rFonts w:ascii="Arial" w:hAnsi="Arial"/>
          <w:b/>
        </w:rPr>
        <w:t xml:space="preserve">Implicación estratégica para Guardiana: </w:t>
      </w:r>
      <w:r>
        <w:t>Cuando Guard</w:t>
      </w:r>
      <w:r>
        <w:t>iana le</w:t>
      </w:r>
      <w:r>
        <w:rPr>
          <w:spacing w:val="-4"/>
        </w:rPr>
        <w:t xml:space="preserve"> </w:t>
      </w:r>
      <w:r>
        <w:t>venda</w:t>
      </w:r>
      <w:r>
        <w:rPr>
          <w:spacing w:val="-4"/>
        </w:rPr>
        <w:t xml:space="preserve"> </w:t>
      </w:r>
      <w:r>
        <w:t>al mercado nacional, la primera línea de comunicación debe ser funcional, por ejemplo, “Extracto probiótico y antibacteriano natural”.</w:t>
      </w:r>
    </w:p>
    <w:p w:rsidR="009B4BB4" w:rsidRDefault="00C44001" w:rsidP="00C44001">
      <w:pPr>
        <w:pStyle w:val="Prrafodelista"/>
        <w:numPr>
          <w:ilvl w:val="0"/>
          <w:numId w:val="33"/>
        </w:numPr>
        <w:tabs>
          <w:tab w:val="left" w:pos="1143"/>
          <w:tab w:val="left" w:pos="1145"/>
        </w:tabs>
        <w:spacing w:line="360" w:lineRule="auto"/>
        <w:ind w:right="608"/>
        <w:jc w:val="both"/>
      </w:pPr>
      <w:r>
        <w:rPr>
          <w:rFonts w:ascii="Arial" w:hAnsi="Arial"/>
          <w:b/>
        </w:rPr>
        <w:t xml:space="preserve">Mercado internacional: </w:t>
      </w:r>
      <w:r>
        <w:t>Aunque el turista internacional también valora la salud, sus intereses secundarios s</w:t>
      </w:r>
      <w:r>
        <w:t>on mucho más altos que los</w:t>
      </w:r>
      <w:r>
        <w:rPr>
          <w:spacing w:val="-4"/>
        </w:rPr>
        <w:t xml:space="preserve"> </w:t>
      </w:r>
      <w:r>
        <w:t>del</w:t>
      </w:r>
      <w:r>
        <w:rPr>
          <w:spacing w:val="-4"/>
        </w:rPr>
        <w:t xml:space="preserve"> </w:t>
      </w:r>
      <w:r>
        <w:t>mercado</w:t>
      </w:r>
      <w:r>
        <w:rPr>
          <w:spacing w:val="-4"/>
        </w:rPr>
        <w:t xml:space="preserve"> </w:t>
      </w:r>
      <w:r>
        <w:t>nacional.</w:t>
      </w:r>
      <w:r>
        <w:rPr>
          <w:spacing w:val="-4"/>
        </w:rPr>
        <w:t xml:space="preserve"> </w:t>
      </w:r>
      <w:r>
        <w:t>El</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33"/>
      </w:pPr>
      <w:r>
        <w:lastRenderedPageBreak/>
        <w:t>52.4% del mercado internacional</w:t>
      </w:r>
      <w:r>
        <w:rPr>
          <w:spacing w:val="-6"/>
        </w:rPr>
        <w:t xml:space="preserve"> </w:t>
      </w:r>
      <w:r>
        <w:t>valora</w:t>
      </w:r>
      <w:r>
        <w:rPr>
          <w:spacing w:val="-6"/>
        </w:rPr>
        <w:t xml:space="preserve"> </w:t>
      </w:r>
      <w:r>
        <w:t>“Historia</w:t>
      </w:r>
      <w:r>
        <w:rPr>
          <w:spacing w:val="-6"/>
        </w:rPr>
        <w:t xml:space="preserve"> </w:t>
      </w:r>
      <w:r>
        <w:t>y</w:t>
      </w:r>
      <w:r>
        <w:rPr>
          <w:spacing w:val="-6"/>
        </w:rPr>
        <w:t xml:space="preserve"> </w:t>
      </w:r>
      <w:r>
        <w:t>Origen”</w:t>
      </w:r>
      <w:r>
        <w:rPr>
          <w:spacing w:val="-6"/>
        </w:rPr>
        <w:t xml:space="preserve"> </w:t>
      </w:r>
      <w:r>
        <w:t>y,</w:t>
      </w:r>
      <w:r>
        <w:rPr>
          <w:spacing w:val="-6"/>
        </w:rPr>
        <w:t xml:space="preserve"> </w:t>
      </w:r>
      <w:r>
        <w:t>más</w:t>
      </w:r>
      <w:r>
        <w:rPr>
          <w:spacing w:val="-6"/>
        </w:rPr>
        <w:t xml:space="preserve"> </w:t>
      </w:r>
      <w:r>
        <w:t>importante</w:t>
      </w:r>
      <w:r>
        <w:rPr>
          <w:spacing w:val="-6"/>
        </w:rPr>
        <w:t xml:space="preserve"> </w:t>
      </w:r>
      <w:r>
        <w:t>aún, el 33.3% prioriza el diseño y la exclusividad; casi el doble que el mexicano.</w:t>
      </w:r>
    </w:p>
    <w:p w:rsidR="009B4BB4" w:rsidRDefault="00C44001" w:rsidP="00C44001">
      <w:pPr>
        <w:pStyle w:val="Prrafodelista"/>
        <w:numPr>
          <w:ilvl w:val="1"/>
          <w:numId w:val="33"/>
        </w:numPr>
        <w:tabs>
          <w:tab w:val="left" w:pos="1863"/>
          <w:tab w:val="left" w:pos="1865"/>
        </w:tabs>
        <w:spacing w:line="360" w:lineRule="auto"/>
        <w:ind w:right="606"/>
        <w:jc w:val="both"/>
      </w:pPr>
      <w:r>
        <w:rPr>
          <w:rFonts w:ascii="Arial" w:hAnsi="Arial"/>
          <w:b/>
        </w:rPr>
        <w:t>Implicación</w:t>
      </w:r>
      <w:r>
        <w:rPr>
          <w:rFonts w:ascii="Arial" w:hAnsi="Arial"/>
          <w:b/>
          <w:spacing w:val="-6"/>
        </w:rPr>
        <w:t xml:space="preserve"> </w:t>
      </w:r>
      <w:r>
        <w:rPr>
          <w:rFonts w:ascii="Arial" w:hAnsi="Arial"/>
          <w:b/>
        </w:rPr>
        <w:t>estratégica</w:t>
      </w:r>
      <w:r>
        <w:rPr>
          <w:rFonts w:ascii="Arial" w:hAnsi="Arial"/>
          <w:b/>
          <w:spacing w:val="-6"/>
        </w:rPr>
        <w:t xml:space="preserve"> </w:t>
      </w:r>
      <w:r>
        <w:rPr>
          <w:rFonts w:ascii="Arial" w:hAnsi="Arial"/>
          <w:b/>
        </w:rPr>
        <w:t>para</w:t>
      </w:r>
      <w:r>
        <w:rPr>
          <w:rFonts w:ascii="Arial" w:hAnsi="Arial"/>
          <w:b/>
          <w:spacing w:val="-6"/>
        </w:rPr>
        <w:t xml:space="preserve"> </w:t>
      </w:r>
      <w:r>
        <w:rPr>
          <w:rFonts w:ascii="Arial" w:hAnsi="Arial"/>
          <w:b/>
        </w:rPr>
        <w:t>Guardiana:</w:t>
      </w:r>
      <w:r>
        <w:rPr>
          <w:rFonts w:ascii="Arial" w:hAnsi="Arial"/>
          <w:b/>
          <w:spacing w:val="-6"/>
        </w:rPr>
        <w:t xml:space="preserve"> </w:t>
      </w:r>
      <w:r>
        <w:t>El</w:t>
      </w:r>
      <w:r>
        <w:rPr>
          <w:spacing w:val="-6"/>
        </w:rPr>
        <w:t xml:space="preserve"> </w:t>
      </w:r>
      <w:r>
        <w:t>turista</w:t>
      </w:r>
      <w:r>
        <w:rPr>
          <w:spacing w:val="-6"/>
        </w:rPr>
        <w:t xml:space="preserve"> </w:t>
      </w:r>
      <w:r>
        <w:t>internacional</w:t>
      </w:r>
      <w:r>
        <w:rPr>
          <w:spacing w:val="-6"/>
        </w:rPr>
        <w:t xml:space="preserve"> </w:t>
      </w:r>
      <w:r>
        <w:t>adquiere un producto que representa la cultura maya</w:t>
      </w:r>
      <w:proofErr w:type="gramStart"/>
      <w:r>
        <w:t>..</w:t>
      </w:r>
      <w:proofErr w:type="gramEnd"/>
      <w:r>
        <w:t xml:space="preserve"> En los pop-up stores o boutiques de hoteles, el empaque de Guardiana debe priorizar el impacto visual, la historia de la comunidad y una estética cuidada, utiliz</w:t>
      </w:r>
      <w:r>
        <w:t>ando el beneficio de salud como un elemento adicional que refuerza el valor del producto. En la práctica, el orden del</w:t>
      </w:r>
      <w:r>
        <w:rPr>
          <w:spacing w:val="-3"/>
        </w:rPr>
        <w:t xml:space="preserve"> </w:t>
      </w:r>
      <w:r>
        <w:t>mensaje</w:t>
      </w:r>
      <w:r>
        <w:rPr>
          <w:spacing w:val="-3"/>
        </w:rPr>
        <w:t xml:space="preserve"> </w:t>
      </w:r>
      <w:r>
        <w:t>cambia</w:t>
      </w:r>
      <w:r>
        <w:rPr>
          <w:spacing w:val="-3"/>
        </w:rPr>
        <w:t xml:space="preserve"> </w:t>
      </w:r>
      <w:r>
        <w:t>según</w:t>
      </w:r>
      <w:r>
        <w:rPr>
          <w:spacing w:val="-3"/>
        </w:rPr>
        <w:t xml:space="preserve"> </w:t>
      </w:r>
      <w:r>
        <w:t>el</w:t>
      </w:r>
      <w:r>
        <w:rPr>
          <w:spacing w:val="-3"/>
        </w:rPr>
        <w:t xml:space="preserve"> </w:t>
      </w:r>
      <w:r>
        <w:t>segmento: en el mercado nacional se vende desde la función, mientras que en el internacional se vende desde la ex</w:t>
      </w:r>
      <w:r>
        <w:t>periencia.</w:t>
      </w:r>
    </w:p>
    <w:p w:rsidR="009B4BB4" w:rsidRDefault="00C44001">
      <w:pPr>
        <w:pStyle w:val="Ttulo1"/>
        <w:spacing w:before="240"/>
      </w:pPr>
      <w:r>
        <w:t>Figura</w:t>
      </w:r>
      <w:r>
        <w:rPr>
          <w:spacing w:val="-8"/>
        </w:rPr>
        <w:t xml:space="preserve"> </w:t>
      </w:r>
      <w:r>
        <w:rPr>
          <w:spacing w:val="-4"/>
        </w:rPr>
        <w:t>4.14</w:t>
      </w:r>
    </w:p>
    <w:p w:rsidR="009B4BB4" w:rsidRDefault="00C44001">
      <w:pPr>
        <w:spacing w:before="38"/>
        <w:ind w:left="455"/>
        <w:rPr>
          <w:rFonts w:ascii="Arial" w:hAnsi="Arial"/>
          <w:i/>
        </w:rPr>
      </w:pPr>
      <w:r>
        <w:rPr>
          <w:rFonts w:ascii="Arial" w:hAnsi="Arial"/>
          <w:i/>
        </w:rPr>
        <w:t>Jerarquía</w:t>
      </w:r>
      <w:r>
        <w:rPr>
          <w:rFonts w:ascii="Arial" w:hAnsi="Arial"/>
          <w:i/>
          <w:spacing w:val="-8"/>
        </w:rPr>
        <w:t xml:space="preserve"> </w:t>
      </w:r>
      <w:r>
        <w:rPr>
          <w:rFonts w:ascii="Arial" w:hAnsi="Arial"/>
          <w:i/>
        </w:rPr>
        <w:t>de</w:t>
      </w:r>
      <w:r>
        <w:rPr>
          <w:rFonts w:ascii="Arial" w:hAnsi="Arial"/>
          <w:i/>
          <w:spacing w:val="-6"/>
        </w:rPr>
        <w:t xml:space="preserve"> </w:t>
      </w:r>
      <w:r>
        <w:rPr>
          <w:rFonts w:ascii="Arial" w:hAnsi="Arial"/>
          <w:i/>
        </w:rPr>
        <w:t>atributos</w:t>
      </w:r>
      <w:r>
        <w:rPr>
          <w:rFonts w:ascii="Arial" w:hAnsi="Arial"/>
          <w:i/>
          <w:spacing w:val="-6"/>
        </w:rPr>
        <w:t xml:space="preserve"> </w:t>
      </w:r>
      <w:r>
        <w:rPr>
          <w:rFonts w:ascii="Arial" w:hAnsi="Arial"/>
          <w:i/>
        </w:rPr>
        <w:t>valorados</w:t>
      </w:r>
      <w:r>
        <w:rPr>
          <w:rFonts w:ascii="Arial" w:hAnsi="Arial"/>
          <w:i/>
          <w:spacing w:val="-5"/>
        </w:rPr>
        <w:t xml:space="preserve"> </w:t>
      </w:r>
      <w:r>
        <w:rPr>
          <w:rFonts w:ascii="Arial" w:hAnsi="Arial"/>
          <w:i/>
        </w:rPr>
        <w:t>en</w:t>
      </w:r>
      <w:r>
        <w:rPr>
          <w:rFonts w:ascii="Arial" w:hAnsi="Arial"/>
          <w:i/>
          <w:spacing w:val="-6"/>
        </w:rPr>
        <w:t xml:space="preserve"> </w:t>
      </w:r>
      <w:r>
        <w:rPr>
          <w:rFonts w:ascii="Arial" w:hAnsi="Arial"/>
          <w:i/>
        </w:rPr>
        <w:t>el</w:t>
      </w:r>
      <w:r>
        <w:rPr>
          <w:rFonts w:ascii="Arial" w:hAnsi="Arial"/>
          <w:i/>
          <w:spacing w:val="-6"/>
        </w:rPr>
        <w:t xml:space="preserve"> </w:t>
      </w:r>
      <w:r>
        <w:rPr>
          <w:rFonts w:ascii="Arial" w:hAnsi="Arial"/>
          <w:i/>
        </w:rPr>
        <w:t>producto</w:t>
      </w:r>
      <w:r>
        <w:rPr>
          <w:rFonts w:ascii="Arial" w:hAnsi="Arial"/>
          <w:i/>
          <w:spacing w:val="-6"/>
        </w:rPr>
        <w:t xml:space="preserve"> </w:t>
      </w:r>
      <w:r>
        <w:rPr>
          <w:rFonts w:ascii="Arial" w:hAnsi="Arial"/>
          <w:i/>
        </w:rPr>
        <w:t>segmentada</w:t>
      </w:r>
      <w:r>
        <w:rPr>
          <w:rFonts w:ascii="Arial" w:hAnsi="Arial"/>
          <w:i/>
          <w:spacing w:val="-5"/>
        </w:rPr>
        <w:t xml:space="preserve"> </w:t>
      </w:r>
      <w:r>
        <w:rPr>
          <w:rFonts w:ascii="Arial" w:hAnsi="Arial"/>
          <w:i/>
        </w:rPr>
        <w:t>por</w:t>
      </w:r>
      <w:r>
        <w:rPr>
          <w:rFonts w:ascii="Arial" w:hAnsi="Arial"/>
          <w:i/>
          <w:spacing w:val="-6"/>
        </w:rPr>
        <w:t xml:space="preserve"> </w:t>
      </w:r>
      <w:r>
        <w:rPr>
          <w:rFonts w:ascii="Arial" w:hAnsi="Arial"/>
          <w:i/>
        </w:rPr>
        <w:t>origen</w:t>
      </w:r>
      <w:r>
        <w:rPr>
          <w:rFonts w:ascii="Arial" w:hAnsi="Arial"/>
          <w:i/>
          <w:spacing w:val="-6"/>
        </w:rPr>
        <w:t xml:space="preserve"> </w:t>
      </w:r>
      <w:r>
        <w:rPr>
          <w:rFonts w:ascii="Arial" w:hAnsi="Arial"/>
          <w:i/>
        </w:rPr>
        <w:t>del</w:t>
      </w:r>
      <w:r>
        <w:rPr>
          <w:rFonts w:ascii="Arial" w:hAnsi="Arial"/>
          <w:i/>
          <w:spacing w:val="-5"/>
        </w:rPr>
        <w:t xml:space="preserve"> </w:t>
      </w:r>
      <w:r>
        <w:rPr>
          <w:rFonts w:ascii="Arial" w:hAnsi="Arial"/>
          <w:i/>
          <w:spacing w:val="-2"/>
        </w:rPr>
        <w:t>turismo</w:t>
      </w:r>
    </w:p>
    <w:p w:rsidR="009B4BB4" w:rsidRDefault="009B4BB4">
      <w:pPr>
        <w:pStyle w:val="Textoindependiente"/>
        <w:spacing w:before="0"/>
        <w:rPr>
          <w:rFonts w:ascii="Arial"/>
          <w:i/>
          <w:sz w:val="20"/>
        </w:rPr>
      </w:pPr>
    </w:p>
    <w:p w:rsidR="009B4BB4" w:rsidRDefault="00C44001">
      <w:pPr>
        <w:pStyle w:val="Textoindependiente"/>
        <w:spacing w:before="61"/>
        <w:rPr>
          <w:rFonts w:ascii="Arial"/>
          <w:i/>
          <w:sz w:val="20"/>
        </w:rPr>
      </w:pPr>
      <w:r>
        <w:rPr>
          <w:rFonts w:ascii="Arial"/>
          <w:i/>
          <w:noProof/>
          <w:sz w:val="20"/>
          <w:lang w:val="es-AR" w:eastAsia="es-AR"/>
        </w:rPr>
        <w:drawing>
          <wp:anchor distT="0" distB="0" distL="0" distR="0" simplePos="0" relativeHeight="487600640" behindDoc="1" locked="0" layoutInCell="1" allowOverlap="1">
            <wp:simplePos x="0" y="0"/>
            <wp:positionH relativeFrom="page">
              <wp:posOffset>1707952</wp:posOffset>
            </wp:positionH>
            <wp:positionV relativeFrom="paragraph">
              <wp:posOffset>200427</wp:posOffset>
            </wp:positionV>
            <wp:extent cx="4730625" cy="2329529"/>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5" cstate="print"/>
                    <a:stretch>
                      <a:fillRect/>
                    </a:stretch>
                  </pic:blipFill>
                  <pic:spPr>
                    <a:xfrm>
                      <a:off x="0" y="0"/>
                      <a:ext cx="4730625" cy="2329529"/>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0"/>
        <w:rPr>
          <w:rFonts w:ascii="Arial"/>
          <w:i/>
        </w:rPr>
      </w:pPr>
    </w:p>
    <w:p w:rsidR="009B4BB4" w:rsidRDefault="009B4BB4">
      <w:pPr>
        <w:pStyle w:val="Textoindependiente"/>
        <w:spacing w:before="209"/>
        <w:rPr>
          <w:rFonts w:ascii="Arial"/>
          <w:i/>
        </w:rPr>
      </w:pPr>
    </w:p>
    <w:p w:rsidR="009B4BB4" w:rsidRDefault="00C44001">
      <w:pPr>
        <w:pStyle w:val="Textoindependiente"/>
        <w:spacing w:before="1" w:line="360" w:lineRule="auto"/>
        <w:ind w:left="425" w:right="604" w:firstLine="30"/>
        <w:jc w:val="both"/>
      </w:pPr>
      <w:r>
        <w:rPr>
          <w:rFonts w:ascii="Arial" w:hAnsi="Arial"/>
          <w:i/>
        </w:rPr>
        <w:t xml:space="preserve">Nota. </w:t>
      </w:r>
      <w:r>
        <w:t>Jerarquía de atributos de valor por procedencia (n=400). La convergencia en los "beneficios de</w:t>
      </w:r>
      <w:r>
        <w:rPr>
          <w:spacing w:val="-5"/>
        </w:rPr>
        <w:t xml:space="preserve"> </w:t>
      </w:r>
      <w:r>
        <w:t>salud</w:t>
      </w:r>
      <w:r>
        <w:rPr>
          <w:spacing w:val="-5"/>
        </w:rPr>
        <w:t xml:space="preserve"> </w:t>
      </w:r>
      <w:r>
        <w:t>documentados"</w:t>
      </w:r>
      <w:r>
        <w:rPr>
          <w:spacing w:val="-5"/>
        </w:rPr>
        <w:t xml:space="preserve"> </w:t>
      </w:r>
      <w:proofErr w:type="gramStart"/>
      <w:r>
        <w:t>validan</w:t>
      </w:r>
      <w:proofErr w:type="gramEnd"/>
      <w:r>
        <w:rPr>
          <w:spacing w:val="-5"/>
        </w:rPr>
        <w:t xml:space="preserve"> </w:t>
      </w:r>
      <w:r>
        <w:t>la</w:t>
      </w:r>
      <w:r>
        <w:rPr>
          <w:spacing w:val="-5"/>
        </w:rPr>
        <w:t xml:space="preserve"> </w:t>
      </w:r>
      <w:r>
        <w:t>funcionalidad</w:t>
      </w:r>
      <w:r>
        <w:rPr>
          <w:spacing w:val="-5"/>
        </w:rPr>
        <w:t xml:space="preserve"> </w:t>
      </w:r>
      <w:r>
        <w:t>terapéutica</w:t>
      </w:r>
      <w:r>
        <w:rPr>
          <w:spacing w:val="-5"/>
        </w:rPr>
        <w:t xml:space="preserve"> </w:t>
      </w:r>
      <w:r>
        <w:t>como</w:t>
      </w:r>
      <w:r>
        <w:rPr>
          <w:spacing w:val="-5"/>
        </w:rPr>
        <w:t xml:space="preserve"> </w:t>
      </w:r>
      <w:r>
        <w:t>la</w:t>
      </w:r>
      <w:r>
        <w:rPr>
          <w:spacing w:val="-5"/>
        </w:rPr>
        <w:t xml:space="preserve"> </w:t>
      </w:r>
      <w:r>
        <w:t>principal propuesta de valor (UVP) de Guardiana. El peso secundario de "Historia y Origen" sugiere que, aunque el componente</w:t>
      </w:r>
      <w:r>
        <w:rPr>
          <w:spacing w:val="-5"/>
        </w:rPr>
        <w:t xml:space="preserve"> </w:t>
      </w:r>
      <w:r>
        <w:t>cultural</w:t>
      </w:r>
      <w:r>
        <w:rPr>
          <w:spacing w:val="-5"/>
        </w:rPr>
        <w:t xml:space="preserve"> </w:t>
      </w:r>
      <w:r>
        <w:t>es</w:t>
      </w:r>
      <w:r>
        <w:rPr>
          <w:spacing w:val="-5"/>
        </w:rPr>
        <w:t xml:space="preserve"> </w:t>
      </w:r>
      <w:r>
        <w:t>un</w:t>
      </w:r>
      <w:r>
        <w:rPr>
          <w:spacing w:val="-5"/>
        </w:rPr>
        <w:t xml:space="preserve"> </w:t>
      </w:r>
      <w:r>
        <w:t>diferenciador,</w:t>
      </w:r>
      <w:r>
        <w:rPr>
          <w:spacing w:val="-5"/>
        </w:rPr>
        <w:t xml:space="preserve"> </w:t>
      </w:r>
      <w:r>
        <w:t>la</w:t>
      </w:r>
      <w:r>
        <w:rPr>
          <w:spacing w:val="-5"/>
        </w:rPr>
        <w:t xml:space="preserve"> </w:t>
      </w:r>
      <w:r>
        <w:t>evidencia</w:t>
      </w:r>
      <w:r>
        <w:rPr>
          <w:spacing w:val="-5"/>
        </w:rPr>
        <w:t xml:space="preserve"> </w:t>
      </w:r>
      <w:r>
        <w:t>científica</w:t>
      </w:r>
      <w:r>
        <w:rPr>
          <w:spacing w:val="-5"/>
        </w:rPr>
        <w:t xml:space="preserve"> </w:t>
      </w:r>
      <w:r>
        <w:t xml:space="preserve">es el driver crítico para la conversión de </w:t>
      </w:r>
      <w:r>
        <w:t xml:space="preserve">venta en ambos mercados. Elaboración propia </w:t>
      </w:r>
      <w:r>
        <w:rPr>
          <w:spacing w:val="-2"/>
        </w:rPr>
        <w:t>(2025).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125"/>
      </w:pPr>
    </w:p>
    <w:p w:rsidR="009B4BB4" w:rsidRDefault="00C44001" w:rsidP="00C44001">
      <w:pPr>
        <w:pStyle w:val="Ttulo1"/>
        <w:numPr>
          <w:ilvl w:val="1"/>
          <w:numId w:val="38"/>
        </w:numPr>
        <w:tabs>
          <w:tab w:val="left" w:pos="788"/>
        </w:tabs>
        <w:spacing w:before="1"/>
        <w:ind w:left="788" w:hanging="363"/>
      </w:pPr>
      <w:bookmarkStart w:id="159" w:name="4.8_Barreras_de_consumo_y_fricciones_de_"/>
      <w:bookmarkStart w:id="160" w:name="h.g9tpa5n5zb0w"/>
      <w:bookmarkEnd w:id="159"/>
      <w:bookmarkEnd w:id="160"/>
      <w:r>
        <w:t>Barreras</w:t>
      </w:r>
      <w:r>
        <w:rPr>
          <w:spacing w:val="-5"/>
        </w:rPr>
        <w:t xml:space="preserve"> </w:t>
      </w:r>
      <w:r>
        <w:t>de</w:t>
      </w:r>
      <w:r>
        <w:rPr>
          <w:spacing w:val="-5"/>
        </w:rPr>
        <w:t xml:space="preserve"> </w:t>
      </w:r>
      <w:r>
        <w:t>consumo</w:t>
      </w:r>
      <w:r>
        <w:rPr>
          <w:spacing w:val="-5"/>
        </w:rPr>
        <w:t xml:space="preserve"> </w:t>
      </w:r>
      <w:r>
        <w:t>y</w:t>
      </w:r>
      <w:r>
        <w:rPr>
          <w:spacing w:val="-5"/>
        </w:rPr>
        <w:t xml:space="preserve"> </w:t>
      </w:r>
      <w:r>
        <w:t>fricciones</w:t>
      </w:r>
      <w:r>
        <w:rPr>
          <w:spacing w:val="-5"/>
        </w:rPr>
        <w:t xml:space="preserve"> </w:t>
      </w:r>
      <w:r>
        <w:t>de</w:t>
      </w:r>
      <w:r>
        <w:rPr>
          <w:spacing w:val="-5"/>
        </w:rPr>
        <w:t xml:space="preserve"> </w:t>
      </w:r>
      <w:r>
        <w:rPr>
          <w:spacing w:val="-2"/>
        </w:rPr>
        <w:t>compra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4" w:firstLine="720"/>
        <w:jc w:val="both"/>
      </w:pPr>
      <w:r>
        <w:t xml:space="preserve">Identificar los inhibidores de compra es clave para estructurar el modelo de atención al cliente y las garantías del producto. Se consultó a </w:t>
      </w:r>
      <w:r>
        <w:t>los participantes</w:t>
      </w:r>
      <w:r>
        <w:rPr>
          <w:spacing w:val="-3"/>
        </w:rPr>
        <w:t xml:space="preserve"> </w:t>
      </w:r>
      <w:r>
        <w:t>sobre</w:t>
      </w:r>
      <w:r>
        <w:rPr>
          <w:spacing w:val="-3"/>
        </w:rPr>
        <w:t xml:space="preserve"> </w:t>
      </w:r>
      <w:r>
        <w:t>los principales factores que los harían dudar o desistir de adquirir miel melipona.</w:t>
      </w:r>
      <w:r>
        <w:rPr>
          <w:spacing w:val="-3"/>
        </w:rPr>
        <w:t xml:space="preserve"> </w:t>
      </w:r>
      <w:r>
        <w:t>Al</w:t>
      </w:r>
      <w:r>
        <w:rPr>
          <w:spacing w:val="-3"/>
        </w:rPr>
        <w:t xml:space="preserve"> </w:t>
      </w:r>
      <w:r>
        <w:t>medir</w:t>
      </w:r>
      <w:r>
        <w:rPr>
          <w:spacing w:val="-3"/>
        </w:rPr>
        <w:t xml:space="preserve"> </w:t>
      </w:r>
      <w:r>
        <w:t xml:space="preserve">la penetración de cada barrera sobre la muestra total, se obtuvieron los siguientes </w:t>
      </w:r>
      <w:r>
        <w:rPr>
          <w:spacing w:val="-2"/>
        </w:rPr>
        <w:t>resultados:</w:t>
      </w:r>
    </w:p>
    <w:p w:rsidR="009B4BB4" w:rsidRDefault="00C44001" w:rsidP="00C44001">
      <w:pPr>
        <w:pStyle w:val="Prrafodelista"/>
        <w:numPr>
          <w:ilvl w:val="0"/>
          <w:numId w:val="32"/>
        </w:numPr>
        <w:tabs>
          <w:tab w:val="left" w:pos="1143"/>
        </w:tabs>
        <w:ind w:left="1143" w:hanging="358"/>
      </w:pPr>
      <w:r>
        <w:t>Precio</w:t>
      </w:r>
      <w:r>
        <w:rPr>
          <w:spacing w:val="-7"/>
        </w:rPr>
        <w:t xml:space="preserve"> </w:t>
      </w:r>
      <w:r>
        <w:t>elevado:</w:t>
      </w:r>
      <w:r>
        <w:rPr>
          <w:spacing w:val="-7"/>
        </w:rPr>
        <w:t xml:space="preserve"> </w:t>
      </w:r>
      <w:r>
        <w:rPr>
          <w:spacing w:val="-2"/>
        </w:rPr>
        <w:t>75.3%</w:t>
      </w:r>
    </w:p>
    <w:p w:rsidR="009B4BB4" w:rsidRDefault="00C44001" w:rsidP="00C44001">
      <w:pPr>
        <w:pStyle w:val="Prrafodelista"/>
        <w:numPr>
          <w:ilvl w:val="0"/>
          <w:numId w:val="32"/>
        </w:numPr>
        <w:tabs>
          <w:tab w:val="left" w:pos="1143"/>
        </w:tabs>
        <w:spacing w:before="127"/>
        <w:ind w:left="1143" w:hanging="358"/>
      </w:pPr>
      <w:r>
        <w:t>Dudas</w:t>
      </w:r>
      <w:r>
        <w:rPr>
          <w:spacing w:val="-8"/>
        </w:rPr>
        <w:t xml:space="preserve"> </w:t>
      </w:r>
      <w:r>
        <w:t>sobre</w:t>
      </w:r>
      <w:r>
        <w:rPr>
          <w:spacing w:val="-8"/>
        </w:rPr>
        <w:t xml:space="preserve"> </w:t>
      </w:r>
      <w:r>
        <w:t>autenticidad:</w:t>
      </w:r>
      <w:r>
        <w:rPr>
          <w:spacing w:val="-7"/>
        </w:rPr>
        <w:t xml:space="preserve"> </w:t>
      </w:r>
      <w:r>
        <w:rPr>
          <w:spacing w:val="-2"/>
        </w:rPr>
        <w:t>70.8%</w:t>
      </w:r>
    </w:p>
    <w:p w:rsidR="009B4BB4" w:rsidRDefault="00C44001" w:rsidP="00C44001">
      <w:pPr>
        <w:pStyle w:val="Prrafodelista"/>
        <w:numPr>
          <w:ilvl w:val="0"/>
          <w:numId w:val="32"/>
        </w:numPr>
        <w:tabs>
          <w:tab w:val="left" w:pos="1143"/>
        </w:tabs>
        <w:spacing w:before="126"/>
        <w:ind w:left="1143" w:hanging="358"/>
      </w:pPr>
      <w:r>
        <w:t>Falta</w:t>
      </w:r>
      <w:r>
        <w:rPr>
          <w:spacing w:val="-6"/>
        </w:rPr>
        <w:t xml:space="preserve"> </w:t>
      </w:r>
      <w:r>
        <w:t>de</w:t>
      </w:r>
      <w:r>
        <w:rPr>
          <w:spacing w:val="-6"/>
        </w:rPr>
        <w:t xml:space="preserve"> </w:t>
      </w:r>
      <w:r>
        <w:t>información</w:t>
      </w:r>
      <w:r>
        <w:rPr>
          <w:spacing w:val="-6"/>
        </w:rPr>
        <w:t xml:space="preserve"> </w:t>
      </w:r>
      <w:r>
        <w:t>clara:</w:t>
      </w:r>
      <w:r>
        <w:rPr>
          <w:spacing w:val="-6"/>
        </w:rPr>
        <w:t xml:space="preserve"> </w:t>
      </w:r>
      <w:r>
        <w:rPr>
          <w:spacing w:val="-2"/>
        </w:rPr>
        <w:t>37.8%</w:t>
      </w:r>
    </w:p>
    <w:p w:rsidR="009B4BB4" w:rsidRDefault="00C44001" w:rsidP="00C44001">
      <w:pPr>
        <w:pStyle w:val="Prrafodelista"/>
        <w:numPr>
          <w:ilvl w:val="0"/>
          <w:numId w:val="32"/>
        </w:numPr>
        <w:tabs>
          <w:tab w:val="left" w:pos="1143"/>
        </w:tabs>
        <w:spacing w:before="127"/>
        <w:ind w:left="1143" w:hanging="358"/>
        <w:jc w:val="both"/>
      </w:pPr>
      <w:r>
        <w:t>Formato/volumen</w:t>
      </w:r>
      <w:r>
        <w:rPr>
          <w:spacing w:val="-12"/>
        </w:rPr>
        <w:t xml:space="preserve"> </w:t>
      </w:r>
      <w:r>
        <w:t>incómodo:</w:t>
      </w:r>
      <w:r>
        <w:rPr>
          <w:spacing w:val="-12"/>
        </w:rPr>
        <w:t xml:space="preserve"> </w:t>
      </w:r>
      <w:r>
        <w:rPr>
          <w:spacing w:val="-2"/>
        </w:rPr>
        <w:t>16.3%</w:t>
      </w:r>
    </w:p>
    <w:p w:rsidR="009B4BB4" w:rsidRDefault="00C44001">
      <w:pPr>
        <w:pStyle w:val="Textoindependiente"/>
        <w:spacing w:before="126" w:line="360" w:lineRule="auto"/>
        <w:ind w:left="425" w:right="607" w:firstLine="720"/>
        <w:jc w:val="both"/>
      </w:pPr>
      <w:r>
        <w:t xml:space="preserve">El precio elevado encabeza la lista de fricciones, lo cual es esperable en la comercialización de un producto </w:t>
      </w:r>
      <w:r>
        <w:rPr>
          <w:rFonts w:ascii="Arial" w:hAnsi="Arial"/>
          <w:i/>
        </w:rPr>
        <w:t xml:space="preserve">premium </w:t>
      </w:r>
      <w:r>
        <w:t>posicionado en el rango de los $35 USD por 100 g.</w:t>
      </w:r>
      <w:r>
        <w:rPr>
          <w:spacing w:val="-3"/>
        </w:rPr>
        <w:t xml:space="preserve"> </w:t>
      </w:r>
      <w:r>
        <w:t>Sin</w:t>
      </w:r>
      <w:r>
        <w:rPr>
          <w:spacing w:val="-3"/>
        </w:rPr>
        <w:t xml:space="preserve"> </w:t>
      </w:r>
      <w:r>
        <w:t>embargo,</w:t>
      </w:r>
      <w:r>
        <w:rPr>
          <w:spacing w:val="-3"/>
        </w:rPr>
        <w:t xml:space="preserve"> </w:t>
      </w:r>
      <w:r>
        <w:t>la</w:t>
      </w:r>
      <w:r>
        <w:rPr>
          <w:spacing w:val="-3"/>
        </w:rPr>
        <w:t xml:space="preserve"> </w:t>
      </w:r>
      <w:r>
        <w:t>barrera</w:t>
      </w:r>
      <w:r>
        <w:rPr>
          <w:spacing w:val="-3"/>
        </w:rPr>
        <w:t xml:space="preserve"> </w:t>
      </w:r>
      <w:r>
        <w:t>más</w:t>
      </w:r>
      <w:r>
        <w:rPr>
          <w:spacing w:val="-3"/>
        </w:rPr>
        <w:t xml:space="preserve"> </w:t>
      </w:r>
      <w:r>
        <w:t>crítica</w:t>
      </w:r>
      <w:r>
        <w:rPr>
          <w:spacing w:val="-3"/>
        </w:rPr>
        <w:t xml:space="preserve"> </w:t>
      </w:r>
      <w:r>
        <w:t>para</w:t>
      </w:r>
      <w:r>
        <w:rPr>
          <w:spacing w:val="-3"/>
        </w:rPr>
        <w:t xml:space="preserve"> </w:t>
      </w:r>
      <w:r>
        <w:t>el</w:t>
      </w:r>
      <w:r>
        <w:rPr>
          <w:spacing w:val="-3"/>
        </w:rPr>
        <w:t xml:space="preserve"> </w:t>
      </w:r>
      <w:r>
        <w:t>modelo</w:t>
      </w:r>
      <w:r>
        <w:rPr>
          <w:spacing w:val="-3"/>
        </w:rPr>
        <w:t xml:space="preserve"> </w:t>
      </w:r>
      <w:r>
        <w:t>es</w:t>
      </w:r>
      <w:r>
        <w:rPr>
          <w:spacing w:val="-3"/>
        </w:rPr>
        <w:t xml:space="preserve"> </w:t>
      </w:r>
      <w:r>
        <w:t>la</w:t>
      </w:r>
      <w:r>
        <w:rPr>
          <w:spacing w:val="-3"/>
        </w:rPr>
        <w:t xml:space="preserve"> </w:t>
      </w:r>
      <w:r>
        <w:t>segunda:</w:t>
      </w:r>
      <w:r>
        <w:rPr>
          <w:spacing w:val="-3"/>
        </w:rPr>
        <w:t xml:space="preserve"> </w:t>
      </w:r>
      <w:r>
        <w:t>la</w:t>
      </w:r>
      <w:r>
        <w:rPr>
          <w:spacing w:val="-3"/>
        </w:rPr>
        <w:t xml:space="preserve"> </w:t>
      </w:r>
      <w:r>
        <w:t>duda</w:t>
      </w:r>
      <w:r>
        <w:rPr>
          <w:spacing w:val="-3"/>
        </w:rPr>
        <w:t xml:space="preserve"> </w:t>
      </w:r>
      <w:r>
        <w:t>sobre</w:t>
      </w:r>
      <w:r>
        <w:rPr>
          <w:spacing w:val="-3"/>
        </w:rPr>
        <w:t xml:space="preserve"> </w:t>
      </w:r>
      <w:r>
        <w:t xml:space="preserve">la autenticidad del producto. Al tratarse de un líquido que presenta antecedentes de adulteración en el mercado, el consumidor percibe un alto riesgo al pagar un precio </w:t>
      </w:r>
      <w:r>
        <w:rPr>
          <w:rFonts w:ascii="Arial" w:hAnsi="Arial"/>
          <w:i/>
        </w:rPr>
        <w:t>premium</w:t>
      </w:r>
      <w:r>
        <w:rPr>
          <w:rFonts w:ascii="Arial" w:hAnsi="Arial"/>
          <w:i/>
        </w:rPr>
        <w:t xml:space="preserve"> </w:t>
      </w:r>
      <w:r>
        <w:t>sin garantías claras de pureza. En este contexto, el</w:t>
      </w:r>
      <w:r>
        <w:rPr>
          <w:spacing w:val="-3"/>
        </w:rPr>
        <w:t xml:space="preserve"> </w:t>
      </w:r>
      <w:r>
        <w:t>riesgo</w:t>
      </w:r>
      <w:r>
        <w:rPr>
          <w:spacing w:val="-3"/>
        </w:rPr>
        <w:t xml:space="preserve"> </w:t>
      </w:r>
      <w:r>
        <w:t>percibido</w:t>
      </w:r>
      <w:r>
        <w:rPr>
          <w:spacing w:val="-3"/>
        </w:rPr>
        <w:t xml:space="preserve"> </w:t>
      </w:r>
      <w:r>
        <w:t>no</w:t>
      </w:r>
      <w:r>
        <w:rPr>
          <w:spacing w:val="-3"/>
        </w:rPr>
        <w:t xml:space="preserve"> </w:t>
      </w:r>
      <w:r>
        <w:t>está</w:t>
      </w:r>
      <w:r>
        <w:rPr>
          <w:spacing w:val="-3"/>
        </w:rPr>
        <w:t xml:space="preserve"> </w:t>
      </w:r>
      <w:r>
        <w:t>en el producto, sino en su credibilidad.</w:t>
      </w:r>
    </w:p>
    <w:p w:rsidR="009B4BB4" w:rsidRDefault="00C44001">
      <w:pPr>
        <w:pStyle w:val="Textoindependiente"/>
        <w:spacing w:before="0" w:line="360" w:lineRule="auto"/>
        <w:ind w:left="425" w:right="609" w:firstLine="720"/>
        <w:jc w:val="both"/>
      </w:pPr>
      <w:r>
        <w:t>Al segmentar estas barreras según la procedencia del consumidor, se identifican dos problemas de venta distintos:</w:t>
      </w:r>
    </w:p>
    <w:p w:rsidR="009B4BB4" w:rsidRDefault="00C44001" w:rsidP="00C44001">
      <w:pPr>
        <w:pStyle w:val="Prrafodelista"/>
        <w:numPr>
          <w:ilvl w:val="0"/>
          <w:numId w:val="31"/>
        </w:numPr>
        <w:tabs>
          <w:tab w:val="left" w:pos="1143"/>
          <w:tab w:val="left" w:pos="1145"/>
        </w:tabs>
        <w:spacing w:line="360" w:lineRule="auto"/>
        <w:ind w:right="605"/>
        <w:jc w:val="both"/>
      </w:pPr>
      <w:r>
        <w:rPr>
          <w:rFonts w:ascii="Arial" w:hAnsi="Arial"/>
          <w:b/>
        </w:rPr>
        <w:t xml:space="preserve">Mercado nacional: </w:t>
      </w:r>
      <w:r>
        <w:t>El turista nacional y el residente local conocen o han escuchado sobre la miel melipona, pero también están expuestos a prácticas informales del mercado. Por ello, en el segmento mexicano, las dudas sobre la autenticidad se disparan al 76.1%. Existe concie</w:t>
      </w:r>
      <w:r>
        <w:t>ncia sobre la presencia de productos adulterados en la península y temen ser engañados.</w:t>
      </w:r>
    </w:p>
    <w:p w:rsidR="009B4BB4" w:rsidRDefault="00C44001" w:rsidP="00C44001">
      <w:pPr>
        <w:pStyle w:val="Prrafodelista"/>
        <w:numPr>
          <w:ilvl w:val="1"/>
          <w:numId w:val="31"/>
        </w:numPr>
        <w:tabs>
          <w:tab w:val="left" w:pos="1863"/>
          <w:tab w:val="left" w:pos="1865"/>
        </w:tabs>
        <w:spacing w:line="360" w:lineRule="auto"/>
        <w:ind w:right="606"/>
        <w:jc w:val="both"/>
      </w:pPr>
      <w:r>
        <w:rPr>
          <w:rFonts w:ascii="Arial" w:hAnsi="Arial"/>
          <w:b/>
        </w:rPr>
        <w:t xml:space="preserve">Solución de Guardiana: </w:t>
      </w:r>
      <w:r>
        <w:t>Para el mercado mexicano, la marca debe implementar herramientas de trazabilidad verificables. El empaque debe incluir un sello holográfico de pu</w:t>
      </w:r>
      <w:r>
        <w:t>reza y un</w:t>
      </w:r>
      <w:r>
        <w:rPr>
          <w:spacing w:val="-3"/>
        </w:rPr>
        <w:t xml:space="preserve"> </w:t>
      </w:r>
      <w:r>
        <w:t>código</w:t>
      </w:r>
      <w:r>
        <w:rPr>
          <w:spacing w:val="-3"/>
        </w:rPr>
        <w:t xml:space="preserve"> </w:t>
      </w:r>
      <w:r>
        <w:t>QR</w:t>
      </w:r>
      <w:r>
        <w:rPr>
          <w:spacing w:val="-3"/>
        </w:rPr>
        <w:t xml:space="preserve"> </w:t>
      </w:r>
      <w:r>
        <w:t>que</w:t>
      </w:r>
      <w:r>
        <w:rPr>
          <w:spacing w:val="-3"/>
        </w:rPr>
        <w:t xml:space="preserve"> </w:t>
      </w:r>
      <w:r>
        <w:t>dirija</w:t>
      </w:r>
      <w:r>
        <w:rPr>
          <w:spacing w:val="-3"/>
        </w:rPr>
        <w:t xml:space="preserve"> </w:t>
      </w:r>
      <w:r>
        <w:t>al</w:t>
      </w:r>
      <w:r>
        <w:rPr>
          <w:spacing w:val="-3"/>
        </w:rPr>
        <w:t xml:space="preserve"> </w:t>
      </w:r>
      <w:r>
        <w:t>cliente</w:t>
      </w:r>
      <w:r>
        <w:rPr>
          <w:spacing w:val="-3"/>
        </w:rPr>
        <w:t xml:space="preserve"> </w:t>
      </w:r>
      <w:r>
        <w:t>a un</w:t>
      </w:r>
      <w:r>
        <w:rPr>
          <w:spacing w:val="40"/>
        </w:rPr>
        <w:t xml:space="preserve"> </w:t>
      </w:r>
      <w:r>
        <w:t>video</w:t>
      </w:r>
      <w:r>
        <w:rPr>
          <w:spacing w:val="40"/>
        </w:rPr>
        <w:t xml:space="preserve"> </w:t>
      </w:r>
      <w:r>
        <w:t>del</w:t>
      </w:r>
      <w:r>
        <w:rPr>
          <w:spacing w:val="40"/>
        </w:rPr>
        <w:t xml:space="preserve"> </w:t>
      </w:r>
      <w:r>
        <w:t>meliponario</w:t>
      </w:r>
      <w:r>
        <w:rPr>
          <w:spacing w:val="40"/>
        </w:rPr>
        <w:t xml:space="preserve"> </w:t>
      </w:r>
      <w:r>
        <w:t>de</w:t>
      </w:r>
      <w:r>
        <w:rPr>
          <w:spacing w:val="40"/>
        </w:rPr>
        <w:t xml:space="preserve"> </w:t>
      </w:r>
      <w:r>
        <w:t>origen,</w:t>
      </w:r>
      <w:r>
        <w:rPr>
          <w:spacing w:val="40"/>
        </w:rPr>
        <w:t xml:space="preserve"> </w:t>
      </w:r>
      <w:r>
        <w:t>mostrando</w:t>
      </w:r>
      <w:r>
        <w:rPr>
          <w:spacing w:val="40"/>
        </w:rPr>
        <w:t xml:space="preserve"> </w:t>
      </w:r>
      <w:r>
        <w:t>la</w:t>
      </w:r>
      <w:r>
        <w:rPr>
          <w:spacing w:val="40"/>
        </w:rPr>
        <w:t xml:space="preserve"> </w:t>
      </w:r>
      <w:r>
        <w:t>cadena</w:t>
      </w:r>
      <w:r>
        <w:rPr>
          <w:spacing w:val="26"/>
        </w:rPr>
        <w:t xml:space="preserve"> </w:t>
      </w:r>
      <w:r>
        <w:t>de</w:t>
      </w:r>
      <w:r>
        <w:rPr>
          <w:spacing w:val="26"/>
        </w:rPr>
        <w:t xml:space="preserve"> </w:t>
      </w:r>
      <w:r>
        <w:t>origen</w:t>
      </w:r>
      <w:r>
        <w:rPr>
          <w:spacing w:val="26"/>
        </w:rPr>
        <w:t xml:space="preserve"> </w:t>
      </w:r>
      <w:r>
        <w:t>del</w:t>
      </w:r>
    </w:p>
    <w:p w:rsidR="009B4BB4" w:rsidRDefault="009B4BB4">
      <w:pPr>
        <w:pStyle w:val="Prrafodelista"/>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1865" w:right="605"/>
        <w:jc w:val="both"/>
      </w:pPr>
      <w:proofErr w:type="gramStart"/>
      <w:r>
        <w:lastRenderedPageBreak/>
        <w:t>producto</w:t>
      </w:r>
      <w:proofErr w:type="gramEnd"/>
      <w:r>
        <w:t xml:space="preserve"> desde la comunidad productora hasta el frasco. El objetivo es reducir la incertidumbre en el punto de compra.</w:t>
      </w:r>
    </w:p>
    <w:p w:rsidR="009B4BB4" w:rsidRDefault="00C44001" w:rsidP="00C44001">
      <w:pPr>
        <w:pStyle w:val="Prrafodelista"/>
        <w:numPr>
          <w:ilvl w:val="0"/>
          <w:numId w:val="31"/>
        </w:numPr>
        <w:tabs>
          <w:tab w:val="left" w:pos="1143"/>
          <w:tab w:val="left" w:pos="1145"/>
        </w:tabs>
        <w:spacing w:before="0" w:line="360" w:lineRule="auto"/>
        <w:ind w:right="602"/>
        <w:jc w:val="both"/>
      </w:pPr>
      <w:r>
        <w:rPr>
          <w:rFonts w:ascii="Arial" w:hAnsi="Arial"/>
          <w:b/>
        </w:rPr>
        <w:t>Merca</w:t>
      </w:r>
      <w:r>
        <w:rPr>
          <w:rFonts w:ascii="Arial" w:hAnsi="Arial"/>
          <w:b/>
        </w:rPr>
        <w:t xml:space="preserve">do internacional: </w:t>
      </w:r>
      <w:r>
        <w:t xml:space="preserve">En contraste, el turista extranjero, al desconocer las dinámicas del mercado informal mexicano, presenta menor preocupación por la autenticidad. Sus principales barreras son la falta de información clara y la practicidad del formato para </w:t>
      </w:r>
      <w:r>
        <w:t>viajar.</w:t>
      </w:r>
    </w:p>
    <w:p w:rsidR="009B4BB4" w:rsidRDefault="00C44001" w:rsidP="00C44001">
      <w:pPr>
        <w:pStyle w:val="Prrafodelista"/>
        <w:numPr>
          <w:ilvl w:val="1"/>
          <w:numId w:val="31"/>
        </w:numPr>
        <w:tabs>
          <w:tab w:val="left" w:pos="1863"/>
          <w:tab w:val="left" w:pos="1865"/>
        </w:tabs>
        <w:spacing w:before="0" w:line="360" w:lineRule="auto"/>
        <w:ind w:right="603"/>
        <w:jc w:val="both"/>
      </w:pPr>
      <w:r>
        <w:rPr>
          <w:rFonts w:ascii="Arial" w:hAnsi="Arial"/>
          <w:b/>
        </w:rPr>
        <w:t xml:space="preserve">Solución de Guardiana: </w:t>
      </w:r>
      <w:r>
        <w:t>La</w:t>
      </w:r>
      <w:r>
        <w:rPr>
          <w:spacing w:val="-3"/>
        </w:rPr>
        <w:t xml:space="preserve"> </w:t>
      </w:r>
      <w:r>
        <w:t>barrera</w:t>
      </w:r>
      <w:r>
        <w:rPr>
          <w:spacing w:val="-3"/>
        </w:rPr>
        <w:t xml:space="preserve"> </w:t>
      </w:r>
      <w:r>
        <w:t>no</w:t>
      </w:r>
      <w:r>
        <w:rPr>
          <w:spacing w:val="-3"/>
        </w:rPr>
        <w:t xml:space="preserve"> </w:t>
      </w:r>
      <w:r>
        <w:t>es</w:t>
      </w:r>
      <w:r>
        <w:rPr>
          <w:spacing w:val="-3"/>
        </w:rPr>
        <w:t xml:space="preserve"> </w:t>
      </w:r>
      <w:r>
        <w:t>la</w:t>
      </w:r>
      <w:r>
        <w:rPr>
          <w:spacing w:val="-3"/>
        </w:rPr>
        <w:t xml:space="preserve"> </w:t>
      </w:r>
      <w:r>
        <w:t>desconfianza,</w:t>
      </w:r>
      <w:r>
        <w:rPr>
          <w:spacing w:val="-3"/>
        </w:rPr>
        <w:t xml:space="preserve"> </w:t>
      </w:r>
      <w:r>
        <w:t>sino</w:t>
      </w:r>
      <w:r>
        <w:rPr>
          <w:spacing w:val="-3"/>
        </w:rPr>
        <w:t xml:space="preserve"> </w:t>
      </w:r>
      <w:r>
        <w:t>la</w:t>
      </w:r>
      <w:r>
        <w:rPr>
          <w:spacing w:val="-3"/>
        </w:rPr>
        <w:t xml:space="preserve"> </w:t>
      </w:r>
      <w:r>
        <w:t>falta</w:t>
      </w:r>
      <w:r>
        <w:rPr>
          <w:spacing w:val="-3"/>
        </w:rPr>
        <w:t xml:space="preserve"> </w:t>
      </w:r>
      <w:r>
        <w:t>de claridad en el uso del producto y percibe riesgo en el transporte del producto en su maleta o se lo quiten en el aeropuerto. La marca debe resolver esto incluyendo textos bilingües muy directos en la caja, como “Medicinal/Raw honey”, instrucciones de do</w:t>
      </w:r>
      <w:r>
        <w:t xml:space="preserve">sificación, garantizando sellos herméticos visuales y </w:t>
      </w:r>
      <w:r>
        <w:rPr>
          <w:rFonts w:ascii="Arial" w:hAnsi="Arial"/>
          <w:i/>
        </w:rPr>
        <w:t xml:space="preserve">travel-safe packing </w:t>
      </w:r>
      <w:r>
        <w:t>que reduzcan la percepción de riesgo durante el viaje. En la práctica, cada segmento requiere eliminar</w:t>
      </w:r>
      <w:r>
        <w:rPr>
          <w:spacing w:val="40"/>
        </w:rPr>
        <w:t xml:space="preserve"> </w:t>
      </w:r>
      <w:r>
        <w:t>una fricción distinta: el mercado nacional exige pruebas de autenticidad, mient</w:t>
      </w:r>
      <w:r>
        <w:t xml:space="preserve">ras que el internacional necesita claridad de uso y seguridad en el </w:t>
      </w:r>
      <w:r>
        <w:rPr>
          <w:spacing w:val="-2"/>
        </w:rPr>
        <w:t>transporte.</w:t>
      </w:r>
    </w:p>
    <w:p w:rsidR="009B4BB4" w:rsidRDefault="00C44001">
      <w:pPr>
        <w:pStyle w:val="Ttulo1"/>
        <w:ind w:left="425"/>
        <w:jc w:val="both"/>
      </w:pPr>
      <w:r>
        <w:t>Figura</w:t>
      </w:r>
      <w:r>
        <w:rPr>
          <w:spacing w:val="-8"/>
        </w:rPr>
        <w:t xml:space="preserve"> </w:t>
      </w:r>
      <w:r>
        <w:rPr>
          <w:spacing w:val="-4"/>
        </w:rPr>
        <w:t>4.15</w:t>
      </w:r>
    </w:p>
    <w:p w:rsidR="009B4BB4" w:rsidRDefault="00C44001">
      <w:pPr>
        <w:spacing w:before="38"/>
        <w:ind w:left="455"/>
        <w:jc w:val="both"/>
        <w:rPr>
          <w:rFonts w:ascii="Arial" w:hAnsi="Arial"/>
          <w:i/>
        </w:rPr>
      </w:pPr>
      <w:r>
        <w:rPr>
          <w:rFonts w:ascii="Arial" w:hAnsi="Arial"/>
          <w:i/>
        </w:rPr>
        <w:t>Barreras</w:t>
      </w:r>
      <w:r>
        <w:rPr>
          <w:rFonts w:ascii="Arial" w:hAnsi="Arial"/>
          <w:i/>
          <w:spacing w:val="-9"/>
        </w:rPr>
        <w:t xml:space="preserve"> </w:t>
      </w:r>
      <w:r>
        <w:rPr>
          <w:rFonts w:ascii="Arial" w:hAnsi="Arial"/>
          <w:i/>
        </w:rPr>
        <w:t>percibidas</w:t>
      </w:r>
      <w:r>
        <w:rPr>
          <w:rFonts w:ascii="Arial" w:hAnsi="Arial"/>
          <w:i/>
          <w:spacing w:val="-6"/>
        </w:rPr>
        <w:t xml:space="preserve"> </w:t>
      </w:r>
      <w:r>
        <w:rPr>
          <w:rFonts w:ascii="Arial" w:hAnsi="Arial"/>
          <w:i/>
        </w:rPr>
        <w:t>para</w:t>
      </w:r>
      <w:r>
        <w:rPr>
          <w:rFonts w:ascii="Arial" w:hAnsi="Arial"/>
          <w:i/>
          <w:spacing w:val="-6"/>
        </w:rPr>
        <w:t xml:space="preserve"> </w:t>
      </w:r>
      <w:r>
        <w:rPr>
          <w:rFonts w:ascii="Arial" w:hAnsi="Arial"/>
          <w:i/>
        </w:rPr>
        <w:t>la</w:t>
      </w:r>
      <w:r>
        <w:rPr>
          <w:rFonts w:ascii="Arial" w:hAnsi="Arial"/>
          <w:i/>
          <w:spacing w:val="-7"/>
        </w:rPr>
        <w:t xml:space="preserve"> </w:t>
      </w:r>
      <w:r>
        <w:rPr>
          <w:rFonts w:ascii="Arial" w:hAnsi="Arial"/>
          <w:i/>
        </w:rPr>
        <w:t>adquisición</w:t>
      </w:r>
      <w:r>
        <w:rPr>
          <w:rFonts w:ascii="Arial" w:hAnsi="Arial"/>
          <w:i/>
          <w:spacing w:val="-6"/>
        </w:rPr>
        <w:t xml:space="preserve"> </w:t>
      </w:r>
      <w:r>
        <w:rPr>
          <w:rFonts w:ascii="Arial" w:hAnsi="Arial"/>
          <w:i/>
        </w:rPr>
        <w:t>del</w:t>
      </w:r>
      <w:r>
        <w:rPr>
          <w:rFonts w:ascii="Arial" w:hAnsi="Arial"/>
          <w:i/>
          <w:spacing w:val="-6"/>
        </w:rPr>
        <w:t xml:space="preserve"> </w:t>
      </w:r>
      <w:r>
        <w:rPr>
          <w:rFonts w:ascii="Arial" w:hAnsi="Arial"/>
          <w:i/>
        </w:rPr>
        <w:t>producto</w:t>
      </w:r>
      <w:r>
        <w:rPr>
          <w:rFonts w:ascii="Arial" w:hAnsi="Arial"/>
          <w:i/>
          <w:spacing w:val="-6"/>
        </w:rPr>
        <w:t xml:space="preserve"> </w:t>
      </w:r>
      <w:r>
        <w:rPr>
          <w:rFonts w:ascii="Arial" w:hAnsi="Arial"/>
          <w:i/>
        </w:rPr>
        <w:t>segmentadas</w:t>
      </w:r>
      <w:r>
        <w:rPr>
          <w:rFonts w:ascii="Arial" w:hAnsi="Arial"/>
          <w:i/>
          <w:spacing w:val="-7"/>
        </w:rPr>
        <w:t xml:space="preserve"> </w:t>
      </w:r>
      <w:r>
        <w:rPr>
          <w:rFonts w:ascii="Arial" w:hAnsi="Arial"/>
          <w:i/>
        </w:rPr>
        <w:t>por</w:t>
      </w:r>
      <w:r>
        <w:rPr>
          <w:rFonts w:ascii="Arial" w:hAnsi="Arial"/>
          <w:i/>
          <w:spacing w:val="-6"/>
        </w:rPr>
        <w:t xml:space="preserve"> </w:t>
      </w:r>
      <w:r>
        <w:rPr>
          <w:rFonts w:ascii="Arial" w:hAnsi="Arial"/>
          <w:i/>
        </w:rPr>
        <w:t>origen</w:t>
      </w:r>
      <w:r>
        <w:rPr>
          <w:rFonts w:ascii="Arial" w:hAnsi="Arial"/>
          <w:i/>
          <w:spacing w:val="-6"/>
        </w:rPr>
        <w:t xml:space="preserve"> </w:t>
      </w:r>
      <w:r>
        <w:rPr>
          <w:rFonts w:ascii="Arial" w:hAnsi="Arial"/>
          <w:i/>
        </w:rPr>
        <w:t>del</w:t>
      </w:r>
      <w:r>
        <w:rPr>
          <w:rFonts w:ascii="Arial" w:hAnsi="Arial"/>
          <w:i/>
          <w:spacing w:val="-6"/>
        </w:rPr>
        <w:t xml:space="preserve"> </w:t>
      </w:r>
      <w:r>
        <w:rPr>
          <w:rFonts w:ascii="Arial" w:hAnsi="Arial"/>
          <w:i/>
          <w:spacing w:val="-2"/>
        </w:rPr>
        <w:t>turismo</w:t>
      </w:r>
    </w:p>
    <w:p w:rsidR="009B4BB4" w:rsidRDefault="009B4BB4">
      <w:pPr>
        <w:pStyle w:val="Textoindependiente"/>
        <w:spacing w:before="0"/>
        <w:rPr>
          <w:rFonts w:ascii="Arial"/>
          <w:i/>
          <w:sz w:val="20"/>
        </w:rPr>
      </w:pPr>
    </w:p>
    <w:p w:rsidR="009B4BB4" w:rsidRDefault="00C44001">
      <w:pPr>
        <w:pStyle w:val="Textoindependiente"/>
        <w:spacing w:before="33"/>
        <w:rPr>
          <w:rFonts w:ascii="Arial"/>
          <w:i/>
          <w:sz w:val="20"/>
        </w:rPr>
      </w:pPr>
      <w:r>
        <w:rPr>
          <w:rFonts w:ascii="Arial"/>
          <w:i/>
          <w:noProof/>
          <w:sz w:val="20"/>
          <w:lang w:val="es-AR" w:eastAsia="es-AR"/>
        </w:rPr>
        <w:drawing>
          <wp:anchor distT="0" distB="0" distL="0" distR="0" simplePos="0" relativeHeight="487601152" behindDoc="1" locked="0" layoutInCell="1" allowOverlap="1">
            <wp:simplePos x="0" y="0"/>
            <wp:positionH relativeFrom="page">
              <wp:posOffset>2338654</wp:posOffset>
            </wp:positionH>
            <wp:positionV relativeFrom="paragraph">
              <wp:posOffset>182409</wp:posOffset>
            </wp:positionV>
            <wp:extent cx="2886115" cy="2147125"/>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6" cstate="print"/>
                    <a:stretch>
                      <a:fillRect/>
                    </a:stretch>
                  </pic:blipFill>
                  <pic:spPr>
                    <a:xfrm>
                      <a:off x="0" y="0"/>
                      <a:ext cx="2886115" cy="2147125"/>
                    </a:xfrm>
                    <a:prstGeom prst="rect">
                      <a:avLst/>
                    </a:prstGeom>
                  </pic:spPr>
                </pic:pic>
              </a:graphicData>
            </a:graphic>
          </wp:anchor>
        </w:drawing>
      </w:r>
    </w:p>
    <w:p w:rsidR="009B4BB4" w:rsidRDefault="009B4BB4">
      <w:pPr>
        <w:pStyle w:val="Textoindependiente"/>
        <w:spacing w:before="0"/>
        <w:rPr>
          <w:rFonts w:ascii="Arial"/>
          <w:i/>
        </w:rPr>
      </w:pPr>
    </w:p>
    <w:p w:rsidR="009B4BB4" w:rsidRDefault="009B4BB4">
      <w:pPr>
        <w:pStyle w:val="Textoindependiente"/>
        <w:spacing w:before="97"/>
        <w:rPr>
          <w:rFonts w:ascii="Arial"/>
          <w:i/>
        </w:rPr>
      </w:pPr>
    </w:p>
    <w:p w:rsidR="009B4BB4" w:rsidRDefault="00C44001">
      <w:pPr>
        <w:pStyle w:val="Textoindependiente"/>
        <w:spacing w:before="0" w:line="360" w:lineRule="auto"/>
        <w:ind w:left="425" w:right="609"/>
        <w:jc w:val="both"/>
      </w:pPr>
      <w:r>
        <w:rPr>
          <w:rFonts w:ascii="Arial" w:hAnsi="Arial"/>
          <w:i/>
        </w:rPr>
        <w:t xml:space="preserve">Nota. </w:t>
      </w:r>
      <w:r>
        <w:t>Comparativa de barreras a la transacción por origen de mercado (</w:t>
      </w:r>
      <w:r>
        <w:rPr>
          <w:rFonts w:ascii="Arial" w:hAnsi="Arial"/>
          <w:i/>
        </w:rPr>
        <w:t xml:space="preserve">n </w:t>
      </w:r>
      <w:r>
        <w:t>= 400). Se identifica la asimetría de confianza en el segmento nacional y la fricción logística en el internacional como determinantes de la conversión.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38"/>
        </w:numPr>
        <w:tabs>
          <w:tab w:val="left" w:pos="788"/>
        </w:tabs>
        <w:spacing w:before="79"/>
        <w:ind w:left="788" w:hanging="363"/>
      </w:pPr>
      <w:bookmarkStart w:id="161" w:name="4.9_Fase_cualitativa:_Resultados_de_las_"/>
      <w:bookmarkStart w:id="162" w:name="h.qg9bt2kgbtq"/>
      <w:bookmarkEnd w:id="161"/>
      <w:bookmarkEnd w:id="162"/>
      <w:r>
        <w:lastRenderedPageBreak/>
        <w:t>Fase</w:t>
      </w:r>
      <w:r>
        <w:rPr>
          <w:spacing w:val="-7"/>
        </w:rPr>
        <w:t xml:space="preserve"> </w:t>
      </w:r>
      <w:r>
        <w:t>cualitativa:</w:t>
      </w:r>
      <w:r>
        <w:rPr>
          <w:spacing w:val="-6"/>
        </w:rPr>
        <w:t xml:space="preserve"> </w:t>
      </w:r>
      <w:r>
        <w:t>Resultados</w:t>
      </w:r>
      <w:r>
        <w:rPr>
          <w:spacing w:val="-6"/>
        </w:rPr>
        <w:t xml:space="preserve"> </w:t>
      </w:r>
      <w:r>
        <w:t>de</w:t>
      </w:r>
      <w:r>
        <w:rPr>
          <w:spacing w:val="-6"/>
        </w:rPr>
        <w:t xml:space="preserve"> </w:t>
      </w:r>
      <w:r>
        <w:t>las</w:t>
      </w:r>
      <w:r>
        <w:rPr>
          <w:spacing w:val="-6"/>
        </w:rPr>
        <w:t xml:space="preserve"> </w:t>
      </w:r>
      <w:r>
        <w:t>entrevistas</w:t>
      </w:r>
      <w:r>
        <w:rPr>
          <w:spacing w:val="-6"/>
        </w:rPr>
        <w:t xml:space="preserve"> </w:t>
      </w:r>
      <w:r>
        <w:t>a</w:t>
      </w:r>
      <w:r>
        <w:rPr>
          <w:spacing w:val="-6"/>
        </w:rPr>
        <w:t xml:space="preserve"> </w:t>
      </w:r>
      <w:r>
        <w:rPr>
          <w:spacing w:val="-2"/>
        </w:rPr>
        <w:t>profun</w:t>
      </w:r>
      <w:r>
        <w:rPr>
          <w:spacing w:val="-2"/>
        </w:rPr>
        <w:t>didad</w:t>
      </w:r>
    </w:p>
    <w:p w:rsidR="009B4BB4" w:rsidRDefault="009B4BB4">
      <w:pPr>
        <w:pStyle w:val="Textoindependiente"/>
        <w:spacing w:before="113"/>
        <w:rPr>
          <w:rFonts w:ascii="Arial"/>
          <w:b/>
        </w:rPr>
      </w:pPr>
    </w:p>
    <w:p w:rsidR="009B4BB4" w:rsidRDefault="00C44001" w:rsidP="00C44001">
      <w:pPr>
        <w:pStyle w:val="Ttulo2"/>
        <w:numPr>
          <w:ilvl w:val="2"/>
          <w:numId w:val="38"/>
        </w:numPr>
        <w:tabs>
          <w:tab w:val="left" w:pos="970"/>
        </w:tabs>
        <w:spacing w:before="1"/>
        <w:ind w:left="970" w:hanging="545"/>
        <w:jc w:val="left"/>
      </w:pPr>
      <w:bookmarkStart w:id="163" w:name="4.9.1_Perfil_de_los_entrevistados_clave_"/>
      <w:bookmarkStart w:id="164" w:name="h.ik4jmjpf1ucj"/>
      <w:bookmarkEnd w:id="163"/>
      <w:bookmarkEnd w:id="164"/>
      <w:r>
        <w:t>Perfil</w:t>
      </w:r>
      <w:r>
        <w:rPr>
          <w:spacing w:val="-6"/>
        </w:rPr>
        <w:t xml:space="preserve"> </w:t>
      </w:r>
      <w:r>
        <w:t>de</w:t>
      </w:r>
      <w:r>
        <w:rPr>
          <w:spacing w:val="-6"/>
        </w:rPr>
        <w:t xml:space="preserve"> </w:t>
      </w:r>
      <w:r>
        <w:t>los</w:t>
      </w:r>
      <w:r>
        <w:rPr>
          <w:spacing w:val="-6"/>
        </w:rPr>
        <w:t xml:space="preserve"> </w:t>
      </w:r>
      <w:r>
        <w:t>entrevistados</w:t>
      </w:r>
      <w:r>
        <w:rPr>
          <w:spacing w:val="-6"/>
        </w:rPr>
        <w:t xml:space="preserve"> </w:t>
      </w:r>
      <w:r>
        <w:rPr>
          <w:spacing w:val="-2"/>
        </w:rPr>
        <w:t>clave</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2" w:firstLine="720"/>
        <w:jc w:val="both"/>
      </w:pPr>
      <w:r>
        <w:t>Para complementar los hallazgos cuantitativos y entender las dinámicas que operan detrás de la producción y comercialización de la miel melipona, se diseñó una fase cualitativa basada en entrevistas semiestructuradas. Se seleccionó a tres actores que repre</w:t>
      </w:r>
      <w:r>
        <w:t>sentan eslabones críticos y realidades contrastantes dentro de la cadena de valor en el estado de Yucatán, lo que permite analizar la cadena desde la producción hasta el consumidor final.</w:t>
      </w:r>
    </w:p>
    <w:p w:rsidR="009B4BB4" w:rsidRDefault="00C44001">
      <w:pPr>
        <w:pStyle w:val="Textoindependiente"/>
        <w:spacing w:line="360" w:lineRule="auto"/>
        <w:ind w:left="425" w:right="603" w:firstLine="720"/>
        <w:jc w:val="both"/>
      </w:pPr>
      <w:r>
        <w:t>El primer entrevistado es un productor radicado en el municipio de T</w:t>
      </w:r>
      <w:r>
        <w:t>ekom, Yucatán. Es un meliponicultor con un meliponario activo y experiencia en el manejo artesanal de las colmenas. Su perfil es clave porque representa un escenario operativo estable dentro de la producción local:</w:t>
      </w:r>
      <w:r>
        <w:rPr>
          <w:spacing w:val="80"/>
        </w:rPr>
        <w:t xml:space="preserve"> </w:t>
      </w:r>
      <w:r>
        <w:t>un modelo de trabajo con continuidad oper</w:t>
      </w:r>
      <w:r>
        <w:t>ativa que preserva el conocimiento tradicional, lo que</w:t>
      </w:r>
      <w:r>
        <w:rPr>
          <w:spacing w:val="-3"/>
        </w:rPr>
        <w:t xml:space="preserve"> </w:t>
      </w:r>
      <w:r>
        <w:t>permite</w:t>
      </w:r>
      <w:r>
        <w:rPr>
          <w:spacing w:val="-3"/>
        </w:rPr>
        <w:t xml:space="preserve"> </w:t>
      </w:r>
      <w:r>
        <w:t>contar</w:t>
      </w:r>
      <w:r>
        <w:rPr>
          <w:spacing w:val="-3"/>
        </w:rPr>
        <w:t xml:space="preserve"> </w:t>
      </w:r>
      <w:r>
        <w:t>con</w:t>
      </w:r>
      <w:r>
        <w:rPr>
          <w:spacing w:val="-3"/>
        </w:rPr>
        <w:t xml:space="preserve"> </w:t>
      </w:r>
      <w:r>
        <w:t>una</w:t>
      </w:r>
      <w:r>
        <w:rPr>
          <w:spacing w:val="-3"/>
        </w:rPr>
        <w:t xml:space="preserve"> </w:t>
      </w:r>
      <w:r>
        <w:t>oferta</w:t>
      </w:r>
      <w:r>
        <w:rPr>
          <w:spacing w:val="-3"/>
        </w:rPr>
        <w:t xml:space="preserve"> </w:t>
      </w:r>
      <w:r>
        <w:t>estable</w:t>
      </w:r>
      <w:r>
        <w:rPr>
          <w:spacing w:val="-3"/>
        </w:rPr>
        <w:t xml:space="preserve"> </w:t>
      </w:r>
      <w:r>
        <w:t>en el tiempo.</w:t>
      </w:r>
    </w:p>
    <w:p w:rsidR="009B4BB4" w:rsidRDefault="00C44001">
      <w:pPr>
        <w:pStyle w:val="Textoindependiente"/>
        <w:spacing w:line="360" w:lineRule="auto"/>
        <w:ind w:left="425" w:right="603" w:firstLine="720"/>
        <w:jc w:val="both"/>
      </w:pPr>
      <w:r>
        <w:t>Por otro lado, el segundo perfil permite observar las vulnerabilidades del sector productivo. Se trata de un productor</w:t>
      </w:r>
      <w:r>
        <w:rPr>
          <w:spacing w:val="-4"/>
        </w:rPr>
        <w:t xml:space="preserve"> </w:t>
      </w:r>
      <w:r>
        <w:t>originario</w:t>
      </w:r>
      <w:r>
        <w:rPr>
          <w:spacing w:val="-4"/>
        </w:rPr>
        <w:t xml:space="preserve"> </w:t>
      </w:r>
      <w:r>
        <w:t>de</w:t>
      </w:r>
      <w:r>
        <w:rPr>
          <w:spacing w:val="-4"/>
        </w:rPr>
        <w:t xml:space="preserve"> </w:t>
      </w:r>
      <w:r>
        <w:t>San</w:t>
      </w:r>
      <w:r>
        <w:rPr>
          <w:spacing w:val="-4"/>
        </w:rPr>
        <w:t xml:space="preserve"> </w:t>
      </w:r>
      <w:r>
        <w:t>Francisco,</w:t>
      </w:r>
      <w:r>
        <w:rPr>
          <w:spacing w:val="-4"/>
        </w:rPr>
        <w:t xml:space="preserve"> </w:t>
      </w:r>
      <w:r>
        <w:t>Y</w:t>
      </w:r>
      <w:r>
        <w:t>ucatán,</w:t>
      </w:r>
      <w:r>
        <w:rPr>
          <w:spacing w:val="-4"/>
        </w:rPr>
        <w:t xml:space="preserve"> </w:t>
      </w:r>
      <w:r>
        <w:t>cuya</w:t>
      </w:r>
      <w:r>
        <w:rPr>
          <w:spacing w:val="-4"/>
        </w:rPr>
        <w:t xml:space="preserve"> </w:t>
      </w:r>
      <w:r>
        <w:t>actividad se ha vuelto intermitente en los últimos periodos. Debido a diversos factores climáticos que han afectado la floración y las fluctuaciones del mercado, su meliponario se encontraba en un cierre temporal, motivo por el cual la entrevi</w:t>
      </w:r>
      <w:r>
        <w:t>sta se llevó a cabo en modalidad virtual. Este testimonio muestra los riesgos y desafíos que enfrentan las comunidades rurales, lo que refuerza la necesidad de que proyectos como Guardiana implementen esquemas de comercio justo para estabilizar la oferta y</w:t>
      </w:r>
      <w:r>
        <w:t xml:space="preserve"> reducir la dependencia de condiciones externas.</w:t>
      </w:r>
    </w:p>
    <w:p w:rsidR="009B4BB4" w:rsidRDefault="00C44001">
      <w:pPr>
        <w:pStyle w:val="Textoindependiente"/>
        <w:spacing w:line="360" w:lineRule="auto"/>
        <w:ind w:left="425" w:right="607" w:firstLine="720"/>
        <w:jc w:val="both"/>
      </w:pPr>
      <w:r>
        <w:t>Finalmente, para entender la dinámica de comercialización del</w:t>
      </w:r>
      <w:r>
        <w:rPr>
          <w:spacing w:val="-4"/>
        </w:rPr>
        <w:t xml:space="preserve"> </w:t>
      </w:r>
      <w:r>
        <w:t>producto,</w:t>
      </w:r>
      <w:r>
        <w:rPr>
          <w:spacing w:val="-4"/>
        </w:rPr>
        <w:t xml:space="preserve"> </w:t>
      </w:r>
      <w:r>
        <w:t>el</w:t>
      </w:r>
      <w:r>
        <w:rPr>
          <w:spacing w:val="-4"/>
        </w:rPr>
        <w:t xml:space="preserve"> </w:t>
      </w:r>
      <w:r>
        <w:t>tercer entrevistado es un intermediario comercial ubicado en Valladolid, Yucatán. Este actor opera en el mercado municipal de Vallad</w:t>
      </w:r>
      <w:r>
        <w:t>olid y se especializa en la venta de productos locales, incluida la miel melipona. Su experiencia en el trato directo con clientes aporta una perspectiva clara sobre percepciones de precio, las dudas de los clientes y las barreras de autenticidad en el pun</w:t>
      </w:r>
      <w:r>
        <w:t>to de venta físico.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4" w:firstLine="720"/>
        <w:jc w:val="both"/>
      </w:pPr>
      <w:r>
        <w:lastRenderedPageBreak/>
        <w:t>En conjunto, la triangulación de estos tres perfiles permite construir una visión completa de la cadena de valor. A partir de esta combinación de perfiles, se identifican tanto las condiciones que sostienen la oferta c</w:t>
      </w:r>
      <w:r>
        <w:t>omo los factores que limitan su estabilidad.</w:t>
      </w:r>
    </w:p>
    <w:p w:rsidR="009B4BB4" w:rsidRDefault="00C44001" w:rsidP="00C44001">
      <w:pPr>
        <w:pStyle w:val="Ttulo2"/>
        <w:numPr>
          <w:ilvl w:val="2"/>
          <w:numId w:val="38"/>
        </w:numPr>
        <w:tabs>
          <w:tab w:val="left" w:pos="970"/>
        </w:tabs>
        <w:ind w:left="970" w:hanging="545"/>
        <w:jc w:val="left"/>
      </w:pPr>
      <w:bookmarkStart w:id="165" w:name="4.9.2_Principales_hallazgos_de_las_entre"/>
      <w:bookmarkStart w:id="166" w:name="h.9f9mgfhma82b"/>
      <w:bookmarkEnd w:id="165"/>
      <w:bookmarkEnd w:id="166"/>
      <w:r>
        <w:t>Principales</w:t>
      </w:r>
      <w:r>
        <w:rPr>
          <w:spacing w:val="-7"/>
        </w:rPr>
        <w:t xml:space="preserve"> </w:t>
      </w:r>
      <w:r>
        <w:t>hallazgos</w:t>
      </w:r>
      <w:r>
        <w:rPr>
          <w:spacing w:val="-6"/>
        </w:rPr>
        <w:t xml:space="preserve"> </w:t>
      </w:r>
      <w:r>
        <w:t>de</w:t>
      </w:r>
      <w:r>
        <w:rPr>
          <w:spacing w:val="-6"/>
        </w:rPr>
        <w:t xml:space="preserve"> </w:t>
      </w:r>
      <w:r>
        <w:t>las</w:t>
      </w:r>
      <w:r>
        <w:rPr>
          <w:spacing w:val="-6"/>
        </w:rPr>
        <w:t xml:space="preserve"> </w:t>
      </w:r>
      <w:r>
        <w:rPr>
          <w:spacing w:val="-2"/>
        </w:rPr>
        <w:t>entrevistas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7" w:firstLine="720"/>
        <w:jc w:val="both"/>
      </w:pPr>
      <w:r>
        <w:t>Las entrevistas semiestructuradas permitieron contrastar las tendencias de las encuestas con la realidad operativa de las</w:t>
      </w:r>
      <w:r>
        <w:rPr>
          <w:spacing w:val="-4"/>
        </w:rPr>
        <w:t xml:space="preserve"> </w:t>
      </w:r>
      <w:r>
        <w:t>comunidades</w:t>
      </w:r>
      <w:r>
        <w:rPr>
          <w:spacing w:val="-4"/>
        </w:rPr>
        <w:t xml:space="preserve"> </w:t>
      </w:r>
      <w:r>
        <w:t>productoras.</w:t>
      </w:r>
      <w:r>
        <w:rPr>
          <w:spacing w:val="-4"/>
        </w:rPr>
        <w:t xml:space="preserve"> </w:t>
      </w:r>
      <w:r>
        <w:t>El</w:t>
      </w:r>
      <w:r>
        <w:rPr>
          <w:spacing w:val="-4"/>
        </w:rPr>
        <w:t xml:space="preserve"> </w:t>
      </w:r>
      <w:r>
        <w:t>análisis</w:t>
      </w:r>
      <w:r>
        <w:rPr>
          <w:spacing w:val="-4"/>
        </w:rPr>
        <w:t xml:space="preserve"> </w:t>
      </w:r>
      <w:r>
        <w:t>muestra qu</w:t>
      </w:r>
      <w:r>
        <w:t xml:space="preserve">e la cadena de valor enfrenta cuellos de </w:t>
      </w:r>
      <w:proofErr w:type="gramStart"/>
      <w:r>
        <w:t>botella estructurales</w:t>
      </w:r>
      <w:proofErr w:type="gramEnd"/>
      <w:r>
        <w:t>, pero también una disposición clara hacia la organización comunitaria y la participación en modelos de comercio justo.</w:t>
      </w:r>
    </w:p>
    <w:p w:rsidR="009B4BB4" w:rsidRDefault="00C44001">
      <w:pPr>
        <w:pStyle w:val="Textoindependiente"/>
        <w:spacing w:line="360" w:lineRule="auto"/>
        <w:ind w:left="425" w:right="610" w:firstLine="720"/>
        <w:jc w:val="both"/>
      </w:pPr>
      <w:r>
        <w:t>A continuación, se presentan los hallazgos categorizados en tres ejes temá</w:t>
      </w:r>
      <w:r>
        <w:t>ticos para la viabilidad de Guardiana:</w:t>
      </w:r>
    </w:p>
    <w:p w:rsidR="009B4BB4" w:rsidRDefault="00C44001" w:rsidP="00C44001">
      <w:pPr>
        <w:pStyle w:val="Prrafodelista"/>
        <w:numPr>
          <w:ilvl w:val="3"/>
          <w:numId w:val="38"/>
        </w:numPr>
        <w:tabs>
          <w:tab w:val="left" w:pos="1865"/>
        </w:tabs>
        <w:spacing w:line="360" w:lineRule="auto"/>
        <w:ind w:left="1865" w:right="602"/>
        <w:jc w:val="both"/>
      </w:pPr>
      <w:r>
        <w:rPr>
          <w:rFonts w:ascii="Arial" w:hAnsi="Arial"/>
          <w:b/>
        </w:rPr>
        <w:t>Límites biofísicos y el trabajo artesanal</w:t>
      </w:r>
      <w:r>
        <w:rPr>
          <w:rFonts w:ascii="Arial" w:hAnsi="Arial"/>
          <w:b/>
          <w:spacing w:val="-4"/>
        </w:rPr>
        <w:t xml:space="preserve"> </w:t>
      </w:r>
      <w:r>
        <w:rPr>
          <w:rFonts w:ascii="Arial" w:hAnsi="Arial"/>
          <w:b/>
        </w:rPr>
        <w:t>como</w:t>
      </w:r>
      <w:r>
        <w:rPr>
          <w:rFonts w:ascii="Arial" w:hAnsi="Arial"/>
          <w:b/>
          <w:spacing w:val="-4"/>
        </w:rPr>
        <w:t xml:space="preserve"> </w:t>
      </w:r>
      <w:r>
        <w:rPr>
          <w:rFonts w:ascii="Arial" w:hAnsi="Arial"/>
          <w:b/>
        </w:rPr>
        <w:t>fundamento</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 xml:space="preserve">precio: </w:t>
      </w:r>
      <w:r>
        <w:t>La oferta de miel melipona es inherentemente inelástica (0.5 a 2</w:t>
      </w:r>
      <w:r>
        <w:rPr>
          <w:spacing w:val="-3"/>
        </w:rPr>
        <w:t xml:space="preserve"> </w:t>
      </w:r>
      <w:r>
        <w:t>litros</w:t>
      </w:r>
      <w:r>
        <w:rPr>
          <w:spacing w:val="-3"/>
        </w:rPr>
        <w:t xml:space="preserve"> </w:t>
      </w:r>
      <w:r>
        <w:t>por colmena al año). Sin embargo,</w:t>
      </w:r>
      <w:r>
        <w:rPr>
          <w:spacing w:val="-3"/>
        </w:rPr>
        <w:t xml:space="preserve"> </w:t>
      </w:r>
      <w:r>
        <w:t>las</w:t>
      </w:r>
      <w:r>
        <w:rPr>
          <w:spacing w:val="-3"/>
        </w:rPr>
        <w:t xml:space="preserve"> </w:t>
      </w:r>
      <w:r>
        <w:t>entrevistas</w:t>
      </w:r>
      <w:r>
        <w:rPr>
          <w:spacing w:val="-3"/>
        </w:rPr>
        <w:t xml:space="preserve"> </w:t>
      </w:r>
      <w:r>
        <w:t>revelan</w:t>
      </w:r>
      <w:r>
        <w:rPr>
          <w:spacing w:val="-3"/>
        </w:rPr>
        <w:t xml:space="preserve"> </w:t>
      </w:r>
      <w:r>
        <w:t>que</w:t>
      </w:r>
      <w:r>
        <w:rPr>
          <w:spacing w:val="-3"/>
        </w:rPr>
        <w:t xml:space="preserve"> </w:t>
      </w:r>
      <w:r>
        <w:t>el</w:t>
      </w:r>
      <w:r>
        <w:rPr>
          <w:spacing w:val="-3"/>
        </w:rPr>
        <w:t xml:space="preserve"> </w:t>
      </w:r>
      <w:r>
        <w:t>alto</w:t>
      </w:r>
      <w:r>
        <w:rPr>
          <w:spacing w:val="-3"/>
        </w:rPr>
        <w:t xml:space="preserve"> </w:t>
      </w:r>
      <w:r>
        <w:t>costo</w:t>
      </w:r>
      <w:r>
        <w:rPr>
          <w:spacing w:val="-3"/>
        </w:rPr>
        <w:t xml:space="preserve"> </w:t>
      </w:r>
      <w:r>
        <w:t>del producto no responde solo a</w:t>
      </w:r>
      <w:r>
        <w:rPr>
          <w:spacing w:val="-4"/>
        </w:rPr>
        <w:t xml:space="preserve"> </w:t>
      </w:r>
      <w:r>
        <w:t>la</w:t>
      </w:r>
      <w:r>
        <w:rPr>
          <w:spacing w:val="-4"/>
        </w:rPr>
        <w:t xml:space="preserve"> </w:t>
      </w:r>
      <w:r>
        <w:t>escasez</w:t>
      </w:r>
      <w:r>
        <w:rPr>
          <w:spacing w:val="-4"/>
        </w:rPr>
        <w:t xml:space="preserve"> </w:t>
      </w:r>
      <w:r>
        <w:t>biológica,</w:t>
      </w:r>
      <w:r>
        <w:rPr>
          <w:spacing w:val="-4"/>
        </w:rPr>
        <w:t xml:space="preserve"> </w:t>
      </w:r>
      <w:r>
        <w:t>sino</w:t>
      </w:r>
      <w:r>
        <w:rPr>
          <w:spacing w:val="-4"/>
        </w:rPr>
        <w:t xml:space="preserve"> </w:t>
      </w:r>
      <w:r>
        <w:t>al</w:t>
      </w:r>
      <w:r>
        <w:rPr>
          <w:spacing w:val="-4"/>
        </w:rPr>
        <w:t xml:space="preserve"> </w:t>
      </w:r>
      <w:r>
        <w:t>cuidado</w:t>
      </w:r>
      <w:r>
        <w:rPr>
          <w:spacing w:val="-4"/>
        </w:rPr>
        <w:t xml:space="preserve"> </w:t>
      </w:r>
      <w:r>
        <w:t>extremo que exige la especie.</w:t>
      </w:r>
      <w:r>
        <w:rPr>
          <w:spacing w:val="40"/>
        </w:rPr>
        <w:t xml:space="preserve"> </w:t>
      </w:r>
      <w:r>
        <w:t>Una productora de Tekom explicó cómo el cuidado de las colmenas requiere vigilancia nocturna (hasta las 3:00 a.m.) para evitar que plagas invasoras aniquil</w:t>
      </w:r>
      <w:r>
        <w:t>en a la reina. Además, el proceso poscosecha es prolongado: “Cuando yo cosecho, no es que yo lo esté sacando así a la venta… tengo que esperar hasta los cuatro meses para que ya esté reposado y pierda</w:t>
      </w:r>
      <w:r>
        <w:rPr>
          <w:spacing w:val="-3"/>
        </w:rPr>
        <w:t xml:space="preserve"> </w:t>
      </w:r>
      <w:r>
        <w:t>la</w:t>
      </w:r>
      <w:r>
        <w:rPr>
          <w:spacing w:val="-3"/>
        </w:rPr>
        <w:t xml:space="preserve"> </w:t>
      </w:r>
      <w:r>
        <w:t>humedad”.</w:t>
      </w:r>
      <w:r>
        <w:rPr>
          <w:spacing w:val="-3"/>
        </w:rPr>
        <w:t xml:space="preserve"> </w:t>
      </w:r>
      <w:r>
        <w:t>Este</w:t>
      </w:r>
      <w:r>
        <w:rPr>
          <w:spacing w:val="-3"/>
        </w:rPr>
        <w:t xml:space="preserve"> </w:t>
      </w:r>
      <w:r>
        <w:t>nivel</w:t>
      </w:r>
      <w:r>
        <w:rPr>
          <w:spacing w:val="-3"/>
        </w:rPr>
        <w:t xml:space="preserve"> </w:t>
      </w:r>
      <w:r>
        <w:t>de</w:t>
      </w:r>
      <w:r>
        <w:rPr>
          <w:spacing w:val="-3"/>
        </w:rPr>
        <w:t xml:space="preserve"> </w:t>
      </w:r>
      <w:r>
        <w:t>trabajo</w:t>
      </w:r>
      <w:r>
        <w:rPr>
          <w:spacing w:val="-3"/>
        </w:rPr>
        <w:t xml:space="preserve"> </w:t>
      </w:r>
      <w:r>
        <w:t>y</w:t>
      </w:r>
      <w:r>
        <w:rPr>
          <w:spacing w:val="-3"/>
        </w:rPr>
        <w:t xml:space="preserve"> </w:t>
      </w:r>
      <w:r>
        <w:t>tiempo de maduraci</w:t>
      </w:r>
      <w:r>
        <w:t xml:space="preserve">ón respalda la estrategia de posicionamiento </w:t>
      </w:r>
      <w:r>
        <w:rPr>
          <w:rFonts w:ascii="Arial" w:hAnsi="Arial"/>
          <w:i/>
        </w:rPr>
        <w:t xml:space="preserve">premium </w:t>
      </w:r>
      <w:r>
        <w:t>de Guardiana.</w:t>
      </w:r>
      <w:r>
        <w:rPr>
          <w:spacing w:val="40"/>
        </w:rPr>
        <w:t xml:space="preserve"> </w:t>
      </w:r>
      <w:r>
        <w:t>En este contexto, el precio no solo refleja escasez, sino el esfuerzo acumulado detrás de cada unidad.</w:t>
      </w:r>
    </w:p>
    <w:p w:rsidR="009B4BB4" w:rsidRDefault="00C44001" w:rsidP="00C44001">
      <w:pPr>
        <w:pStyle w:val="Prrafodelista"/>
        <w:numPr>
          <w:ilvl w:val="3"/>
          <w:numId w:val="38"/>
        </w:numPr>
        <w:tabs>
          <w:tab w:val="left" w:pos="1865"/>
        </w:tabs>
        <w:spacing w:line="360" w:lineRule="auto"/>
        <w:ind w:left="1865" w:right="602"/>
        <w:jc w:val="both"/>
      </w:pPr>
      <w:r>
        <w:rPr>
          <w:rFonts w:ascii="Arial" w:hAnsi="Arial"/>
          <w:b/>
        </w:rPr>
        <w:t xml:space="preserve">Patrimonio biocultural con respaldo técnico: </w:t>
      </w:r>
      <w:r>
        <w:t xml:space="preserve">Los actores coinciden en que la melipona </w:t>
      </w:r>
      <w:r>
        <w:t>es un insumo medicinal, vital para el sistema</w:t>
      </w:r>
      <w:r>
        <w:rPr>
          <w:spacing w:val="40"/>
        </w:rPr>
        <w:t xml:space="preserve"> </w:t>
      </w:r>
      <w:r>
        <w:t>inmunológico y respiratorio. Un hallazgo relevante para reducir la desconfianza del consumidor es que la</w:t>
      </w:r>
      <w:r>
        <w:rPr>
          <w:spacing w:val="-3"/>
        </w:rPr>
        <w:t xml:space="preserve"> </w:t>
      </w:r>
      <w:r>
        <w:t>medicina</w:t>
      </w:r>
      <w:r>
        <w:rPr>
          <w:spacing w:val="-3"/>
        </w:rPr>
        <w:t xml:space="preserve"> </w:t>
      </w:r>
      <w:r>
        <w:t>tradicional</w:t>
      </w:r>
      <w:r>
        <w:rPr>
          <w:spacing w:val="-3"/>
        </w:rPr>
        <w:t xml:space="preserve"> </w:t>
      </w:r>
      <w:r>
        <w:t>ya</w:t>
      </w:r>
      <w:r>
        <w:rPr>
          <w:spacing w:val="-3"/>
        </w:rPr>
        <w:t xml:space="preserve"> </w:t>
      </w:r>
      <w:r>
        <w:t>cuenta</w:t>
      </w:r>
      <w:r>
        <w:rPr>
          <w:spacing w:val="-3"/>
        </w:rPr>
        <w:t xml:space="preserve"> </w:t>
      </w:r>
      <w:r>
        <w:t>con respaldo técnico. Una productora destacó su trabajo con laboratorios l</w:t>
      </w:r>
      <w:r>
        <w:t>ocales</w:t>
      </w:r>
      <w:r>
        <w:rPr>
          <w:spacing w:val="-4"/>
        </w:rPr>
        <w:t xml:space="preserve"> </w:t>
      </w:r>
      <w:r>
        <w:t>para</w:t>
      </w:r>
      <w:r>
        <w:rPr>
          <w:spacing w:val="-4"/>
        </w:rPr>
        <w:t xml:space="preserve"> </w:t>
      </w:r>
      <w:r>
        <w:t>medir</w:t>
      </w:r>
      <w:r>
        <w:rPr>
          <w:spacing w:val="-4"/>
        </w:rPr>
        <w:t xml:space="preserve"> </w:t>
      </w:r>
      <w:r>
        <w:t>niveles</w:t>
      </w:r>
      <w:r>
        <w:rPr>
          <w:spacing w:val="-4"/>
        </w:rPr>
        <w:t xml:space="preserve"> </w:t>
      </w:r>
      <w:r>
        <w:t>de</w:t>
      </w:r>
      <w:r>
        <w:rPr>
          <w:spacing w:val="-4"/>
        </w:rPr>
        <w:t xml:space="preserve"> </w:t>
      </w:r>
      <w:r>
        <w:t>humedad</w:t>
      </w:r>
      <w:r>
        <w:rPr>
          <w:spacing w:val="-4"/>
        </w:rPr>
        <w:t xml:space="preserve"> </w:t>
      </w:r>
      <w:r>
        <w:t>y</w:t>
      </w:r>
      <w:r>
        <w:rPr>
          <w:spacing w:val="-4"/>
        </w:rPr>
        <w:t xml:space="preserve"> </w:t>
      </w:r>
      <w:r>
        <w:t>perfiles</w:t>
      </w:r>
      <w:r>
        <w:rPr>
          <w:spacing w:val="-4"/>
        </w:rPr>
        <w:t xml:space="preserve"> </w:t>
      </w:r>
      <w:r>
        <w:t>de</w:t>
      </w:r>
      <w:r>
        <w:rPr>
          <w:spacing w:val="-4"/>
        </w:rPr>
        <w:t xml:space="preserve"> </w:t>
      </w:r>
      <w:r>
        <w:t>aminoácidos,</w:t>
      </w:r>
      <w:r>
        <w:rPr>
          <w:spacing w:val="-4"/>
        </w:rPr>
        <w:t xml:space="preserve"> </w:t>
      </w:r>
      <w:r>
        <w:t>llegando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865" w:right="603"/>
        <w:jc w:val="both"/>
      </w:pPr>
      <w:proofErr w:type="gramStart"/>
      <w:r>
        <w:lastRenderedPageBreak/>
        <w:t>a</w:t>
      </w:r>
      <w:proofErr w:type="gramEnd"/>
      <w:r>
        <w:t xml:space="preserve"> documentar casos clínicos de recuperación de anemia en infantes de</w:t>
      </w:r>
      <w:r>
        <w:rPr>
          <w:spacing w:val="-4"/>
        </w:rPr>
        <w:t xml:space="preserve"> </w:t>
      </w:r>
      <w:r>
        <w:t>la región. Para Guardiana, esto permite que la comunicación evolucione de</w:t>
      </w:r>
      <w:r>
        <w:rPr>
          <w:spacing w:val="40"/>
        </w:rPr>
        <w:t xml:space="preserve"> </w:t>
      </w:r>
      <w:r>
        <w:t>lo percibido como tradicional a una funcionalidad respaldada.</w:t>
      </w:r>
    </w:p>
    <w:p w:rsidR="009B4BB4" w:rsidRDefault="00C44001" w:rsidP="00C44001">
      <w:pPr>
        <w:pStyle w:val="Prrafodelista"/>
        <w:numPr>
          <w:ilvl w:val="3"/>
          <w:numId w:val="38"/>
        </w:numPr>
        <w:tabs>
          <w:tab w:val="left" w:pos="1865"/>
        </w:tabs>
        <w:spacing w:line="360" w:lineRule="auto"/>
        <w:ind w:left="1865" w:right="602"/>
        <w:jc w:val="both"/>
      </w:pPr>
      <w:r>
        <w:rPr>
          <w:rFonts w:ascii="Arial" w:hAnsi="Arial"/>
          <w:b/>
        </w:rPr>
        <w:t>Limitaciones del comercio</w:t>
      </w:r>
      <w:r>
        <w:rPr>
          <w:rFonts w:ascii="Arial" w:hAnsi="Arial"/>
          <w:b/>
          <w:spacing w:val="-4"/>
        </w:rPr>
        <w:t xml:space="preserve"> </w:t>
      </w:r>
      <w:r>
        <w:rPr>
          <w:rFonts w:ascii="Arial" w:hAnsi="Arial"/>
          <w:b/>
        </w:rPr>
        <w:t>tradicional:</w:t>
      </w:r>
      <w:r>
        <w:rPr>
          <w:rFonts w:ascii="Arial" w:hAnsi="Arial"/>
          <w:b/>
          <w:spacing w:val="-4"/>
        </w:rPr>
        <w:t xml:space="preserve"> </w:t>
      </w:r>
      <w:r>
        <w:t>El</w:t>
      </w:r>
      <w:r>
        <w:rPr>
          <w:spacing w:val="-4"/>
        </w:rPr>
        <w:t xml:space="preserve"> </w:t>
      </w:r>
      <w:r>
        <w:t>análisis</w:t>
      </w:r>
      <w:r>
        <w:rPr>
          <w:spacing w:val="-4"/>
        </w:rPr>
        <w:t xml:space="preserve"> </w:t>
      </w:r>
      <w:r>
        <w:t>de</w:t>
      </w:r>
      <w:r>
        <w:rPr>
          <w:spacing w:val="-4"/>
        </w:rPr>
        <w:t xml:space="preserve"> </w:t>
      </w:r>
      <w:r>
        <w:t>la</w:t>
      </w:r>
      <w:r>
        <w:rPr>
          <w:spacing w:val="-4"/>
        </w:rPr>
        <w:t xml:space="preserve"> </w:t>
      </w:r>
      <w:r>
        <w:t>comercialización reveló un ecosistema local roto. Un intermediario en el mercado de Valladolid evidenció la dificultad</w:t>
      </w:r>
      <w:r>
        <w:rPr>
          <w:spacing w:val="-4"/>
        </w:rPr>
        <w:t xml:space="preserve"> </w:t>
      </w:r>
      <w:r>
        <w:t>de</w:t>
      </w:r>
      <w:r>
        <w:rPr>
          <w:spacing w:val="-4"/>
        </w:rPr>
        <w:t xml:space="preserve"> </w:t>
      </w:r>
      <w:r>
        <w:t>escalar</w:t>
      </w:r>
      <w:r>
        <w:rPr>
          <w:spacing w:val="-4"/>
        </w:rPr>
        <w:t xml:space="preserve"> </w:t>
      </w:r>
      <w:r>
        <w:t>las</w:t>
      </w:r>
      <w:r>
        <w:rPr>
          <w:spacing w:val="-4"/>
        </w:rPr>
        <w:t xml:space="preserve"> </w:t>
      </w:r>
      <w:r>
        <w:t>ven</w:t>
      </w:r>
      <w:r>
        <w:t>tas</w:t>
      </w:r>
      <w:r>
        <w:rPr>
          <w:spacing w:val="-4"/>
        </w:rPr>
        <w:t xml:space="preserve"> </w:t>
      </w:r>
      <w:r>
        <w:t>físicas:</w:t>
      </w:r>
      <w:r>
        <w:rPr>
          <w:spacing w:val="-4"/>
        </w:rPr>
        <w:t xml:space="preserve"> </w:t>
      </w:r>
      <w:r>
        <w:t>el</w:t>
      </w:r>
      <w:r>
        <w:rPr>
          <w:spacing w:val="-4"/>
        </w:rPr>
        <w:t xml:space="preserve"> </w:t>
      </w:r>
      <w:r>
        <w:t>turismo</w:t>
      </w:r>
      <w:r>
        <w:rPr>
          <w:spacing w:val="-4"/>
        </w:rPr>
        <w:t xml:space="preserve"> </w:t>
      </w:r>
      <w:r>
        <w:t>se concentra en el centro de la ciudad, pero las rentas comerciales allí alcanzan los $24,000 MXN ($1,200 USD) mensuales, lo que limita el acceso a ubicaciones de alto</w:t>
      </w:r>
      <w:r>
        <w:rPr>
          <w:spacing w:val="-4"/>
        </w:rPr>
        <w:t xml:space="preserve"> </w:t>
      </w:r>
      <w:r>
        <w:t>flujo</w:t>
      </w:r>
      <w:r>
        <w:rPr>
          <w:spacing w:val="-4"/>
        </w:rPr>
        <w:t xml:space="preserve"> </w:t>
      </w:r>
      <w:r>
        <w:t>para</w:t>
      </w:r>
      <w:r>
        <w:rPr>
          <w:spacing w:val="-4"/>
        </w:rPr>
        <w:t xml:space="preserve"> </w:t>
      </w:r>
      <w:r>
        <w:t>pequeños</w:t>
      </w:r>
      <w:r>
        <w:rPr>
          <w:spacing w:val="-4"/>
        </w:rPr>
        <w:t xml:space="preserve"> </w:t>
      </w:r>
      <w:r>
        <w:t>productores.</w:t>
      </w:r>
      <w:r>
        <w:rPr>
          <w:spacing w:val="-4"/>
        </w:rPr>
        <w:t xml:space="preserve"> </w:t>
      </w:r>
      <w:r>
        <w:t>Además,</w:t>
      </w:r>
      <w:r>
        <w:rPr>
          <w:spacing w:val="-4"/>
        </w:rPr>
        <w:t xml:space="preserve"> </w:t>
      </w:r>
      <w:r>
        <w:t>el turismo que sí logra</w:t>
      </w:r>
      <w:r>
        <w:t xml:space="preserve"> comprar se ve limitado por restricciones de equipaje en vuelos. Esta situación respalda la estrategia de Guardiana de ofrecer formatos </w:t>
      </w:r>
      <w:r>
        <w:rPr>
          <w:rFonts w:ascii="Arial" w:hAnsi="Arial"/>
          <w:i/>
        </w:rPr>
        <w:t xml:space="preserve">Travel-Safe </w:t>
      </w:r>
      <w:r>
        <w:t>(&lt;100 ml) y de migrar el volumen</w:t>
      </w:r>
      <w:r>
        <w:rPr>
          <w:spacing w:val="-5"/>
        </w:rPr>
        <w:t xml:space="preserve"> </w:t>
      </w:r>
      <w:r>
        <w:t>de</w:t>
      </w:r>
      <w:r>
        <w:rPr>
          <w:spacing w:val="-5"/>
        </w:rPr>
        <w:t xml:space="preserve"> </w:t>
      </w:r>
      <w:r>
        <w:t>recompra</w:t>
      </w:r>
      <w:r>
        <w:rPr>
          <w:spacing w:val="-5"/>
        </w:rPr>
        <w:t xml:space="preserve"> </w:t>
      </w:r>
      <w:r>
        <w:t>hacia canales</w:t>
      </w:r>
      <w:r>
        <w:rPr>
          <w:spacing w:val="-5"/>
        </w:rPr>
        <w:t xml:space="preserve"> </w:t>
      </w:r>
      <w:r>
        <w:t>de</w:t>
      </w:r>
      <w:r>
        <w:rPr>
          <w:spacing w:val="-5"/>
        </w:rPr>
        <w:t xml:space="preserve"> </w:t>
      </w:r>
      <w:r>
        <w:t>e-commerce</w:t>
      </w:r>
      <w:r>
        <w:rPr>
          <w:spacing w:val="-5"/>
        </w:rPr>
        <w:t xml:space="preserve"> </w:t>
      </w:r>
      <w:r>
        <w:t>y</w:t>
      </w:r>
      <w:r>
        <w:rPr>
          <w:spacing w:val="-5"/>
        </w:rPr>
        <w:t xml:space="preserve"> </w:t>
      </w:r>
      <w:r>
        <w:t>marketplaces,</w:t>
      </w:r>
      <w:r>
        <w:rPr>
          <w:spacing w:val="-5"/>
        </w:rPr>
        <w:t xml:space="preserve"> </w:t>
      </w:r>
      <w:r>
        <w:t>saltando</w:t>
      </w:r>
      <w:r>
        <w:rPr>
          <w:spacing w:val="-5"/>
        </w:rPr>
        <w:t xml:space="preserve"> </w:t>
      </w:r>
      <w:r>
        <w:t>las</w:t>
      </w:r>
      <w:r>
        <w:rPr>
          <w:spacing w:val="-5"/>
        </w:rPr>
        <w:t xml:space="preserve"> </w:t>
      </w:r>
      <w:r>
        <w:t>barreras</w:t>
      </w:r>
      <w:r>
        <w:rPr>
          <w:spacing w:val="-5"/>
        </w:rPr>
        <w:t xml:space="preserve"> </w:t>
      </w:r>
      <w:r>
        <w:t>geográficas.</w:t>
      </w:r>
    </w:p>
    <w:p w:rsidR="009B4BB4" w:rsidRDefault="00C44001" w:rsidP="00C44001">
      <w:pPr>
        <w:pStyle w:val="Prrafodelista"/>
        <w:numPr>
          <w:ilvl w:val="3"/>
          <w:numId w:val="38"/>
        </w:numPr>
        <w:tabs>
          <w:tab w:val="left" w:pos="1865"/>
        </w:tabs>
        <w:spacing w:line="360" w:lineRule="auto"/>
        <w:ind w:left="1865" w:right="603"/>
        <w:jc w:val="both"/>
      </w:pPr>
      <w:r>
        <w:rPr>
          <w:rFonts w:ascii="Arial" w:hAnsi="Arial"/>
          <w:b/>
        </w:rPr>
        <w:t xml:space="preserve">Impacto ambiental y social: </w:t>
      </w:r>
      <w:r>
        <w:t>Finalmente, las entrevistas amplían el alcance del concepto de impacto social. Para los productores, la meliponicultura es más que un negocio; funciona como un mecanismo de conservación frente al cambio cli</w:t>
      </w:r>
      <w:r>
        <w:t>mático. Un productor de Yaxcabá, San Francisco, advirtió que la sequía y la deforestación</w:t>
      </w:r>
      <w:r>
        <w:rPr>
          <w:spacing w:val="-3"/>
        </w:rPr>
        <w:t xml:space="preserve"> </w:t>
      </w:r>
      <w:r>
        <w:t>están</w:t>
      </w:r>
      <w:r>
        <w:rPr>
          <w:spacing w:val="-3"/>
        </w:rPr>
        <w:t xml:space="preserve"> </w:t>
      </w:r>
      <w:r>
        <w:t>diezmando</w:t>
      </w:r>
      <w:r>
        <w:rPr>
          <w:spacing w:val="-3"/>
        </w:rPr>
        <w:t xml:space="preserve"> </w:t>
      </w:r>
      <w:r>
        <w:t>a</w:t>
      </w:r>
      <w:r>
        <w:rPr>
          <w:spacing w:val="-3"/>
        </w:rPr>
        <w:t xml:space="preserve"> </w:t>
      </w:r>
      <w:r>
        <w:t>las abejas: “Se habla de producir, pero se trabaja muy poco en la conservación de la selva”. Este testimonio refuerza el modelo de retorno</w:t>
      </w:r>
      <w:r>
        <w:rPr>
          <w:spacing w:val="40"/>
        </w:rPr>
        <w:t xml:space="preserve"> </w:t>
      </w:r>
      <w:r>
        <w:t>de Guardi</w:t>
      </w:r>
      <w:r>
        <w:t>ana: la</w:t>
      </w:r>
      <w:r>
        <w:rPr>
          <w:spacing w:val="-4"/>
        </w:rPr>
        <w:t xml:space="preserve"> </w:t>
      </w:r>
      <w:r>
        <w:t>marca,</w:t>
      </w:r>
      <w:r>
        <w:rPr>
          <w:spacing w:val="-4"/>
        </w:rPr>
        <w:t xml:space="preserve"> </w:t>
      </w:r>
      <w:r>
        <w:t>además</w:t>
      </w:r>
      <w:r>
        <w:rPr>
          <w:spacing w:val="-4"/>
        </w:rPr>
        <w:t xml:space="preserve"> </w:t>
      </w:r>
      <w:r>
        <w:t>de</w:t>
      </w:r>
      <w:r>
        <w:rPr>
          <w:spacing w:val="-4"/>
        </w:rPr>
        <w:t xml:space="preserve"> </w:t>
      </w:r>
      <w:r>
        <w:t>financiar</w:t>
      </w:r>
      <w:r>
        <w:rPr>
          <w:spacing w:val="-4"/>
        </w:rPr>
        <w:t xml:space="preserve"> </w:t>
      </w:r>
      <w:r>
        <w:t>a</w:t>
      </w:r>
      <w:r>
        <w:rPr>
          <w:spacing w:val="-4"/>
        </w:rPr>
        <w:t xml:space="preserve"> </w:t>
      </w:r>
      <w:r>
        <w:t>las</w:t>
      </w:r>
      <w:r>
        <w:rPr>
          <w:spacing w:val="-4"/>
        </w:rPr>
        <w:t xml:space="preserve"> </w:t>
      </w:r>
      <w:r>
        <w:t>comunidades,</w:t>
      </w:r>
      <w:r>
        <w:rPr>
          <w:spacing w:val="-4"/>
        </w:rPr>
        <w:t xml:space="preserve"> </w:t>
      </w:r>
      <w:r>
        <w:t>incentiva la conservación del ecosistema y la regeneración de la selva.</w:t>
      </w:r>
    </w:p>
    <w:p w:rsidR="009B4BB4" w:rsidRDefault="009B4BB4">
      <w:pPr>
        <w:pStyle w:val="Textoindependiente"/>
        <w:spacing w:before="107"/>
      </w:pPr>
    </w:p>
    <w:p w:rsidR="009B4BB4" w:rsidRDefault="00C44001" w:rsidP="00C44001">
      <w:pPr>
        <w:pStyle w:val="Ttulo1"/>
        <w:numPr>
          <w:ilvl w:val="1"/>
          <w:numId w:val="38"/>
        </w:numPr>
        <w:tabs>
          <w:tab w:val="left" w:pos="910"/>
        </w:tabs>
        <w:ind w:left="910" w:hanging="485"/>
      </w:pPr>
      <w:bookmarkStart w:id="167" w:name="4.10_Síntesis_estratégica_y_conclusión_d"/>
      <w:bookmarkStart w:id="168" w:name="h.5kqg8i9dkmy"/>
      <w:bookmarkEnd w:id="167"/>
      <w:bookmarkEnd w:id="168"/>
      <w:r>
        <w:t>Síntesis</w:t>
      </w:r>
      <w:r>
        <w:rPr>
          <w:spacing w:val="-7"/>
        </w:rPr>
        <w:t xml:space="preserve"> </w:t>
      </w:r>
      <w:r>
        <w:t>estratégica</w:t>
      </w:r>
      <w:r>
        <w:rPr>
          <w:spacing w:val="-7"/>
        </w:rPr>
        <w:t xml:space="preserve"> </w:t>
      </w:r>
      <w:r>
        <w:t>y</w:t>
      </w:r>
      <w:r>
        <w:rPr>
          <w:spacing w:val="-6"/>
        </w:rPr>
        <w:t xml:space="preserve"> </w:t>
      </w:r>
      <w:r>
        <w:t>conclusión</w:t>
      </w:r>
      <w:r>
        <w:rPr>
          <w:spacing w:val="-7"/>
        </w:rPr>
        <w:t xml:space="preserve"> </w:t>
      </w:r>
      <w:r>
        <w:t>del</w:t>
      </w:r>
      <w:r>
        <w:rPr>
          <w:spacing w:val="-6"/>
        </w:rPr>
        <w:t xml:space="preserve"> </w:t>
      </w:r>
      <w:r>
        <w:rPr>
          <w:spacing w:val="-2"/>
        </w:rPr>
        <w:t>capítulo</w:t>
      </w:r>
    </w:p>
    <w:p w:rsidR="009B4BB4" w:rsidRDefault="009B4BB4">
      <w:pPr>
        <w:pStyle w:val="Textoindependiente"/>
        <w:spacing w:before="113"/>
        <w:rPr>
          <w:rFonts w:ascii="Arial"/>
          <w:b/>
        </w:rPr>
      </w:pPr>
    </w:p>
    <w:p w:rsidR="009B4BB4" w:rsidRDefault="00C44001" w:rsidP="00C44001">
      <w:pPr>
        <w:pStyle w:val="Ttulo2"/>
        <w:numPr>
          <w:ilvl w:val="2"/>
          <w:numId w:val="38"/>
        </w:numPr>
        <w:tabs>
          <w:tab w:val="left" w:pos="1091"/>
        </w:tabs>
        <w:spacing w:before="1"/>
        <w:ind w:left="1091" w:hanging="666"/>
        <w:jc w:val="left"/>
      </w:pPr>
      <w:bookmarkStart w:id="169" w:name="4.10.1_Factores_de_mayor_impacto_para_el"/>
      <w:bookmarkStart w:id="170" w:name="h.o23266n0mdzv"/>
      <w:bookmarkEnd w:id="169"/>
      <w:bookmarkEnd w:id="170"/>
      <w:r>
        <w:t>Factores</w:t>
      </w:r>
      <w:r>
        <w:rPr>
          <w:spacing w:val="-7"/>
        </w:rPr>
        <w:t xml:space="preserve"> </w:t>
      </w:r>
      <w:r>
        <w:t>de</w:t>
      </w:r>
      <w:r>
        <w:rPr>
          <w:spacing w:val="-4"/>
        </w:rPr>
        <w:t xml:space="preserve"> </w:t>
      </w:r>
      <w:r>
        <w:t>mayor</w:t>
      </w:r>
      <w:r>
        <w:rPr>
          <w:spacing w:val="-5"/>
        </w:rPr>
        <w:t xml:space="preserve"> </w:t>
      </w:r>
      <w:r>
        <w:t>impacto</w:t>
      </w:r>
      <w:r>
        <w:rPr>
          <w:spacing w:val="-4"/>
        </w:rPr>
        <w:t xml:space="preserve"> </w:t>
      </w:r>
      <w:r>
        <w:t>para</w:t>
      </w:r>
      <w:r>
        <w:rPr>
          <w:spacing w:val="-5"/>
        </w:rPr>
        <w:t xml:space="preserve"> </w:t>
      </w:r>
      <w:r>
        <w:t>el</w:t>
      </w:r>
      <w:r>
        <w:rPr>
          <w:spacing w:val="-4"/>
        </w:rPr>
        <w:t xml:space="preserve"> </w:t>
      </w:r>
      <w:r>
        <w:t>modelo</w:t>
      </w:r>
      <w:r>
        <w:rPr>
          <w:spacing w:val="-5"/>
        </w:rPr>
        <w:t xml:space="preserve"> </w:t>
      </w:r>
      <w:r>
        <w:t>de</w:t>
      </w:r>
      <w:r>
        <w:rPr>
          <w:spacing w:val="-4"/>
        </w:rPr>
        <w:t xml:space="preserve"> </w:t>
      </w:r>
      <w:r>
        <w:rPr>
          <w:spacing w:val="-2"/>
        </w:rPr>
        <w:t>negocio</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9" w:firstLine="720"/>
        <w:jc w:val="both"/>
      </w:pPr>
      <w:r>
        <w:t>La triangulación de los dato</w:t>
      </w:r>
      <w:r>
        <w:t>s cuantitativos (encuestas a consumidores) y cualitativos (entrevistas a actores de la cadena de valor) define los pilares sobre los cuales Guardiana debe construir su estrategia operativa, comercial y financiera. Los factores que determinan el rumbo del p</w:t>
      </w:r>
      <w:r>
        <w:t>royecto son los siguientes: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9" w:firstLine="720"/>
        <w:jc w:val="both"/>
      </w:pPr>
      <w:r>
        <w:lastRenderedPageBreak/>
        <w:t xml:space="preserve">Posicionamiento dual y sustento del precio </w:t>
      </w:r>
      <w:r>
        <w:rPr>
          <w:rFonts w:ascii="Arial" w:hAnsi="Arial"/>
          <w:i/>
        </w:rPr>
        <w:t>premium</w:t>
      </w:r>
      <w:r>
        <w:t>: La viabilidad financiera de Guardiana depende de sostener un precio de venta al público de $25 a $35 USD por frasco de 100 g. La investigación demostró que el mercado acepta este rango, pero requiere una narrativa dual: funcionalidad clínica y herencia c</w:t>
      </w:r>
      <w:r>
        <w:t xml:space="preserve">ultural. El alto precio no debe sustentarse solo en la escasez biológica de la especie nativa; también debe anclarse en las propiedades medicinales comprobadas del producto y en el trabajo especializado que realizan las comunidades productoras. Más que el </w:t>
      </w:r>
      <w:r>
        <w:t>producto en sí, el precio se sostiene en la capacidad de comunicar su valor.</w:t>
      </w:r>
    </w:p>
    <w:p w:rsidR="009B4BB4" w:rsidRDefault="00C44001">
      <w:pPr>
        <w:pStyle w:val="Textoindependiente"/>
        <w:spacing w:line="360" w:lineRule="auto"/>
        <w:ind w:left="425" w:right="616" w:firstLine="720"/>
        <w:jc w:val="both"/>
      </w:pPr>
      <w:r>
        <w:t>Arquitectura de empaque y estrategia omnicanal: El diseño del producto y la logística de distribución deben alinearse con la segmentación por origen del consumidor.</w:t>
      </w:r>
    </w:p>
    <w:p w:rsidR="009B4BB4" w:rsidRDefault="00C44001" w:rsidP="00C44001">
      <w:pPr>
        <w:pStyle w:val="Prrafodelista"/>
        <w:numPr>
          <w:ilvl w:val="3"/>
          <w:numId w:val="38"/>
        </w:numPr>
        <w:tabs>
          <w:tab w:val="left" w:pos="1865"/>
        </w:tabs>
        <w:spacing w:line="360" w:lineRule="auto"/>
        <w:ind w:left="1865" w:right="605"/>
        <w:jc w:val="both"/>
      </w:pPr>
      <w:r>
        <w:t>Para el mercad</w:t>
      </w:r>
      <w:r>
        <w:t xml:space="preserve">o nacional, la estrategia requiere formatos </w:t>
      </w:r>
      <w:proofErr w:type="gramStart"/>
      <w:r>
        <w:t>funcionales(</w:t>
      </w:r>
      <w:proofErr w:type="gramEnd"/>
      <w:r>
        <w:t>goteros de 20 ml), sellos de autenticidad y trazabilidad estrictos</w:t>
      </w:r>
      <w:r>
        <w:rPr>
          <w:spacing w:val="-4"/>
        </w:rPr>
        <w:t xml:space="preserve"> </w:t>
      </w:r>
      <w:r>
        <w:t>para</w:t>
      </w:r>
      <w:r>
        <w:rPr>
          <w:spacing w:val="-4"/>
        </w:rPr>
        <w:t xml:space="preserve"> </w:t>
      </w:r>
      <w:r>
        <w:t>reducir</w:t>
      </w:r>
      <w:r>
        <w:rPr>
          <w:spacing w:val="-4"/>
        </w:rPr>
        <w:t xml:space="preserve"> </w:t>
      </w:r>
      <w:r>
        <w:t>la</w:t>
      </w:r>
      <w:r>
        <w:rPr>
          <w:spacing w:val="-4"/>
        </w:rPr>
        <w:t xml:space="preserve"> </w:t>
      </w:r>
      <w:r>
        <w:t>barrera</w:t>
      </w:r>
      <w:r>
        <w:rPr>
          <w:spacing w:val="-4"/>
        </w:rPr>
        <w:t xml:space="preserve"> </w:t>
      </w:r>
      <w:r>
        <w:t>de</w:t>
      </w:r>
      <w:r>
        <w:rPr>
          <w:spacing w:val="-4"/>
        </w:rPr>
        <w:t xml:space="preserve"> </w:t>
      </w:r>
      <w:r>
        <w:t>desconfianza,</w:t>
      </w:r>
      <w:r>
        <w:rPr>
          <w:spacing w:val="-4"/>
        </w:rPr>
        <w:t xml:space="preserve"> </w:t>
      </w:r>
      <w:r>
        <w:t>y</w:t>
      </w:r>
      <w:r>
        <w:rPr>
          <w:spacing w:val="-4"/>
        </w:rPr>
        <w:t xml:space="preserve"> </w:t>
      </w:r>
      <w:r>
        <w:t>una</w:t>
      </w:r>
      <w:r>
        <w:rPr>
          <w:spacing w:val="-4"/>
        </w:rPr>
        <w:t xml:space="preserve"> </w:t>
      </w:r>
      <w:r>
        <w:t>fuerte</w:t>
      </w:r>
      <w:r>
        <w:rPr>
          <w:spacing w:val="-4"/>
        </w:rPr>
        <w:t xml:space="preserve"> </w:t>
      </w:r>
      <w:r>
        <w:t>presencia</w:t>
      </w:r>
      <w:r>
        <w:rPr>
          <w:spacing w:val="-4"/>
        </w:rPr>
        <w:t xml:space="preserve"> </w:t>
      </w:r>
      <w:r>
        <w:t>en marketplaces para sostener la recompra en el tiempo.</w:t>
      </w:r>
    </w:p>
    <w:p w:rsidR="009B4BB4" w:rsidRDefault="00C44001" w:rsidP="00C44001">
      <w:pPr>
        <w:pStyle w:val="Prrafodelista"/>
        <w:numPr>
          <w:ilvl w:val="3"/>
          <w:numId w:val="38"/>
        </w:numPr>
        <w:tabs>
          <w:tab w:val="left" w:pos="1865"/>
        </w:tabs>
        <w:spacing w:line="360" w:lineRule="auto"/>
        <w:ind w:left="1865" w:right="604"/>
        <w:jc w:val="both"/>
      </w:pPr>
      <w:r>
        <w:t>Para el merca</w:t>
      </w:r>
      <w:r>
        <w:t>do</w:t>
      </w:r>
      <w:r>
        <w:rPr>
          <w:spacing w:val="-4"/>
        </w:rPr>
        <w:t xml:space="preserve"> </w:t>
      </w:r>
      <w:r>
        <w:t>internacional,</w:t>
      </w:r>
      <w:r>
        <w:rPr>
          <w:spacing w:val="-4"/>
        </w:rPr>
        <w:t xml:space="preserve"> </w:t>
      </w:r>
      <w:r>
        <w:t>el</w:t>
      </w:r>
      <w:r>
        <w:rPr>
          <w:spacing w:val="-4"/>
        </w:rPr>
        <w:t xml:space="preserve"> </w:t>
      </w:r>
      <w:r>
        <w:t>producto</w:t>
      </w:r>
      <w:r>
        <w:rPr>
          <w:spacing w:val="-4"/>
        </w:rPr>
        <w:t xml:space="preserve"> </w:t>
      </w:r>
      <w:r>
        <w:t>debe</w:t>
      </w:r>
      <w:r>
        <w:rPr>
          <w:spacing w:val="-4"/>
        </w:rPr>
        <w:t xml:space="preserve"> </w:t>
      </w:r>
      <w:r>
        <w:t>presentarse</w:t>
      </w:r>
      <w:r>
        <w:rPr>
          <w:spacing w:val="-4"/>
        </w:rPr>
        <w:t xml:space="preserve"> </w:t>
      </w:r>
      <w:r>
        <w:t>como</w:t>
      </w:r>
      <w:r>
        <w:rPr>
          <w:spacing w:val="-4"/>
        </w:rPr>
        <w:t xml:space="preserve"> </w:t>
      </w:r>
      <w:r>
        <w:t>un</w:t>
      </w:r>
      <w:r>
        <w:rPr>
          <w:spacing w:val="-4"/>
        </w:rPr>
        <w:t xml:space="preserve"> </w:t>
      </w:r>
      <w:r>
        <w:t xml:space="preserve">bien cultural </w:t>
      </w:r>
      <w:r>
        <w:rPr>
          <w:rFonts w:ascii="Arial" w:hAnsi="Arial"/>
          <w:i/>
        </w:rPr>
        <w:t>premium</w:t>
      </w:r>
      <w:r>
        <w:rPr>
          <w:rFonts w:ascii="Arial" w:hAnsi="Arial"/>
          <w:i/>
          <w:spacing w:val="-5"/>
        </w:rPr>
        <w:t xml:space="preserve"> </w:t>
      </w:r>
      <w:r>
        <w:t>(frascos</w:t>
      </w:r>
      <w:r>
        <w:rPr>
          <w:spacing w:val="-5"/>
        </w:rPr>
        <w:t xml:space="preserve"> </w:t>
      </w:r>
      <w:r>
        <w:t>de</w:t>
      </w:r>
      <w:r>
        <w:rPr>
          <w:spacing w:val="-5"/>
        </w:rPr>
        <w:t xml:space="preserve"> </w:t>
      </w:r>
      <w:r>
        <w:t>100</w:t>
      </w:r>
      <w:r>
        <w:rPr>
          <w:spacing w:val="-5"/>
        </w:rPr>
        <w:t xml:space="preserve"> </w:t>
      </w:r>
      <w:r>
        <w:t>g),</w:t>
      </w:r>
      <w:r>
        <w:rPr>
          <w:spacing w:val="-5"/>
        </w:rPr>
        <w:t xml:space="preserve"> </w:t>
      </w:r>
      <w:r>
        <w:t>empacado</w:t>
      </w:r>
      <w:r>
        <w:rPr>
          <w:spacing w:val="-5"/>
        </w:rPr>
        <w:t xml:space="preserve"> </w:t>
      </w:r>
      <w:r>
        <w:t>en</w:t>
      </w:r>
      <w:r>
        <w:rPr>
          <w:spacing w:val="-5"/>
        </w:rPr>
        <w:t xml:space="preserve"> </w:t>
      </w:r>
      <w:r>
        <w:t>cajas</w:t>
      </w:r>
      <w:r>
        <w:rPr>
          <w:spacing w:val="-5"/>
        </w:rPr>
        <w:t xml:space="preserve"> </w:t>
      </w:r>
      <w:r>
        <w:t>rígidas</w:t>
      </w:r>
      <w:r>
        <w:rPr>
          <w:spacing w:val="-5"/>
        </w:rPr>
        <w:t xml:space="preserve"> </w:t>
      </w:r>
      <w:r>
        <w:t xml:space="preserve">aprobadas para equipaje de cabina y el punto de venta debe enfocarse en captar compras de impulso. A nivel operativo, cada formato y </w:t>
      </w:r>
      <w:r>
        <w:t>canal cumple una función distinta dentro del ciclo de compra.</w:t>
      </w:r>
    </w:p>
    <w:p w:rsidR="009B4BB4" w:rsidRDefault="00C44001" w:rsidP="00C44001">
      <w:pPr>
        <w:pStyle w:val="Prrafodelista"/>
        <w:numPr>
          <w:ilvl w:val="3"/>
          <w:numId w:val="38"/>
        </w:numPr>
        <w:tabs>
          <w:tab w:val="left" w:pos="1865"/>
        </w:tabs>
        <w:spacing w:line="360" w:lineRule="auto"/>
        <w:ind w:left="1865" w:right="605"/>
        <w:jc w:val="both"/>
      </w:pPr>
      <w:r>
        <w:rPr>
          <w:rFonts w:ascii="Arial" w:hAnsi="Arial"/>
          <w:b/>
        </w:rPr>
        <w:t>Impacto social como motor de</w:t>
      </w:r>
      <w:r>
        <w:rPr>
          <w:rFonts w:ascii="Arial" w:hAnsi="Arial"/>
          <w:b/>
          <w:spacing w:val="-4"/>
        </w:rPr>
        <w:t xml:space="preserve"> </w:t>
      </w:r>
      <w:r>
        <w:rPr>
          <w:rFonts w:ascii="Arial" w:hAnsi="Arial"/>
          <w:b/>
        </w:rPr>
        <w:t>rentabilidad</w:t>
      </w:r>
      <w:r>
        <w:rPr>
          <w:rFonts w:ascii="Arial" w:hAnsi="Arial"/>
          <w:b/>
          <w:spacing w:val="-4"/>
        </w:rPr>
        <w:t xml:space="preserve"> </w:t>
      </w:r>
      <w:r>
        <w:rPr>
          <w:rFonts w:ascii="Arial" w:hAnsi="Arial"/>
          <w:b/>
        </w:rPr>
        <w:t>y</w:t>
      </w:r>
      <w:r>
        <w:rPr>
          <w:rFonts w:ascii="Arial" w:hAnsi="Arial"/>
          <w:b/>
          <w:spacing w:val="-4"/>
        </w:rPr>
        <w:t xml:space="preserve"> </w:t>
      </w:r>
      <w:r>
        <w:rPr>
          <w:rFonts w:ascii="Arial" w:hAnsi="Arial"/>
          <w:b/>
        </w:rPr>
        <w:t>conservación:</w:t>
      </w:r>
      <w:r>
        <w:rPr>
          <w:rFonts w:ascii="Arial" w:hAnsi="Arial"/>
          <w:b/>
          <w:spacing w:val="-4"/>
        </w:rPr>
        <w:t xml:space="preserve"> </w:t>
      </w:r>
      <w:r>
        <w:t>El</w:t>
      </w:r>
      <w:r>
        <w:rPr>
          <w:spacing w:val="-4"/>
        </w:rPr>
        <w:t xml:space="preserve"> </w:t>
      </w:r>
      <w:r>
        <w:t>modelo de Guardiana de destinar un porcentaje</w:t>
      </w:r>
      <w:r>
        <w:rPr>
          <w:spacing w:val="-4"/>
        </w:rPr>
        <w:t xml:space="preserve"> </w:t>
      </w:r>
      <w:r>
        <w:t>de</w:t>
      </w:r>
      <w:r>
        <w:rPr>
          <w:spacing w:val="-4"/>
        </w:rPr>
        <w:t xml:space="preserve"> </w:t>
      </w:r>
      <w:r>
        <w:t>los</w:t>
      </w:r>
      <w:r>
        <w:rPr>
          <w:spacing w:val="-4"/>
        </w:rPr>
        <w:t xml:space="preserve"> </w:t>
      </w:r>
      <w:r>
        <w:t>ingresos</w:t>
      </w:r>
      <w:r>
        <w:rPr>
          <w:spacing w:val="-4"/>
        </w:rPr>
        <w:t xml:space="preserve"> </w:t>
      </w:r>
      <w:r>
        <w:t>a</w:t>
      </w:r>
      <w:r>
        <w:rPr>
          <w:spacing w:val="-4"/>
        </w:rPr>
        <w:t xml:space="preserve"> </w:t>
      </w:r>
      <w:r>
        <w:t>los</w:t>
      </w:r>
      <w:r>
        <w:rPr>
          <w:spacing w:val="-4"/>
        </w:rPr>
        <w:t xml:space="preserve"> </w:t>
      </w:r>
      <w:r>
        <w:t xml:space="preserve">meliponarios se valida no solo como una práctica de responsabilidad social, sino como un generador directo de margen. La investigación muestra que el consumidor incrementa su disposición a pagar un precio </w:t>
      </w:r>
      <w:r>
        <w:rPr>
          <w:rFonts w:ascii="Arial" w:hAnsi="Arial"/>
          <w:i/>
        </w:rPr>
        <w:t>premium</w:t>
      </w:r>
      <w:r>
        <w:rPr>
          <w:rFonts w:ascii="Arial" w:hAnsi="Arial"/>
          <w:i/>
          <w:spacing w:val="-4"/>
        </w:rPr>
        <w:t xml:space="preserve"> </w:t>
      </w:r>
      <w:r>
        <w:t xml:space="preserve">cuando sabe que su compra tiene un impacto </w:t>
      </w:r>
      <w:r>
        <w:t>directo. Asimismo, este retorno económico responde a una urgencia climática revelada por las productoras: los fondos mejoran la calidad de vida de las familias e incentivan la conservación de la selva y de las floraciones endémicas frente a la deforestació</w:t>
      </w:r>
      <w:r>
        <w:t>n. En este modelo, el impacto no reduce la rentabilidad, la sostiene.</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38"/>
        </w:numPr>
        <w:tabs>
          <w:tab w:val="left" w:pos="1091"/>
        </w:tabs>
        <w:spacing w:before="79"/>
        <w:ind w:left="1091" w:hanging="666"/>
        <w:jc w:val="left"/>
      </w:pPr>
      <w:bookmarkStart w:id="171" w:name="4.10.2_Conclusión_del_capítulo_"/>
      <w:bookmarkStart w:id="172" w:name="h.2ht0qob7cvi"/>
      <w:bookmarkEnd w:id="171"/>
      <w:bookmarkEnd w:id="172"/>
      <w:r>
        <w:lastRenderedPageBreak/>
        <w:t>Conclusión</w:t>
      </w:r>
      <w:r>
        <w:rPr>
          <w:spacing w:val="-7"/>
        </w:rPr>
        <w:t xml:space="preserve"> </w:t>
      </w:r>
      <w:r>
        <w:t>del</w:t>
      </w:r>
      <w:r>
        <w:rPr>
          <w:spacing w:val="-6"/>
        </w:rPr>
        <w:t xml:space="preserve"> </w:t>
      </w:r>
      <w:r>
        <w:rPr>
          <w:spacing w:val="-2"/>
        </w:rPr>
        <w:t>capítulo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El análisis del mercado confirma una demanda insatisfecha por miel melipona auténtica, trazable y con propósito. Las barreras del sector, en</w:t>
      </w:r>
      <w:r>
        <w:rPr>
          <w:spacing w:val="-5"/>
        </w:rPr>
        <w:t xml:space="preserve"> </w:t>
      </w:r>
      <w:r>
        <w:t>pa</w:t>
      </w:r>
      <w:r>
        <w:t>rticular</w:t>
      </w:r>
      <w:r>
        <w:rPr>
          <w:spacing w:val="-5"/>
        </w:rPr>
        <w:t xml:space="preserve"> </w:t>
      </w:r>
      <w:r>
        <w:t>la</w:t>
      </w:r>
      <w:r>
        <w:rPr>
          <w:spacing w:val="-5"/>
        </w:rPr>
        <w:t xml:space="preserve"> </w:t>
      </w:r>
      <w:r>
        <w:t>desconfianza del consumidor mexicano frente a la adulteración y la falta de información del turista extranjero, se convierten en la principal oportunidad competitiva para Guardiana.</w:t>
      </w:r>
    </w:p>
    <w:p w:rsidR="009B4BB4" w:rsidRDefault="00C44001">
      <w:pPr>
        <w:pStyle w:val="Textoindependiente"/>
        <w:spacing w:line="360" w:lineRule="auto"/>
        <w:ind w:left="425" w:right="604" w:firstLine="720"/>
        <w:jc w:val="both"/>
      </w:pPr>
      <w:r>
        <w:t>Al asumir el rol de integrador comercial, Guardiana cierra la brecha logística que separa a los productores rurales de los mercados de alto valor. La disposición a pagar está validada, las preferencias de formato son claras y el impacto social actúa como a</w:t>
      </w:r>
      <w:r>
        <w:t>rgumento de venta. Con estos elementos, el plan de marketing, el modelo operativo y</w:t>
      </w:r>
      <w:r>
        <w:rPr>
          <w:spacing w:val="40"/>
        </w:rPr>
        <w:t xml:space="preserve"> </w:t>
      </w:r>
      <w:r>
        <w:t>las</w:t>
      </w:r>
      <w:r>
        <w:rPr>
          <w:spacing w:val="27"/>
        </w:rPr>
        <w:t xml:space="preserve"> </w:t>
      </w:r>
      <w:r>
        <w:t>proyecciones</w:t>
      </w:r>
      <w:r>
        <w:rPr>
          <w:spacing w:val="27"/>
        </w:rPr>
        <w:t xml:space="preserve"> </w:t>
      </w:r>
      <w:r>
        <w:t>financieras se sostienen en evidencia empírica. A partir de este punto, el reto no es validar el modelo, sino ejecutarlo con consistencia.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267" w:right="413"/>
        <w:jc w:val="center"/>
      </w:pPr>
      <w:bookmarkStart w:id="173" w:name="Capítulo_5​Plan_de_Marketing_y_Estrategi"/>
      <w:bookmarkStart w:id="174" w:name="h.cnxlemvrf75s"/>
      <w:bookmarkEnd w:id="173"/>
      <w:bookmarkEnd w:id="174"/>
      <w:r>
        <w:lastRenderedPageBreak/>
        <w:t>Capítulo</w:t>
      </w:r>
      <w:r>
        <w:rPr>
          <w:spacing w:val="-8"/>
        </w:rPr>
        <w:t xml:space="preserve"> </w:t>
      </w:r>
      <w:r>
        <w:rPr>
          <w:spacing w:val="-10"/>
        </w:rPr>
        <w:t>5</w:t>
      </w:r>
    </w:p>
    <w:p w:rsidR="009B4BB4" w:rsidRDefault="00C44001">
      <w:pPr>
        <w:pStyle w:val="Ttulo1"/>
        <w:spacing w:before="127"/>
        <w:ind w:left="237" w:right="413"/>
        <w:jc w:val="center"/>
      </w:pPr>
      <w:r>
        <w:t>Plan</w:t>
      </w:r>
      <w:r>
        <w:rPr>
          <w:spacing w:val="-6"/>
        </w:rPr>
        <w:t xml:space="preserve"> </w:t>
      </w:r>
      <w:r>
        <w:t>de</w:t>
      </w:r>
      <w:r>
        <w:rPr>
          <w:spacing w:val="-5"/>
        </w:rPr>
        <w:t xml:space="preserve"> </w:t>
      </w:r>
      <w:r>
        <w:t>Marketing</w:t>
      </w:r>
      <w:r>
        <w:rPr>
          <w:spacing w:val="-5"/>
        </w:rPr>
        <w:t xml:space="preserve"> </w:t>
      </w:r>
      <w:r>
        <w:t>y</w:t>
      </w:r>
      <w:r>
        <w:rPr>
          <w:spacing w:val="-5"/>
        </w:rPr>
        <w:t xml:space="preserve"> </w:t>
      </w:r>
      <w:r>
        <w:t>Estrategia</w:t>
      </w:r>
      <w:r>
        <w:rPr>
          <w:spacing w:val="-5"/>
        </w:rPr>
        <w:t xml:space="preserve"> </w:t>
      </w:r>
      <w:r>
        <w:rPr>
          <w:spacing w:val="-2"/>
        </w:rPr>
        <w:t>Comercial</w:t>
      </w:r>
    </w:p>
    <w:p w:rsidR="009B4BB4" w:rsidRDefault="009B4BB4">
      <w:pPr>
        <w:pStyle w:val="Textoindependiente"/>
        <w:spacing w:before="233"/>
        <w:rPr>
          <w:rFonts w:ascii="Arial"/>
          <w:b/>
        </w:rPr>
      </w:pPr>
    </w:p>
    <w:p w:rsidR="009B4BB4" w:rsidRDefault="00C44001" w:rsidP="00C44001">
      <w:pPr>
        <w:pStyle w:val="Ttulo1"/>
        <w:numPr>
          <w:ilvl w:val="1"/>
          <w:numId w:val="30"/>
        </w:numPr>
        <w:tabs>
          <w:tab w:val="left" w:pos="818"/>
        </w:tabs>
        <w:ind w:left="818" w:hanging="363"/>
      </w:pPr>
      <w:bookmarkStart w:id="175" w:name="5.1_Introducción_y_Contexto_Estratégico_"/>
      <w:bookmarkStart w:id="176" w:name="h.8q6hy8fhbh99"/>
      <w:bookmarkEnd w:id="175"/>
      <w:bookmarkEnd w:id="176"/>
      <w:r>
        <w:t>Introducción</w:t>
      </w:r>
      <w:r>
        <w:rPr>
          <w:spacing w:val="-7"/>
        </w:rPr>
        <w:t xml:space="preserve"> </w:t>
      </w:r>
      <w:r>
        <w:t>y</w:t>
      </w:r>
      <w:r>
        <w:rPr>
          <w:spacing w:val="-7"/>
        </w:rPr>
        <w:t xml:space="preserve"> </w:t>
      </w:r>
      <w:r>
        <w:t>Contexto</w:t>
      </w:r>
      <w:r>
        <w:rPr>
          <w:spacing w:val="-7"/>
        </w:rPr>
        <w:t xml:space="preserve"> </w:t>
      </w:r>
      <w:r>
        <w:rPr>
          <w:spacing w:val="-2"/>
        </w:rPr>
        <w:t>Estratégico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3" w:firstLine="720"/>
        <w:jc w:val="both"/>
        <w:rPr>
          <w:rFonts w:ascii="Arial" w:hAnsi="Arial"/>
          <w:i/>
        </w:rPr>
      </w:pPr>
      <w:r>
        <w:t>Construir una marca en mercados emergentes y fragmentados requiere más que un buen producto; exige una narrativa clara, una estrategia comercial coherente y una con</w:t>
      </w:r>
      <w:r>
        <w:t>exión auténtica con los valores y motivaciones del consumidor. Guardiana se posiciona en un contexto donde convergen tendencias actuales de consumo</w:t>
      </w:r>
      <w:r>
        <w:rPr>
          <w:spacing w:val="-4"/>
        </w:rPr>
        <w:t xml:space="preserve"> </w:t>
      </w:r>
      <w:r>
        <w:t>consciente, la búsqueda de bienestar preventivo y</w:t>
      </w:r>
      <w:r>
        <w:rPr>
          <w:spacing w:val="-3"/>
        </w:rPr>
        <w:t xml:space="preserve"> </w:t>
      </w:r>
      <w:r>
        <w:t>una</w:t>
      </w:r>
      <w:r>
        <w:rPr>
          <w:spacing w:val="-3"/>
        </w:rPr>
        <w:t xml:space="preserve"> </w:t>
      </w:r>
      <w:r>
        <w:t>creciente</w:t>
      </w:r>
      <w:r>
        <w:rPr>
          <w:spacing w:val="-3"/>
        </w:rPr>
        <w:t xml:space="preserve"> </w:t>
      </w:r>
      <w:r>
        <w:t>apreciación</w:t>
      </w:r>
      <w:r>
        <w:rPr>
          <w:spacing w:val="-3"/>
        </w:rPr>
        <w:t xml:space="preserve"> </w:t>
      </w:r>
      <w:r>
        <w:t>por</w:t>
      </w:r>
      <w:r>
        <w:rPr>
          <w:spacing w:val="-3"/>
        </w:rPr>
        <w:t xml:space="preserve"> </w:t>
      </w:r>
      <w:r>
        <w:t>experiencias</w:t>
      </w:r>
      <w:r>
        <w:rPr>
          <w:spacing w:val="-3"/>
        </w:rPr>
        <w:t xml:space="preserve"> </w:t>
      </w:r>
      <w:r>
        <w:t>con</w:t>
      </w:r>
      <w:r>
        <w:rPr>
          <w:spacing w:val="-3"/>
        </w:rPr>
        <w:t xml:space="preserve"> </w:t>
      </w:r>
      <w:r>
        <w:t>un profundo significado cultural. De acuerdo con Euromonitor International (2025), las preferencias del consumidor global se orientan hacia bienes</w:t>
      </w:r>
      <w:r>
        <w:rPr>
          <w:spacing w:val="-4"/>
        </w:rPr>
        <w:t xml:space="preserve"> </w:t>
      </w:r>
      <w:r>
        <w:t>que</w:t>
      </w:r>
      <w:r>
        <w:rPr>
          <w:spacing w:val="-4"/>
        </w:rPr>
        <w:t xml:space="preserve"> </w:t>
      </w:r>
      <w:r>
        <w:t>combinan</w:t>
      </w:r>
      <w:r>
        <w:rPr>
          <w:spacing w:val="-4"/>
        </w:rPr>
        <w:t xml:space="preserve"> </w:t>
      </w:r>
      <w:r>
        <w:t>funcionalidad y propósito, favoreciendo aquellos productos que garantizan identidad, trazabilida</w:t>
      </w:r>
      <w:r>
        <w:t>d y compromiso social; un nicho que en México crece a</w:t>
      </w:r>
      <w:r>
        <w:rPr>
          <w:spacing w:val="-3"/>
        </w:rPr>
        <w:t xml:space="preserve"> </w:t>
      </w:r>
      <w:r>
        <w:t>un</w:t>
      </w:r>
      <w:r>
        <w:rPr>
          <w:spacing w:val="-3"/>
        </w:rPr>
        <w:t xml:space="preserve"> </w:t>
      </w:r>
      <w:r>
        <w:t>ritmo</w:t>
      </w:r>
      <w:r>
        <w:rPr>
          <w:spacing w:val="-3"/>
        </w:rPr>
        <w:t xml:space="preserve"> </w:t>
      </w:r>
      <w:r>
        <w:t>cercano</w:t>
      </w:r>
      <w:r>
        <w:rPr>
          <w:spacing w:val="-3"/>
        </w:rPr>
        <w:t xml:space="preserve"> </w:t>
      </w:r>
      <w:r>
        <w:t>al</w:t>
      </w:r>
      <w:r>
        <w:rPr>
          <w:spacing w:val="-3"/>
        </w:rPr>
        <w:t xml:space="preserve"> </w:t>
      </w:r>
      <w:r>
        <w:t>7%</w:t>
      </w:r>
      <w:r>
        <w:rPr>
          <w:spacing w:val="-3"/>
        </w:rPr>
        <w:t xml:space="preserve"> </w:t>
      </w:r>
      <w:r>
        <w:t>anual</w:t>
      </w:r>
      <w:r>
        <w:rPr>
          <w:spacing w:val="-3"/>
        </w:rPr>
        <w:t xml:space="preserve"> </w:t>
      </w:r>
      <w:r>
        <w:t xml:space="preserve">dentro del sector </w:t>
      </w:r>
      <w:r>
        <w:rPr>
          <w:rFonts w:ascii="Arial" w:hAnsi="Arial"/>
          <w:i/>
        </w:rPr>
        <w:t>wellness.</w:t>
      </w:r>
    </w:p>
    <w:p w:rsidR="009B4BB4" w:rsidRDefault="00C44001">
      <w:pPr>
        <w:pStyle w:val="Textoindependiente"/>
        <w:spacing w:line="360" w:lineRule="auto"/>
        <w:ind w:left="425" w:right="603" w:firstLine="720"/>
        <w:jc w:val="both"/>
      </w:pPr>
      <w:r>
        <w:t>La miel melipona cumple con estas características: es</w:t>
      </w:r>
      <w:r>
        <w:rPr>
          <w:spacing w:val="-3"/>
        </w:rPr>
        <w:t xml:space="preserve"> </w:t>
      </w:r>
      <w:r>
        <w:t>un</w:t>
      </w:r>
      <w:r>
        <w:rPr>
          <w:spacing w:val="-3"/>
        </w:rPr>
        <w:t xml:space="preserve"> </w:t>
      </w:r>
      <w:r>
        <w:t>bien</w:t>
      </w:r>
      <w:r>
        <w:rPr>
          <w:spacing w:val="-3"/>
        </w:rPr>
        <w:t xml:space="preserve"> </w:t>
      </w:r>
      <w:r>
        <w:t>biocultural</w:t>
      </w:r>
      <w:r>
        <w:rPr>
          <w:spacing w:val="-3"/>
        </w:rPr>
        <w:t xml:space="preserve"> </w:t>
      </w:r>
      <w:r>
        <w:t>escaso, posee beneficios medicinales documentados</w:t>
      </w:r>
      <w:r>
        <w:rPr>
          <w:spacing w:val="-4"/>
        </w:rPr>
        <w:t xml:space="preserve"> </w:t>
      </w:r>
      <w:r>
        <w:t>y</w:t>
      </w:r>
      <w:r>
        <w:rPr>
          <w:spacing w:val="-4"/>
        </w:rPr>
        <w:t xml:space="preserve"> </w:t>
      </w:r>
      <w:r>
        <w:t>cuenta</w:t>
      </w:r>
      <w:r>
        <w:rPr>
          <w:spacing w:val="-4"/>
        </w:rPr>
        <w:t xml:space="preserve"> </w:t>
      </w:r>
      <w:r>
        <w:t>con</w:t>
      </w:r>
      <w:r>
        <w:rPr>
          <w:spacing w:val="-4"/>
        </w:rPr>
        <w:t xml:space="preserve"> </w:t>
      </w:r>
      <w:r>
        <w:t>un</w:t>
      </w:r>
      <w:r>
        <w:rPr>
          <w:spacing w:val="-4"/>
        </w:rPr>
        <w:t xml:space="preserve"> </w:t>
      </w:r>
      <w:r>
        <w:t>arrai</w:t>
      </w:r>
      <w:r>
        <w:t>go</w:t>
      </w:r>
      <w:r>
        <w:rPr>
          <w:spacing w:val="-4"/>
        </w:rPr>
        <w:t xml:space="preserve"> </w:t>
      </w:r>
      <w:r>
        <w:t>ancestral</w:t>
      </w:r>
      <w:r>
        <w:rPr>
          <w:spacing w:val="-4"/>
        </w:rPr>
        <w:t xml:space="preserve"> </w:t>
      </w:r>
      <w:r>
        <w:t>relevante. Sin embargo, la investigación de mercado presentada en el Capítulo 4 evidenció un desafío para su comercialización a escala: el 67.5% de los encuestados desconocía su origen o sus propiedades diferenciadas, y el 70.8% de los consumi</w:t>
      </w:r>
      <w:r>
        <w:t>dores identificó las dudas sobre la autenticidad como su principal barrera de compra.</w:t>
      </w:r>
    </w:p>
    <w:p w:rsidR="009B4BB4" w:rsidRDefault="00C44001">
      <w:pPr>
        <w:pStyle w:val="Textoindependiente"/>
        <w:spacing w:line="360" w:lineRule="auto"/>
        <w:ind w:left="425" w:right="602" w:firstLine="720"/>
        <w:jc w:val="both"/>
      </w:pPr>
      <w:r>
        <w:t>Este escenario</w:t>
      </w:r>
      <w:r>
        <w:rPr>
          <w:spacing w:val="-3"/>
        </w:rPr>
        <w:t xml:space="preserve"> </w:t>
      </w:r>
      <w:r>
        <w:t>indica</w:t>
      </w:r>
      <w:r>
        <w:rPr>
          <w:spacing w:val="-3"/>
        </w:rPr>
        <w:t xml:space="preserve"> </w:t>
      </w:r>
      <w:r>
        <w:t>que</w:t>
      </w:r>
      <w:r>
        <w:rPr>
          <w:spacing w:val="-3"/>
        </w:rPr>
        <w:t xml:space="preserve"> </w:t>
      </w:r>
      <w:r>
        <w:t>el</w:t>
      </w:r>
      <w:r>
        <w:rPr>
          <w:spacing w:val="-3"/>
        </w:rPr>
        <w:t xml:space="preserve"> </w:t>
      </w:r>
      <w:r>
        <w:t>potencial</w:t>
      </w:r>
      <w:r>
        <w:rPr>
          <w:spacing w:val="-3"/>
        </w:rPr>
        <w:t xml:space="preserve"> </w:t>
      </w:r>
      <w:r>
        <w:t>financiero</w:t>
      </w:r>
      <w:r>
        <w:rPr>
          <w:spacing w:val="-3"/>
        </w:rPr>
        <w:t xml:space="preserve"> </w:t>
      </w:r>
      <w:r>
        <w:t>del</w:t>
      </w:r>
      <w:r>
        <w:rPr>
          <w:spacing w:val="-3"/>
        </w:rPr>
        <w:t xml:space="preserve"> </w:t>
      </w:r>
      <w:r>
        <w:t>producto</w:t>
      </w:r>
      <w:r>
        <w:rPr>
          <w:spacing w:val="-3"/>
        </w:rPr>
        <w:t xml:space="preserve"> </w:t>
      </w:r>
      <w:r>
        <w:t>no</w:t>
      </w:r>
      <w:r>
        <w:rPr>
          <w:spacing w:val="-3"/>
        </w:rPr>
        <w:t xml:space="preserve"> </w:t>
      </w:r>
      <w:r>
        <w:t>se</w:t>
      </w:r>
      <w:r>
        <w:rPr>
          <w:spacing w:val="-3"/>
        </w:rPr>
        <w:t xml:space="preserve"> </w:t>
      </w:r>
      <w:r>
        <w:t>activará</w:t>
      </w:r>
      <w:r>
        <w:rPr>
          <w:spacing w:val="-3"/>
        </w:rPr>
        <w:t xml:space="preserve"> </w:t>
      </w:r>
      <w:r>
        <w:t>por</w:t>
      </w:r>
      <w:r>
        <w:rPr>
          <w:spacing w:val="-3"/>
        </w:rPr>
        <w:t xml:space="preserve"> </w:t>
      </w:r>
      <w:r>
        <w:t>sí solo. Requiere una estrategia de marketing que eduque al mercado y articule la</w:t>
      </w:r>
      <w:r>
        <w:rPr>
          <w:spacing w:val="-3"/>
        </w:rPr>
        <w:t xml:space="preserve"> </w:t>
      </w:r>
      <w:r>
        <w:t>histor</w:t>
      </w:r>
      <w:r>
        <w:t>ia, la singularidad y el impacto social de la especie. Como señalan Kotler</w:t>
      </w:r>
      <w:r>
        <w:rPr>
          <w:spacing w:val="-3"/>
        </w:rPr>
        <w:t xml:space="preserve"> </w:t>
      </w:r>
      <w:r>
        <w:t>y</w:t>
      </w:r>
      <w:r>
        <w:rPr>
          <w:spacing w:val="-3"/>
        </w:rPr>
        <w:t xml:space="preserve"> </w:t>
      </w:r>
      <w:r>
        <w:t>Keller</w:t>
      </w:r>
      <w:r>
        <w:rPr>
          <w:spacing w:val="-3"/>
        </w:rPr>
        <w:t xml:space="preserve"> </w:t>
      </w:r>
      <w:r>
        <w:t>(2016),</w:t>
      </w:r>
      <w:r>
        <w:rPr>
          <w:spacing w:val="-3"/>
        </w:rPr>
        <w:t xml:space="preserve"> </w:t>
      </w:r>
      <w:r>
        <w:t>la diferenciación efectiva no se logra sólo</w:t>
      </w:r>
      <w:r>
        <w:rPr>
          <w:spacing w:val="-3"/>
        </w:rPr>
        <w:t xml:space="preserve"> </w:t>
      </w:r>
      <w:r>
        <w:t>a</w:t>
      </w:r>
      <w:r>
        <w:rPr>
          <w:spacing w:val="-3"/>
        </w:rPr>
        <w:t xml:space="preserve"> </w:t>
      </w:r>
      <w:r>
        <w:t>partir</w:t>
      </w:r>
      <w:r>
        <w:rPr>
          <w:spacing w:val="-3"/>
        </w:rPr>
        <w:t xml:space="preserve"> </w:t>
      </w:r>
      <w:r>
        <w:t>de</w:t>
      </w:r>
      <w:r>
        <w:rPr>
          <w:spacing w:val="-3"/>
        </w:rPr>
        <w:t xml:space="preserve"> </w:t>
      </w:r>
      <w:r>
        <w:t>las</w:t>
      </w:r>
      <w:r>
        <w:rPr>
          <w:spacing w:val="-3"/>
        </w:rPr>
        <w:t xml:space="preserve"> </w:t>
      </w:r>
      <w:r>
        <w:t>características</w:t>
      </w:r>
      <w:r>
        <w:rPr>
          <w:spacing w:val="-3"/>
        </w:rPr>
        <w:t xml:space="preserve"> </w:t>
      </w:r>
      <w:r>
        <w:t>físicas</w:t>
      </w:r>
      <w:r>
        <w:rPr>
          <w:spacing w:val="-3"/>
        </w:rPr>
        <w:t xml:space="preserve"> </w:t>
      </w:r>
      <w:r>
        <w:t>del</w:t>
      </w:r>
      <w:r>
        <w:rPr>
          <w:spacing w:val="-3"/>
        </w:rPr>
        <w:t xml:space="preserve"> </w:t>
      </w:r>
      <w:r>
        <w:t>producto, sino desde el posicionamiento que la marca logra en la mente del consumidor al presentarse como una solución ética, funcional y exclusiva. En consecuencia, este Plan de Marketing define las directrices</w:t>
      </w:r>
      <w:r>
        <w:rPr>
          <w:spacing w:val="-4"/>
        </w:rPr>
        <w:t xml:space="preserve"> </w:t>
      </w:r>
      <w:r>
        <w:t>tácticas</w:t>
      </w:r>
      <w:r>
        <w:rPr>
          <w:spacing w:val="-4"/>
        </w:rPr>
        <w:t xml:space="preserve"> </w:t>
      </w:r>
      <w:r>
        <w:t>y</w:t>
      </w:r>
      <w:r>
        <w:rPr>
          <w:spacing w:val="-4"/>
        </w:rPr>
        <w:t xml:space="preserve"> </w:t>
      </w:r>
      <w:r>
        <w:t>estratégicas</w:t>
      </w:r>
      <w:r>
        <w:rPr>
          <w:spacing w:val="-4"/>
        </w:rPr>
        <w:t xml:space="preserve"> </w:t>
      </w:r>
      <w:r>
        <w:t>para</w:t>
      </w:r>
      <w:r>
        <w:rPr>
          <w:spacing w:val="-4"/>
        </w:rPr>
        <w:t xml:space="preserve"> </w:t>
      </w:r>
      <w:r>
        <w:t>posicionar</w:t>
      </w:r>
      <w:r>
        <w:rPr>
          <w:spacing w:val="-4"/>
        </w:rPr>
        <w:t xml:space="preserve"> </w:t>
      </w:r>
      <w:r>
        <w:t>a</w:t>
      </w:r>
      <w:r>
        <w:rPr>
          <w:spacing w:val="-4"/>
        </w:rPr>
        <w:t xml:space="preserve"> </w:t>
      </w:r>
      <w:r>
        <w:t>Gu</w:t>
      </w:r>
      <w:r>
        <w:t>ardiana</w:t>
      </w:r>
      <w:r>
        <w:rPr>
          <w:spacing w:val="-4"/>
        </w:rPr>
        <w:t xml:space="preserve"> </w:t>
      </w:r>
      <w:r>
        <w:t xml:space="preserve">no solo como un endulzante </w:t>
      </w:r>
      <w:r>
        <w:rPr>
          <w:rFonts w:ascii="Arial" w:hAnsi="Arial"/>
          <w:i/>
        </w:rPr>
        <w:t>premium</w:t>
      </w:r>
      <w:r>
        <w:t>, sino como un producto</w:t>
      </w:r>
      <w:r>
        <w:rPr>
          <w:spacing w:val="-3"/>
        </w:rPr>
        <w:t xml:space="preserve"> </w:t>
      </w:r>
      <w:r>
        <w:t>nutracéutico</w:t>
      </w:r>
      <w:r>
        <w:rPr>
          <w:spacing w:val="-3"/>
        </w:rPr>
        <w:t xml:space="preserve"> </w:t>
      </w:r>
      <w:r>
        <w:t>con</w:t>
      </w:r>
      <w:r>
        <w:rPr>
          <w:spacing w:val="-3"/>
        </w:rPr>
        <w:t xml:space="preserve"> </w:t>
      </w:r>
      <w:r>
        <w:t>identidad</w:t>
      </w:r>
      <w:r>
        <w:rPr>
          <w:spacing w:val="-3"/>
        </w:rPr>
        <w:t xml:space="preserve"> </w:t>
      </w:r>
      <w:r>
        <w:t>de herencia maya. El enfoque está en traducir valor existente en decisiones de compra.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30"/>
        </w:numPr>
        <w:tabs>
          <w:tab w:val="left" w:pos="818"/>
        </w:tabs>
        <w:spacing w:before="79"/>
        <w:ind w:left="818" w:hanging="363"/>
      </w:pPr>
      <w:bookmarkStart w:id="177" w:name="5.2_Estrategia_de_segmentación,_targetin"/>
      <w:bookmarkStart w:id="178" w:name="h.5z07ckzz9wv"/>
      <w:bookmarkEnd w:id="177"/>
      <w:bookmarkEnd w:id="178"/>
      <w:r>
        <w:lastRenderedPageBreak/>
        <w:t>Estrategia</w:t>
      </w:r>
      <w:r>
        <w:rPr>
          <w:spacing w:val="-9"/>
        </w:rPr>
        <w:t xml:space="preserve"> </w:t>
      </w:r>
      <w:r>
        <w:t>de</w:t>
      </w:r>
      <w:r>
        <w:rPr>
          <w:spacing w:val="-7"/>
        </w:rPr>
        <w:t xml:space="preserve"> </w:t>
      </w:r>
      <w:r>
        <w:t>segmentación,</w:t>
      </w:r>
      <w:r>
        <w:rPr>
          <w:spacing w:val="-7"/>
        </w:rPr>
        <w:t xml:space="preserve"> </w:t>
      </w:r>
      <w:r>
        <w:t>targeting</w:t>
      </w:r>
      <w:r>
        <w:rPr>
          <w:spacing w:val="-7"/>
        </w:rPr>
        <w:t xml:space="preserve"> </w:t>
      </w:r>
      <w:r>
        <w:t>y</w:t>
      </w:r>
      <w:r>
        <w:rPr>
          <w:spacing w:val="-7"/>
        </w:rPr>
        <w:t xml:space="preserve"> </w:t>
      </w:r>
      <w:r>
        <w:rPr>
          <w:spacing w:val="-2"/>
        </w:rPr>
        <w:t>posicionamiento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7" w:firstLine="720"/>
        <w:jc w:val="both"/>
      </w:pPr>
      <w:r>
        <w:t>El marketing estratégico parte del reconocimiento de que no todos los consumidores valoran un producto nutracéutico y cultural de la misma manera. Para Guardiana, la segmentación no se limita a variables demográficas, sino a partir de variables psicográfic</w:t>
      </w:r>
      <w:r>
        <w:t>as, motivadores de compra y comportamientos turísticos en la península de Yucatán.</w:t>
      </w:r>
    </w:p>
    <w:p w:rsidR="009B4BB4" w:rsidRDefault="00C44001" w:rsidP="00C44001">
      <w:pPr>
        <w:pStyle w:val="Ttulo2"/>
        <w:numPr>
          <w:ilvl w:val="2"/>
          <w:numId w:val="30"/>
        </w:numPr>
        <w:tabs>
          <w:tab w:val="left" w:pos="745"/>
        </w:tabs>
        <w:ind w:left="745" w:hanging="545"/>
      </w:pPr>
      <w:bookmarkStart w:id="179" w:name="5.2.1_Segmentación_y_mercado_meta_(targe"/>
      <w:bookmarkStart w:id="180" w:name="h.xdlufthrj57f"/>
      <w:bookmarkEnd w:id="179"/>
      <w:bookmarkEnd w:id="180"/>
      <w:r>
        <w:t>Segmentación</w:t>
      </w:r>
      <w:r>
        <w:rPr>
          <w:spacing w:val="-6"/>
        </w:rPr>
        <w:t xml:space="preserve"> </w:t>
      </w:r>
      <w:r>
        <w:t>y</w:t>
      </w:r>
      <w:r>
        <w:rPr>
          <w:spacing w:val="-6"/>
        </w:rPr>
        <w:t xml:space="preserve"> </w:t>
      </w:r>
      <w:r>
        <w:t>mercado</w:t>
      </w:r>
      <w:r>
        <w:rPr>
          <w:spacing w:val="-6"/>
        </w:rPr>
        <w:t xml:space="preserve"> </w:t>
      </w:r>
      <w:r>
        <w:t>meta</w:t>
      </w:r>
      <w:r>
        <w:rPr>
          <w:spacing w:val="-6"/>
        </w:rPr>
        <w:t xml:space="preserve"> </w:t>
      </w:r>
      <w:r>
        <w:rPr>
          <w:spacing w:val="-2"/>
        </w:rPr>
        <w:t>(targeting)</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8" w:firstLine="720"/>
        <w:jc w:val="both"/>
      </w:pPr>
      <w:r>
        <w:t>A partir del análisis cuantitativo y cualitativo de la demanda, se identifican tres arquetipos de mercado (buyer personas) centrales</w:t>
      </w:r>
      <w:r>
        <w:t>, cada uno con motivaciones de compra diferenciadas:</w:t>
      </w:r>
    </w:p>
    <w:p w:rsidR="009B4BB4" w:rsidRDefault="00C44001" w:rsidP="00C44001">
      <w:pPr>
        <w:pStyle w:val="Prrafodelista"/>
        <w:numPr>
          <w:ilvl w:val="3"/>
          <w:numId w:val="30"/>
        </w:numPr>
        <w:tabs>
          <w:tab w:val="left" w:pos="1145"/>
        </w:tabs>
        <w:spacing w:line="360" w:lineRule="auto"/>
        <w:ind w:right="607" w:hanging="360"/>
        <w:jc w:val="both"/>
      </w:pPr>
      <w:r>
        <w:rPr>
          <w:rFonts w:ascii="Arial" w:hAnsi="Arial"/>
          <w:b/>
        </w:rPr>
        <w:t>Turistas nacionales (73% del mercado - El buscador de bienestar</w:t>
      </w:r>
      <w:r>
        <w:t>): Representan el principal volumen de captación. A diferencia del mercado extranjero, su principal motivador no es el souvenir, sino la sal</w:t>
      </w:r>
      <w:r>
        <w:t>ud y la</w:t>
      </w:r>
      <w:r>
        <w:rPr>
          <w:spacing w:val="40"/>
        </w:rPr>
        <w:t xml:space="preserve"> </w:t>
      </w:r>
      <w:r>
        <w:t xml:space="preserve">funcionalidad del producto. Consumen miel melipona por sus beneficios probióticos y propiedades antibacterianas documentadas. Requieren formatos orientados al uso terapéutico como el gotero y certeza sobre la pureza del </w:t>
      </w:r>
      <w:r>
        <w:rPr>
          <w:spacing w:val="-2"/>
        </w:rPr>
        <w:t>producto.</w:t>
      </w:r>
    </w:p>
    <w:p w:rsidR="009B4BB4" w:rsidRDefault="00C44001" w:rsidP="00C44001">
      <w:pPr>
        <w:pStyle w:val="Prrafodelista"/>
        <w:numPr>
          <w:ilvl w:val="3"/>
          <w:numId w:val="30"/>
        </w:numPr>
        <w:tabs>
          <w:tab w:val="left" w:pos="1145"/>
        </w:tabs>
        <w:spacing w:line="360" w:lineRule="auto"/>
        <w:ind w:right="606" w:hanging="360"/>
        <w:jc w:val="both"/>
      </w:pPr>
      <w:r>
        <w:rPr>
          <w:rFonts w:ascii="Arial" w:hAnsi="Arial"/>
          <w:b/>
        </w:rPr>
        <w:t>Turistas internacionales (8.2% del mercado - El buscador biocultural)</w:t>
      </w:r>
      <w:r>
        <w:t>: Un segmento de alto poder adquisitivo, principalmente de Europa y Norteamérica,</w:t>
      </w:r>
      <w:r>
        <w:rPr>
          <w:spacing w:val="40"/>
        </w:rPr>
        <w:t xml:space="preserve"> </w:t>
      </w:r>
      <w:r>
        <w:t>que realiza compras de impulso, principalmente de último momento. Valoran profundamente la historia maya,</w:t>
      </w:r>
      <w:r>
        <w:t xml:space="preserve"> el diseño de empaque, la exclusividad y el impacto social. Para este segmento, la miel funciona como</w:t>
      </w:r>
      <w:r>
        <w:rPr>
          <w:spacing w:val="-4"/>
        </w:rPr>
        <w:t xml:space="preserve"> </w:t>
      </w:r>
      <w:r>
        <w:t>un</w:t>
      </w:r>
      <w:r>
        <w:rPr>
          <w:spacing w:val="-4"/>
        </w:rPr>
        <w:t xml:space="preserve"> </w:t>
      </w:r>
      <w:r>
        <w:t>recuerdo</w:t>
      </w:r>
      <w:r>
        <w:rPr>
          <w:spacing w:val="-4"/>
        </w:rPr>
        <w:t xml:space="preserve"> </w:t>
      </w:r>
      <w:r>
        <w:t xml:space="preserve">auténtico </w:t>
      </w:r>
      <w:r>
        <w:rPr>
          <w:rFonts w:ascii="Arial" w:hAnsi="Arial"/>
          <w:i/>
        </w:rPr>
        <w:t xml:space="preserve">(souvenir premium) </w:t>
      </w:r>
      <w:r>
        <w:t>que materializa su experiencia de viaje.</w:t>
      </w:r>
    </w:p>
    <w:p w:rsidR="009B4BB4" w:rsidRDefault="00C44001" w:rsidP="00C44001">
      <w:pPr>
        <w:pStyle w:val="Prrafodelista"/>
        <w:numPr>
          <w:ilvl w:val="3"/>
          <w:numId w:val="30"/>
        </w:numPr>
        <w:tabs>
          <w:tab w:val="left" w:pos="1145"/>
        </w:tabs>
        <w:spacing w:line="360" w:lineRule="auto"/>
        <w:ind w:right="602" w:hanging="360"/>
        <w:jc w:val="both"/>
      </w:pPr>
      <w:r>
        <w:rPr>
          <w:rFonts w:ascii="Arial" w:hAnsi="Arial"/>
          <w:b/>
        </w:rPr>
        <w:t>Residentes locales (11% del mercado - El prescriptor de nicho)</w:t>
      </w:r>
      <w:r>
        <w:t>: Un grupo</w:t>
      </w:r>
      <w:r>
        <w:t xml:space="preserve"> consciente orientado tanto al uso medicinal tradicional como a la valoración</w:t>
      </w:r>
      <w:r>
        <w:rPr>
          <w:spacing w:val="-4"/>
        </w:rPr>
        <w:t xml:space="preserve"> </w:t>
      </w:r>
      <w:r>
        <w:t>de</w:t>
      </w:r>
      <w:r>
        <w:rPr>
          <w:spacing w:val="-4"/>
        </w:rPr>
        <w:t xml:space="preserve"> </w:t>
      </w:r>
      <w:r>
        <w:t>la exclusividad patrimonial. Funcionan como validadores</w:t>
      </w:r>
      <w:r>
        <w:rPr>
          <w:spacing w:val="-4"/>
        </w:rPr>
        <w:t xml:space="preserve"> </w:t>
      </w:r>
      <w:r>
        <w:t>y</w:t>
      </w:r>
      <w:r>
        <w:rPr>
          <w:spacing w:val="-4"/>
        </w:rPr>
        <w:t xml:space="preserve"> </w:t>
      </w:r>
      <w:r>
        <w:t>prescriptores</w:t>
      </w:r>
      <w:r>
        <w:rPr>
          <w:spacing w:val="-4"/>
        </w:rPr>
        <w:t xml:space="preserve"> </w:t>
      </w:r>
      <w:r>
        <w:t>de</w:t>
      </w:r>
      <w:r>
        <w:rPr>
          <w:spacing w:val="-4"/>
        </w:rPr>
        <w:t xml:space="preserve"> </w:t>
      </w:r>
      <w:r>
        <w:t>la</w:t>
      </w:r>
      <w:r>
        <w:rPr>
          <w:spacing w:val="-4"/>
        </w:rPr>
        <w:t xml:space="preserve"> </w:t>
      </w:r>
      <w:r>
        <w:t>marca ante visitantes y familiares.</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lastRenderedPageBreak/>
        <w:t>Definición</w:t>
      </w:r>
      <w:r>
        <w:rPr>
          <w:spacing w:val="-7"/>
        </w:rPr>
        <w:t xml:space="preserve"> </w:t>
      </w:r>
      <w:r>
        <w:t>del</w:t>
      </w:r>
      <w:r>
        <w:rPr>
          <w:spacing w:val="-6"/>
        </w:rPr>
        <w:t xml:space="preserve"> </w:t>
      </w:r>
      <w:r>
        <w:t>target</w:t>
      </w:r>
      <w:r>
        <w:rPr>
          <w:spacing w:val="-6"/>
        </w:rPr>
        <w:t xml:space="preserve"> </w:t>
      </w:r>
      <w:r>
        <w:rPr>
          <w:spacing w:val="-2"/>
        </w:rPr>
        <w:t>principal:</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 xml:space="preserve">A partir de estos segmentos, el </w:t>
      </w:r>
      <w:r>
        <w:rPr>
          <w:rFonts w:ascii="Arial" w:hAnsi="Arial"/>
          <w:i/>
        </w:rPr>
        <w:t xml:space="preserve">targeting </w:t>
      </w:r>
      <w:r>
        <w:t>principal de Guardiana</w:t>
      </w:r>
      <w:r>
        <w:rPr>
          <w:spacing w:val="-3"/>
        </w:rPr>
        <w:t xml:space="preserve"> </w:t>
      </w:r>
      <w:r>
        <w:t>se</w:t>
      </w:r>
      <w:r>
        <w:rPr>
          <w:spacing w:val="-3"/>
        </w:rPr>
        <w:t xml:space="preserve"> </w:t>
      </w:r>
      <w:r>
        <w:t>enfoca.</w:t>
      </w:r>
      <w:r>
        <w:rPr>
          <w:spacing w:val="-3"/>
        </w:rPr>
        <w:t xml:space="preserve"> </w:t>
      </w:r>
      <w:proofErr w:type="gramStart"/>
      <w:r>
        <w:t>en</w:t>
      </w:r>
      <w:proofErr w:type="gramEnd"/>
      <w:r>
        <w:rPr>
          <w:spacing w:val="-3"/>
        </w:rPr>
        <w:t xml:space="preserve"> </w:t>
      </w:r>
      <w:r>
        <w:t>un consumidor adulto contemporáneo, con énfasis en el rango de 36 a 45 años.Este grupo demográfico demostró poseer el mayor índice de conocimiento previo sobre</w:t>
      </w:r>
      <w:r>
        <w:rPr>
          <w:spacing w:val="-3"/>
        </w:rPr>
        <w:t xml:space="preserve"> </w:t>
      </w:r>
      <w:r>
        <w:t>el</w:t>
      </w:r>
      <w:r>
        <w:rPr>
          <w:spacing w:val="-3"/>
        </w:rPr>
        <w:t xml:space="preserve"> </w:t>
      </w:r>
      <w:r>
        <w:t>producto, un a</w:t>
      </w:r>
      <w:r>
        <w:t>lto poder adquisitivo y la mayor intención de conversión. Se trata de un cliente con alta disposición a pagar un precio premium, siempre que el producto cumpla con dos condiciones clave: pureza del producto y validación transparente del impacto social dire</w:t>
      </w:r>
      <w:r>
        <w:t>cto a las comunidades productoras. Este perfil concentra las condiciones necesarias para maximizar conversión y rentabilidad en la etapa inicial del proyecto.</w:t>
      </w:r>
    </w:p>
    <w:p w:rsidR="009B4BB4" w:rsidRDefault="00C44001" w:rsidP="00C44001">
      <w:pPr>
        <w:pStyle w:val="Prrafodelista"/>
        <w:numPr>
          <w:ilvl w:val="2"/>
          <w:numId w:val="30"/>
        </w:numPr>
        <w:tabs>
          <w:tab w:val="left" w:pos="1000"/>
        </w:tabs>
        <w:ind w:left="1000" w:hanging="545"/>
        <w:rPr>
          <w:rFonts w:ascii="Arial"/>
          <w:b/>
        </w:rPr>
      </w:pPr>
      <w:bookmarkStart w:id="181" w:name="5.2.2_Posicionamiento_y_capital_de_marca"/>
      <w:bookmarkStart w:id="182" w:name="h.tdtkkbd5abn2"/>
      <w:bookmarkEnd w:id="181"/>
      <w:bookmarkEnd w:id="182"/>
      <w:r>
        <w:rPr>
          <w:rFonts w:ascii="Arial"/>
          <w:b/>
        </w:rPr>
        <w:t>Posicionamiento</w:t>
      </w:r>
      <w:r>
        <w:rPr>
          <w:rFonts w:ascii="Arial"/>
          <w:b/>
          <w:spacing w:val="-6"/>
        </w:rPr>
        <w:t xml:space="preserve"> </w:t>
      </w:r>
      <w:r>
        <w:rPr>
          <w:rFonts w:ascii="Arial"/>
          <w:b/>
        </w:rPr>
        <w:t>y</w:t>
      </w:r>
      <w:r>
        <w:rPr>
          <w:rFonts w:ascii="Arial"/>
          <w:b/>
          <w:spacing w:val="-6"/>
        </w:rPr>
        <w:t xml:space="preserve"> </w:t>
      </w:r>
      <w:r>
        <w:rPr>
          <w:rFonts w:ascii="Arial"/>
          <w:b/>
        </w:rPr>
        <w:t>capital</w:t>
      </w:r>
      <w:r>
        <w:rPr>
          <w:rFonts w:ascii="Arial"/>
          <w:b/>
          <w:spacing w:val="-6"/>
        </w:rPr>
        <w:t xml:space="preserve"> </w:t>
      </w:r>
      <w:r>
        <w:rPr>
          <w:rFonts w:ascii="Arial"/>
          <w:b/>
        </w:rPr>
        <w:t>de</w:t>
      </w:r>
      <w:r>
        <w:rPr>
          <w:rFonts w:ascii="Arial"/>
          <w:b/>
          <w:spacing w:val="-6"/>
        </w:rPr>
        <w:t xml:space="preserve"> </w:t>
      </w:r>
      <w:r>
        <w:rPr>
          <w:rFonts w:ascii="Arial"/>
          <w:b/>
        </w:rPr>
        <w:t>marca</w:t>
      </w:r>
      <w:r>
        <w:rPr>
          <w:rFonts w:ascii="Arial"/>
          <w:b/>
          <w:spacing w:val="-6"/>
        </w:rPr>
        <w:t xml:space="preserve"> </w:t>
      </w:r>
      <w:r>
        <w:rPr>
          <w:rFonts w:ascii="Arial"/>
          <w:b/>
        </w:rPr>
        <w:t>(</w:t>
      </w:r>
      <w:r>
        <w:rPr>
          <w:rFonts w:ascii="Arial"/>
          <w:b/>
          <w:i/>
        </w:rPr>
        <w:t>Brand</w:t>
      </w:r>
      <w:r>
        <w:rPr>
          <w:rFonts w:ascii="Arial"/>
          <w:b/>
          <w:i/>
          <w:spacing w:val="-6"/>
        </w:rPr>
        <w:t xml:space="preserve"> </w:t>
      </w:r>
      <w:r>
        <w:rPr>
          <w:rFonts w:ascii="Arial"/>
          <w:b/>
          <w:i/>
          <w:spacing w:val="-2"/>
        </w:rPr>
        <w:t>Equity</w:t>
      </w:r>
      <w:r>
        <w:rPr>
          <w:rFonts w:ascii="Arial"/>
          <w:b/>
          <w:spacing w:val="-2"/>
        </w:rPr>
        <w:t>)</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3" w:firstLine="720"/>
        <w:jc w:val="both"/>
      </w:pPr>
      <w:r>
        <w:t>El</w:t>
      </w:r>
      <w:r>
        <w:rPr>
          <w:spacing w:val="-4"/>
        </w:rPr>
        <w:t xml:space="preserve"> </w:t>
      </w:r>
      <w:r>
        <w:t>posicionamiento</w:t>
      </w:r>
      <w:r>
        <w:rPr>
          <w:spacing w:val="-4"/>
        </w:rPr>
        <w:t xml:space="preserve"> </w:t>
      </w:r>
      <w:r>
        <w:t>de</w:t>
      </w:r>
      <w:r>
        <w:rPr>
          <w:spacing w:val="-4"/>
        </w:rPr>
        <w:t xml:space="preserve"> </w:t>
      </w:r>
      <w:r>
        <w:t>Guardiana</w:t>
      </w:r>
      <w:r>
        <w:rPr>
          <w:spacing w:val="-4"/>
        </w:rPr>
        <w:t xml:space="preserve"> </w:t>
      </w:r>
      <w:r>
        <w:t>se</w:t>
      </w:r>
      <w:r>
        <w:rPr>
          <w:spacing w:val="-4"/>
        </w:rPr>
        <w:t xml:space="preserve"> </w:t>
      </w:r>
      <w:r>
        <w:t>fundamenta</w:t>
      </w:r>
      <w:r>
        <w:rPr>
          <w:spacing w:val="-4"/>
        </w:rPr>
        <w:t xml:space="preserve"> </w:t>
      </w:r>
      <w:r>
        <w:t>en</w:t>
      </w:r>
      <w:r>
        <w:rPr>
          <w:spacing w:val="-4"/>
        </w:rPr>
        <w:t xml:space="preserve"> </w:t>
      </w:r>
      <w:r>
        <w:t>el</w:t>
      </w:r>
      <w:r>
        <w:rPr>
          <w:spacing w:val="-4"/>
        </w:rPr>
        <w:t xml:space="preserve"> </w:t>
      </w:r>
      <w:r>
        <w:t>modelo</w:t>
      </w:r>
      <w:r>
        <w:rPr>
          <w:spacing w:val="-4"/>
        </w:rPr>
        <w:t xml:space="preserve"> </w:t>
      </w:r>
      <w:r>
        <w:t>de</w:t>
      </w:r>
      <w:r>
        <w:rPr>
          <w:spacing w:val="-4"/>
        </w:rPr>
        <w:t xml:space="preserve"> </w:t>
      </w:r>
      <w:r>
        <w:t>gestión</w:t>
      </w:r>
      <w:r>
        <w:rPr>
          <w:spacing w:val="-4"/>
        </w:rPr>
        <w:t xml:space="preserve"> </w:t>
      </w:r>
      <w:r>
        <w:t>del</w:t>
      </w:r>
      <w:r>
        <w:rPr>
          <w:spacing w:val="-4"/>
        </w:rPr>
        <w:t xml:space="preserve"> </w:t>
      </w:r>
      <w:r>
        <w:t>valor de marca de Aaker (1996). Bajo este esquema, Guardiana se aleja de la competencia basada en precio y no compite en la categoría de alimentos de consumo masivo (</w:t>
      </w:r>
      <w:r>
        <w:rPr>
          <w:rFonts w:ascii="Arial" w:hAnsi="Arial"/>
          <w:i/>
        </w:rPr>
        <w:t>commodity</w:t>
      </w:r>
      <w:r>
        <w:t>). En su lugar, se posiciona en la mente del consumid</w:t>
      </w:r>
      <w:r>
        <w:t xml:space="preserve">or como un producto biocultural y nutracéutico </w:t>
      </w:r>
      <w:r>
        <w:rPr>
          <w:rFonts w:ascii="Arial" w:hAnsi="Arial"/>
          <w:i/>
        </w:rPr>
        <w:t>premium</w:t>
      </w:r>
      <w:r>
        <w:t>.</w:t>
      </w:r>
    </w:p>
    <w:p w:rsidR="009B4BB4" w:rsidRDefault="00C44001">
      <w:pPr>
        <w:pStyle w:val="Textoindependiente"/>
        <w:spacing w:line="360" w:lineRule="auto"/>
        <w:ind w:left="425" w:right="609" w:firstLine="720"/>
        <w:jc w:val="both"/>
      </w:pPr>
      <w:r>
        <w:t>Para consolidar</w:t>
      </w:r>
      <w:r>
        <w:rPr>
          <w:spacing w:val="40"/>
        </w:rPr>
        <w:t xml:space="preserve"> </w:t>
      </w:r>
      <w:r>
        <w:t xml:space="preserve">este </w:t>
      </w:r>
      <w:r>
        <w:rPr>
          <w:rFonts w:ascii="Arial" w:hAnsi="Arial"/>
          <w:i/>
        </w:rPr>
        <w:t xml:space="preserve">brand equity </w:t>
      </w:r>
      <w:r>
        <w:t>y justificar</w:t>
      </w:r>
      <w:r>
        <w:rPr>
          <w:spacing w:val="-3"/>
        </w:rPr>
        <w:t xml:space="preserve"> </w:t>
      </w:r>
      <w:r>
        <w:t>la</w:t>
      </w:r>
      <w:r>
        <w:rPr>
          <w:spacing w:val="-3"/>
        </w:rPr>
        <w:t xml:space="preserve"> </w:t>
      </w:r>
      <w:r>
        <w:t>estructura</w:t>
      </w:r>
      <w:r>
        <w:rPr>
          <w:spacing w:val="-3"/>
        </w:rPr>
        <w:t xml:space="preserve"> </w:t>
      </w:r>
      <w:r>
        <w:t>de</w:t>
      </w:r>
      <w:r>
        <w:rPr>
          <w:spacing w:val="-3"/>
        </w:rPr>
        <w:t xml:space="preserve"> </w:t>
      </w:r>
      <w:r>
        <w:t>precios</w:t>
      </w:r>
      <w:r>
        <w:rPr>
          <w:spacing w:val="-3"/>
        </w:rPr>
        <w:t xml:space="preserve"> </w:t>
      </w:r>
      <w:r>
        <w:rPr>
          <w:rFonts w:ascii="Arial" w:hAnsi="Arial"/>
          <w:i/>
        </w:rPr>
        <w:t>premium</w:t>
      </w:r>
      <w:r>
        <w:t>,</w:t>
      </w:r>
      <w:r>
        <w:rPr>
          <w:spacing w:val="-3"/>
        </w:rPr>
        <w:t xml:space="preserve"> </w:t>
      </w:r>
      <w:r>
        <w:t xml:space="preserve">el posicionamiento se estructura sobre cuatro ejes derivados de la investigación de </w:t>
      </w:r>
      <w:r>
        <w:rPr>
          <w:spacing w:val="-2"/>
        </w:rPr>
        <w:t>mercado:</w:t>
      </w:r>
    </w:p>
    <w:p w:rsidR="009B4BB4" w:rsidRDefault="00C44001" w:rsidP="00C44001">
      <w:pPr>
        <w:pStyle w:val="Prrafodelista"/>
        <w:numPr>
          <w:ilvl w:val="0"/>
          <w:numId w:val="29"/>
        </w:numPr>
        <w:tabs>
          <w:tab w:val="left" w:pos="1143"/>
          <w:tab w:val="left" w:pos="1145"/>
        </w:tabs>
        <w:spacing w:line="360" w:lineRule="auto"/>
        <w:ind w:right="604"/>
        <w:jc w:val="both"/>
      </w:pPr>
      <w:r>
        <w:rPr>
          <w:rFonts w:ascii="Arial" w:hAnsi="Arial"/>
          <w:b/>
        </w:rPr>
        <w:t xml:space="preserve">Autenticidad verificada: </w:t>
      </w:r>
      <w:r>
        <w:t>P</w:t>
      </w:r>
      <w:r>
        <w:t>ara abordar la principal barrera de compra del mercado (el 70.8% duda de la</w:t>
      </w:r>
      <w:r>
        <w:rPr>
          <w:spacing w:val="-3"/>
        </w:rPr>
        <w:t xml:space="preserve"> </w:t>
      </w:r>
      <w:r>
        <w:t>pureza</w:t>
      </w:r>
      <w:r>
        <w:rPr>
          <w:spacing w:val="-3"/>
        </w:rPr>
        <w:t xml:space="preserve"> </w:t>
      </w:r>
      <w:r>
        <w:t>de</w:t>
      </w:r>
      <w:r>
        <w:rPr>
          <w:spacing w:val="-3"/>
        </w:rPr>
        <w:t xml:space="preserve"> </w:t>
      </w:r>
      <w:r>
        <w:t>la</w:t>
      </w:r>
      <w:r>
        <w:rPr>
          <w:spacing w:val="-3"/>
        </w:rPr>
        <w:t xml:space="preserve"> </w:t>
      </w:r>
      <w:r>
        <w:t>miel</w:t>
      </w:r>
      <w:r>
        <w:rPr>
          <w:spacing w:val="-3"/>
        </w:rPr>
        <w:t xml:space="preserve"> </w:t>
      </w:r>
      <w:r>
        <w:t>comercial),</w:t>
      </w:r>
      <w:r>
        <w:rPr>
          <w:spacing w:val="-3"/>
        </w:rPr>
        <w:t xml:space="preserve"> </w:t>
      </w:r>
      <w:r>
        <w:t>la</w:t>
      </w:r>
      <w:r>
        <w:rPr>
          <w:spacing w:val="-3"/>
        </w:rPr>
        <w:t xml:space="preserve"> </w:t>
      </w:r>
      <w:r>
        <w:t>marca</w:t>
      </w:r>
      <w:r>
        <w:rPr>
          <w:spacing w:val="-3"/>
        </w:rPr>
        <w:t xml:space="preserve"> </w:t>
      </w:r>
      <w:r>
        <w:t>se</w:t>
      </w:r>
      <w:r>
        <w:rPr>
          <w:spacing w:val="-3"/>
        </w:rPr>
        <w:t xml:space="preserve"> </w:t>
      </w:r>
      <w:r>
        <w:t>apoya</w:t>
      </w:r>
      <w:r>
        <w:rPr>
          <w:spacing w:val="-3"/>
        </w:rPr>
        <w:t xml:space="preserve"> </w:t>
      </w:r>
      <w:r>
        <w:t>en herramientas de trazabilidad. El uso de códigos QR en el empaque que documenten el origen del meliponario reduce la incertidumbre y posiciona la transparencia como una ventaja competitiva. En</w:t>
      </w:r>
      <w:r>
        <w:rPr>
          <w:spacing w:val="-4"/>
        </w:rPr>
        <w:t xml:space="preserve"> </w:t>
      </w:r>
      <w:r>
        <w:t>este</w:t>
      </w:r>
      <w:r>
        <w:rPr>
          <w:spacing w:val="-4"/>
        </w:rPr>
        <w:t xml:space="preserve"> </w:t>
      </w:r>
      <w:r>
        <w:t>eje,</w:t>
      </w:r>
      <w:r>
        <w:rPr>
          <w:spacing w:val="-4"/>
        </w:rPr>
        <w:t xml:space="preserve"> </w:t>
      </w:r>
      <w:r>
        <w:t>la</w:t>
      </w:r>
      <w:r>
        <w:rPr>
          <w:spacing w:val="-4"/>
        </w:rPr>
        <w:t xml:space="preserve"> </w:t>
      </w:r>
      <w:r>
        <w:t>confianza</w:t>
      </w:r>
      <w:r>
        <w:rPr>
          <w:spacing w:val="-4"/>
        </w:rPr>
        <w:t xml:space="preserve"> </w:t>
      </w:r>
      <w:r>
        <w:t>deja</w:t>
      </w:r>
      <w:r>
        <w:rPr>
          <w:spacing w:val="-4"/>
        </w:rPr>
        <w:t xml:space="preserve"> </w:t>
      </w:r>
      <w:r>
        <w:t>de</w:t>
      </w:r>
      <w:r>
        <w:rPr>
          <w:spacing w:val="-4"/>
        </w:rPr>
        <w:t xml:space="preserve"> </w:t>
      </w:r>
      <w:r>
        <w:t>ser una barrera y se convierte</w:t>
      </w:r>
      <w:r>
        <w:t xml:space="preserve"> en un atributo de valor.</w:t>
      </w:r>
    </w:p>
    <w:p w:rsidR="009B4BB4" w:rsidRDefault="00C44001" w:rsidP="00C44001">
      <w:pPr>
        <w:pStyle w:val="Prrafodelista"/>
        <w:numPr>
          <w:ilvl w:val="0"/>
          <w:numId w:val="29"/>
        </w:numPr>
        <w:tabs>
          <w:tab w:val="left" w:pos="1143"/>
          <w:tab w:val="left" w:pos="1145"/>
        </w:tabs>
        <w:spacing w:line="360" w:lineRule="auto"/>
        <w:ind w:right="602"/>
        <w:jc w:val="both"/>
      </w:pPr>
      <w:r>
        <w:rPr>
          <w:rFonts w:ascii="Arial" w:hAnsi="Arial"/>
          <w:b/>
        </w:rPr>
        <w:t>Exclusividad biológica y</w:t>
      </w:r>
      <w:r>
        <w:rPr>
          <w:rFonts w:ascii="Arial" w:hAnsi="Arial"/>
          <w:b/>
          <w:spacing w:val="-3"/>
        </w:rPr>
        <w:t xml:space="preserve"> </w:t>
      </w:r>
      <w:r>
        <w:rPr>
          <w:rFonts w:ascii="Arial" w:hAnsi="Arial"/>
          <w:b/>
        </w:rPr>
        <w:t>maduración</w:t>
      </w:r>
      <w:r>
        <w:rPr>
          <w:rFonts w:ascii="Arial" w:hAnsi="Arial"/>
          <w:b/>
          <w:spacing w:val="-3"/>
        </w:rPr>
        <w:t xml:space="preserve"> </w:t>
      </w:r>
      <w:r>
        <w:rPr>
          <w:rFonts w:ascii="Arial" w:hAnsi="Arial"/>
          <w:b/>
        </w:rPr>
        <w:t>lenta:</w:t>
      </w:r>
      <w:r>
        <w:rPr>
          <w:rFonts w:ascii="Arial" w:hAnsi="Arial"/>
          <w:b/>
          <w:spacing w:val="-3"/>
        </w:rPr>
        <w:t xml:space="preserve"> </w:t>
      </w:r>
      <w:r>
        <w:t>El</w:t>
      </w:r>
      <w:r>
        <w:rPr>
          <w:spacing w:val="-3"/>
        </w:rPr>
        <w:t xml:space="preserve"> </w:t>
      </w:r>
      <w:r>
        <w:t>valor</w:t>
      </w:r>
      <w:r>
        <w:rPr>
          <w:spacing w:val="-3"/>
        </w:rPr>
        <w:t xml:space="preserve"> </w:t>
      </w:r>
      <w:r>
        <w:t>de</w:t>
      </w:r>
      <w:r>
        <w:rPr>
          <w:spacing w:val="-3"/>
        </w:rPr>
        <w:t xml:space="preserve"> </w:t>
      </w:r>
      <w:r>
        <w:t>la</w:t>
      </w:r>
      <w:r>
        <w:rPr>
          <w:spacing w:val="-3"/>
        </w:rPr>
        <w:t xml:space="preserve"> </w:t>
      </w:r>
      <w:r>
        <w:t>marca</w:t>
      </w:r>
      <w:r>
        <w:rPr>
          <w:spacing w:val="-3"/>
        </w:rPr>
        <w:t xml:space="preserve"> </w:t>
      </w:r>
      <w:r>
        <w:t>se</w:t>
      </w:r>
      <w:r>
        <w:rPr>
          <w:spacing w:val="-3"/>
        </w:rPr>
        <w:t xml:space="preserve"> </w:t>
      </w:r>
      <w:r>
        <w:t>sustenta</w:t>
      </w:r>
      <w:r>
        <w:rPr>
          <w:spacing w:val="-3"/>
        </w:rPr>
        <w:t xml:space="preserve"> </w:t>
      </w:r>
      <w:r>
        <w:t>en la escasez natural de la especie nativa (producción de apenas 0.5 a 2 litros por colmena al año). A esto se suma el concepto de “Miel</w:t>
      </w:r>
      <w:r>
        <w:rPr>
          <w:spacing w:val="-3"/>
        </w:rPr>
        <w:t xml:space="preserve"> </w:t>
      </w:r>
      <w:r>
        <w:t>Reposada”.</w:t>
      </w:r>
      <w:r>
        <w:rPr>
          <w:spacing w:val="-3"/>
        </w:rPr>
        <w:t xml:space="preserve"> </w:t>
      </w:r>
      <w:r>
        <w:t>Siguie</w:t>
      </w:r>
      <w:r>
        <w:t>ndo</w:t>
      </w:r>
      <w:r>
        <w:rPr>
          <w:spacing w:val="-3"/>
        </w:rPr>
        <w:t xml:space="preserve"> </w:t>
      </w:r>
      <w:r>
        <w:t>una lógica similar a la enología, Guardiana comunica que su miel experimenta un riguroso</w:t>
      </w:r>
      <w:r>
        <w:rPr>
          <w:spacing w:val="40"/>
        </w:rPr>
        <w:t xml:space="preserve"> </w:t>
      </w:r>
      <w:r>
        <w:t>proceso</w:t>
      </w:r>
      <w:r>
        <w:rPr>
          <w:spacing w:val="40"/>
        </w:rPr>
        <w:t xml:space="preserve"> </w:t>
      </w:r>
      <w:r>
        <w:t>de</w:t>
      </w:r>
      <w:r>
        <w:rPr>
          <w:spacing w:val="40"/>
        </w:rPr>
        <w:t xml:space="preserve"> </w:t>
      </w:r>
      <w:r>
        <w:t>maduración</w:t>
      </w:r>
      <w:r>
        <w:rPr>
          <w:spacing w:val="40"/>
        </w:rPr>
        <w:t xml:space="preserve"> </w:t>
      </w:r>
      <w:r>
        <w:t>y</w:t>
      </w:r>
      <w:r>
        <w:rPr>
          <w:spacing w:val="40"/>
        </w:rPr>
        <w:t xml:space="preserve"> </w:t>
      </w:r>
      <w:r>
        <w:t>estabilización</w:t>
      </w:r>
      <w:r>
        <w:rPr>
          <w:spacing w:val="40"/>
        </w:rPr>
        <w:t xml:space="preserve"> </w:t>
      </w:r>
      <w:r>
        <w:t>de</w:t>
      </w:r>
      <w:r>
        <w:rPr>
          <w:spacing w:val="40"/>
        </w:rPr>
        <w:t xml:space="preserve"> </w:t>
      </w:r>
      <w:r>
        <w:t>cuatro</w:t>
      </w:r>
      <w:r>
        <w:rPr>
          <w:spacing w:val="40"/>
        </w:rPr>
        <w:t xml:space="preserve"> </w:t>
      </w:r>
      <w:r>
        <w:t>a</w:t>
      </w:r>
      <w:r>
        <w:rPr>
          <w:spacing w:val="26"/>
        </w:rPr>
        <w:t xml:space="preserve"> </w:t>
      </w:r>
      <w:r>
        <w:t>seis</w:t>
      </w:r>
      <w:r>
        <w:rPr>
          <w:spacing w:val="26"/>
        </w:rPr>
        <w:t xml:space="preserve"> </w:t>
      </w:r>
      <w:r>
        <w:t>meses</w:t>
      </w:r>
      <w:r>
        <w:rPr>
          <w:spacing w:val="26"/>
        </w:rPr>
        <w:t xml:space="preserve"> </w:t>
      </w:r>
      <w:r>
        <w:t>en</w:t>
      </w:r>
      <w:r>
        <w:rPr>
          <w:spacing w:val="26"/>
        </w:rPr>
        <w:t xml:space="preserve"> </w:t>
      </w:r>
      <w:r>
        <w:t>la</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05"/>
        <w:jc w:val="both"/>
      </w:pPr>
      <w:proofErr w:type="gramStart"/>
      <w:r>
        <w:lastRenderedPageBreak/>
        <w:t>comunidad</w:t>
      </w:r>
      <w:proofErr w:type="gramEnd"/>
      <w:r>
        <w:t xml:space="preserve"> de origen antes de ser envasada, lo que permite preservar sus propi</w:t>
      </w:r>
      <w:r>
        <w:t xml:space="preserve">edades. La escasez no solo limita la oferta, también refuerza el valor </w:t>
      </w:r>
      <w:r>
        <w:rPr>
          <w:spacing w:val="-2"/>
        </w:rPr>
        <w:t>percibido.</w:t>
      </w:r>
    </w:p>
    <w:p w:rsidR="009B4BB4" w:rsidRDefault="00C44001" w:rsidP="00C44001">
      <w:pPr>
        <w:pStyle w:val="Prrafodelista"/>
        <w:numPr>
          <w:ilvl w:val="0"/>
          <w:numId w:val="29"/>
        </w:numPr>
        <w:tabs>
          <w:tab w:val="left" w:pos="1143"/>
          <w:tab w:val="left" w:pos="1145"/>
        </w:tabs>
        <w:spacing w:line="360" w:lineRule="auto"/>
        <w:ind w:right="604"/>
        <w:jc w:val="both"/>
      </w:pPr>
      <w:r>
        <w:rPr>
          <w:rFonts w:ascii="Arial" w:hAnsi="Arial"/>
          <w:b/>
        </w:rPr>
        <w:t xml:space="preserve">Funcionalidad respaldada: </w:t>
      </w:r>
      <w:r>
        <w:t>Respondiendo a la demanda del turista nacional, donde el 92.8% exige ver beneficio de salud, el posicionamiento se aleja del concepto de endulzante para adoptar un lenguaje preventivo.</w:t>
      </w:r>
      <w:r>
        <w:rPr>
          <w:spacing w:val="-4"/>
        </w:rPr>
        <w:t xml:space="preserve"> </w:t>
      </w:r>
      <w:r>
        <w:t>La</w:t>
      </w:r>
      <w:r>
        <w:rPr>
          <w:spacing w:val="-4"/>
        </w:rPr>
        <w:t xml:space="preserve"> </w:t>
      </w:r>
      <w:r>
        <w:t>marca</w:t>
      </w:r>
      <w:r>
        <w:rPr>
          <w:spacing w:val="-4"/>
        </w:rPr>
        <w:t xml:space="preserve"> </w:t>
      </w:r>
      <w:r>
        <w:t>capitaliza el conocimiento de la medicina tradicional maya, respaldando con análisis de laboratorio y estudios de humedad, posicionando el producto como un extracto probiótico y antibacteriano. El beneficio funcional no es un complemento, es el principal a</w:t>
      </w:r>
      <w:r>
        <w:t>rgumento de compra.</w:t>
      </w:r>
    </w:p>
    <w:p w:rsidR="009B4BB4" w:rsidRDefault="00C44001" w:rsidP="00C44001">
      <w:pPr>
        <w:pStyle w:val="Prrafodelista"/>
        <w:numPr>
          <w:ilvl w:val="0"/>
          <w:numId w:val="29"/>
        </w:numPr>
        <w:tabs>
          <w:tab w:val="left" w:pos="1143"/>
          <w:tab w:val="left" w:pos="1145"/>
        </w:tabs>
        <w:spacing w:line="360" w:lineRule="auto"/>
        <w:ind w:right="604"/>
        <w:jc w:val="both"/>
      </w:pPr>
      <w:r>
        <w:rPr>
          <w:rFonts w:ascii="Arial" w:hAnsi="Arial"/>
          <w:b/>
        </w:rPr>
        <w:t xml:space="preserve">Propósito social y conservación ambiental: </w:t>
      </w:r>
      <w:r>
        <w:t>Este eje se alinea con el hallazgo de que el 86.7% de los encuestados prefiere marcas que destinen recursos al impacto social frente a alternativas más</w:t>
      </w:r>
      <w:r>
        <w:rPr>
          <w:spacing w:val="-4"/>
        </w:rPr>
        <w:t xml:space="preserve"> </w:t>
      </w:r>
      <w:r>
        <w:t>baratas.</w:t>
      </w:r>
      <w:r>
        <w:rPr>
          <w:spacing w:val="-4"/>
        </w:rPr>
        <w:t xml:space="preserve"> </w:t>
      </w:r>
      <w:r>
        <w:t>Guardiana</w:t>
      </w:r>
      <w:r>
        <w:rPr>
          <w:spacing w:val="-4"/>
        </w:rPr>
        <w:t xml:space="preserve"> </w:t>
      </w:r>
      <w:r>
        <w:t>destina</w:t>
      </w:r>
      <w:r>
        <w:rPr>
          <w:spacing w:val="-4"/>
        </w:rPr>
        <w:t xml:space="preserve"> </w:t>
      </w:r>
      <w:r>
        <w:t>un</w:t>
      </w:r>
      <w:r>
        <w:rPr>
          <w:spacing w:val="-4"/>
        </w:rPr>
        <w:t xml:space="preserve"> </w:t>
      </w:r>
      <w:r>
        <w:t xml:space="preserve">porcentaje </w:t>
      </w:r>
      <w:r>
        <w:t>de sus ingresos a los productores, como un esquema de comercio justo que financia directamente la preservación de la selva maya y el</w:t>
      </w:r>
      <w:r>
        <w:rPr>
          <w:spacing w:val="-4"/>
        </w:rPr>
        <w:t xml:space="preserve"> </w:t>
      </w:r>
      <w:r>
        <w:t>desarrollo</w:t>
      </w:r>
      <w:r>
        <w:rPr>
          <w:spacing w:val="-4"/>
        </w:rPr>
        <w:t xml:space="preserve"> </w:t>
      </w:r>
      <w:r>
        <w:t>económico de los</w:t>
      </w:r>
      <w:r>
        <w:rPr>
          <w:spacing w:val="-4"/>
        </w:rPr>
        <w:t xml:space="preserve"> </w:t>
      </w:r>
      <w:r>
        <w:t>meliponicultores.</w:t>
      </w:r>
      <w:r>
        <w:rPr>
          <w:spacing w:val="-4"/>
        </w:rPr>
        <w:t xml:space="preserve"> </w:t>
      </w:r>
      <w:r>
        <w:t>En</w:t>
      </w:r>
      <w:r>
        <w:rPr>
          <w:spacing w:val="-4"/>
        </w:rPr>
        <w:t xml:space="preserve"> </w:t>
      </w:r>
      <w:r>
        <w:t>este</w:t>
      </w:r>
      <w:r>
        <w:rPr>
          <w:spacing w:val="-4"/>
        </w:rPr>
        <w:t xml:space="preserve"> </w:t>
      </w:r>
      <w:r>
        <w:t>eje,</w:t>
      </w:r>
      <w:r>
        <w:rPr>
          <w:spacing w:val="-4"/>
        </w:rPr>
        <w:t xml:space="preserve"> </w:t>
      </w:r>
      <w:r>
        <w:t>el</w:t>
      </w:r>
      <w:r>
        <w:rPr>
          <w:spacing w:val="-4"/>
        </w:rPr>
        <w:t xml:space="preserve"> </w:t>
      </w:r>
      <w:r>
        <w:t>impacto</w:t>
      </w:r>
      <w:r>
        <w:rPr>
          <w:spacing w:val="-4"/>
        </w:rPr>
        <w:t xml:space="preserve"> </w:t>
      </w:r>
      <w:r>
        <w:t>no</w:t>
      </w:r>
      <w:r>
        <w:rPr>
          <w:spacing w:val="-4"/>
        </w:rPr>
        <w:t xml:space="preserve"> </w:t>
      </w:r>
      <w:r>
        <w:t>solo</w:t>
      </w:r>
      <w:r>
        <w:rPr>
          <w:spacing w:val="-4"/>
        </w:rPr>
        <w:t xml:space="preserve"> </w:t>
      </w:r>
      <w:r>
        <w:t>comunica</w:t>
      </w:r>
      <w:r>
        <w:rPr>
          <w:spacing w:val="-4"/>
        </w:rPr>
        <w:t xml:space="preserve"> </w:t>
      </w:r>
      <w:r>
        <w:t>valor,</w:t>
      </w:r>
      <w:r>
        <w:rPr>
          <w:spacing w:val="-4"/>
        </w:rPr>
        <w:t xml:space="preserve"> </w:t>
      </w:r>
      <w:r>
        <w:t>también</w:t>
      </w:r>
      <w:r>
        <w:rPr>
          <w:spacing w:val="-4"/>
        </w:rPr>
        <w:t xml:space="preserve"> </w:t>
      </w:r>
      <w:r>
        <w:t xml:space="preserve">lo </w:t>
      </w:r>
      <w:r>
        <w:rPr>
          <w:spacing w:val="-2"/>
        </w:rPr>
        <w:t>genera.</w:t>
      </w:r>
    </w:p>
    <w:p w:rsidR="009B4BB4" w:rsidRDefault="00C44001" w:rsidP="00C44001">
      <w:pPr>
        <w:pStyle w:val="Ttulo2"/>
        <w:numPr>
          <w:ilvl w:val="1"/>
          <w:numId w:val="30"/>
        </w:numPr>
        <w:tabs>
          <w:tab w:val="left" w:pos="818"/>
        </w:tabs>
        <w:ind w:left="818" w:hanging="363"/>
      </w:pPr>
      <w:bookmarkStart w:id="183" w:name="5.3_Estrategia_de_segmentación,_targetin"/>
      <w:bookmarkStart w:id="184" w:name="h.15uc3txqadei"/>
      <w:bookmarkEnd w:id="183"/>
      <w:bookmarkEnd w:id="184"/>
      <w:r>
        <w:t>Estrategia</w:t>
      </w:r>
      <w:r>
        <w:rPr>
          <w:spacing w:val="-9"/>
        </w:rPr>
        <w:t xml:space="preserve"> </w:t>
      </w:r>
      <w:r>
        <w:t>de</w:t>
      </w:r>
      <w:r>
        <w:rPr>
          <w:spacing w:val="-7"/>
        </w:rPr>
        <w:t xml:space="preserve"> </w:t>
      </w:r>
      <w:r>
        <w:t>segmentación,</w:t>
      </w:r>
      <w:r>
        <w:rPr>
          <w:spacing w:val="-7"/>
        </w:rPr>
        <w:t xml:space="preserve"> </w:t>
      </w:r>
      <w:r>
        <w:t>targeting</w:t>
      </w:r>
      <w:r>
        <w:rPr>
          <w:spacing w:val="-7"/>
        </w:rPr>
        <w:t xml:space="preserve"> </w:t>
      </w:r>
      <w:r>
        <w:t>y</w:t>
      </w:r>
      <w:r>
        <w:rPr>
          <w:spacing w:val="-7"/>
        </w:rPr>
        <w:t xml:space="preserve"> </w:t>
      </w:r>
      <w:r>
        <w:rPr>
          <w:spacing w:val="-2"/>
        </w:rPr>
        <w:t>posicionamiento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2" w:firstLine="720"/>
        <w:jc w:val="both"/>
      </w:pPr>
      <w:r>
        <w:t>El marketing estratégico se construye a partir del análisis del mercado y de la identificación de segmentos con comportamientos, intereses y necesidades comunes. Para Guardiana, la segmentación se definió a pa</w:t>
      </w:r>
      <w:r>
        <w:t>rtir del estudio de mercado y del</w:t>
      </w:r>
      <w:r>
        <w:rPr>
          <w:spacing w:val="40"/>
        </w:rPr>
        <w:t xml:space="preserve"> </w:t>
      </w:r>
      <w:r>
        <w:t>contexto turístico y cultural de</w:t>
      </w:r>
      <w:r>
        <w:rPr>
          <w:spacing w:val="-3"/>
        </w:rPr>
        <w:t xml:space="preserve"> </w:t>
      </w:r>
      <w:r>
        <w:t>la</w:t>
      </w:r>
      <w:r>
        <w:rPr>
          <w:spacing w:val="-3"/>
        </w:rPr>
        <w:t xml:space="preserve"> </w:t>
      </w:r>
      <w:r>
        <w:t>región.</w:t>
      </w:r>
      <w:r>
        <w:rPr>
          <w:spacing w:val="-3"/>
        </w:rPr>
        <w:t xml:space="preserve"> </w:t>
      </w:r>
      <w:r>
        <w:t>Como</w:t>
      </w:r>
      <w:r>
        <w:rPr>
          <w:spacing w:val="-3"/>
        </w:rPr>
        <w:t xml:space="preserve"> </w:t>
      </w:r>
      <w:r>
        <w:t>señalan</w:t>
      </w:r>
      <w:r>
        <w:rPr>
          <w:spacing w:val="-3"/>
        </w:rPr>
        <w:t xml:space="preserve"> </w:t>
      </w:r>
      <w:r>
        <w:t>Kotler</w:t>
      </w:r>
      <w:r>
        <w:rPr>
          <w:spacing w:val="-3"/>
        </w:rPr>
        <w:t xml:space="preserve"> </w:t>
      </w:r>
      <w:r>
        <w:t>y</w:t>
      </w:r>
      <w:r>
        <w:rPr>
          <w:spacing w:val="-3"/>
        </w:rPr>
        <w:t xml:space="preserve"> </w:t>
      </w:r>
      <w:r>
        <w:t>Keller</w:t>
      </w:r>
      <w:r>
        <w:rPr>
          <w:spacing w:val="40"/>
        </w:rPr>
        <w:t xml:space="preserve"> </w:t>
      </w:r>
      <w:r>
        <w:t>(2016),</w:t>
      </w:r>
      <w:r>
        <w:rPr>
          <w:spacing w:val="-3"/>
        </w:rPr>
        <w:t xml:space="preserve"> </w:t>
      </w:r>
      <w:r>
        <w:t>segmentar implica reconocer que no todos los consumidores valoran los productos de la misma forma y que la estrategia</w:t>
      </w:r>
      <w:r>
        <w:rPr>
          <w:spacing w:val="-4"/>
        </w:rPr>
        <w:t xml:space="preserve"> </w:t>
      </w:r>
      <w:r>
        <w:t>comercial</w:t>
      </w:r>
      <w:r>
        <w:rPr>
          <w:spacing w:val="-4"/>
        </w:rPr>
        <w:t xml:space="preserve"> </w:t>
      </w:r>
      <w:r>
        <w:t>debe</w:t>
      </w:r>
      <w:r>
        <w:rPr>
          <w:spacing w:val="-4"/>
        </w:rPr>
        <w:t xml:space="preserve"> </w:t>
      </w:r>
      <w:r>
        <w:t>orientarse</w:t>
      </w:r>
      <w:r>
        <w:rPr>
          <w:spacing w:val="-4"/>
        </w:rPr>
        <w:t xml:space="preserve"> </w:t>
      </w:r>
      <w:r>
        <w:t>hacia</w:t>
      </w:r>
      <w:r>
        <w:rPr>
          <w:spacing w:val="-4"/>
        </w:rPr>
        <w:t xml:space="preserve"> </w:t>
      </w:r>
      <w:r>
        <w:t>aquellos</w:t>
      </w:r>
      <w:r>
        <w:rPr>
          <w:spacing w:val="-4"/>
        </w:rPr>
        <w:t xml:space="preserve"> </w:t>
      </w:r>
      <w:r>
        <w:t>segmentos</w:t>
      </w:r>
      <w:r>
        <w:rPr>
          <w:spacing w:val="-4"/>
        </w:rPr>
        <w:t xml:space="preserve"> </w:t>
      </w:r>
      <w:r>
        <w:t>con</w:t>
      </w:r>
      <w:r>
        <w:rPr>
          <w:spacing w:val="-4"/>
        </w:rPr>
        <w:t xml:space="preserve"> </w:t>
      </w:r>
      <w:r>
        <w:t>mayor afinidad y potencial de conversión.</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rPr>
          <w:spacing w:val="-2"/>
        </w:rPr>
        <w:lastRenderedPageBreak/>
        <w:t>Segmentación</w:t>
      </w:r>
    </w:p>
    <w:p w:rsidR="009B4BB4" w:rsidRDefault="009B4BB4">
      <w:pPr>
        <w:pStyle w:val="Textoindependiente"/>
        <w:spacing w:before="113"/>
        <w:rPr>
          <w:rFonts w:ascii="Arial"/>
          <w:b/>
        </w:rPr>
      </w:pPr>
    </w:p>
    <w:p w:rsidR="009B4BB4" w:rsidRDefault="00C44001">
      <w:pPr>
        <w:pStyle w:val="Textoindependiente"/>
        <w:spacing w:before="1"/>
        <w:ind w:right="389"/>
        <w:jc w:val="center"/>
      </w:pPr>
      <w:r>
        <w:t>A</w:t>
      </w:r>
      <w:r>
        <w:rPr>
          <w:spacing w:val="-7"/>
        </w:rPr>
        <w:t xml:space="preserve"> </w:t>
      </w:r>
      <w:r>
        <w:t>partir</w:t>
      </w:r>
      <w:r>
        <w:rPr>
          <w:spacing w:val="-4"/>
        </w:rPr>
        <w:t xml:space="preserve"> </w:t>
      </w:r>
      <w:r>
        <w:t>de</w:t>
      </w:r>
      <w:r>
        <w:rPr>
          <w:spacing w:val="-5"/>
        </w:rPr>
        <w:t xml:space="preserve"> </w:t>
      </w:r>
      <w:r>
        <w:t>los</w:t>
      </w:r>
      <w:r>
        <w:rPr>
          <w:spacing w:val="-4"/>
        </w:rPr>
        <w:t xml:space="preserve"> </w:t>
      </w:r>
      <w:r>
        <w:t>datos</w:t>
      </w:r>
      <w:r>
        <w:rPr>
          <w:spacing w:val="-5"/>
        </w:rPr>
        <w:t xml:space="preserve"> </w:t>
      </w:r>
      <w:r>
        <w:t>del</w:t>
      </w:r>
      <w:r>
        <w:rPr>
          <w:spacing w:val="-4"/>
        </w:rPr>
        <w:t xml:space="preserve"> </w:t>
      </w:r>
      <w:r>
        <w:t>Capítulo</w:t>
      </w:r>
      <w:r>
        <w:rPr>
          <w:spacing w:val="-4"/>
        </w:rPr>
        <w:t xml:space="preserve"> </w:t>
      </w:r>
      <w:r>
        <w:t>4,</w:t>
      </w:r>
      <w:r>
        <w:rPr>
          <w:spacing w:val="-5"/>
        </w:rPr>
        <w:t xml:space="preserve"> </w:t>
      </w:r>
      <w:r>
        <w:t>se</w:t>
      </w:r>
      <w:r>
        <w:rPr>
          <w:spacing w:val="-4"/>
        </w:rPr>
        <w:t xml:space="preserve"> </w:t>
      </w:r>
      <w:r>
        <w:t>identifican</w:t>
      </w:r>
      <w:r>
        <w:rPr>
          <w:spacing w:val="-5"/>
        </w:rPr>
        <w:t xml:space="preserve"> </w:t>
      </w:r>
      <w:r>
        <w:t>tres</w:t>
      </w:r>
      <w:r>
        <w:rPr>
          <w:spacing w:val="-4"/>
        </w:rPr>
        <w:t xml:space="preserve"> </w:t>
      </w:r>
      <w:r>
        <w:t>grupos</w:t>
      </w:r>
      <w:r>
        <w:rPr>
          <w:spacing w:val="-4"/>
        </w:rPr>
        <w:t xml:space="preserve"> </w:t>
      </w:r>
      <w:r>
        <w:rPr>
          <w:spacing w:val="-2"/>
        </w:rPr>
        <w:t>principales:</w:t>
      </w:r>
    </w:p>
    <w:p w:rsidR="009B4BB4" w:rsidRDefault="009B4BB4">
      <w:pPr>
        <w:pStyle w:val="Textoindependiente"/>
        <w:spacing w:before="113"/>
      </w:pPr>
    </w:p>
    <w:p w:rsidR="009B4BB4" w:rsidRDefault="00C44001" w:rsidP="00C44001">
      <w:pPr>
        <w:pStyle w:val="Prrafodelista"/>
        <w:numPr>
          <w:ilvl w:val="0"/>
          <w:numId w:val="28"/>
        </w:numPr>
        <w:tabs>
          <w:tab w:val="left" w:pos="1143"/>
          <w:tab w:val="left" w:pos="1145"/>
        </w:tabs>
        <w:spacing w:before="0" w:line="360" w:lineRule="auto"/>
        <w:ind w:right="604"/>
        <w:jc w:val="both"/>
      </w:pPr>
      <w:r>
        <w:rPr>
          <w:rFonts w:ascii="Arial" w:hAnsi="Arial"/>
          <w:b/>
        </w:rPr>
        <w:t xml:space="preserve">Los turistas nacionales representan </w:t>
      </w:r>
      <w:r>
        <w:t>el 73% de los visitantes en</w:t>
      </w:r>
      <w:r>
        <w:t>cuestados y muestran interés en productos naturales, artesanales y con identidad regional. Este segmento prioriza productos auténticos y accesibles, con afinidad hacia propuestas que integran naturaleza y cultura.</w:t>
      </w:r>
    </w:p>
    <w:p w:rsidR="009B4BB4" w:rsidRDefault="00C44001" w:rsidP="00C44001">
      <w:pPr>
        <w:pStyle w:val="Prrafodelista"/>
        <w:numPr>
          <w:ilvl w:val="0"/>
          <w:numId w:val="28"/>
        </w:numPr>
        <w:tabs>
          <w:tab w:val="left" w:pos="1143"/>
          <w:tab w:val="left" w:pos="1145"/>
        </w:tabs>
        <w:spacing w:line="360" w:lineRule="auto"/>
        <w:ind w:right="602"/>
        <w:jc w:val="both"/>
      </w:pPr>
      <w:r>
        <w:rPr>
          <w:rFonts w:ascii="Arial" w:hAnsi="Arial"/>
          <w:b/>
        </w:rPr>
        <w:t>Los turistas</w:t>
      </w:r>
      <w:r>
        <w:rPr>
          <w:rFonts w:ascii="Arial" w:hAnsi="Arial"/>
          <w:b/>
          <w:spacing w:val="-5"/>
        </w:rPr>
        <w:t xml:space="preserve"> </w:t>
      </w:r>
      <w:r>
        <w:rPr>
          <w:rFonts w:ascii="Arial" w:hAnsi="Arial"/>
          <w:b/>
        </w:rPr>
        <w:t>internacionales</w:t>
      </w:r>
      <w:r>
        <w:rPr>
          <w:rFonts w:ascii="Arial" w:hAnsi="Arial"/>
          <w:b/>
          <w:spacing w:val="-5"/>
        </w:rPr>
        <w:t xml:space="preserve"> </w:t>
      </w:r>
      <w:r>
        <w:t>principalment</w:t>
      </w:r>
      <w:r>
        <w:t>e</w:t>
      </w:r>
      <w:r>
        <w:rPr>
          <w:spacing w:val="-5"/>
        </w:rPr>
        <w:t xml:space="preserve"> </w:t>
      </w:r>
      <w:r>
        <w:t>de</w:t>
      </w:r>
      <w:r>
        <w:rPr>
          <w:spacing w:val="-5"/>
        </w:rPr>
        <w:t xml:space="preserve"> </w:t>
      </w:r>
      <w:r>
        <w:t>Europa</w:t>
      </w:r>
      <w:r>
        <w:rPr>
          <w:spacing w:val="-5"/>
        </w:rPr>
        <w:t xml:space="preserve"> </w:t>
      </w:r>
      <w:r>
        <w:t>y</w:t>
      </w:r>
      <w:r>
        <w:rPr>
          <w:spacing w:val="-5"/>
        </w:rPr>
        <w:t xml:space="preserve"> </w:t>
      </w:r>
      <w:r>
        <w:t>Norteamérica</w:t>
      </w:r>
      <w:r>
        <w:rPr>
          <w:spacing w:val="-5"/>
        </w:rPr>
        <w:t xml:space="preserve"> </w:t>
      </w:r>
      <w:r>
        <w:t>(8.2%</w:t>
      </w:r>
      <w:r>
        <w:rPr>
          <w:spacing w:val="-5"/>
        </w:rPr>
        <w:t xml:space="preserve"> </w:t>
      </w:r>
      <w:r>
        <w:t>del total), valoran la exclusividad, el diseño y la autenticidad de productos de origen cultural. Este segmento presenta mayor poder adquisitivo y una clara disposición</w:t>
      </w:r>
      <w:r>
        <w:rPr>
          <w:spacing w:val="40"/>
        </w:rPr>
        <w:t xml:space="preserve"> </w:t>
      </w:r>
      <w:r>
        <w:t>a pagar por productos saludables, exclusivos y socialm</w:t>
      </w:r>
      <w:r>
        <w:t>ente responsables.</w:t>
      </w:r>
    </w:p>
    <w:p w:rsidR="009B4BB4" w:rsidRDefault="00C44001" w:rsidP="00C44001">
      <w:pPr>
        <w:pStyle w:val="Prrafodelista"/>
        <w:numPr>
          <w:ilvl w:val="0"/>
          <w:numId w:val="28"/>
        </w:numPr>
        <w:tabs>
          <w:tab w:val="left" w:pos="1143"/>
          <w:tab w:val="left" w:pos="1145"/>
        </w:tabs>
        <w:spacing w:line="360" w:lineRule="auto"/>
        <w:ind w:right="608"/>
        <w:jc w:val="both"/>
      </w:pPr>
      <w:r>
        <w:rPr>
          <w:rFonts w:ascii="Arial" w:hAnsi="Arial"/>
          <w:b/>
        </w:rPr>
        <w:t>Los residentes locales</w:t>
      </w:r>
      <w:r>
        <w:t>, (11%) conforman un nicho orientado al uso medicinal y tradicional de la miel melipona. Actúan como consumidores recurrentes y prescriptores dentro de su entorno cercano.</w:t>
      </w:r>
    </w:p>
    <w:p w:rsidR="009B4BB4" w:rsidRDefault="00C44001">
      <w:pPr>
        <w:pStyle w:val="Textoindependiente"/>
        <w:spacing w:line="360" w:lineRule="auto"/>
        <w:ind w:left="425" w:right="604" w:firstLine="720"/>
        <w:jc w:val="both"/>
      </w:pPr>
      <w:r>
        <w:t>A nivel psicográfico, se identifican patrones relevantes para un producto</w:t>
      </w:r>
      <w:r>
        <w:rPr>
          <w:spacing w:val="-4"/>
        </w:rPr>
        <w:t xml:space="preserve"> </w:t>
      </w:r>
      <w:r>
        <w:t>de</w:t>
      </w:r>
      <w:r>
        <w:rPr>
          <w:spacing w:val="-4"/>
        </w:rPr>
        <w:t xml:space="preserve"> </w:t>
      </w:r>
      <w:r>
        <w:t>nicho como Guardiana.</w:t>
      </w:r>
      <w:r>
        <w:rPr>
          <w:spacing w:val="40"/>
        </w:rPr>
        <w:t xml:space="preserve"> </w:t>
      </w:r>
      <w:r>
        <w:t>El 64% de los encuestados se identifican</w:t>
      </w:r>
      <w:r>
        <w:rPr>
          <w:spacing w:val="-4"/>
        </w:rPr>
        <w:t xml:space="preserve"> </w:t>
      </w:r>
      <w:r>
        <w:t>como</w:t>
      </w:r>
      <w:r>
        <w:rPr>
          <w:spacing w:val="-4"/>
        </w:rPr>
        <w:t xml:space="preserve"> </w:t>
      </w:r>
      <w:r>
        <w:t>consumidor</w:t>
      </w:r>
      <w:r>
        <w:rPr>
          <w:spacing w:val="-4"/>
        </w:rPr>
        <w:t xml:space="preserve"> </w:t>
      </w:r>
      <w:r>
        <w:t>natural,</w:t>
      </w:r>
      <w:r>
        <w:rPr>
          <w:spacing w:val="-4"/>
        </w:rPr>
        <w:t xml:space="preserve"> </w:t>
      </w:r>
      <w:r>
        <w:t>el 10% valora historia y exclusividad y otro 9% busca recuerdos auténticos. Estos</w:t>
      </w:r>
      <w:r>
        <w:rPr>
          <w:spacing w:val="40"/>
        </w:rPr>
        <w:t xml:space="preserve"> </w:t>
      </w:r>
      <w:r>
        <w:t xml:space="preserve">resultados reflejan un público con alta sensibilidad hacia la salud, la cultura y la </w:t>
      </w:r>
      <w:r>
        <w:rPr>
          <w:spacing w:val="-2"/>
        </w:rPr>
        <w:t>sostenibilidad.</w:t>
      </w:r>
    </w:p>
    <w:p w:rsidR="009B4BB4" w:rsidRDefault="00C44001">
      <w:pPr>
        <w:pStyle w:val="Ttulo1"/>
        <w:spacing w:before="240"/>
      </w:pPr>
      <w:r>
        <w:rPr>
          <w:spacing w:val="-2"/>
        </w:rPr>
        <w:t>Targeting</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6" w:firstLine="720"/>
        <w:jc w:val="both"/>
      </w:pPr>
      <w:r>
        <w:t>El análisis permite definir un segmento primario compuesto por turistas adultos, nacionales e internacionales, con alta intención de compra y af</w:t>
      </w:r>
      <w:r>
        <w:t>inidad hacia propuestas naturales y culturalmente significativas. Este grupo combina capacidad de pago con</w:t>
      </w:r>
      <w:r>
        <w:rPr>
          <w:spacing w:val="-3"/>
        </w:rPr>
        <w:t xml:space="preserve"> </w:t>
      </w:r>
      <w:r>
        <w:t>una alta valoración por la historia y</w:t>
      </w:r>
      <w:r>
        <w:rPr>
          <w:spacing w:val="-3"/>
        </w:rPr>
        <w:t xml:space="preserve"> </w:t>
      </w:r>
      <w:r>
        <w:t>el</w:t>
      </w:r>
      <w:r>
        <w:rPr>
          <w:spacing w:val="-3"/>
        </w:rPr>
        <w:t xml:space="preserve"> </w:t>
      </w:r>
      <w:r>
        <w:t>origen</w:t>
      </w:r>
      <w:r>
        <w:rPr>
          <w:spacing w:val="-3"/>
        </w:rPr>
        <w:t xml:space="preserve"> </w:t>
      </w:r>
      <w:r>
        <w:t>del</w:t>
      </w:r>
      <w:r>
        <w:rPr>
          <w:spacing w:val="-3"/>
        </w:rPr>
        <w:t xml:space="preserve"> </w:t>
      </w:r>
      <w:r>
        <w:t>producto.</w:t>
      </w:r>
      <w:r>
        <w:rPr>
          <w:spacing w:val="-3"/>
        </w:rPr>
        <w:t xml:space="preserve"> </w:t>
      </w:r>
      <w:r>
        <w:t>La</w:t>
      </w:r>
      <w:r>
        <w:rPr>
          <w:spacing w:val="-3"/>
        </w:rPr>
        <w:t xml:space="preserve"> </w:t>
      </w:r>
      <w:r>
        <w:t>disposición</w:t>
      </w:r>
      <w:r>
        <w:rPr>
          <w:spacing w:val="-3"/>
        </w:rPr>
        <w:t xml:space="preserve"> </w:t>
      </w:r>
      <w:r>
        <w:t>a</w:t>
      </w:r>
      <w:r>
        <w:rPr>
          <w:spacing w:val="-3"/>
        </w:rPr>
        <w:t xml:space="preserve"> </w:t>
      </w:r>
      <w:r>
        <w:t>pagar</w:t>
      </w:r>
      <w:r>
        <w:rPr>
          <w:spacing w:val="-3"/>
        </w:rPr>
        <w:t xml:space="preserve"> </w:t>
      </w:r>
      <w:r>
        <w:t>por</w:t>
      </w:r>
      <w:r>
        <w:rPr>
          <w:spacing w:val="-3"/>
        </w:rPr>
        <w:t xml:space="preserve"> </w:t>
      </w:r>
      <w:r>
        <w:t xml:space="preserve">impacto social refuerza este targeting, al alinearse con la </w:t>
      </w:r>
      <w:r>
        <w:t>propuesta de valor de Guardiana. En consecuencia, el enfoque estratégico prioriza segmentos con alta conversión y afinidad con el valor del producto, en lugar de buscar volumen indiscriminado.</w:t>
      </w:r>
    </w:p>
    <w:p w:rsidR="009B4BB4" w:rsidRDefault="00C44001">
      <w:pPr>
        <w:pStyle w:val="Ttulo1"/>
        <w:spacing w:before="240"/>
      </w:pPr>
      <w:r>
        <w:rPr>
          <w:spacing w:val="-2"/>
        </w:rPr>
        <w:t>Posicionamiento</w:t>
      </w:r>
    </w:p>
    <w:p w:rsidR="009B4BB4" w:rsidRDefault="009B4BB4">
      <w:pPr>
        <w:pStyle w:val="Ttulo1"/>
        <w:sectPr w:rsidR="009B4BB4">
          <w:pgSz w:w="11920" w:h="16840"/>
          <w:pgMar w:top="1500" w:right="850" w:bottom="1940" w:left="1275" w:header="0" w:footer="1747" w:gutter="0"/>
          <w:cols w:space="720"/>
        </w:sectPr>
      </w:pPr>
    </w:p>
    <w:p w:rsidR="009B4BB4" w:rsidRDefault="00C44001">
      <w:pPr>
        <w:pStyle w:val="Textoindependiente"/>
        <w:spacing w:before="79"/>
        <w:ind w:left="1145"/>
      </w:pPr>
      <w:r>
        <w:lastRenderedPageBreak/>
        <w:t>En</w:t>
      </w:r>
      <w:r>
        <w:rPr>
          <w:spacing w:val="-7"/>
        </w:rPr>
        <w:t xml:space="preserve"> </w:t>
      </w:r>
      <w:r>
        <w:t>este</w:t>
      </w:r>
      <w:r>
        <w:rPr>
          <w:spacing w:val="-5"/>
        </w:rPr>
        <w:t xml:space="preserve"> </w:t>
      </w:r>
      <w:r>
        <w:t>contexto,</w:t>
      </w:r>
      <w:r>
        <w:rPr>
          <w:spacing w:val="-5"/>
        </w:rPr>
        <w:t xml:space="preserve"> </w:t>
      </w:r>
      <w:r>
        <w:t>el</w:t>
      </w:r>
      <w:r>
        <w:rPr>
          <w:spacing w:val="-5"/>
        </w:rPr>
        <w:t xml:space="preserve"> </w:t>
      </w:r>
      <w:r>
        <w:t>posicion</w:t>
      </w:r>
      <w:r>
        <w:t>amiento</w:t>
      </w:r>
      <w:r>
        <w:rPr>
          <w:spacing w:val="-5"/>
        </w:rPr>
        <w:t xml:space="preserve"> </w:t>
      </w:r>
      <w:r>
        <w:t>de</w:t>
      </w:r>
      <w:r>
        <w:rPr>
          <w:spacing w:val="-5"/>
        </w:rPr>
        <w:t xml:space="preserve"> </w:t>
      </w:r>
      <w:r>
        <w:t>Guardiana</w:t>
      </w:r>
      <w:r>
        <w:rPr>
          <w:spacing w:val="-5"/>
        </w:rPr>
        <w:t xml:space="preserve"> </w:t>
      </w:r>
      <w:r>
        <w:t>se</w:t>
      </w:r>
      <w:r>
        <w:rPr>
          <w:spacing w:val="-5"/>
        </w:rPr>
        <w:t xml:space="preserve"> </w:t>
      </w:r>
      <w:r>
        <w:t>define</w:t>
      </w:r>
      <w:r>
        <w:rPr>
          <w:spacing w:val="-5"/>
        </w:rPr>
        <w:t xml:space="preserve"> </w:t>
      </w:r>
      <w:r>
        <w:t>a</w:t>
      </w:r>
      <w:r>
        <w:rPr>
          <w:spacing w:val="-5"/>
        </w:rPr>
        <w:t xml:space="preserve"> </w:t>
      </w:r>
      <w:r>
        <w:t>partir</w:t>
      </w:r>
      <w:r>
        <w:rPr>
          <w:spacing w:val="-5"/>
        </w:rPr>
        <w:t xml:space="preserve"> </w:t>
      </w:r>
      <w:r>
        <w:t>de</w:t>
      </w:r>
      <w:r>
        <w:rPr>
          <w:spacing w:val="-5"/>
        </w:rPr>
        <w:t xml:space="preserve"> </w:t>
      </w:r>
      <w:r>
        <w:t>tres</w:t>
      </w:r>
      <w:r>
        <w:rPr>
          <w:spacing w:val="-4"/>
        </w:rPr>
        <w:t xml:space="preserve"> </w:t>
      </w:r>
      <w:r>
        <w:rPr>
          <w:spacing w:val="-2"/>
        </w:rPr>
        <w:t>ejes:</w:t>
      </w:r>
    </w:p>
    <w:p w:rsidR="009B4BB4" w:rsidRDefault="009B4BB4">
      <w:pPr>
        <w:pStyle w:val="Textoindependiente"/>
        <w:spacing w:before="113"/>
      </w:pPr>
    </w:p>
    <w:p w:rsidR="009B4BB4" w:rsidRDefault="00C44001" w:rsidP="00C44001">
      <w:pPr>
        <w:pStyle w:val="Prrafodelista"/>
        <w:numPr>
          <w:ilvl w:val="0"/>
          <w:numId w:val="27"/>
        </w:numPr>
        <w:tabs>
          <w:tab w:val="left" w:pos="1143"/>
          <w:tab w:val="left" w:pos="1145"/>
        </w:tabs>
        <w:spacing w:before="1" w:line="360" w:lineRule="auto"/>
        <w:ind w:right="603"/>
        <w:jc w:val="both"/>
      </w:pPr>
      <w:r>
        <w:rPr>
          <w:rFonts w:ascii="Arial" w:hAnsi="Arial"/>
          <w:b/>
        </w:rPr>
        <w:t>Autenticidad</w:t>
      </w:r>
      <w:r>
        <w:t>: respaldada por trazabilidad, testimonios de productores y elementos que refuerzan la confianza del consumidor, en respuesta</w:t>
      </w:r>
      <w:r>
        <w:rPr>
          <w:spacing w:val="-5"/>
        </w:rPr>
        <w:t xml:space="preserve"> </w:t>
      </w:r>
      <w:r>
        <w:t>a</w:t>
      </w:r>
      <w:r>
        <w:rPr>
          <w:spacing w:val="-5"/>
        </w:rPr>
        <w:t xml:space="preserve"> </w:t>
      </w:r>
      <w:r>
        <w:t>la</w:t>
      </w:r>
      <w:r>
        <w:rPr>
          <w:spacing w:val="-5"/>
        </w:rPr>
        <w:t xml:space="preserve"> </w:t>
      </w:r>
      <w:r>
        <w:t xml:space="preserve">segunda barrera de compra más relevante identificada: las </w:t>
      </w:r>
      <w:r>
        <w:t>dudas</w:t>
      </w:r>
      <w:r>
        <w:rPr>
          <w:spacing w:val="-3"/>
        </w:rPr>
        <w:t xml:space="preserve"> </w:t>
      </w:r>
      <w:r>
        <w:t>sobre</w:t>
      </w:r>
      <w:r>
        <w:rPr>
          <w:spacing w:val="-3"/>
        </w:rPr>
        <w:t xml:space="preserve"> </w:t>
      </w:r>
      <w:r>
        <w:t>la</w:t>
      </w:r>
      <w:r>
        <w:rPr>
          <w:spacing w:val="-3"/>
        </w:rPr>
        <w:t xml:space="preserve"> </w:t>
      </w:r>
      <w:r>
        <w:t>autenticidad</w:t>
      </w:r>
      <w:r>
        <w:rPr>
          <w:spacing w:val="-3"/>
        </w:rPr>
        <w:t xml:space="preserve"> </w:t>
      </w:r>
      <w:r>
        <w:t xml:space="preserve">del </w:t>
      </w:r>
      <w:r>
        <w:rPr>
          <w:spacing w:val="-2"/>
        </w:rPr>
        <w:t>producto.</w:t>
      </w:r>
    </w:p>
    <w:p w:rsidR="009B4BB4" w:rsidRDefault="00C44001" w:rsidP="00C44001">
      <w:pPr>
        <w:pStyle w:val="Prrafodelista"/>
        <w:numPr>
          <w:ilvl w:val="0"/>
          <w:numId w:val="27"/>
        </w:numPr>
        <w:tabs>
          <w:tab w:val="left" w:pos="1143"/>
          <w:tab w:val="left" w:pos="1145"/>
        </w:tabs>
        <w:spacing w:line="360" w:lineRule="auto"/>
        <w:ind w:right="608"/>
        <w:jc w:val="both"/>
      </w:pPr>
      <w:r>
        <w:rPr>
          <w:rFonts w:ascii="Arial" w:hAnsi="Arial"/>
          <w:b/>
        </w:rPr>
        <w:t>Exclusividad</w:t>
      </w:r>
      <w:r>
        <w:t>: sustentada en la escasez natural de la especie, cuya producción anual</w:t>
      </w:r>
      <w:r>
        <w:rPr>
          <w:spacing w:val="27"/>
        </w:rPr>
        <w:t xml:space="preserve"> </w:t>
      </w:r>
      <w:r>
        <w:t>por</w:t>
      </w:r>
      <w:r>
        <w:rPr>
          <w:spacing w:val="27"/>
        </w:rPr>
        <w:t xml:space="preserve"> </w:t>
      </w:r>
      <w:r>
        <w:t>colmena</w:t>
      </w:r>
      <w:r>
        <w:rPr>
          <w:spacing w:val="27"/>
        </w:rPr>
        <w:t xml:space="preserve"> </w:t>
      </w:r>
      <w:r>
        <w:t>oscila entre 0.5 y 2 litros. Este eje se alinea con la tendencia de premiumización basada en autenticidad, más que en lujo ostentoso (Euromonitor International, 2023).</w:t>
      </w:r>
    </w:p>
    <w:p w:rsidR="009B4BB4" w:rsidRDefault="00C44001" w:rsidP="00C44001">
      <w:pPr>
        <w:pStyle w:val="Prrafodelista"/>
        <w:numPr>
          <w:ilvl w:val="0"/>
          <w:numId w:val="27"/>
        </w:numPr>
        <w:tabs>
          <w:tab w:val="left" w:pos="1143"/>
          <w:tab w:val="left" w:pos="1145"/>
        </w:tabs>
        <w:spacing w:line="360" w:lineRule="auto"/>
        <w:ind w:right="612"/>
        <w:jc w:val="both"/>
      </w:pPr>
      <w:r>
        <w:t>P</w:t>
      </w:r>
      <w:r>
        <w:rPr>
          <w:rFonts w:ascii="Arial" w:hAnsi="Arial"/>
          <w:b/>
        </w:rPr>
        <w:t>ropósito social y cultural</w:t>
      </w:r>
      <w:r>
        <w:t>: alineado con el hallazgo de que el 72% de los encuestados e</w:t>
      </w:r>
      <w:r>
        <w:t>stá dispuesto a pagar más cuando el producto genera un impacto directo en los meliponicultores.</w:t>
      </w:r>
    </w:p>
    <w:p w:rsidR="009B4BB4" w:rsidRDefault="00C44001">
      <w:pPr>
        <w:pStyle w:val="Textoindependiente"/>
        <w:spacing w:line="360" w:lineRule="auto"/>
        <w:ind w:left="425" w:right="603" w:firstLine="720"/>
        <w:jc w:val="both"/>
      </w:pPr>
      <w:r>
        <w:t xml:space="preserve">En conjunto, estos ejes permiten sostener un posicionamiento que justifica el precio </w:t>
      </w:r>
      <w:r>
        <w:rPr>
          <w:rFonts w:ascii="Arial"/>
          <w:i/>
        </w:rPr>
        <w:t xml:space="preserve">premium </w:t>
      </w:r>
      <w:r>
        <w:t>desde el valor percibido, no desde el costo.</w:t>
      </w:r>
    </w:p>
    <w:p w:rsidR="009B4BB4" w:rsidRDefault="00C44001" w:rsidP="00C44001">
      <w:pPr>
        <w:pStyle w:val="Ttulo1"/>
        <w:numPr>
          <w:ilvl w:val="1"/>
          <w:numId w:val="30"/>
        </w:numPr>
        <w:tabs>
          <w:tab w:val="left" w:pos="818"/>
        </w:tabs>
        <w:spacing w:before="240"/>
        <w:ind w:left="818" w:hanging="363"/>
      </w:pPr>
      <w:bookmarkStart w:id="185" w:name="5.4_Propuesta_de_valor_y_diferenciación_"/>
      <w:bookmarkStart w:id="186" w:name="h.gvl7cg5dnoa0"/>
      <w:bookmarkEnd w:id="185"/>
      <w:bookmarkEnd w:id="186"/>
      <w:r>
        <w:t>Propuesta</w:t>
      </w:r>
      <w:r>
        <w:rPr>
          <w:spacing w:val="-5"/>
        </w:rPr>
        <w:t xml:space="preserve"> </w:t>
      </w:r>
      <w:r>
        <w:t>de</w:t>
      </w:r>
      <w:r>
        <w:rPr>
          <w:spacing w:val="-4"/>
        </w:rPr>
        <w:t xml:space="preserve"> </w:t>
      </w:r>
      <w:r>
        <w:t>valor</w:t>
      </w:r>
      <w:r>
        <w:rPr>
          <w:spacing w:val="-4"/>
        </w:rPr>
        <w:t xml:space="preserve"> </w:t>
      </w:r>
      <w:r>
        <w:t>y</w:t>
      </w:r>
      <w:r>
        <w:rPr>
          <w:spacing w:val="-4"/>
        </w:rPr>
        <w:t xml:space="preserve"> </w:t>
      </w:r>
      <w:r>
        <w:rPr>
          <w:spacing w:val="-2"/>
        </w:rPr>
        <w:t>diferenciación</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4" w:firstLine="720"/>
        <w:jc w:val="both"/>
      </w:pPr>
      <w:r>
        <w:t>La propuesta de valor de Guardiana</w:t>
      </w:r>
      <w:r>
        <w:rPr>
          <w:spacing w:val="-3"/>
        </w:rPr>
        <w:t xml:space="preserve"> </w:t>
      </w:r>
      <w:r>
        <w:t>integra</w:t>
      </w:r>
      <w:r>
        <w:rPr>
          <w:spacing w:val="-3"/>
        </w:rPr>
        <w:t xml:space="preserve"> </w:t>
      </w:r>
      <w:r>
        <w:t>las</w:t>
      </w:r>
      <w:r>
        <w:rPr>
          <w:spacing w:val="-3"/>
        </w:rPr>
        <w:t xml:space="preserve"> </w:t>
      </w:r>
      <w:r>
        <w:t>motivaciones</w:t>
      </w:r>
      <w:r>
        <w:rPr>
          <w:spacing w:val="-3"/>
        </w:rPr>
        <w:t xml:space="preserve"> </w:t>
      </w:r>
      <w:r>
        <w:t>de</w:t>
      </w:r>
      <w:r>
        <w:rPr>
          <w:spacing w:val="-3"/>
        </w:rPr>
        <w:t xml:space="preserve"> </w:t>
      </w:r>
      <w:r>
        <w:t>compra</w:t>
      </w:r>
      <w:r>
        <w:rPr>
          <w:spacing w:val="-3"/>
        </w:rPr>
        <w:t xml:space="preserve"> </w:t>
      </w:r>
      <w:r>
        <w:t>y</w:t>
      </w:r>
      <w:r>
        <w:rPr>
          <w:spacing w:val="-3"/>
        </w:rPr>
        <w:t xml:space="preserve"> </w:t>
      </w:r>
      <w:r>
        <w:t>aborda las principales barreras identificadas en la investigación de mercado. Guardiana no compite en la categoría de insumos básicos, sino en un segmento de</w:t>
      </w:r>
      <w:r>
        <w:rPr>
          <w:spacing w:val="-3"/>
        </w:rPr>
        <w:t xml:space="preserve"> </w:t>
      </w:r>
      <w:r>
        <w:t>valor</w:t>
      </w:r>
      <w:r>
        <w:rPr>
          <w:spacing w:val="-3"/>
        </w:rPr>
        <w:t xml:space="preserve"> </w:t>
      </w:r>
      <w:r>
        <w:t>agre</w:t>
      </w:r>
      <w:r>
        <w:t>gado.</w:t>
      </w:r>
      <w:r>
        <w:rPr>
          <w:spacing w:val="-3"/>
        </w:rPr>
        <w:t xml:space="preserve"> </w:t>
      </w:r>
      <w:r>
        <w:t>El modelo se fundamenta en la teoría de Creación de Valor</w:t>
      </w:r>
      <w:r>
        <w:rPr>
          <w:spacing w:val="-4"/>
        </w:rPr>
        <w:t xml:space="preserve"> </w:t>
      </w:r>
      <w:r>
        <w:t>Compartido</w:t>
      </w:r>
      <w:r>
        <w:rPr>
          <w:spacing w:val="-4"/>
        </w:rPr>
        <w:t xml:space="preserve"> </w:t>
      </w:r>
      <w:r>
        <w:t>de</w:t>
      </w:r>
      <w:r>
        <w:rPr>
          <w:spacing w:val="-4"/>
        </w:rPr>
        <w:t xml:space="preserve"> </w:t>
      </w:r>
      <w:r>
        <w:t>Porter</w:t>
      </w:r>
      <w:r>
        <w:rPr>
          <w:spacing w:val="-4"/>
        </w:rPr>
        <w:t xml:space="preserve"> </w:t>
      </w:r>
      <w:r>
        <w:t>y</w:t>
      </w:r>
      <w:r>
        <w:rPr>
          <w:spacing w:val="-4"/>
        </w:rPr>
        <w:t xml:space="preserve"> </w:t>
      </w:r>
      <w:r>
        <w:t>Kramer (2011), que plantea que la competitividad empresarial y el bienestar de</w:t>
      </w:r>
      <w:r>
        <w:rPr>
          <w:spacing w:val="-5"/>
        </w:rPr>
        <w:t xml:space="preserve"> </w:t>
      </w:r>
      <w:r>
        <w:t>las</w:t>
      </w:r>
      <w:r>
        <w:rPr>
          <w:spacing w:val="-5"/>
        </w:rPr>
        <w:t xml:space="preserve"> </w:t>
      </w:r>
      <w:r>
        <w:t>comunidades son interdependientes. Guardiana genera valor económico y rentabilidad int</w:t>
      </w:r>
      <w:r>
        <w:t>egrando dimensiones funcionales, estéticas y sociales a través de cuatro ejes de diferenciación:</w:t>
      </w:r>
    </w:p>
    <w:p w:rsidR="009B4BB4" w:rsidRDefault="00C44001" w:rsidP="00C44001">
      <w:pPr>
        <w:pStyle w:val="Prrafodelista"/>
        <w:numPr>
          <w:ilvl w:val="0"/>
          <w:numId w:val="26"/>
        </w:numPr>
        <w:tabs>
          <w:tab w:val="left" w:pos="1143"/>
          <w:tab w:val="left" w:pos="1145"/>
        </w:tabs>
        <w:spacing w:line="360" w:lineRule="auto"/>
        <w:ind w:right="604"/>
        <w:jc w:val="both"/>
      </w:pPr>
      <w:r>
        <w:rPr>
          <w:rFonts w:ascii="Arial" w:hAnsi="Arial"/>
          <w:b/>
        </w:rPr>
        <w:t>Salud y</w:t>
      </w:r>
      <w:r>
        <w:rPr>
          <w:rFonts w:ascii="Arial" w:hAnsi="Arial"/>
          <w:b/>
          <w:spacing w:val="-4"/>
        </w:rPr>
        <w:t xml:space="preserve"> </w:t>
      </w:r>
      <w:r>
        <w:rPr>
          <w:rFonts w:ascii="Arial" w:hAnsi="Arial"/>
          <w:b/>
        </w:rPr>
        <w:t>bienestar</w:t>
      </w:r>
      <w:r>
        <w:rPr>
          <w:rFonts w:ascii="Arial" w:hAnsi="Arial"/>
          <w:b/>
          <w:spacing w:val="-4"/>
        </w:rPr>
        <w:t xml:space="preserve"> </w:t>
      </w:r>
      <w:r>
        <w:rPr>
          <w:rFonts w:ascii="Arial" w:hAnsi="Arial"/>
          <w:b/>
        </w:rPr>
        <w:t>funcional:</w:t>
      </w:r>
      <w:r>
        <w:rPr>
          <w:rFonts w:ascii="Arial" w:hAnsi="Arial"/>
          <w:b/>
          <w:spacing w:val="-4"/>
        </w:rPr>
        <w:t xml:space="preserve"> </w:t>
      </w:r>
      <w:r>
        <w:t>Representa</w:t>
      </w:r>
      <w:r>
        <w:rPr>
          <w:spacing w:val="-4"/>
        </w:rPr>
        <w:t xml:space="preserve"> </w:t>
      </w:r>
      <w:r>
        <w:t>el</w:t>
      </w:r>
      <w:r>
        <w:rPr>
          <w:spacing w:val="-4"/>
        </w:rPr>
        <w:t xml:space="preserve"> </w:t>
      </w:r>
      <w:r>
        <w:t>atributo</w:t>
      </w:r>
      <w:r>
        <w:rPr>
          <w:spacing w:val="-4"/>
        </w:rPr>
        <w:t xml:space="preserve"> </w:t>
      </w:r>
      <w:r>
        <w:t>de</w:t>
      </w:r>
      <w:r>
        <w:rPr>
          <w:spacing w:val="-4"/>
        </w:rPr>
        <w:t xml:space="preserve"> </w:t>
      </w:r>
      <w:r>
        <w:t>mayor</w:t>
      </w:r>
      <w:r>
        <w:rPr>
          <w:spacing w:val="-4"/>
        </w:rPr>
        <w:t xml:space="preserve"> </w:t>
      </w:r>
      <w:r>
        <w:t>tracción</w:t>
      </w:r>
      <w:r>
        <w:rPr>
          <w:spacing w:val="-4"/>
        </w:rPr>
        <w:t xml:space="preserve"> </w:t>
      </w:r>
      <w:r>
        <w:t>comercial, exigido por el 87% de los consumidores encuestados. La propuesta se centra</w:t>
      </w:r>
      <w:r>
        <w:rPr>
          <w:spacing w:val="-3"/>
        </w:rPr>
        <w:t xml:space="preserve"> </w:t>
      </w:r>
      <w:r>
        <w:t>en comunicar de forma clara la evidencia disponible, como análisis de humedad y perfiles de aminoácidos, como el análisis de humedad, perfiles de aminoácidos</w:t>
      </w:r>
      <w:r>
        <w:rPr>
          <w:spacing w:val="-3"/>
        </w:rPr>
        <w:t xml:space="preserve"> </w:t>
      </w:r>
      <w:r>
        <w:t>y así como sus propiedades antibacterianas</w:t>
      </w:r>
      <w:r>
        <w:rPr>
          <w:spacing w:val="40"/>
        </w:rPr>
        <w:t xml:space="preserve"> </w:t>
      </w:r>
      <w:r>
        <w:t>y probióticas de la miel melipona. Se utiliza</w:t>
      </w:r>
      <w:r>
        <w:rPr>
          <w:spacing w:val="40"/>
        </w:rPr>
        <w:t xml:space="preserve"> </w:t>
      </w:r>
      <w:r>
        <w:t>un</w:t>
      </w:r>
      <w:r>
        <w:rPr>
          <w:spacing w:val="40"/>
        </w:rPr>
        <w:t xml:space="preserve"> </w:t>
      </w:r>
      <w:r>
        <w:t>lengua</w:t>
      </w:r>
      <w:r>
        <w:t>je</w:t>
      </w:r>
      <w:r>
        <w:rPr>
          <w:spacing w:val="40"/>
        </w:rPr>
        <w:t xml:space="preserve"> </w:t>
      </w:r>
      <w:r>
        <w:t>preventivo</w:t>
      </w:r>
      <w:r>
        <w:rPr>
          <w:spacing w:val="40"/>
        </w:rPr>
        <w:t xml:space="preserve"> </w:t>
      </w:r>
      <w:r>
        <w:t>y</w:t>
      </w:r>
      <w:r>
        <w:rPr>
          <w:spacing w:val="25"/>
        </w:rPr>
        <w:t xml:space="preserve"> </w:t>
      </w:r>
      <w:r>
        <w:t>nutracéutico,</w:t>
      </w:r>
      <w:r>
        <w:rPr>
          <w:spacing w:val="25"/>
        </w:rPr>
        <w:t xml:space="preserve"> </w:t>
      </w:r>
      <w:r>
        <w:t>evitando</w:t>
      </w:r>
      <w:r>
        <w:rPr>
          <w:spacing w:val="25"/>
        </w:rPr>
        <w:t xml:space="preserve"> </w:t>
      </w:r>
      <w:r>
        <w:t>afirmaciones</w:t>
      </w:r>
      <w:r>
        <w:rPr>
          <w:spacing w:val="25"/>
        </w:rPr>
        <w:t xml:space="preserve"> </w:t>
      </w:r>
      <w:r>
        <w:t>médicas</w:t>
      </w:r>
      <w:r>
        <w:rPr>
          <w:spacing w:val="25"/>
        </w:rPr>
        <w:t xml:space="preserve"> </w:t>
      </w:r>
      <w:r>
        <w:t>no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71"/>
      </w:pPr>
      <w:proofErr w:type="gramStart"/>
      <w:r>
        <w:lastRenderedPageBreak/>
        <w:t>verificadas</w:t>
      </w:r>
      <w:proofErr w:type="gramEnd"/>
      <w:r>
        <w:t>,</w:t>
      </w:r>
      <w:r>
        <w:rPr>
          <w:spacing w:val="80"/>
        </w:rPr>
        <w:t xml:space="preserve"> </w:t>
      </w:r>
      <w:r>
        <w:t>pero</w:t>
      </w:r>
      <w:r>
        <w:rPr>
          <w:spacing w:val="80"/>
        </w:rPr>
        <w:t xml:space="preserve"> </w:t>
      </w:r>
      <w:r>
        <w:t>posicionando</w:t>
      </w:r>
      <w:r>
        <w:rPr>
          <w:spacing w:val="80"/>
        </w:rPr>
        <w:t xml:space="preserve"> </w:t>
      </w:r>
      <w:r>
        <w:t>el</w:t>
      </w:r>
      <w:r>
        <w:rPr>
          <w:spacing w:val="80"/>
        </w:rPr>
        <w:t xml:space="preserve"> </w:t>
      </w:r>
      <w:r>
        <w:t>producto</w:t>
      </w:r>
      <w:r>
        <w:rPr>
          <w:spacing w:val="80"/>
        </w:rPr>
        <w:t xml:space="preserve"> </w:t>
      </w:r>
      <w:r>
        <w:t>como</w:t>
      </w:r>
      <w:r>
        <w:rPr>
          <w:spacing w:val="40"/>
        </w:rPr>
        <w:t xml:space="preserve"> </w:t>
      </w:r>
      <w:r>
        <w:t>una</w:t>
      </w:r>
      <w:r>
        <w:rPr>
          <w:spacing w:val="40"/>
        </w:rPr>
        <w:t xml:space="preserve"> </w:t>
      </w:r>
      <w:r>
        <w:t>solución</w:t>
      </w:r>
      <w:r>
        <w:rPr>
          <w:spacing w:val="40"/>
        </w:rPr>
        <w:t xml:space="preserve"> </w:t>
      </w:r>
      <w:r>
        <w:t>de</w:t>
      </w:r>
      <w:r>
        <w:rPr>
          <w:spacing w:val="40"/>
        </w:rPr>
        <w:t xml:space="preserve"> </w:t>
      </w:r>
      <w:r>
        <w:t>bienestar funcional. El beneficio funcional se convierte en el principal motor de conversión.</w:t>
      </w:r>
    </w:p>
    <w:p w:rsidR="009B4BB4" w:rsidRDefault="00C44001" w:rsidP="00C44001">
      <w:pPr>
        <w:pStyle w:val="Prrafodelista"/>
        <w:numPr>
          <w:ilvl w:val="0"/>
          <w:numId w:val="26"/>
        </w:numPr>
        <w:tabs>
          <w:tab w:val="left" w:pos="1143"/>
          <w:tab w:val="left" w:pos="1145"/>
        </w:tabs>
        <w:spacing w:line="360" w:lineRule="auto"/>
        <w:ind w:right="604"/>
        <w:jc w:val="both"/>
      </w:pPr>
      <w:r>
        <w:rPr>
          <w:rFonts w:ascii="Arial" w:hAnsi="Arial"/>
          <w:b/>
        </w:rPr>
        <w:t xml:space="preserve">Transparencia: </w:t>
      </w:r>
      <w:r>
        <w:t>En</w:t>
      </w:r>
      <w:r>
        <w:t xml:space="preserve"> un mercado con alta asimetría de información, donde el</w:t>
      </w:r>
      <w:r>
        <w:rPr>
          <w:spacing w:val="40"/>
        </w:rPr>
        <w:t xml:space="preserve"> </w:t>
      </w:r>
      <w:r>
        <w:t>70.8% de los consumidores manifestó dudas sobre la autenticidad del producto, Guardiana, a través de códigos QR en el empaque, muestra el meliponario de origen y la comunidad productora, reduciendo la</w:t>
      </w:r>
      <w:r>
        <w:t xml:space="preserve"> incertidumbre en el punto de compra, la marca cierra la brecha</w:t>
      </w:r>
      <w:r>
        <w:rPr>
          <w:spacing w:val="-4"/>
        </w:rPr>
        <w:t xml:space="preserve"> </w:t>
      </w:r>
      <w:r>
        <w:t>de</w:t>
      </w:r>
      <w:r>
        <w:rPr>
          <w:spacing w:val="-4"/>
        </w:rPr>
        <w:t xml:space="preserve"> </w:t>
      </w:r>
      <w:r>
        <w:t>desconfianza,</w:t>
      </w:r>
      <w:r>
        <w:rPr>
          <w:spacing w:val="-4"/>
        </w:rPr>
        <w:t xml:space="preserve"> </w:t>
      </w:r>
      <w:r>
        <w:t>convirtiendo</w:t>
      </w:r>
      <w:r>
        <w:rPr>
          <w:spacing w:val="-4"/>
        </w:rPr>
        <w:t xml:space="preserve"> </w:t>
      </w:r>
      <w:r>
        <w:t>la</w:t>
      </w:r>
      <w:r>
        <w:rPr>
          <w:spacing w:val="-4"/>
        </w:rPr>
        <w:t xml:space="preserve"> </w:t>
      </w:r>
      <w:r>
        <w:t>trazabilidad</w:t>
      </w:r>
      <w:r>
        <w:rPr>
          <w:spacing w:val="-4"/>
        </w:rPr>
        <w:t xml:space="preserve"> </w:t>
      </w:r>
      <w:r>
        <w:t>en un</w:t>
      </w:r>
      <w:r>
        <w:rPr>
          <w:spacing w:val="40"/>
        </w:rPr>
        <w:t xml:space="preserve"> </w:t>
      </w:r>
      <w:r>
        <w:t>mecanismo de diferenciación frente a productos adulterados. La trazabilidad no sólo genera confianza, también diferencia el producto.</w:t>
      </w:r>
    </w:p>
    <w:p w:rsidR="009B4BB4" w:rsidRDefault="00C44001" w:rsidP="00C44001">
      <w:pPr>
        <w:pStyle w:val="Prrafodelista"/>
        <w:numPr>
          <w:ilvl w:val="0"/>
          <w:numId w:val="26"/>
        </w:numPr>
        <w:tabs>
          <w:tab w:val="left" w:pos="1143"/>
          <w:tab w:val="left" w:pos="1145"/>
        </w:tabs>
        <w:spacing w:line="360" w:lineRule="auto"/>
        <w:ind w:right="608"/>
        <w:jc w:val="both"/>
      </w:pPr>
      <w:r>
        <w:rPr>
          <w:rFonts w:ascii="Arial" w:hAnsi="Arial"/>
          <w:b/>
        </w:rPr>
        <w:t>Diseño</w:t>
      </w:r>
      <w:r>
        <w:rPr>
          <w:rFonts w:ascii="Arial" w:hAnsi="Arial"/>
          <w:b/>
        </w:rPr>
        <w:t xml:space="preserve"> de autor y formatos estratégicos</w:t>
      </w:r>
      <w:r>
        <w:t xml:space="preserve">: Validando que el 51% de la muestra prefirió el concepto de “Edición Colaborativa”, Guardiana convierte el envase en un objeto cultural coleccionable. El empaque integra arte exclusivo y acabados </w:t>
      </w:r>
      <w:r>
        <w:rPr>
          <w:rFonts w:ascii="Arial" w:hAnsi="Arial"/>
          <w:i/>
        </w:rPr>
        <w:t>premium</w:t>
      </w:r>
      <w:r>
        <w:t>, que resuelven barreras logísticas al ofrecer formatos estandarizados que el turista internacional puede transportar dentro de las restricciones de transporte aéreo, elevando la percepción de valor y facilitando la compra de impulso. El diseño eleva la pe</w:t>
      </w:r>
      <w:r>
        <w:t xml:space="preserve">rcepción de valor y facilita la compra en contexto </w:t>
      </w:r>
      <w:r>
        <w:rPr>
          <w:spacing w:val="-2"/>
        </w:rPr>
        <w:t>turístico.</w:t>
      </w:r>
    </w:p>
    <w:p w:rsidR="009B4BB4" w:rsidRDefault="00C44001" w:rsidP="00C44001">
      <w:pPr>
        <w:pStyle w:val="Prrafodelista"/>
        <w:numPr>
          <w:ilvl w:val="0"/>
          <w:numId w:val="26"/>
        </w:numPr>
        <w:tabs>
          <w:tab w:val="left" w:pos="1143"/>
          <w:tab w:val="left" w:pos="1145"/>
        </w:tabs>
        <w:spacing w:line="360" w:lineRule="auto"/>
        <w:ind w:right="602"/>
        <w:jc w:val="both"/>
      </w:pPr>
      <w:r>
        <w:rPr>
          <w:rFonts w:ascii="Arial" w:hAnsi="Arial"/>
          <w:b/>
        </w:rPr>
        <w:t xml:space="preserve">Impacto verificable: </w:t>
      </w:r>
      <w:r>
        <w:t>La promesa de destinar un porcentaje de los ingresos</w:t>
      </w:r>
      <w:r>
        <w:rPr>
          <w:spacing w:val="-3"/>
        </w:rPr>
        <w:t xml:space="preserve"> </w:t>
      </w:r>
      <w:r>
        <w:t>a</w:t>
      </w:r>
      <w:r>
        <w:rPr>
          <w:spacing w:val="-3"/>
        </w:rPr>
        <w:t xml:space="preserve"> </w:t>
      </w:r>
      <w:r>
        <w:t xml:space="preserve">los meliponarios no funciona como una política de caridad, sino como un atributo central del producto; es un atributo </w:t>
      </w:r>
      <w:r>
        <w:t>central del producto que refuerza la</w:t>
      </w:r>
      <w:r>
        <w:rPr>
          <w:spacing w:val="40"/>
        </w:rPr>
        <w:t xml:space="preserve"> </w:t>
      </w:r>
      <w:r>
        <w:t xml:space="preserve">disposición a pagar un precio </w:t>
      </w:r>
      <w:r>
        <w:rPr>
          <w:rFonts w:ascii="Arial" w:hAnsi="Arial"/>
          <w:i/>
        </w:rPr>
        <w:t xml:space="preserve">premium </w:t>
      </w:r>
      <w:r>
        <w:t>($25-$35 USD) ante un consumidor más consciente. Este valor compartido garantiza que la compra financia directamente la preservación de la selva y el empoderamiento de familias prod</w:t>
      </w:r>
      <w:r>
        <w:t>uctoras, fortaleciendo la relación de largo plazo con el cliente. En este</w:t>
      </w:r>
      <w:r>
        <w:rPr>
          <w:spacing w:val="-3"/>
        </w:rPr>
        <w:t xml:space="preserve"> </w:t>
      </w:r>
      <w:r>
        <w:t>modelo,</w:t>
      </w:r>
      <w:r>
        <w:rPr>
          <w:spacing w:val="-3"/>
        </w:rPr>
        <w:t xml:space="preserve"> </w:t>
      </w:r>
      <w:r>
        <w:t>el</w:t>
      </w:r>
      <w:r>
        <w:rPr>
          <w:spacing w:val="-3"/>
        </w:rPr>
        <w:t xml:space="preserve"> </w:t>
      </w:r>
      <w:r>
        <w:t>impacto social no reduce el margen; lo impulsa.</w:t>
      </w:r>
    </w:p>
    <w:p w:rsidR="009B4BB4" w:rsidRDefault="00C44001" w:rsidP="00C44001">
      <w:pPr>
        <w:pStyle w:val="Ttulo1"/>
        <w:numPr>
          <w:ilvl w:val="1"/>
          <w:numId w:val="30"/>
        </w:numPr>
        <w:tabs>
          <w:tab w:val="left" w:pos="818"/>
        </w:tabs>
        <w:spacing w:before="240"/>
        <w:ind w:left="818" w:hanging="363"/>
      </w:pPr>
      <w:bookmarkStart w:id="187" w:name="5.5_Marketing_Mix_(Las_4_P’s)_"/>
      <w:bookmarkStart w:id="188" w:name="h.fndc8wdc52ic"/>
      <w:bookmarkEnd w:id="187"/>
      <w:bookmarkEnd w:id="188"/>
      <w:r>
        <w:t>Marketing</w:t>
      </w:r>
      <w:r>
        <w:rPr>
          <w:spacing w:val="-5"/>
        </w:rPr>
        <w:t xml:space="preserve"> </w:t>
      </w:r>
      <w:r>
        <w:t>Mix</w:t>
      </w:r>
      <w:r>
        <w:rPr>
          <w:spacing w:val="-4"/>
        </w:rPr>
        <w:t xml:space="preserve"> </w:t>
      </w:r>
      <w:r>
        <w:t>(Las</w:t>
      </w:r>
      <w:r>
        <w:rPr>
          <w:spacing w:val="-4"/>
        </w:rPr>
        <w:t xml:space="preserve"> </w:t>
      </w:r>
      <w:r>
        <w:t>4</w:t>
      </w:r>
      <w:r>
        <w:rPr>
          <w:spacing w:val="-4"/>
        </w:rPr>
        <w:t xml:space="preserve"> P’s)</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Siguiendo la lógica de McCarthy y</w:t>
      </w:r>
      <w:r>
        <w:rPr>
          <w:spacing w:val="-4"/>
        </w:rPr>
        <w:t xml:space="preserve"> </w:t>
      </w:r>
      <w:r>
        <w:t>Perrault</w:t>
      </w:r>
      <w:r>
        <w:rPr>
          <w:spacing w:val="-4"/>
        </w:rPr>
        <w:t xml:space="preserve"> </w:t>
      </w:r>
      <w:r>
        <w:t>(2002),</w:t>
      </w:r>
      <w:r>
        <w:rPr>
          <w:spacing w:val="-4"/>
        </w:rPr>
        <w:t xml:space="preserve"> </w:t>
      </w:r>
      <w:r>
        <w:t>se</w:t>
      </w:r>
      <w:r>
        <w:rPr>
          <w:spacing w:val="-4"/>
        </w:rPr>
        <w:t xml:space="preserve"> </w:t>
      </w:r>
      <w:r>
        <w:t>desarrolla</w:t>
      </w:r>
      <w:r>
        <w:rPr>
          <w:spacing w:val="-4"/>
        </w:rPr>
        <w:t xml:space="preserve"> </w:t>
      </w:r>
      <w:r>
        <w:t>un</w:t>
      </w:r>
      <w:r>
        <w:rPr>
          <w:spacing w:val="-4"/>
        </w:rPr>
        <w:t xml:space="preserve"> </w:t>
      </w:r>
      <w:r>
        <w:t>marketing</w:t>
      </w:r>
      <w:r>
        <w:rPr>
          <w:spacing w:val="-4"/>
        </w:rPr>
        <w:t xml:space="preserve"> </w:t>
      </w:r>
      <w:r>
        <w:t xml:space="preserve">mix alineado con el modelo </w:t>
      </w:r>
      <w:r>
        <w:rPr>
          <w:rFonts w:ascii="Arial" w:hAnsi="Arial"/>
          <w:i/>
        </w:rPr>
        <w:t xml:space="preserve">asset-light </w:t>
      </w:r>
      <w:r>
        <w:t>del emprendimiento, lo que</w:t>
      </w:r>
      <w:r>
        <w:rPr>
          <w:spacing w:val="-4"/>
        </w:rPr>
        <w:t xml:space="preserve"> </w:t>
      </w:r>
      <w:r>
        <w:t>permite</w:t>
      </w:r>
      <w:r>
        <w:rPr>
          <w:spacing w:val="-4"/>
        </w:rPr>
        <w:t xml:space="preserve"> </w:t>
      </w:r>
      <w:r>
        <w:t>mantener</w:t>
      </w:r>
      <w:r>
        <w:rPr>
          <w:spacing w:val="-4"/>
        </w:rPr>
        <w:t xml:space="preserve"> </w:t>
      </w:r>
      <w:r>
        <w:t>agilidad financiera y facilitar la penetración en el mercado objetivo.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30"/>
        </w:numPr>
        <w:tabs>
          <w:tab w:val="left" w:pos="1000"/>
        </w:tabs>
        <w:spacing w:before="79"/>
        <w:ind w:left="1000" w:hanging="545"/>
      </w:pPr>
      <w:bookmarkStart w:id="189" w:name="5.5.1_Estrategia_de_producto_"/>
      <w:bookmarkStart w:id="190" w:name="h.hr7zt2g8y6cl"/>
      <w:bookmarkEnd w:id="189"/>
      <w:bookmarkEnd w:id="190"/>
      <w:r>
        <w:lastRenderedPageBreak/>
        <w:t>Estrategia</w:t>
      </w:r>
      <w:r>
        <w:rPr>
          <w:spacing w:val="-6"/>
        </w:rPr>
        <w:t xml:space="preserve"> </w:t>
      </w:r>
      <w:r>
        <w:t>de</w:t>
      </w:r>
      <w:r>
        <w:rPr>
          <w:spacing w:val="-6"/>
        </w:rPr>
        <w:t xml:space="preserve"> </w:t>
      </w:r>
      <w:r>
        <w:rPr>
          <w:spacing w:val="-2"/>
        </w:rPr>
        <w:t>producto</w:t>
      </w:r>
    </w:p>
    <w:p w:rsidR="009B4BB4" w:rsidRDefault="00C44001">
      <w:pPr>
        <w:pStyle w:val="Textoindependiente"/>
        <w:spacing w:before="127" w:line="360" w:lineRule="auto"/>
        <w:ind w:left="425" w:right="606" w:firstLine="720"/>
        <w:jc w:val="both"/>
      </w:pPr>
      <w:r>
        <w:t>La estrategia de portafolio es progresiva y modular, orientad</w:t>
      </w:r>
      <w:r>
        <w:t xml:space="preserve">a a asegurar la viabilidad operativa bajo un enfoque </w:t>
      </w:r>
      <w:r>
        <w:rPr>
          <w:rFonts w:ascii="Arial"/>
          <w:i/>
        </w:rPr>
        <w:t>Lean Startup</w:t>
      </w:r>
      <w:r>
        <w:t xml:space="preserve">. El portafolio inicia con dos productos </w:t>
      </w:r>
      <w:r>
        <w:rPr>
          <w:spacing w:val="-2"/>
        </w:rPr>
        <w:t>ancla:</w:t>
      </w:r>
    </w:p>
    <w:p w:rsidR="009B4BB4" w:rsidRDefault="00C44001" w:rsidP="00C44001">
      <w:pPr>
        <w:pStyle w:val="Prrafodelista"/>
        <w:numPr>
          <w:ilvl w:val="3"/>
          <w:numId w:val="30"/>
        </w:numPr>
        <w:tabs>
          <w:tab w:val="left" w:pos="1145"/>
        </w:tabs>
        <w:spacing w:before="0" w:line="360" w:lineRule="auto"/>
        <w:ind w:right="604" w:hanging="360"/>
        <w:jc w:val="both"/>
      </w:pPr>
      <w:r>
        <w:rPr>
          <w:rFonts w:ascii="Arial" w:hAnsi="Arial"/>
          <w:b/>
        </w:rPr>
        <w:t xml:space="preserve">El frasco de 100 g: </w:t>
      </w:r>
      <w:r>
        <w:t>Actúa como producto principal (</w:t>
      </w:r>
      <w:r>
        <w:rPr>
          <w:rFonts w:ascii="Arial" w:hAnsi="Arial"/>
          <w:i/>
        </w:rPr>
        <w:t>core product)</w:t>
      </w:r>
      <w:r>
        <w:t xml:space="preserve">, elegido por el 49.8% de la muestra. Su formato facilita la compra de impulso </w:t>
      </w:r>
      <w:r>
        <w:t>y cumple con las restricciones de líquidos en cabina (</w:t>
      </w:r>
      <w:r>
        <w:rPr>
          <w:rFonts w:ascii="Arial" w:hAnsi="Arial"/>
          <w:i/>
        </w:rPr>
        <w:t>travel-safe</w:t>
      </w:r>
      <w:r>
        <w:t>). Su principal diferenciador es el concepto de maduración lenta: se</w:t>
      </w:r>
      <w:r>
        <w:rPr>
          <w:spacing w:val="-4"/>
        </w:rPr>
        <w:t xml:space="preserve"> </w:t>
      </w:r>
      <w:r>
        <w:t>comunica</w:t>
      </w:r>
      <w:r>
        <w:rPr>
          <w:spacing w:val="-4"/>
        </w:rPr>
        <w:t xml:space="preserve"> </w:t>
      </w:r>
      <w:r>
        <w:t>que</w:t>
      </w:r>
      <w:r>
        <w:rPr>
          <w:spacing w:val="-4"/>
        </w:rPr>
        <w:t xml:space="preserve"> </w:t>
      </w:r>
      <w:r>
        <w:t>cada</w:t>
      </w:r>
      <w:r>
        <w:rPr>
          <w:spacing w:val="-4"/>
        </w:rPr>
        <w:t xml:space="preserve"> </w:t>
      </w:r>
      <w:r>
        <w:t>frasco</w:t>
      </w:r>
      <w:r>
        <w:rPr>
          <w:spacing w:val="-4"/>
        </w:rPr>
        <w:t xml:space="preserve"> </w:t>
      </w:r>
      <w:r>
        <w:t>ha</w:t>
      </w:r>
      <w:r>
        <w:rPr>
          <w:spacing w:val="-4"/>
        </w:rPr>
        <w:t xml:space="preserve"> </w:t>
      </w:r>
      <w:r>
        <w:t>sido</w:t>
      </w:r>
      <w:r>
        <w:rPr>
          <w:spacing w:val="-4"/>
        </w:rPr>
        <w:t xml:space="preserve"> </w:t>
      </w:r>
      <w:r>
        <w:t>reposado</w:t>
      </w:r>
      <w:r>
        <w:rPr>
          <w:spacing w:val="-4"/>
        </w:rPr>
        <w:t xml:space="preserve"> </w:t>
      </w:r>
      <w:r>
        <w:t>de 4 a 6 meses en origen, lo que permite preservar sus propiedades. Este formato equilibra percepción de valor, portabilidad y viabilidad comercial.</w:t>
      </w:r>
    </w:p>
    <w:p w:rsidR="009B4BB4" w:rsidRDefault="00C44001" w:rsidP="00C44001">
      <w:pPr>
        <w:pStyle w:val="Prrafodelista"/>
        <w:numPr>
          <w:ilvl w:val="3"/>
          <w:numId w:val="30"/>
        </w:numPr>
        <w:tabs>
          <w:tab w:val="left" w:pos="1145"/>
        </w:tabs>
        <w:spacing w:before="0" w:line="360" w:lineRule="auto"/>
        <w:ind w:right="602" w:hanging="360"/>
        <w:jc w:val="both"/>
      </w:pPr>
      <w:r>
        <w:rPr>
          <w:rFonts w:ascii="Arial" w:hAnsi="Arial"/>
          <w:b/>
        </w:rPr>
        <w:t xml:space="preserve">El gotero de 20 ml: </w:t>
      </w:r>
      <w:r>
        <w:t>Orientado</w:t>
      </w:r>
      <w:r>
        <w:rPr>
          <w:spacing w:val="-3"/>
        </w:rPr>
        <w:t xml:space="preserve"> </w:t>
      </w:r>
      <w:r>
        <w:t>al</w:t>
      </w:r>
      <w:r>
        <w:rPr>
          <w:spacing w:val="-3"/>
        </w:rPr>
        <w:t xml:space="preserve"> </w:t>
      </w:r>
      <w:r>
        <w:t>20.5%</w:t>
      </w:r>
      <w:r>
        <w:rPr>
          <w:spacing w:val="-3"/>
        </w:rPr>
        <w:t xml:space="preserve"> </w:t>
      </w:r>
      <w:r>
        <w:t>del</w:t>
      </w:r>
      <w:r>
        <w:rPr>
          <w:spacing w:val="-3"/>
        </w:rPr>
        <w:t xml:space="preserve"> </w:t>
      </w:r>
      <w:r>
        <w:t>mercado</w:t>
      </w:r>
      <w:r>
        <w:rPr>
          <w:spacing w:val="-3"/>
        </w:rPr>
        <w:t xml:space="preserve"> </w:t>
      </w:r>
      <w:r>
        <w:t>que</w:t>
      </w:r>
      <w:r>
        <w:rPr>
          <w:spacing w:val="-3"/>
        </w:rPr>
        <w:t xml:space="preserve"> </w:t>
      </w:r>
      <w:r>
        <w:t>busca</w:t>
      </w:r>
      <w:r>
        <w:rPr>
          <w:spacing w:val="-3"/>
        </w:rPr>
        <w:t xml:space="preserve"> </w:t>
      </w:r>
      <w:r>
        <w:t>usos</w:t>
      </w:r>
      <w:r>
        <w:rPr>
          <w:spacing w:val="-3"/>
        </w:rPr>
        <w:t xml:space="preserve"> </w:t>
      </w:r>
      <w:r>
        <w:t>funcionales de mayor precisión, y represe</w:t>
      </w:r>
      <w:r>
        <w:t>nta una alternativa de mayor margen dentro del portafolio. En una segunda fase, el portafolio puede ampliarse,</w:t>
      </w:r>
      <w:r>
        <w:rPr>
          <w:spacing w:val="-4"/>
        </w:rPr>
        <w:t xml:space="preserve"> </w:t>
      </w:r>
      <w:r>
        <w:t>se</w:t>
      </w:r>
      <w:r>
        <w:rPr>
          <w:spacing w:val="-4"/>
        </w:rPr>
        <w:t xml:space="preserve"> </w:t>
      </w:r>
      <w:r>
        <w:t>incorporan</w:t>
      </w:r>
      <w:r>
        <w:rPr>
          <w:spacing w:val="-4"/>
        </w:rPr>
        <w:t xml:space="preserve"> </w:t>
      </w:r>
      <w:r>
        <w:t>con extensiones de línea de bajo riesgo logístico,</w:t>
      </w:r>
      <w:r>
        <w:rPr>
          <w:spacing w:val="-3"/>
        </w:rPr>
        <w:t xml:space="preserve"> </w:t>
      </w:r>
      <w:r>
        <w:t>como</w:t>
      </w:r>
      <w:r>
        <w:rPr>
          <w:spacing w:val="-3"/>
        </w:rPr>
        <w:t xml:space="preserve"> </w:t>
      </w:r>
      <w:r>
        <w:t>bálsamos</w:t>
      </w:r>
      <w:r>
        <w:rPr>
          <w:spacing w:val="-3"/>
        </w:rPr>
        <w:t xml:space="preserve"> </w:t>
      </w:r>
      <w:r>
        <w:t>labiales</w:t>
      </w:r>
      <w:r>
        <w:rPr>
          <w:spacing w:val="-3"/>
        </w:rPr>
        <w:t xml:space="preserve"> </w:t>
      </w:r>
      <w:r>
        <w:t>y</w:t>
      </w:r>
      <w:r>
        <w:rPr>
          <w:spacing w:val="-3"/>
        </w:rPr>
        <w:t xml:space="preserve"> </w:t>
      </w:r>
      <w:r>
        <w:t>propóleo, condicionadas por la estacionalidad de la pro</w:t>
      </w:r>
      <w:r>
        <w:t>ducción. Este enfoque permite escalar el portafolio sin comprometer la operación ni la disponibilidad del insumo.</w:t>
      </w:r>
    </w:p>
    <w:p w:rsidR="009B4BB4" w:rsidRDefault="00C44001">
      <w:pPr>
        <w:pStyle w:val="Ttulo1"/>
      </w:pPr>
      <w:r>
        <w:t>Figura</w:t>
      </w:r>
      <w:r>
        <w:rPr>
          <w:spacing w:val="55"/>
        </w:rPr>
        <w:t xml:space="preserve"> </w:t>
      </w:r>
      <w:r>
        <w:rPr>
          <w:spacing w:val="-5"/>
        </w:rPr>
        <w:t>5.1</w:t>
      </w:r>
    </w:p>
    <w:p w:rsidR="009B4BB4" w:rsidRDefault="00C44001">
      <w:pPr>
        <w:spacing w:before="126"/>
        <w:ind w:left="455"/>
        <w:rPr>
          <w:rFonts w:ascii="Arial" w:hAnsi="Arial"/>
          <w:i/>
        </w:rPr>
      </w:pPr>
      <w:r>
        <w:rPr>
          <w:rFonts w:ascii="Arial" w:hAnsi="Arial"/>
          <w:i/>
        </w:rPr>
        <w:t>Prototipo</w:t>
      </w:r>
      <w:r>
        <w:rPr>
          <w:rFonts w:ascii="Arial" w:hAnsi="Arial"/>
          <w:i/>
          <w:spacing w:val="-7"/>
        </w:rPr>
        <w:t xml:space="preserve"> </w:t>
      </w:r>
      <w:r>
        <w:rPr>
          <w:rFonts w:ascii="Arial" w:hAnsi="Arial"/>
          <w:i/>
        </w:rPr>
        <w:t>de</w:t>
      </w:r>
      <w:r>
        <w:rPr>
          <w:rFonts w:ascii="Arial" w:hAnsi="Arial"/>
          <w:i/>
          <w:spacing w:val="-7"/>
        </w:rPr>
        <w:t xml:space="preserve"> </w:t>
      </w:r>
      <w:r>
        <w:rPr>
          <w:rFonts w:ascii="Arial" w:hAnsi="Arial"/>
          <w:i/>
        </w:rPr>
        <w:t>producto</w:t>
      </w:r>
      <w:r>
        <w:rPr>
          <w:rFonts w:ascii="Arial" w:hAnsi="Arial"/>
          <w:i/>
          <w:spacing w:val="-7"/>
        </w:rPr>
        <w:t xml:space="preserve"> </w:t>
      </w:r>
      <w:r>
        <w:rPr>
          <w:rFonts w:ascii="Arial" w:hAnsi="Arial"/>
          <w:i/>
        </w:rPr>
        <w:t>Guardiana</w:t>
      </w:r>
      <w:r>
        <w:rPr>
          <w:rFonts w:ascii="Arial" w:hAnsi="Arial"/>
          <w:i/>
          <w:spacing w:val="-7"/>
        </w:rPr>
        <w:t xml:space="preserve"> </w:t>
      </w:r>
      <w:r>
        <w:rPr>
          <w:rFonts w:ascii="Arial" w:hAnsi="Arial"/>
          <w:i/>
        </w:rPr>
        <w:t>en</w:t>
      </w:r>
      <w:r>
        <w:rPr>
          <w:rFonts w:ascii="Arial" w:hAnsi="Arial"/>
          <w:i/>
          <w:spacing w:val="-7"/>
        </w:rPr>
        <w:t xml:space="preserve"> </w:t>
      </w:r>
      <w:r>
        <w:rPr>
          <w:rFonts w:ascii="Arial" w:hAnsi="Arial"/>
          <w:i/>
        </w:rPr>
        <w:t>presentación</w:t>
      </w:r>
      <w:r>
        <w:rPr>
          <w:rFonts w:ascii="Arial" w:hAnsi="Arial"/>
          <w:i/>
          <w:spacing w:val="-7"/>
        </w:rPr>
        <w:t xml:space="preserve"> </w:t>
      </w:r>
      <w:r>
        <w:rPr>
          <w:rFonts w:ascii="Arial" w:hAnsi="Arial"/>
          <w:i/>
          <w:spacing w:val="-2"/>
        </w:rPr>
        <w:t>primaria</w:t>
      </w:r>
    </w:p>
    <w:p w:rsidR="009B4BB4" w:rsidRDefault="00C44001">
      <w:pPr>
        <w:pStyle w:val="Textoindependiente"/>
        <w:spacing w:before="142"/>
        <w:rPr>
          <w:rFonts w:ascii="Arial"/>
          <w:i/>
          <w:sz w:val="20"/>
        </w:rPr>
      </w:pPr>
      <w:r>
        <w:rPr>
          <w:rFonts w:ascii="Arial"/>
          <w:i/>
          <w:noProof/>
          <w:sz w:val="20"/>
          <w:lang w:val="es-AR" w:eastAsia="es-AR"/>
        </w:rPr>
        <w:drawing>
          <wp:anchor distT="0" distB="0" distL="0" distR="0" simplePos="0" relativeHeight="487601664" behindDoc="1" locked="0" layoutInCell="1" allowOverlap="1">
            <wp:simplePos x="0" y="0"/>
            <wp:positionH relativeFrom="page">
              <wp:posOffset>1838737</wp:posOffset>
            </wp:positionH>
            <wp:positionV relativeFrom="paragraph">
              <wp:posOffset>252026</wp:posOffset>
            </wp:positionV>
            <wp:extent cx="4097803" cy="2370391"/>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7" cstate="print"/>
                    <a:stretch>
                      <a:fillRect/>
                    </a:stretch>
                  </pic:blipFill>
                  <pic:spPr>
                    <a:xfrm>
                      <a:off x="0" y="0"/>
                      <a:ext cx="4097803" cy="2370391"/>
                    </a:xfrm>
                    <a:prstGeom prst="rect">
                      <a:avLst/>
                    </a:prstGeom>
                  </pic:spPr>
                </pic:pic>
              </a:graphicData>
            </a:graphic>
          </wp:anchor>
        </w:drawing>
      </w:r>
    </w:p>
    <w:p w:rsidR="009B4BB4" w:rsidRDefault="009B4BB4">
      <w:pPr>
        <w:pStyle w:val="Textoindependiente"/>
        <w:spacing w:before="132"/>
        <w:rPr>
          <w:rFonts w:ascii="Arial"/>
          <w:i/>
        </w:rPr>
      </w:pPr>
    </w:p>
    <w:p w:rsidR="009B4BB4" w:rsidRDefault="00C44001">
      <w:pPr>
        <w:pStyle w:val="Textoindependiente"/>
        <w:spacing w:before="0" w:line="360" w:lineRule="auto"/>
        <w:ind w:left="425" w:right="697" w:firstLine="30"/>
        <w:jc w:val="both"/>
      </w:pPr>
      <w:r>
        <w:rPr>
          <w:rFonts w:ascii="Arial" w:hAnsi="Arial"/>
          <w:i/>
        </w:rPr>
        <w:t>Nota.</w:t>
      </w:r>
      <w:r>
        <w:rPr>
          <w:rFonts w:ascii="Arial" w:hAnsi="Arial"/>
          <w:i/>
          <w:spacing w:val="-3"/>
        </w:rPr>
        <w:t xml:space="preserve"> </w:t>
      </w:r>
      <w:r>
        <w:t>Frasco</w:t>
      </w:r>
      <w:r>
        <w:rPr>
          <w:spacing w:val="-3"/>
        </w:rPr>
        <w:t xml:space="preserve"> </w:t>
      </w:r>
      <w:r>
        <w:t>de</w:t>
      </w:r>
      <w:r>
        <w:rPr>
          <w:spacing w:val="-3"/>
        </w:rPr>
        <w:t xml:space="preserve"> </w:t>
      </w:r>
      <w:r>
        <w:t>miel</w:t>
      </w:r>
      <w:r>
        <w:rPr>
          <w:spacing w:val="-3"/>
        </w:rPr>
        <w:t xml:space="preserve"> </w:t>
      </w:r>
      <w:r>
        <w:t>melipona</w:t>
      </w:r>
      <w:r>
        <w:rPr>
          <w:spacing w:val="-3"/>
        </w:rPr>
        <w:t xml:space="preserve"> </w:t>
      </w:r>
      <w:r>
        <w:t>en</w:t>
      </w:r>
      <w:r>
        <w:rPr>
          <w:spacing w:val="-3"/>
        </w:rPr>
        <w:t xml:space="preserve"> </w:t>
      </w:r>
      <w:r>
        <w:t>envase</w:t>
      </w:r>
      <w:r>
        <w:rPr>
          <w:spacing w:val="-3"/>
        </w:rPr>
        <w:t xml:space="preserve"> </w:t>
      </w:r>
      <w:r>
        <w:t>de</w:t>
      </w:r>
      <w:r>
        <w:rPr>
          <w:spacing w:val="-3"/>
        </w:rPr>
        <w:t xml:space="preserve"> </w:t>
      </w:r>
      <w:r>
        <w:t>vidrio</w:t>
      </w:r>
      <w:r>
        <w:rPr>
          <w:spacing w:val="-3"/>
        </w:rPr>
        <w:t xml:space="preserve"> </w:t>
      </w:r>
      <w:r>
        <w:t>ámbar</w:t>
      </w:r>
      <w:r>
        <w:rPr>
          <w:spacing w:val="-3"/>
        </w:rPr>
        <w:t xml:space="preserve"> </w:t>
      </w:r>
      <w:r>
        <w:t>con</w:t>
      </w:r>
      <w:r>
        <w:rPr>
          <w:spacing w:val="-3"/>
        </w:rPr>
        <w:t xml:space="preserve"> </w:t>
      </w:r>
      <w:r>
        <w:t>tapa</w:t>
      </w:r>
      <w:r>
        <w:rPr>
          <w:spacing w:val="-3"/>
        </w:rPr>
        <w:t xml:space="preserve"> </w:t>
      </w:r>
      <w:r>
        <w:t>de</w:t>
      </w:r>
      <w:r>
        <w:rPr>
          <w:spacing w:val="-3"/>
        </w:rPr>
        <w:t xml:space="preserve"> </w:t>
      </w:r>
      <w:r>
        <w:t>madera</w:t>
      </w:r>
      <w:r>
        <w:rPr>
          <w:spacing w:val="-3"/>
        </w:rPr>
        <w:t xml:space="preserve"> </w:t>
      </w:r>
      <w:r>
        <w:t>y</w:t>
      </w:r>
      <w:r>
        <w:rPr>
          <w:spacing w:val="-3"/>
        </w:rPr>
        <w:t xml:space="preserve"> </w:t>
      </w:r>
      <w:r>
        <w:t>sello</w:t>
      </w:r>
      <w:r>
        <w:rPr>
          <w:spacing w:val="-3"/>
        </w:rPr>
        <w:t xml:space="preserve"> </w:t>
      </w:r>
      <w:r>
        <w:t>de lote,</w:t>
      </w:r>
      <w:r>
        <w:rPr>
          <w:spacing w:val="-1"/>
        </w:rPr>
        <w:t xml:space="preserve"> </w:t>
      </w:r>
      <w:r>
        <w:t>acompañado</w:t>
      </w:r>
      <w:r>
        <w:rPr>
          <w:spacing w:val="-1"/>
        </w:rPr>
        <w:t xml:space="preserve"> </w:t>
      </w:r>
      <w:r>
        <w:t>de</w:t>
      </w:r>
      <w:r>
        <w:rPr>
          <w:spacing w:val="-1"/>
        </w:rPr>
        <w:t xml:space="preserve"> </w:t>
      </w:r>
      <w:r>
        <w:t>etiqueta</w:t>
      </w:r>
      <w:r>
        <w:rPr>
          <w:spacing w:val="-1"/>
        </w:rPr>
        <w:t xml:space="preserve"> </w:t>
      </w:r>
      <w:r>
        <w:t>minimalista</w:t>
      </w:r>
      <w:r>
        <w:rPr>
          <w:spacing w:val="-1"/>
        </w:rPr>
        <w:t xml:space="preserve"> </w:t>
      </w:r>
      <w:r>
        <w:t>y</w:t>
      </w:r>
      <w:r>
        <w:rPr>
          <w:spacing w:val="-1"/>
        </w:rPr>
        <w:t xml:space="preserve"> </w:t>
      </w:r>
      <w:r>
        <w:t>elementos</w:t>
      </w:r>
      <w:r>
        <w:rPr>
          <w:spacing w:val="-1"/>
        </w:rPr>
        <w:t xml:space="preserve"> </w:t>
      </w:r>
      <w:r>
        <w:t>de</w:t>
      </w:r>
      <w:r>
        <w:rPr>
          <w:spacing w:val="-1"/>
        </w:rPr>
        <w:t xml:space="preserve"> </w:t>
      </w:r>
      <w:r>
        <w:t>identidad</w:t>
      </w:r>
      <w:r>
        <w:rPr>
          <w:spacing w:val="-1"/>
        </w:rPr>
        <w:t xml:space="preserve"> </w:t>
      </w:r>
      <w:r>
        <w:t>visual</w:t>
      </w:r>
      <w:r>
        <w:rPr>
          <w:spacing w:val="-1"/>
        </w:rPr>
        <w:t xml:space="preserve"> </w:t>
      </w:r>
      <w:r>
        <w:t>que</w:t>
      </w:r>
      <w:r>
        <w:rPr>
          <w:spacing w:val="-1"/>
        </w:rPr>
        <w:t xml:space="preserve"> </w:t>
      </w:r>
      <w:r>
        <w:t>reflejan</w:t>
      </w:r>
      <w:r>
        <w:rPr>
          <w:spacing w:val="-1"/>
        </w:rPr>
        <w:t xml:space="preserve"> </w:t>
      </w:r>
      <w:r>
        <w:t>el posicionamiento premium y biocultural de la marca.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spacing w:before="79"/>
        <w:ind w:left="455"/>
        <w:rPr>
          <w:rFonts w:ascii="Arial"/>
          <w:b/>
          <w:sz w:val="20"/>
        </w:rPr>
      </w:pPr>
      <w:r>
        <w:rPr>
          <w:rFonts w:ascii="Arial"/>
          <w:b/>
          <w:sz w:val="20"/>
        </w:rPr>
        <w:lastRenderedPageBreak/>
        <w:t>Figura</w:t>
      </w:r>
      <w:r>
        <w:rPr>
          <w:rFonts w:ascii="Arial"/>
          <w:b/>
          <w:spacing w:val="49"/>
          <w:sz w:val="20"/>
        </w:rPr>
        <w:t xml:space="preserve"> </w:t>
      </w:r>
      <w:r>
        <w:rPr>
          <w:rFonts w:ascii="Arial"/>
          <w:b/>
          <w:spacing w:val="-5"/>
          <w:sz w:val="20"/>
        </w:rPr>
        <w:t>5.2</w:t>
      </w:r>
    </w:p>
    <w:p w:rsidR="009B4BB4" w:rsidRDefault="00C44001">
      <w:pPr>
        <w:spacing w:before="115"/>
        <w:ind w:left="455"/>
        <w:rPr>
          <w:rFonts w:ascii="Arial" w:hAnsi="Arial"/>
          <w:i/>
          <w:sz w:val="20"/>
        </w:rPr>
      </w:pPr>
      <w:r>
        <w:rPr>
          <w:rFonts w:ascii="Arial" w:hAnsi="Arial"/>
          <w:i/>
          <w:sz w:val="20"/>
        </w:rPr>
        <w:t>Prototipo</w:t>
      </w:r>
      <w:r>
        <w:rPr>
          <w:rFonts w:ascii="Arial" w:hAnsi="Arial"/>
          <w:i/>
          <w:spacing w:val="-8"/>
          <w:sz w:val="20"/>
        </w:rPr>
        <w:t xml:space="preserve"> </w:t>
      </w:r>
      <w:r>
        <w:rPr>
          <w:rFonts w:ascii="Arial" w:hAnsi="Arial"/>
          <w:i/>
          <w:sz w:val="20"/>
        </w:rPr>
        <w:t>de</w:t>
      </w:r>
      <w:r>
        <w:rPr>
          <w:rFonts w:ascii="Arial" w:hAnsi="Arial"/>
          <w:i/>
          <w:spacing w:val="-6"/>
          <w:sz w:val="20"/>
        </w:rPr>
        <w:t xml:space="preserve"> </w:t>
      </w:r>
      <w:r>
        <w:rPr>
          <w:rFonts w:ascii="Arial" w:hAnsi="Arial"/>
          <w:i/>
          <w:sz w:val="20"/>
        </w:rPr>
        <w:t>empaque</w:t>
      </w:r>
      <w:r>
        <w:rPr>
          <w:rFonts w:ascii="Arial" w:hAnsi="Arial"/>
          <w:i/>
          <w:spacing w:val="-6"/>
          <w:sz w:val="20"/>
        </w:rPr>
        <w:t xml:space="preserve"> </w:t>
      </w:r>
      <w:r>
        <w:rPr>
          <w:rFonts w:ascii="Arial" w:hAnsi="Arial"/>
          <w:i/>
          <w:sz w:val="20"/>
        </w:rPr>
        <w:t>secundario</w:t>
      </w:r>
      <w:r>
        <w:rPr>
          <w:rFonts w:ascii="Arial" w:hAnsi="Arial"/>
          <w:i/>
          <w:spacing w:val="-6"/>
          <w:sz w:val="20"/>
        </w:rPr>
        <w:t xml:space="preserve"> </w:t>
      </w:r>
      <w:r>
        <w:rPr>
          <w:rFonts w:ascii="Arial" w:hAnsi="Arial"/>
          <w:i/>
          <w:sz w:val="20"/>
        </w:rPr>
        <w:t>y</w:t>
      </w:r>
      <w:r>
        <w:rPr>
          <w:rFonts w:ascii="Arial" w:hAnsi="Arial"/>
          <w:i/>
          <w:spacing w:val="-6"/>
          <w:sz w:val="20"/>
        </w:rPr>
        <w:t xml:space="preserve"> </w:t>
      </w:r>
      <w:r>
        <w:rPr>
          <w:rFonts w:ascii="Arial" w:hAnsi="Arial"/>
          <w:i/>
          <w:sz w:val="20"/>
        </w:rPr>
        <w:t>experiencia</w:t>
      </w:r>
      <w:r>
        <w:rPr>
          <w:rFonts w:ascii="Arial" w:hAnsi="Arial"/>
          <w:i/>
          <w:spacing w:val="-6"/>
          <w:sz w:val="20"/>
        </w:rPr>
        <w:t xml:space="preserve"> </w:t>
      </w:r>
      <w:r>
        <w:rPr>
          <w:rFonts w:ascii="Arial" w:hAnsi="Arial"/>
          <w:i/>
          <w:sz w:val="20"/>
        </w:rPr>
        <w:t>de</w:t>
      </w:r>
      <w:r>
        <w:rPr>
          <w:rFonts w:ascii="Arial" w:hAnsi="Arial"/>
          <w:i/>
          <w:spacing w:val="-6"/>
          <w:sz w:val="20"/>
        </w:rPr>
        <w:t xml:space="preserve"> </w:t>
      </w:r>
      <w:r>
        <w:rPr>
          <w:rFonts w:ascii="Arial" w:hAnsi="Arial"/>
          <w:i/>
          <w:spacing w:val="-2"/>
          <w:sz w:val="20"/>
        </w:rPr>
        <w:t>presentación</w:t>
      </w:r>
    </w:p>
    <w:p w:rsidR="009B4BB4" w:rsidRDefault="00C44001">
      <w:pPr>
        <w:pStyle w:val="Textoindependiente"/>
        <w:spacing w:before="197"/>
        <w:rPr>
          <w:rFonts w:ascii="Arial"/>
          <w:i/>
          <w:sz w:val="20"/>
        </w:rPr>
      </w:pPr>
      <w:r>
        <w:rPr>
          <w:rFonts w:ascii="Arial"/>
          <w:i/>
          <w:noProof/>
          <w:sz w:val="20"/>
          <w:lang w:val="es-AR" w:eastAsia="es-AR"/>
        </w:rPr>
        <w:drawing>
          <wp:anchor distT="0" distB="0" distL="0" distR="0" simplePos="0" relativeHeight="487602176" behindDoc="1" locked="0" layoutInCell="1" allowOverlap="1">
            <wp:simplePos x="0" y="0"/>
            <wp:positionH relativeFrom="page">
              <wp:posOffset>1986374</wp:posOffset>
            </wp:positionH>
            <wp:positionV relativeFrom="paragraph">
              <wp:posOffset>286817</wp:posOffset>
            </wp:positionV>
            <wp:extent cx="3765233" cy="200225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8" cstate="print"/>
                    <a:stretch>
                      <a:fillRect/>
                    </a:stretch>
                  </pic:blipFill>
                  <pic:spPr>
                    <a:xfrm>
                      <a:off x="0" y="0"/>
                      <a:ext cx="3765233" cy="2002250"/>
                    </a:xfrm>
                    <a:prstGeom prst="rect">
                      <a:avLst/>
                    </a:prstGeom>
                  </pic:spPr>
                </pic:pic>
              </a:graphicData>
            </a:graphic>
          </wp:anchor>
        </w:drawing>
      </w:r>
    </w:p>
    <w:p w:rsidR="009B4BB4" w:rsidRDefault="009B4BB4">
      <w:pPr>
        <w:pStyle w:val="Textoindependiente"/>
        <w:spacing w:before="188"/>
        <w:rPr>
          <w:rFonts w:ascii="Arial"/>
          <w:i/>
          <w:sz w:val="20"/>
        </w:rPr>
      </w:pPr>
    </w:p>
    <w:p w:rsidR="009B4BB4" w:rsidRDefault="00C44001">
      <w:pPr>
        <w:pStyle w:val="Textoindependiente"/>
        <w:spacing w:before="0" w:line="360" w:lineRule="auto"/>
        <w:ind w:left="425" w:firstLine="30"/>
      </w:pPr>
      <w:r>
        <w:t>Nota.</w:t>
      </w:r>
      <w:r>
        <w:rPr>
          <w:spacing w:val="-4"/>
        </w:rPr>
        <w:t xml:space="preserve"> </w:t>
      </w:r>
      <w:r>
        <w:t>Caja</w:t>
      </w:r>
      <w:r>
        <w:rPr>
          <w:spacing w:val="-4"/>
        </w:rPr>
        <w:t xml:space="preserve"> </w:t>
      </w:r>
      <w:r>
        <w:t>de</w:t>
      </w:r>
      <w:r>
        <w:rPr>
          <w:spacing w:val="-4"/>
        </w:rPr>
        <w:t xml:space="preserve"> </w:t>
      </w:r>
      <w:r>
        <w:t>presentación</w:t>
      </w:r>
      <w:r>
        <w:rPr>
          <w:spacing w:val="-4"/>
        </w:rPr>
        <w:t xml:space="preserve"> </w:t>
      </w:r>
      <w:r>
        <w:t>de</w:t>
      </w:r>
      <w:r>
        <w:rPr>
          <w:spacing w:val="-4"/>
        </w:rPr>
        <w:t xml:space="preserve"> </w:t>
      </w:r>
      <w:r>
        <w:t>Guardiana</w:t>
      </w:r>
      <w:r>
        <w:rPr>
          <w:spacing w:val="-4"/>
        </w:rPr>
        <w:t xml:space="preserve"> </w:t>
      </w:r>
      <w:r>
        <w:t>con</w:t>
      </w:r>
      <w:r>
        <w:rPr>
          <w:spacing w:val="-4"/>
        </w:rPr>
        <w:t xml:space="preserve"> </w:t>
      </w:r>
      <w:r>
        <w:t>diseño</w:t>
      </w:r>
      <w:r>
        <w:rPr>
          <w:spacing w:val="-4"/>
        </w:rPr>
        <w:t xml:space="preserve"> </w:t>
      </w:r>
      <w:r>
        <w:t>gráfico</w:t>
      </w:r>
      <w:r>
        <w:rPr>
          <w:spacing w:val="-4"/>
        </w:rPr>
        <w:t xml:space="preserve"> </w:t>
      </w:r>
      <w:r>
        <w:t>biocultural.</w:t>
      </w:r>
      <w:r>
        <w:rPr>
          <w:spacing w:val="-4"/>
        </w:rPr>
        <w:t xml:space="preserve"> </w:t>
      </w:r>
      <w:r>
        <w:t>Propuesta</w:t>
      </w:r>
      <w:r>
        <w:rPr>
          <w:spacing w:val="-4"/>
        </w:rPr>
        <w:t xml:space="preserve"> </w:t>
      </w:r>
      <w:r>
        <w:t xml:space="preserve">visual diseñada para reforzar el posicionamiento </w:t>
      </w:r>
      <w:r>
        <w:rPr>
          <w:rFonts w:ascii="Arial" w:hAnsi="Arial"/>
          <w:i/>
        </w:rPr>
        <w:t xml:space="preserve">premium </w:t>
      </w:r>
      <w:r>
        <w:t>y la identidad simbólica del producto. Elaboración propia (2025).</w:t>
      </w:r>
    </w:p>
    <w:p w:rsidR="009B4BB4" w:rsidRDefault="009B4BB4">
      <w:pPr>
        <w:pStyle w:val="Textoindependiente"/>
        <w:spacing w:before="127"/>
      </w:pPr>
    </w:p>
    <w:p w:rsidR="009B4BB4" w:rsidRDefault="00C44001">
      <w:pPr>
        <w:pStyle w:val="Ttulo1"/>
      </w:pPr>
      <w:r>
        <w:t>Figura</w:t>
      </w:r>
      <w:r>
        <w:rPr>
          <w:spacing w:val="-6"/>
        </w:rPr>
        <w:t xml:space="preserve"> </w:t>
      </w:r>
      <w:r>
        <w:rPr>
          <w:spacing w:val="-5"/>
        </w:rPr>
        <w:t>5.3</w:t>
      </w:r>
    </w:p>
    <w:p w:rsidR="009B4BB4" w:rsidRDefault="00C44001">
      <w:pPr>
        <w:spacing w:before="126"/>
        <w:ind w:left="455"/>
        <w:rPr>
          <w:rFonts w:ascii="Arial" w:hAnsi="Arial"/>
          <w:i/>
        </w:rPr>
      </w:pPr>
      <w:r>
        <w:rPr>
          <w:rFonts w:ascii="Arial" w:hAnsi="Arial"/>
          <w:i/>
        </w:rPr>
        <w:t>Prototip</w:t>
      </w:r>
      <w:r>
        <w:rPr>
          <w:rFonts w:ascii="Arial" w:hAnsi="Arial"/>
          <w:i/>
        </w:rPr>
        <w:t>o</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línea</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rPr>
        <w:t>producto</w:t>
      </w:r>
      <w:r>
        <w:rPr>
          <w:rFonts w:ascii="Arial" w:hAnsi="Arial"/>
          <w:i/>
          <w:spacing w:val="-6"/>
        </w:rPr>
        <w:t xml:space="preserve"> </w:t>
      </w:r>
      <w:r>
        <w:rPr>
          <w:rFonts w:ascii="Arial" w:hAnsi="Arial"/>
          <w:i/>
        </w:rPr>
        <w:t>Guardiana</w:t>
      </w:r>
      <w:r>
        <w:rPr>
          <w:rFonts w:ascii="Arial" w:hAnsi="Arial"/>
          <w:i/>
          <w:spacing w:val="-6"/>
        </w:rPr>
        <w:t xml:space="preserve"> </w:t>
      </w:r>
      <w:r>
        <w:rPr>
          <w:rFonts w:ascii="Arial" w:hAnsi="Arial"/>
          <w:i/>
        </w:rPr>
        <w:t>y</w:t>
      </w:r>
      <w:r>
        <w:rPr>
          <w:rFonts w:ascii="Arial" w:hAnsi="Arial"/>
          <w:i/>
          <w:spacing w:val="-6"/>
        </w:rPr>
        <w:t xml:space="preserve"> </w:t>
      </w:r>
      <w:r>
        <w:rPr>
          <w:rFonts w:ascii="Arial" w:hAnsi="Arial"/>
          <w:i/>
        </w:rPr>
        <w:t>aplicación</w:t>
      </w:r>
      <w:r>
        <w:rPr>
          <w:rFonts w:ascii="Arial" w:hAnsi="Arial"/>
          <w:i/>
          <w:spacing w:val="-5"/>
        </w:rPr>
        <w:t xml:space="preserve"> </w:t>
      </w:r>
      <w:r>
        <w:rPr>
          <w:rFonts w:ascii="Arial" w:hAnsi="Arial"/>
          <w:i/>
          <w:spacing w:val="-2"/>
        </w:rPr>
        <w:t>funcional</w:t>
      </w:r>
    </w:p>
    <w:p w:rsidR="009B4BB4" w:rsidRDefault="00C44001">
      <w:pPr>
        <w:pStyle w:val="Textoindependiente"/>
        <w:spacing w:before="143"/>
        <w:rPr>
          <w:rFonts w:ascii="Arial"/>
          <w:i/>
          <w:sz w:val="20"/>
        </w:rPr>
      </w:pPr>
      <w:r>
        <w:rPr>
          <w:rFonts w:ascii="Arial"/>
          <w:i/>
          <w:noProof/>
          <w:sz w:val="20"/>
          <w:lang w:val="es-AR" w:eastAsia="es-AR"/>
        </w:rPr>
        <w:drawing>
          <wp:anchor distT="0" distB="0" distL="0" distR="0" simplePos="0" relativeHeight="487602688" behindDoc="1" locked="0" layoutInCell="1" allowOverlap="1">
            <wp:simplePos x="0" y="0"/>
            <wp:positionH relativeFrom="page">
              <wp:posOffset>1767299</wp:posOffset>
            </wp:positionH>
            <wp:positionV relativeFrom="paragraph">
              <wp:posOffset>252262</wp:posOffset>
            </wp:positionV>
            <wp:extent cx="4150083" cy="223466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9" cstate="print"/>
                    <a:stretch>
                      <a:fillRect/>
                    </a:stretch>
                  </pic:blipFill>
                  <pic:spPr>
                    <a:xfrm>
                      <a:off x="0" y="0"/>
                      <a:ext cx="4150083" cy="2234660"/>
                    </a:xfrm>
                    <a:prstGeom prst="rect">
                      <a:avLst/>
                    </a:prstGeom>
                  </pic:spPr>
                </pic:pic>
              </a:graphicData>
            </a:graphic>
          </wp:anchor>
        </w:drawing>
      </w:r>
    </w:p>
    <w:p w:rsidR="009B4BB4" w:rsidRDefault="009B4BB4">
      <w:pPr>
        <w:pStyle w:val="Textoindependiente"/>
        <w:spacing w:before="211"/>
        <w:rPr>
          <w:rFonts w:ascii="Arial"/>
          <w:i/>
        </w:rPr>
      </w:pPr>
    </w:p>
    <w:p w:rsidR="009B4BB4" w:rsidRDefault="00C44001">
      <w:pPr>
        <w:pStyle w:val="Textoindependiente"/>
        <w:spacing w:before="0" w:line="360" w:lineRule="auto"/>
        <w:ind w:left="425" w:right="603" w:firstLine="30"/>
        <w:jc w:val="both"/>
      </w:pPr>
      <w:r>
        <w:rPr>
          <w:rFonts w:ascii="Arial" w:hAnsi="Arial"/>
          <w:i/>
        </w:rPr>
        <w:t xml:space="preserve">Nota. </w:t>
      </w:r>
      <w:r>
        <w:t>Representación del sistema de producto y versatilidad de</w:t>
      </w:r>
      <w:r>
        <w:rPr>
          <w:spacing w:val="-3"/>
        </w:rPr>
        <w:t xml:space="preserve"> </w:t>
      </w:r>
      <w:r>
        <w:t>uso</w:t>
      </w:r>
      <w:r>
        <w:rPr>
          <w:spacing w:val="-3"/>
        </w:rPr>
        <w:t xml:space="preserve"> </w:t>
      </w:r>
      <w:r>
        <w:t>de</w:t>
      </w:r>
      <w:r>
        <w:rPr>
          <w:spacing w:val="-3"/>
        </w:rPr>
        <w:t xml:space="preserve"> </w:t>
      </w:r>
      <w:r>
        <w:t>la</w:t>
      </w:r>
      <w:r>
        <w:rPr>
          <w:spacing w:val="-3"/>
        </w:rPr>
        <w:t xml:space="preserve"> </w:t>
      </w:r>
      <w:r>
        <w:t>miel</w:t>
      </w:r>
      <w:r>
        <w:rPr>
          <w:spacing w:val="-3"/>
        </w:rPr>
        <w:t xml:space="preserve"> </w:t>
      </w:r>
      <w:r>
        <w:t>melipona. Se evidencia la transición entre el</w:t>
      </w:r>
      <w:r>
        <w:rPr>
          <w:spacing w:val="-3"/>
        </w:rPr>
        <w:t xml:space="preserve"> </w:t>
      </w:r>
      <w:r>
        <w:t>origen</w:t>
      </w:r>
      <w:r>
        <w:rPr>
          <w:spacing w:val="-3"/>
        </w:rPr>
        <w:t xml:space="preserve"> </w:t>
      </w:r>
      <w:r>
        <w:t>tradicional</w:t>
      </w:r>
      <w:r>
        <w:rPr>
          <w:spacing w:val="-3"/>
        </w:rPr>
        <w:t xml:space="preserve"> </w:t>
      </w:r>
      <w:r>
        <w:t>y</w:t>
      </w:r>
      <w:r>
        <w:rPr>
          <w:spacing w:val="-3"/>
        </w:rPr>
        <w:t xml:space="preserve"> </w:t>
      </w:r>
      <w:r>
        <w:t>la</w:t>
      </w:r>
      <w:r>
        <w:rPr>
          <w:spacing w:val="-3"/>
        </w:rPr>
        <w:t xml:space="preserve"> </w:t>
      </w:r>
      <w:r>
        <w:t>aplicación</w:t>
      </w:r>
      <w:r>
        <w:rPr>
          <w:spacing w:val="-3"/>
        </w:rPr>
        <w:t xml:space="preserve"> </w:t>
      </w:r>
      <w:r>
        <w:t>en</w:t>
      </w:r>
      <w:r>
        <w:rPr>
          <w:spacing w:val="-3"/>
        </w:rPr>
        <w:t xml:space="preserve"> </w:t>
      </w:r>
      <w:r>
        <w:t>mercados</w:t>
      </w:r>
      <w:r>
        <w:rPr>
          <w:spacing w:val="-3"/>
        </w:rPr>
        <w:t xml:space="preserve"> </w:t>
      </w:r>
      <w:r>
        <w:t>de</w:t>
      </w:r>
      <w:r>
        <w:rPr>
          <w:spacing w:val="-3"/>
        </w:rPr>
        <w:t xml:space="preserve"> </w:t>
      </w:r>
      <w:r>
        <w:t>salud premium.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25"/>
        </w:numPr>
        <w:tabs>
          <w:tab w:val="left" w:pos="1000"/>
        </w:tabs>
        <w:spacing w:before="79"/>
        <w:ind w:left="1000" w:hanging="545"/>
      </w:pPr>
      <w:bookmarkStart w:id="191" w:name="5.4.2_Estrategia_de_precio_"/>
      <w:bookmarkStart w:id="192" w:name="h.u6emu911d8av"/>
      <w:bookmarkEnd w:id="191"/>
      <w:bookmarkEnd w:id="192"/>
      <w:r>
        <w:lastRenderedPageBreak/>
        <w:t>Estrategia</w:t>
      </w:r>
      <w:r>
        <w:rPr>
          <w:spacing w:val="-6"/>
        </w:rPr>
        <w:t xml:space="preserve"> </w:t>
      </w:r>
      <w:r>
        <w:t>de</w:t>
      </w:r>
      <w:r>
        <w:rPr>
          <w:spacing w:val="-6"/>
        </w:rPr>
        <w:t xml:space="preserve"> </w:t>
      </w:r>
      <w:r>
        <w:rPr>
          <w:spacing w:val="-2"/>
        </w:rPr>
        <w:t>precio</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11" w:firstLine="720"/>
        <w:jc w:val="both"/>
      </w:pPr>
      <w:r>
        <w:t>Se establece una</w:t>
      </w:r>
      <w:r>
        <w:rPr>
          <w:spacing w:val="-4"/>
        </w:rPr>
        <w:t xml:space="preserve"> </w:t>
      </w:r>
      <w:r>
        <w:t>estrategia</w:t>
      </w:r>
      <w:r>
        <w:rPr>
          <w:spacing w:val="-4"/>
        </w:rPr>
        <w:t xml:space="preserve"> </w:t>
      </w:r>
      <w:r>
        <w:t>de</w:t>
      </w:r>
      <w:r>
        <w:rPr>
          <w:spacing w:val="-4"/>
        </w:rPr>
        <w:t xml:space="preserve"> </w:t>
      </w:r>
      <w:r>
        <w:t>descremado</w:t>
      </w:r>
      <w:r>
        <w:rPr>
          <w:spacing w:val="-4"/>
        </w:rPr>
        <w:t xml:space="preserve"> </w:t>
      </w:r>
      <w:r>
        <w:t>del</w:t>
      </w:r>
      <w:r>
        <w:rPr>
          <w:spacing w:val="-4"/>
        </w:rPr>
        <w:t xml:space="preserve"> </w:t>
      </w:r>
      <w:r>
        <w:t>mercado,</w:t>
      </w:r>
      <w:r>
        <w:rPr>
          <w:spacing w:val="-4"/>
        </w:rPr>
        <w:t xml:space="preserve"> </w:t>
      </w:r>
      <w:r>
        <w:t>fijando</w:t>
      </w:r>
      <w:r>
        <w:rPr>
          <w:spacing w:val="-4"/>
        </w:rPr>
        <w:t xml:space="preserve"> </w:t>
      </w:r>
      <w:r>
        <w:t>un</w:t>
      </w:r>
      <w:r>
        <w:rPr>
          <w:spacing w:val="-4"/>
        </w:rPr>
        <w:t xml:space="preserve"> </w:t>
      </w:r>
      <w:r>
        <w:t>rango</w:t>
      </w:r>
      <w:r>
        <w:rPr>
          <w:spacing w:val="-4"/>
        </w:rPr>
        <w:t xml:space="preserve"> </w:t>
      </w:r>
      <w:r>
        <w:t>de</w:t>
      </w:r>
      <w:r>
        <w:rPr>
          <w:spacing w:val="-4"/>
        </w:rPr>
        <w:t xml:space="preserve"> </w:t>
      </w:r>
      <w:r>
        <w:t>$25 a $35 USD ($500–$699 MXN) por 100</w:t>
      </w:r>
      <w:r>
        <w:rPr>
          <w:spacing w:val="-3"/>
        </w:rPr>
        <w:t xml:space="preserve"> </w:t>
      </w:r>
      <w:r>
        <w:t>g.</w:t>
      </w:r>
      <w:r>
        <w:rPr>
          <w:spacing w:val="-3"/>
        </w:rPr>
        <w:t xml:space="preserve"> </w:t>
      </w:r>
      <w:r>
        <w:t>Este</w:t>
      </w:r>
      <w:r>
        <w:rPr>
          <w:spacing w:val="-3"/>
        </w:rPr>
        <w:t xml:space="preserve"> </w:t>
      </w:r>
      <w:r>
        <w:t>precio,</w:t>
      </w:r>
      <w:r>
        <w:rPr>
          <w:spacing w:val="-3"/>
        </w:rPr>
        <w:t xml:space="preserve"> </w:t>
      </w:r>
      <w:r>
        <w:t>validado</w:t>
      </w:r>
      <w:r>
        <w:rPr>
          <w:spacing w:val="-3"/>
        </w:rPr>
        <w:t xml:space="preserve"> </w:t>
      </w:r>
      <w:r>
        <w:t>como</w:t>
      </w:r>
      <w:r>
        <w:rPr>
          <w:spacing w:val="-3"/>
        </w:rPr>
        <w:t xml:space="preserve"> </w:t>
      </w:r>
      <w:r>
        <w:t>un</w:t>
      </w:r>
      <w:r>
        <w:rPr>
          <w:spacing w:val="-3"/>
        </w:rPr>
        <w:t xml:space="preserve"> </w:t>
      </w:r>
      <w:r>
        <w:t>precio</w:t>
      </w:r>
      <w:r>
        <w:rPr>
          <w:spacing w:val="-3"/>
        </w:rPr>
        <w:t xml:space="preserve"> </w:t>
      </w:r>
      <w:r>
        <w:t>aceptable por el 57.2% del mercado meta, cumple dos funciones estratégicas:</w:t>
      </w:r>
    </w:p>
    <w:p w:rsidR="009B4BB4" w:rsidRDefault="00C44001" w:rsidP="00C44001">
      <w:pPr>
        <w:pStyle w:val="Prrafodelista"/>
        <w:numPr>
          <w:ilvl w:val="3"/>
          <w:numId w:val="25"/>
        </w:numPr>
        <w:tabs>
          <w:tab w:val="left" w:pos="1143"/>
          <w:tab w:val="left" w:pos="1145"/>
        </w:tabs>
        <w:spacing w:line="360" w:lineRule="auto"/>
        <w:ind w:right="611"/>
        <w:jc w:val="both"/>
      </w:pPr>
      <w:r>
        <w:rPr>
          <w:rFonts w:ascii="Arial" w:hAnsi="Arial"/>
          <w:b/>
        </w:rPr>
        <w:t xml:space="preserve">Indicador de calidad percibida: </w:t>
      </w:r>
      <w:r>
        <w:t>En un mercado caracterizado por la asimetría</w:t>
      </w:r>
      <w:r>
        <w:rPr>
          <w:spacing w:val="40"/>
        </w:rPr>
        <w:t xml:space="preserve"> </w:t>
      </w:r>
      <w:r>
        <w:t xml:space="preserve">de información y el miedo a la adulteración, un precio bajo genera sospechas sobre la autenticidad del </w:t>
      </w:r>
      <w:r>
        <w:t xml:space="preserve">producto. El precio </w:t>
      </w:r>
      <w:r>
        <w:rPr>
          <w:rFonts w:ascii="Arial" w:hAnsi="Arial"/>
          <w:i/>
        </w:rPr>
        <w:t xml:space="preserve">premium </w:t>
      </w:r>
      <w:r>
        <w:t>refuerza la percepción de pureza. En este contexto, el precio funciona como señal de confianza.</w:t>
      </w:r>
    </w:p>
    <w:p w:rsidR="009B4BB4" w:rsidRDefault="00C44001" w:rsidP="00C44001">
      <w:pPr>
        <w:pStyle w:val="Prrafodelista"/>
        <w:numPr>
          <w:ilvl w:val="3"/>
          <w:numId w:val="25"/>
        </w:numPr>
        <w:tabs>
          <w:tab w:val="left" w:pos="1143"/>
          <w:tab w:val="left" w:pos="1145"/>
        </w:tabs>
        <w:spacing w:line="360" w:lineRule="auto"/>
        <w:ind w:right="604"/>
        <w:jc w:val="both"/>
      </w:pPr>
      <w:r>
        <w:rPr>
          <w:rFonts w:ascii="Arial" w:hAnsi="Arial"/>
          <w:b/>
        </w:rPr>
        <w:t xml:space="preserve">Sostenibilidad del modelo: </w:t>
      </w:r>
      <w:r>
        <w:t>Este margen permite sostener el empaque de alta gama, absorber costos logísticos y financiar el retorno a</w:t>
      </w:r>
      <w:r>
        <w:t xml:space="preserve"> las comunidades sin comprometer la rentabilidad. El precio no solo cubre costos, también sostiene el modelo de valor.</w:t>
      </w:r>
    </w:p>
    <w:p w:rsidR="009B4BB4" w:rsidRDefault="00C44001" w:rsidP="00C44001">
      <w:pPr>
        <w:pStyle w:val="Ttulo2"/>
        <w:numPr>
          <w:ilvl w:val="2"/>
          <w:numId w:val="25"/>
        </w:numPr>
        <w:tabs>
          <w:tab w:val="left" w:pos="1000"/>
        </w:tabs>
        <w:ind w:left="1000" w:hanging="545"/>
      </w:pPr>
      <w:bookmarkStart w:id="193" w:name="5.4.3_Estrategia_de_plaza_"/>
      <w:bookmarkStart w:id="194" w:name="h.pk1aox350blt"/>
      <w:bookmarkEnd w:id="193"/>
      <w:bookmarkEnd w:id="194"/>
      <w:r>
        <w:t>Estrategia</w:t>
      </w:r>
      <w:r>
        <w:rPr>
          <w:spacing w:val="-6"/>
        </w:rPr>
        <w:t xml:space="preserve"> </w:t>
      </w:r>
      <w:r>
        <w:t>de</w:t>
      </w:r>
      <w:r>
        <w:rPr>
          <w:spacing w:val="-6"/>
        </w:rPr>
        <w:t xml:space="preserve"> </w:t>
      </w:r>
      <w:r>
        <w:rPr>
          <w:spacing w:val="-2"/>
        </w:rPr>
        <w:t>plaza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5" w:firstLine="720"/>
        <w:jc w:val="both"/>
      </w:pPr>
      <w:r>
        <w:t>La distribución se diseña bajo un modelo de omnicanalidad asimétrica.</w:t>
      </w:r>
      <w:r>
        <w:rPr>
          <w:spacing w:val="-4"/>
        </w:rPr>
        <w:t xml:space="preserve"> </w:t>
      </w:r>
      <w:r>
        <w:t>Dado</w:t>
      </w:r>
      <w:r>
        <w:rPr>
          <w:spacing w:val="-4"/>
        </w:rPr>
        <w:t xml:space="preserve"> </w:t>
      </w:r>
      <w:r>
        <w:t xml:space="preserve">que el 90.5% de los clientes potenciales </w:t>
      </w:r>
      <w:r>
        <w:t xml:space="preserve">espera disponibilidad en tienda física para el primer contacto de la marca, se establecerán alianzas estratégicas con puntos de venta de confianza como hoteles boutique, </w:t>
      </w:r>
      <w:r>
        <w:rPr>
          <w:rFonts w:ascii="Arial" w:hAnsi="Arial"/>
          <w:i/>
        </w:rPr>
        <w:t xml:space="preserve">concept stores </w:t>
      </w:r>
      <w:r>
        <w:t>y bazares curados en Valladolid, la Riviera Maya y Mérida. Paralelament</w:t>
      </w:r>
      <w:r>
        <w:t>e, para mitigar el alto costo de</w:t>
      </w:r>
      <w:r>
        <w:rPr>
          <w:spacing w:val="-3"/>
        </w:rPr>
        <w:t xml:space="preserve"> </w:t>
      </w:r>
      <w:r>
        <w:t>arrendamiento</w:t>
      </w:r>
      <w:r>
        <w:rPr>
          <w:spacing w:val="-3"/>
        </w:rPr>
        <w:t xml:space="preserve"> </w:t>
      </w:r>
      <w:r>
        <w:t>físico en zonas turísticas, se implementa un e-commerce propio y presencia en marketplaces, preferidos por el 65.8% de los encuestados. Esta dualidad permite que la tienda física funcione como canal de adquisi</w:t>
      </w:r>
      <w:r>
        <w:t>ción, mientras que las plataformas digitales capturan el valor del cliente en el tiempo mediante la recompra una vez que el cliente regresa a su lugar de residencia. En este esquema, el</w:t>
      </w:r>
      <w:r>
        <w:rPr>
          <w:spacing w:val="-3"/>
        </w:rPr>
        <w:t xml:space="preserve"> </w:t>
      </w:r>
      <w:r>
        <w:t>canal</w:t>
      </w:r>
      <w:r>
        <w:rPr>
          <w:spacing w:val="-3"/>
        </w:rPr>
        <w:t xml:space="preserve"> </w:t>
      </w:r>
      <w:r>
        <w:t>físico</w:t>
      </w:r>
      <w:r>
        <w:rPr>
          <w:spacing w:val="-3"/>
        </w:rPr>
        <w:t xml:space="preserve"> </w:t>
      </w:r>
      <w:r>
        <w:t>activa</w:t>
      </w:r>
      <w:r>
        <w:rPr>
          <w:spacing w:val="-3"/>
        </w:rPr>
        <w:t xml:space="preserve"> </w:t>
      </w:r>
      <w:r>
        <w:t>la</w:t>
      </w:r>
      <w:r>
        <w:rPr>
          <w:spacing w:val="-3"/>
        </w:rPr>
        <w:t xml:space="preserve"> </w:t>
      </w:r>
      <w:r>
        <w:t>compra</w:t>
      </w:r>
      <w:r>
        <w:rPr>
          <w:spacing w:val="-3"/>
        </w:rPr>
        <w:t xml:space="preserve"> </w:t>
      </w:r>
      <w:r>
        <w:t>y</w:t>
      </w:r>
      <w:r>
        <w:rPr>
          <w:spacing w:val="-3"/>
        </w:rPr>
        <w:t xml:space="preserve"> </w:t>
      </w:r>
      <w:r>
        <w:t>el</w:t>
      </w:r>
      <w:r>
        <w:rPr>
          <w:spacing w:val="-3"/>
        </w:rPr>
        <w:t xml:space="preserve"> </w:t>
      </w:r>
      <w:r>
        <w:t>canal</w:t>
      </w:r>
      <w:r>
        <w:rPr>
          <w:spacing w:val="-3"/>
        </w:rPr>
        <w:t xml:space="preserve"> </w:t>
      </w:r>
      <w:r>
        <w:t>digital</w:t>
      </w:r>
      <w:r>
        <w:rPr>
          <w:spacing w:val="-3"/>
        </w:rPr>
        <w:t xml:space="preserve"> </w:t>
      </w:r>
      <w:r>
        <w:t xml:space="preserve">la </w:t>
      </w:r>
      <w:r>
        <w:rPr>
          <w:spacing w:val="-2"/>
        </w:rPr>
        <w:t>sostiene.</w:t>
      </w:r>
    </w:p>
    <w:p w:rsidR="009B4BB4" w:rsidRDefault="00C44001">
      <w:pPr>
        <w:pStyle w:val="Textoindependiente"/>
        <w:spacing w:line="360" w:lineRule="auto"/>
        <w:ind w:left="425" w:right="608" w:firstLine="720"/>
        <w:jc w:val="both"/>
      </w:pPr>
      <w:r>
        <w:t xml:space="preserve">La incorporación de canales con mayor complejidad regulatoria, como tiendas </w:t>
      </w:r>
      <w:r>
        <w:rPr>
          <w:rFonts w:ascii="Arial" w:hAnsi="Arial"/>
          <w:i/>
        </w:rPr>
        <w:t xml:space="preserve">Duty-Free </w:t>
      </w:r>
      <w:r>
        <w:t>en</w:t>
      </w:r>
      <w:r>
        <w:rPr>
          <w:spacing w:val="-4"/>
        </w:rPr>
        <w:t xml:space="preserve"> </w:t>
      </w:r>
      <w:r>
        <w:t>aeropuertos</w:t>
      </w:r>
      <w:r>
        <w:rPr>
          <w:spacing w:val="-4"/>
        </w:rPr>
        <w:t xml:space="preserve"> </w:t>
      </w:r>
      <w:r>
        <w:t>y</w:t>
      </w:r>
      <w:r>
        <w:rPr>
          <w:spacing w:val="-4"/>
        </w:rPr>
        <w:t xml:space="preserve"> </w:t>
      </w:r>
      <w:r>
        <w:t>plataformas</w:t>
      </w:r>
      <w:r>
        <w:rPr>
          <w:spacing w:val="-4"/>
        </w:rPr>
        <w:t xml:space="preserve"> </w:t>
      </w:r>
      <w:r>
        <w:t>de</w:t>
      </w:r>
      <w:r>
        <w:rPr>
          <w:spacing w:val="-4"/>
        </w:rPr>
        <w:t xml:space="preserve"> </w:t>
      </w:r>
      <w:r>
        <w:t>exportación</w:t>
      </w:r>
      <w:r>
        <w:rPr>
          <w:spacing w:val="-4"/>
        </w:rPr>
        <w:t xml:space="preserve"> </w:t>
      </w:r>
      <w:r>
        <w:t>internacional,</w:t>
      </w:r>
      <w:r>
        <w:rPr>
          <w:spacing w:val="-4"/>
        </w:rPr>
        <w:t xml:space="preserve"> </w:t>
      </w:r>
      <w:r>
        <w:t>se</w:t>
      </w:r>
      <w:r>
        <w:rPr>
          <w:spacing w:val="-4"/>
        </w:rPr>
        <w:t xml:space="preserve"> </w:t>
      </w:r>
      <w:r>
        <w:t>contempla</w:t>
      </w:r>
      <w:r>
        <w:rPr>
          <w:spacing w:val="-4"/>
        </w:rPr>
        <w:t xml:space="preserve"> </w:t>
      </w:r>
      <w:r>
        <w:t>como parte de la fase de expansión (12-24 meses), condicionada a la obtención previa de los certif</w:t>
      </w:r>
      <w:r>
        <w:t>icados detallados en la sección 6.5, incluyendo el Aviso de Funcionamiento ante COFEPRIS,</w:t>
      </w:r>
      <w:r>
        <w:rPr>
          <w:spacing w:val="71"/>
        </w:rPr>
        <w:t xml:space="preserve"> </w:t>
      </w:r>
      <w:r>
        <w:t>el</w:t>
      </w:r>
      <w:r>
        <w:rPr>
          <w:spacing w:val="71"/>
        </w:rPr>
        <w:t xml:space="preserve"> </w:t>
      </w:r>
      <w:r>
        <w:t>cumplimiento</w:t>
      </w:r>
      <w:r>
        <w:rPr>
          <w:spacing w:val="71"/>
        </w:rPr>
        <w:t xml:space="preserve"> </w:t>
      </w:r>
      <w:r>
        <w:t>de</w:t>
      </w:r>
      <w:r>
        <w:rPr>
          <w:spacing w:val="40"/>
        </w:rPr>
        <w:t xml:space="preserve"> </w:t>
      </w:r>
      <w:r>
        <w:t>la</w:t>
      </w:r>
      <w:r>
        <w:rPr>
          <w:spacing w:val="40"/>
        </w:rPr>
        <w:t xml:space="preserve"> </w:t>
      </w:r>
      <w:r>
        <w:t>NOM-051</w:t>
      </w:r>
      <w:r>
        <w:rPr>
          <w:spacing w:val="40"/>
        </w:rPr>
        <w:t xml:space="preserve"> </w:t>
      </w:r>
      <w:r>
        <w:t>y</w:t>
      </w:r>
      <w:r>
        <w:rPr>
          <w:spacing w:val="40"/>
        </w:rPr>
        <w:t xml:space="preserve"> </w:t>
      </w:r>
      <w:r>
        <w:t>el</w:t>
      </w:r>
      <w:r>
        <w:rPr>
          <w:spacing w:val="40"/>
        </w:rPr>
        <w:t xml:space="preserve"> </w:t>
      </w:r>
      <w:r>
        <w:t>registro</w:t>
      </w:r>
      <w:r>
        <w:rPr>
          <w:spacing w:val="40"/>
        </w:rPr>
        <w:t xml:space="preserve"> </w:t>
      </w:r>
      <w:r>
        <w:t>correspondiente</w:t>
      </w:r>
      <w:r>
        <w:rPr>
          <w:spacing w:val="40"/>
        </w:rPr>
        <w:t xml:space="preserve"> </w:t>
      </w:r>
      <w:r>
        <w:t>según</w:t>
      </w:r>
      <w:r>
        <w:rPr>
          <w:spacing w:val="40"/>
        </w:rPr>
        <w:t xml:space="preserve"> </w:t>
      </w:r>
      <w:r>
        <w:t>el</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9"/>
        <w:jc w:val="both"/>
      </w:pPr>
      <w:proofErr w:type="gramStart"/>
      <w:r>
        <w:lastRenderedPageBreak/>
        <w:t>mercado</w:t>
      </w:r>
      <w:proofErr w:type="gramEnd"/>
      <w:r>
        <w:t xml:space="preserve"> de destino. Esta secuencia permite que la expansión hacia estos canales sea ordenada y no comprometa la integridad regulatoria de la marca. De esta forma, el crecimiento se construye sobre una base operativa y regulatoria sólida.</w:t>
      </w:r>
    </w:p>
    <w:p w:rsidR="009B4BB4" w:rsidRDefault="00C44001" w:rsidP="00C44001">
      <w:pPr>
        <w:pStyle w:val="Ttulo2"/>
        <w:numPr>
          <w:ilvl w:val="2"/>
          <w:numId w:val="25"/>
        </w:numPr>
        <w:tabs>
          <w:tab w:val="left" w:pos="1000"/>
        </w:tabs>
        <w:ind w:left="1000" w:hanging="545"/>
      </w:pPr>
      <w:bookmarkStart w:id="195" w:name="5.4.4_Estrategia_de_promoción_"/>
      <w:bookmarkStart w:id="196" w:name="h.6y782rg3pxml"/>
      <w:bookmarkEnd w:id="195"/>
      <w:bookmarkEnd w:id="196"/>
      <w:r>
        <w:t>Estrategia</w:t>
      </w:r>
      <w:r>
        <w:rPr>
          <w:spacing w:val="-6"/>
        </w:rPr>
        <w:t xml:space="preserve"> </w:t>
      </w:r>
      <w:r>
        <w:t>de</w:t>
      </w:r>
      <w:r>
        <w:rPr>
          <w:spacing w:val="-6"/>
        </w:rPr>
        <w:t xml:space="preserve"> </w:t>
      </w:r>
      <w:r>
        <w:rPr>
          <w:spacing w:val="-2"/>
        </w:rPr>
        <w:t>prom</w:t>
      </w:r>
      <w:r>
        <w:rPr>
          <w:spacing w:val="-2"/>
        </w:rPr>
        <w:t>oción</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5" w:firstLine="720"/>
        <w:jc w:val="both"/>
      </w:pPr>
      <w:r>
        <w:t>La comunicación</w:t>
      </w:r>
      <w:r>
        <w:rPr>
          <w:spacing w:val="-3"/>
        </w:rPr>
        <w:t xml:space="preserve"> </w:t>
      </w:r>
      <w:r>
        <w:t>comercial</w:t>
      </w:r>
      <w:r>
        <w:rPr>
          <w:spacing w:val="-3"/>
        </w:rPr>
        <w:t xml:space="preserve"> </w:t>
      </w:r>
      <w:r>
        <w:t>se</w:t>
      </w:r>
      <w:r>
        <w:rPr>
          <w:spacing w:val="-3"/>
        </w:rPr>
        <w:t xml:space="preserve"> </w:t>
      </w:r>
      <w:r>
        <w:t>centra</w:t>
      </w:r>
      <w:r>
        <w:rPr>
          <w:spacing w:val="-3"/>
        </w:rPr>
        <w:t xml:space="preserve"> </w:t>
      </w:r>
      <w:r>
        <w:t>en</w:t>
      </w:r>
      <w:r>
        <w:rPr>
          <w:spacing w:val="-3"/>
        </w:rPr>
        <w:t xml:space="preserve"> </w:t>
      </w:r>
      <w:r>
        <w:t>un</w:t>
      </w:r>
      <w:r>
        <w:rPr>
          <w:spacing w:val="-3"/>
        </w:rPr>
        <w:t xml:space="preserve"> </w:t>
      </w:r>
      <w:r>
        <w:t>storytelling</w:t>
      </w:r>
      <w:r>
        <w:rPr>
          <w:spacing w:val="-3"/>
        </w:rPr>
        <w:t xml:space="preserve"> </w:t>
      </w:r>
      <w:r>
        <w:t>educativo</w:t>
      </w:r>
      <w:r>
        <w:rPr>
          <w:spacing w:val="-3"/>
        </w:rPr>
        <w:t xml:space="preserve"> </w:t>
      </w:r>
      <w:r>
        <w:t>bajo</w:t>
      </w:r>
      <w:r>
        <w:rPr>
          <w:spacing w:val="-3"/>
        </w:rPr>
        <w:t xml:space="preserve"> </w:t>
      </w:r>
      <w:r>
        <w:t>la</w:t>
      </w:r>
      <w:r>
        <w:rPr>
          <w:spacing w:val="-3"/>
        </w:rPr>
        <w:t xml:space="preserve"> </w:t>
      </w:r>
      <w:r>
        <w:t>campaña #SoyGuardiana. Dadas las limitaciones de presupuesto propias de una etapa de lanzamiento, la estrategia prioriza tácticas de alto retorno sobre la inversión:</w:t>
      </w:r>
    </w:p>
    <w:p w:rsidR="009B4BB4" w:rsidRDefault="00C44001" w:rsidP="00C44001">
      <w:pPr>
        <w:pStyle w:val="Prrafodelista"/>
        <w:numPr>
          <w:ilvl w:val="0"/>
          <w:numId w:val="24"/>
        </w:numPr>
        <w:tabs>
          <w:tab w:val="left" w:pos="1145"/>
        </w:tabs>
        <w:spacing w:line="360" w:lineRule="auto"/>
        <w:ind w:right="603"/>
        <w:jc w:val="both"/>
      </w:pPr>
      <w:r>
        <w:rPr>
          <w:rFonts w:ascii="Arial" w:hAnsi="Arial"/>
          <w:b/>
        </w:rPr>
        <w:t xml:space="preserve">Marketing </w:t>
      </w:r>
      <w:r>
        <w:rPr>
          <w:rFonts w:ascii="Arial" w:hAnsi="Arial"/>
          <w:b/>
        </w:rPr>
        <w:t>de contenidos</w:t>
      </w:r>
      <w:r>
        <w:t>: Se prioriza el</w:t>
      </w:r>
      <w:r>
        <w:rPr>
          <w:spacing w:val="-4"/>
        </w:rPr>
        <w:t xml:space="preserve"> </w:t>
      </w:r>
      <w:r>
        <w:t>uso</w:t>
      </w:r>
      <w:r>
        <w:rPr>
          <w:spacing w:val="-4"/>
        </w:rPr>
        <w:t xml:space="preserve"> </w:t>
      </w:r>
      <w:r>
        <w:t>de</w:t>
      </w:r>
      <w:r>
        <w:rPr>
          <w:spacing w:val="-4"/>
        </w:rPr>
        <w:t xml:space="preserve"> </w:t>
      </w:r>
      <w:r>
        <w:t>plataformas</w:t>
      </w:r>
      <w:r>
        <w:rPr>
          <w:spacing w:val="-4"/>
        </w:rPr>
        <w:t xml:space="preserve"> </w:t>
      </w:r>
      <w:r>
        <w:t>de</w:t>
      </w:r>
      <w:r>
        <w:rPr>
          <w:spacing w:val="-4"/>
        </w:rPr>
        <w:t xml:space="preserve"> </w:t>
      </w:r>
      <w:r>
        <w:t>video</w:t>
      </w:r>
      <w:r>
        <w:rPr>
          <w:spacing w:val="-4"/>
        </w:rPr>
        <w:t xml:space="preserve"> </w:t>
      </w:r>
      <w:r>
        <w:t>corto</w:t>
      </w:r>
      <w:r>
        <w:rPr>
          <w:spacing w:val="-4"/>
        </w:rPr>
        <w:t xml:space="preserve"> </w:t>
      </w:r>
      <w:r>
        <w:t>como Instagram Reels y TikTok para mostrar la trazabilidad del meliponario, apoyado por herramientas de inteligencia artificial para optimizar la gestión de copys y calendarios editoriales. Este enfoque permite escalar la comunicación con bajo costo y alta</w:t>
      </w:r>
      <w:r>
        <w:t xml:space="preserve"> frecuencia.</w:t>
      </w:r>
    </w:p>
    <w:p w:rsidR="009B4BB4" w:rsidRDefault="00C44001" w:rsidP="00C44001">
      <w:pPr>
        <w:pStyle w:val="Prrafodelista"/>
        <w:numPr>
          <w:ilvl w:val="0"/>
          <w:numId w:val="24"/>
        </w:numPr>
        <w:tabs>
          <w:tab w:val="left" w:pos="1145"/>
        </w:tabs>
        <w:spacing w:line="360" w:lineRule="auto"/>
        <w:ind w:right="603"/>
        <w:jc w:val="both"/>
      </w:pPr>
      <w:r>
        <w:rPr>
          <w:rFonts w:ascii="Arial" w:hAnsi="Arial"/>
          <w:b/>
        </w:rPr>
        <w:t xml:space="preserve">Líderes de opinión y embajadores de marca: </w:t>
      </w:r>
      <w:r>
        <w:t>Alianzas estratégicas con especialistas</w:t>
      </w:r>
      <w:r>
        <w:rPr>
          <w:spacing w:val="-5"/>
        </w:rPr>
        <w:t xml:space="preserve"> </w:t>
      </w:r>
      <w:r>
        <w:t>en</w:t>
      </w:r>
      <w:r>
        <w:rPr>
          <w:spacing w:val="-5"/>
        </w:rPr>
        <w:t xml:space="preserve"> </w:t>
      </w:r>
      <w:r>
        <w:t>medicina</w:t>
      </w:r>
      <w:r>
        <w:rPr>
          <w:spacing w:val="-5"/>
        </w:rPr>
        <w:t xml:space="preserve"> </w:t>
      </w:r>
      <w:r>
        <w:t>funcional,</w:t>
      </w:r>
      <w:r>
        <w:rPr>
          <w:spacing w:val="-5"/>
        </w:rPr>
        <w:t xml:space="preserve"> </w:t>
      </w:r>
      <w:r>
        <w:t>gastronomía</w:t>
      </w:r>
      <w:r>
        <w:rPr>
          <w:spacing w:val="-5"/>
        </w:rPr>
        <w:t xml:space="preserve"> </w:t>
      </w:r>
      <w:r>
        <w:t>sustentable</w:t>
      </w:r>
      <w:r>
        <w:rPr>
          <w:spacing w:val="-5"/>
        </w:rPr>
        <w:t xml:space="preserve"> </w:t>
      </w:r>
      <w:r>
        <w:t>y</w:t>
      </w:r>
      <w:r>
        <w:rPr>
          <w:spacing w:val="-5"/>
        </w:rPr>
        <w:t xml:space="preserve"> </w:t>
      </w:r>
      <w:r>
        <w:t>bienestar</w:t>
      </w:r>
      <w:r>
        <w:rPr>
          <w:spacing w:val="-5"/>
        </w:rPr>
        <w:t xml:space="preserve"> </w:t>
      </w:r>
      <w:r>
        <w:t>holístico, quienes validan los beneficios funcionales del producto y amplifican la narrativa biocultu</w:t>
      </w:r>
      <w:r>
        <w:t>ral ante comunidades de alto valor. A diferencia de la publicidad tradicional, estos perfiles actúan como curadores de confianza dentro de nichos altamente segmentados, reduciendo el costo de adquisición de clientes y fortaleciendo la credibilidad de la ma</w:t>
      </w:r>
      <w:r>
        <w:t xml:space="preserve">rca sin comprometer su posicionamiento </w:t>
      </w:r>
      <w:r>
        <w:rPr>
          <w:rFonts w:ascii="Arial" w:hAnsi="Arial"/>
          <w:i/>
        </w:rPr>
        <w:t xml:space="preserve">premium. </w:t>
      </w:r>
      <w:r>
        <w:t>De esta manera, la recomendación sustituye a la publicidad tradicional como principal motor de confianza.</w:t>
      </w:r>
    </w:p>
    <w:p w:rsidR="009B4BB4" w:rsidRDefault="00C44001">
      <w:pPr>
        <w:pStyle w:val="Ttulo1"/>
        <w:spacing w:before="240"/>
        <w:jc w:val="both"/>
      </w:pPr>
      <w:r>
        <w:t>Estrategia</w:t>
      </w:r>
      <w:r>
        <w:rPr>
          <w:spacing w:val="-7"/>
        </w:rPr>
        <w:t xml:space="preserve"> </w:t>
      </w:r>
      <w:r>
        <w:t>de</w:t>
      </w:r>
      <w:r>
        <w:rPr>
          <w:spacing w:val="-6"/>
        </w:rPr>
        <w:t xml:space="preserve"> </w:t>
      </w:r>
      <w:r>
        <w:t>fidelización</w:t>
      </w:r>
      <w:r>
        <w:rPr>
          <w:spacing w:val="-6"/>
        </w:rPr>
        <w:t xml:space="preserve"> </w:t>
      </w:r>
      <w:r>
        <w:t>y</w:t>
      </w:r>
      <w:r>
        <w:rPr>
          <w:spacing w:val="-6"/>
        </w:rPr>
        <w:t xml:space="preserve"> </w:t>
      </w:r>
      <w:r>
        <w:rPr>
          <w:spacing w:val="-2"/>
        </w:rPr>
        <w:t>recompra: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6" w:firstLine="720"/>
        <w:jc w:val="both"/>
      </w:pPr>
      <w:r>
        <w:t>Para facilitar la transición del canal físico al digital, cada</w:t>
      </w:r>
      <w:r>
        <w:t xml:space="preserve"> empaque secundario incluirá una tarjeta de agradecimiento con un código QR dinámico integrado. Al escanearlo, el usuario verá el video de la comunidad productora, reforzando la autenticidad del producto, y recibirá un cupón del 15% de descuento para su pr</w:t>
      </w:r>
      <w:r>
        <w:t>imera compra a través del e-commerce propio o un enlace directo a la tienda en Amazon México.</w:t>
      </w:r>
      <w:r>
        <w:rPr>
          <w:spacing w:val="27"/>
        </w:rPr>
        <w:t xml:space="preserve"> </w:t>
      </w:r>
      <w:r>
        <w:t>Esta</w:t>
      </w:r>
      <w:r>
        <w:rPr>
          <w:spacing w:val="27"/>
        </w:rPr>
        <w:t xml:space="preserve"> </w:t>
      </w:r>
      <w:r>
        <w:t>táctica</w:t>
      </w:r>
      <w:r>
        <w:rPr>
          <w:spacing w:val="27"/>
        </w:rPr>
        <w:t xml:space="preserve"> </w:t>
      </w:r>
      <w:r>
        <w:t>reduce</w:t>
      </w:r>
      <w:r>
        <w:rPr>
          <w:spacing w:val="27"/>
        </w:rPr>
        <w:t xml:space="preserve"> </w:t>
      </w:r>
      <w:r>
        <w:t>significativamente</w:t>
      </w:r>
      <w:r>
        <w:rPr>
          <w:spacing w:val="27"/>
        </w:rPr>
        <w:t xml:space="preserve"> </w:t>
      </w:r>
      <w:r>
        <w:t>el</w:t>
      </w:r>
      <w:r>
        <w:rPr>
          <w:spacing w:val="27"/>
        </w:rPr>
        <w:t xml:space="preserve"> </w:t>
      </w:r>
      <w:r>
        <w:t>costo</w:t>
      </w:r>
      <w:r>
        <w:rPr>
          <w:spacing w:val="27"/>
        </w:rPr>
        <w:t xml:space="preserve"> </w:t>
      </w:r>
      <w:r>
        <w:t>de</w:t>
      </w:r>
      <w:r>
        <w:rPr>
          <w:spacing w:val="27"/>
        </w:rPr>
        <w:t xml:space="preserve"> </w:t>
      </w:r>
      <w:r>
        <w:t>adquisición</w:t>
      </w:r>
      <w:r>
        <w:rPr>
          <w:spacing w:val="27"/>
        </w:rPr>
        <w:t xml:space="preserve"> </w:t>
      </w:r>
      <w:r>
        <w:t>para</w:t>
      </w:r>
      <w:r>
        <w:rPr>
          <w:spacing w:val="27"/>
        </w:rPr>
        <w:t xml:space="preserve"> </w:t>
      </w:r>
      <w:r>
        <w:t>la</w:t>
      </w:r>
      <w:r>
        <w:rPr>
          <w:spacing w:val="27"/>
        </w:rPr>
        <w:t xml:space="preserve"> </w:t>
      </w:r>
      <w:r>
        <w:t>segunda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pPr>
      <w:proofErr w:type="gramStart"/>
      <w:r>
        <w:lastRenderedPageBreak/>
        <w:t>compra</w:t>
      </w:r>
      <w:proofErr w:type="gramEnd"/>
      <w:r>
        <w:t xml:space="preserve"> y para la</w:t>
      </w:r>
      <w:r>
        <w:rPr>
          <w:spacing w:val="-4"/>
        </w:rPr>
        <w:t xml:space="preserve"> </w:t>
      </w:r>
      <w:r>
        <w:t>segunda</w:t>
      </w:r>
      <w:r>
        <w:rPr>
          <w:spacing w:val="-4"/>
        </w:rPr>
        <w:t xml:space="preserve"> </w:t>
      </w:r>
      <w:r>
        <w:t>venta,</w:t>
      </w:r>
      <w:r>
        <w:rPr>
          <w:spacing w:val="-4"/>
        </w:rPr>
        <w:t xml:space="preserve"> </w:t>
      </w:r>
      <w:r>
        <w:t>incrementando</w:t>
      </w:r>
      <w:r>
        <w:rPr>
          <w:spacing w:val="-4"/>
        </w:rPr>
        <w:t xml:space="preserve"> </w:t>
      </w:r>
      <w:r>
        <w:t>el</w:t>
      </w:r>
      <w:r>
        <w:rPr>
          <w:spacing w:val="-4"/>
        </w:rPr>
        <w:t xml:space="preserve"> </w:t>
      </w:r>
      <w:r>
        <w:t>valor</w:t>
      </w:r>
      <w:r>
        <w:rPr>
          <w:spacing w:val="-4"/>
        </w:rPr>
        <w:t xml:space="preserve"> </w:t>
      </w:r>
      <w:r>
        <w:t>del</w:t>
      </w:r>
      <w:r>
        <w:rPr>
          <w:spacing w:val="-4"/>
        </w:rPr>
        <w:t xml:space="preserve"> </w:t>
      </w:r>
      <w:r>
        <w:t>cliente</w:t>
      </w:r>
      <w:r>
        <w:rPr>
          <w:spacing w:val="-4"/>
        </w:rPr>
        <w:t xml:space="preserve"> </w:t>
      </w:r>
      <w:r>
        <w:t>en</w:t>
      </w:r>
      <w:r>
        <w:rPr>
          <w:spacing w:val="-4"/>
        </w:rPr>
        <w:t xml:space="preserve"> </w:t>
      </w:r>
      <w:r>
        <w:t>el</w:t>
      </w:r>
      <w:r>
        <w:rPr>
          <w:spacing w:val="-4"/>
        </w:rPr>
        <w:t xml:space="preserve"> </w:t>
      </w:r>
      <w:r>
        <w:t>tiempo</w:t>
      </w:r>
      <w:r>
        <w:rPr>
          <w:spacing w:val="-4"/>
        </w:rPr>
        <w:t xml:space="preserve"> </w:t>
      </w:r>
      <w:r>
        <w:t>(LTV).</w:t>
      </w:r>
      <w:r>
        <w:rPr>
          <w:spacing w:val="-4"/>
        </w:rPr>
        <w:t xml:space="preserve"> </w:t>
      </w:r>
      <w:r>
        <w:t>El objetivo es convertir una compra impulsiva en una relación recurrente.</w:t>
      </w:r>
    </w:p>
    <w:p w:rsidR="009B4BB4" w:rsidRDefault="00C44001" w:rsidP="00C44001">
      <w:pPr>
        <w:pStyle w:val="Ttulo1"/>
        <w:numPr>
          <w:ilvl w:val="1"/>
          <w:numId w:val="23"/>
        </w:numPr>
        <w:tabs>
          <w:tab w:val="left" w:pos="818"/>
        </w:tabs>
        <w:spacing w:before="240"/>
        <w:ind w:left="818" w:hanging="363"/>
      </w:pPr>
      <w:bookmarkStart w:id="197" w:name="5.5_Presupuesto_de_marketing__"/>
      <w:bookmarkStart w:id="198" w:name="h.nwy1nf3nkgmg"/>
      <w:bookmarkEnd w:id="197"/>
      <w:bookmarkEnd w:id="198"/>
      <w:r>
        <w:t>Presupuesto</w:t>
      </w:r>
      <w:r>
        <w:rPr>
          <w:spacing w:val="-7"/>
        </w:rPr>
        <w:t xml:space="preserve"> </w:t>
      </w:r>
      <w:r>
        <w:t>de</w:t>
      </w:r>
      <w:r>
        <w:rPr>
          <w:spacing w:val="-6"/>
        </w:rPr>
        <w:t xml:space="preserve"> </w:t>
      </w:r>
      <w:r>
        <w:rPr>
          <w:spacing w:val="-2"/>
        </w:rPr>
        <w:t>marketing</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3" w:firstLine="720"/>
        <w:jc w:val="both"/>
      </w:pPr>
      <w:r>
        <w:t xml:space="preserve">Para generar tracción inicial sin comprometer la liquidez ni el flujo de caja, se plantea un presupuesto de marketing bajo un enfoque </w:t>
      </w:r>
      <w:r>
        <w:rPr>
          <w:rFonts w:ascii="Arial" w:hAnsi="Arial"/>
          <w:i/>
        </w:rPr>
        <w:t xml:space="preserve">Lean Startup, </w:t>
      </w:r>
      <w:r>
        <w:t>con una inversión inicial de $7,650 USD. Este monto se distribuye en dos rubros principales: la creación y a</w:t>
      </w:r>
      <w:r>
        <w:t>ctivación de la marca se divide estratégicamente en dos grandes rubros: los activos comerciales y el presupuesto de lanzamiento operativo:</w:t>
      </w:r>
    </w:p>
    <w:p w:rsidR="009B4BB4" w:rsidRDefault="00C44001" w:rsidP="00C44001">
      <w:pPr>
        <w:pStyle w:val="Prrafodelista"/>
        <w:numPr>
          <w:ilvl w:val="2"/>
          <w:numId w:val="23"/>
        </w:numPr>
        <w:tabs>
          <w:tab w:val="left" w:pos="1143"/>
          <w:tab w:val="left" w:pos="1145"/>
        </w:tabs>
        <w:spacing w:line="360" w:lineRule="auto"/>
        <w:ind w:right="602"/>
        <w:jc w:val="both"/>
      </w:pPr>
      <w:r>
        <w:rPr>
          <w:rFonts w:ascii="Arial" w:hAnsi="Arial"/>
          <w:b/>
        </w:rPr>
        <w:t xml:space="preserve">Activos comerciales: </w:t>
      </w:r>
      <w:r>
        <w:t>Antes de la activación comercial, se prioriza la</w:t>
      </w:r>
      <w:r>
        <w:rPr>
          <w:spacing w:val="40"/>
        </w:rPr>
        <w:t xml:space="preserve"> </w:t>
      </w:r>
      <w:r>
        <w:t>construcción de activos de marca y canales prop</w:t>
      </w:r>
      <w:r>
        <w:t>ios.</w:t>
      </w:r>
    </w:p>
    <w:p w:rsidR="009B4BB4" w:rsidRDefault="00C44001" w:rsidP="00C44001">
      <w:pPr>
        <w:pStyle w:val="Prrafodelista"/>
        <w:numPr>
          <w:ilvl w:val="3"/>
          <w:numId w:val="23"/>
        </w:numPr>
        <w:tabs>
          <w:tab w:val="left" w:pos="1863"/>
          <w:tab w:val="left" w:pos="1865"/>
        </w:tabs>
        <w:spacing w:line="360" w:lineRule="auto"/>
        <w:ind w:right="612"/>
        <w:jc w:val="both"/>
      </w:pPr>
      <w:r>
        <w:rPr>
          <w:rFonts w:ascii="Arial"/>
          <w:b/>
        </w:rPr>
        <w:t xml:space="preserve">Identidad de marca </w:t>
      </w:r>
      <w:r>
        <w:t xml:space="preserve">($800 USD): Desarrollo del branding e identidad visual que respalda el posicionamiento </w:t>
      </w:r>
      <w:r>
        <w:rPr>
          <w:rFonts w:ascii="Arial"/>
          <w:i/>
        </w:rPr>
        <w:t xml:space="preserve">premium </w:t>
      </w:r>
      <w:r>
        <w:t xml:space="preserve">del producto, posicionando a Guardiana como una marca biocultural </w:t>
      </w:r>
      <w:r>
        <w:rPr>
          <w:rFonts w:ascii="Arial"/>
          <w:i/>
        </w:rPr>
        <w:t>premium</w:t>
      </w:r>
      <w:r>
        <w:t>.</w:t>
      </w:r>
    </w:p>
    <w:p w:rsidR="009B4BB4" w:rsidRDefault="00C44001" w:rsidP="00C44001">
      <w:pPr>
        <w:pStyle w:val="Prrafodelista"/>
        <w:numPr>
          <w:ilvl w:val="3"/>
          <w:numId w:val="23"/>
        </w:numPr>
        <w:tabs>
          <w:tab w:val="left" w:pos="1863"/>
          <w:tab w:val="left" w:pos="1865"/>
        </w:tabs>
        <w:spacing w:line="360" w:lineRule="auto"/>
        <w:ind w:right="607"/>
        <w:jc w:val="both"/>
      </w:pPr>
      <w:r>
        <w:rPr>
          <w:rFonts w:ascii="Arial"/>
          <w:b/>
        </w:rPr>
        <w:t xml:space="preserve">Plataforma e-commerce </w:t>
      </w:r>
      <w:r>
        <w:t>($600 USD): desarrollo de la infraestruc</w:t>
      </w:r>
      <w:r>
        <w:t>tura digital (</w:t>
      </w:r>
      <w:r>
        <w:rPr>
          <w:rFonts w:ascii="Arial"/>
          <w:i/>
        </w:rPr>
        <w:t>Shopify +</w:t>
      </w:r>
      <w:r>
        <w:rPr>
          <w:rFonts w:ascii="Arial"/>
          <w:i/>
          <w:spacing w:val="-4"/>
        </w:rPr>
        <w:t xml:space="preserve"> </w:t>
      </w:r>
      <w:r>
        <w:rPr>
          <w:rFonts w:ascii="Arial"/>
          <w:i/>
        </w:rPr>
        <w:t>theme</w:t>
      </w:r>
      <w:r>
        <w:t>)</w:t>
      </w:r>
      <w:r>
        <w:rPr>
          <w:spacing w:val="-4"/>
        </w:rPr>
        <w:t xml:space="preserve"> </w:t>
      </w:r>
      <w:r>
        <w:t>para</w:t>
      </w:r>
      <w:r>
        <w:rPr>
          <w:spacing w:val="-4"/>
        </w:rPr>
        <w:t xml:space="preserve"> </w:t>
      </w:r>
      <w:r>
        <w:t>asegurar</w:t>
      </w:r>
      <w:r>
        <w:rPr>
          <w:spacing w:val="-4"/>
        </w:rPr>
        <w:t xml:space="preserve"> </w:t>
      </w:r>
      <w:r>
        <w:t>el</w:t>
      </w:r>
      <w:r>
        <w:rPr>
          <w:spacing w:val="-4"/>
        </w:rPr>
        <w:t xml:space="preserve"> </w:t>
      </w:r>
      <w:r>
        <w:t>canal</w:t>
      </w:r>
      <w:r>
        <w:rPr>
          <w:spacing w:val="-4"/>
        </w:rPr>
        <w:t xml:space="preserve"> </w:t>
      </w:r>
      <w:r>
        <w:t>de</w:t>
      </w:r>
      <w:r>
        <w:rPr>
          <w:spacing w:val="-4"/>
        </w:rPr>
        <w:t xml:space="preserve"> </w:t>
      </w:r>
      <w:r>
        <w:t>venta</w:t>
      </w:r>
      <w:r>
        <w:rPr>
          <w:spacing w:val="-4"/>
        </w:rPr>
        <w:t xml:space="preserve"> </w:t>
      </w:r>
      <w:r>
        <w:t>directa</w:t>
      </w:r>
      <w:r>
        <w:rPr>
          <w:spacing w:val="-4"/>
        </w:rPr>
        <w:t xml:space="preserve"> </w:t>
      </w:r>
      <w:r>
        <w:t>y</w:t>
      </w:r>
      <w:r>
        <w:rPr>
          <w:spacing w:val="-4"/>
        </w:rPr>
        <w:t xml:space="preserve"> </w:t>
      </w:r>
      <w:r>
        <w:t>capturar la recompra del</w:t>
      </w:r>
      <w:r>
        <w:rPr>
          <w:spacing w:val="-4"/>
        </w:rPr>
        <w:t xml:space="preserve"> </w:t>
      </w:r>
      <w:r>
        <w:t>turista</w:t>
      </w:r>
      <w:r>
        <w:rPr>
          <w:spacing w:val="-4"/>
        </w:rPr>
        <w:t xml:space="preserve"> </w:t>
      </w:r>
      <w:r>
        <w:t>internacional.</w:t>
      </w:r>
      <w:r>
        <w:rPr>
          <w:spacing w:val="40"/>
        </w:rPr>
        <w:t xml:space="preserve"> </w:t>
      </w:r>
      <w:r>
        <w:t>Estos</w:t>
      </w:r>
      <w:r>
        <w:rPr>
          <w:spacing w:val="-4"/>
        </w:rPr>
        <w:t xml:space="preserve"> </w:t>
      </w:r>
      <w:r>
        <w:t>activos</w:t>
      </w:r>
      <w:r>
        <w:rPr>
          <w:spacing w:val="-4"/>
        </w:rPr>
        <w:t xml:space="preserve"> </w:t>
      </w:r>
      <w:r>
        <w:t>permiten</w:t>
      </w:r>
      <w:r>
        <w:rPr>
          <w:spacing w:val="-4"/>
        </w:rPr>
        <w:t xml:space="preserve"> </w:t>
      </w:r>
      <w:r>
        <w:t>capturar</w:t>
      </w:r>
      <w:r>
        <w:rPr>
          <w:spacing w:val="-4"/>
        </w:rPr>
        <w:t xml:space="preserve"> </w:t>
      </w:r>
      <w:r>
        <w:t>valor directamente desde el canal propio.</w:t>
      </w:r>
    </w:p>
    <w:p w:rsidR="009B4BB4" w:rsidRDefault="00C44001" w:rsidP="00C44001">
      <w:pPr>
        <w:pStyle w:val="Prrafodelista"/>
        <w:numPr>
          <w:ilvl w:val="2"/>
          <w:numId w:val="23"/>
        </w:numPr>
        <w:tabs>
          <w:tab w:val="left" w:pos="1143"/>
          <w:tab w:val="left" w:pos="1145"/>
        </w:tabs>
        <w:spacing w:line="360" w:lineRule="auto"/>
        <w:ind w:right="606"/>
        <w:jc w:val="both"/>
      </w:pPr>
      <w:r>
        <w:rPr>
          <w:rFonts w:ascii="Arial" w:hAnsi="Arial"/>
          <w:b/>
        </w:rPr>
        <w:t xml:space="preserve">Presupuesto operativo de lanzamiento: </w:t>
      </w:r>
      <w:r>
        <w:t>Una vez establecidos los activos, la activación comercial de los primeros meses se ejecuta un presupuesto de lanzamiento de $1,000 USD, dividido según la estrategia:</w:t>
      </w:r>
    </w:p>
    <w:p w:rsidR="009B4BB4" w:rsidRDefault="00C44001" w:rsidP="00C44001">
      <w:pPr>
        <w:pStyle w:val="Prrafodelista"/>
        <w:numPr>
          <w:ilvl w:val="3"/>
          <w:numId w:val="23"/>
        </w:numPr>
        <w:tabs>
          <w:tab w:val="left" w:pos="1863"/>
          <w:tab w:val="left" w:pos="1865"/>
        </w:tabs>
        <w:spacing w:line="360" w:lineRule="auto"/>
        <w:ind w:right="602"/>
        <w:jc w:val="both"/>
      </w:pPr>
      <w:r>
        <w:rPr>
          <w:rFonts w:ascii="Arial" w:hAnsi="Arial"/>
          <w:b/>
        </w:rPr>
        <w:t xml:space="preserve">Marketing digital </w:t>
      </w:r>
      <w:r>
        <w:t>($700 USD): Destinado a pauta segmentada en Meta Ads, enfocada en turist</w:t>
      </w:r>
      <w:r>
        <w:t>as</w:t>
      </w:r>
      <w:r>
        <w:rPr>
          <w:spacing w:val="-5"/>
        </w:rPr>
        <w:t xml:space="preserve"> </w:t>
      </w:r>
      <w:r>
        <w:t>geolocalizados</w:t>
      </w:r>
      <w:r>
        <w:rPr>
          <w:spacing w:val="-5"/>
        </w:rPr>
        <w:t xml:space="preserve"> </w:t>
      </w:r>
      <w:r>
        <w:t>en</w:t>
      </w:r>
      <w:r>
        <w:rPr>
          <w:spacing w:val="-5"/>
        </w:rPr>
        <w:t xml:space="preserve"> </w:t>
      </w:r>
      <w:r>
        <w:t>Valladolid</w:t>
      </w:r>
      <w:r>
        <w:rPr>
          <w:spacing w:val="-5"/>
        </w:rPr>
        <w:t xml:space="preserve"> </w:t>
      </w:r>
      <w:r>
        <w:t>y</w:t>
      </w:r>
      <w:r>
        <w:rPr>
          <w:spacing w:val="-5"/>
        </w:rPr>
        <w:t xml:space="preserve"> </w:t>
      </w:r>
      <w:r>
        <w:t>la</w:t>
      </w:r>
      <w:r>
        <w:rPr>
          <w:spacing w:val="-5"/>
        </w:rPr>
        <w:t xml:space="preserve"> </w:t>
      </w:r>
      <w:r>
        <w:t>Riviera</w:t>
      </w:r>
      <w:r>
        <w:rPr>
          <w:spacing w:val="-5"/>
        </w:rPr>
        <w:t xml:space="preserve"> </w:t>
      </w:r>
      <w:r>
        <w:t>Maya,</w:t>
      </w:r>
      <w:r>
        <w:rPr>
          <w:spacing w:val="-5"/>
        </w:rPr>
        <w:t xml:space="preserve"> </w:t>
      </w:r>
      <w:r>
        <w:t>y la creación de contenido enfocado en el storytelling de la marca, los beneficios funcionales y la transparencia del meliponario.</w:t>
      </w:r>
    </w:p>
    <w:p w:rsidR="009B4BB4" w:rsidRDefault="00C44001" w:rsidP="00C44001">
      <w:pPr>
        <w:pStyle w:val="Prrafodelista"/>
        <w:numPr>
          <w:ilvl w:val="3"/>
          <w:numId w:val="23"/>
        </w:numPr>
        <w:tabs>
          <w:tab w:val="left" w:pos="1863"/>
          <w:tab w:val="left" w:pos="1865"/>
        </w:tabs>
        <w:spacing w:line="360" w:lineRule="auto"/>
        <w:ind w:right="604"/>
        <w:jc w:val="both"/>
      </w:pPr>
      <w:r>
        <w:rPr>
          <w:rFonts w:ascii="Arial" w:hAnsi="Arial"/>
          <w:b/>
        </w:rPr>
        <w:t xml:space="preserve">Activación física y bazares ($300 USD): </w:t>
      </w:r>
      <w:r>
        <w:t>Inversión destinada a asegurar esp</w:t>
      </w:r>
      <w:r>
        <w:t>acios en puntos de confianza físicos durante la fase de lanzamiento, permitiendo el contacto directo con el consumidor, la degustación del producto y la validación del modelo en tiempo real.</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line="360" w:lineRule="auto"/>
        <w:ind w:left="425" w:right="604" w:firstLine="720"/>
        <w:jc w:val="both"/>
      </w:pPr>
      <w:r>
        <w:t>Esta distribución prioriza acciones de conversión directa y la construcción de activos</w:t>
      </w:r>
      <w:r>
        <w:rPr>
          <w:spacing w:val="27"/>
        </w:rPr>
        <w:t xml:space="preserve"> </w:t>
      </w:r>
      <w:r>
        <w:t>propios,</w:t>
      </w:r>
      <w:r>
        <w:rPr>
          <w:spacing w:val="27"/>
        </w:rPr>
        <w:t xml:space="preserve"> </w:t>
      </w:r>
      <w:r>
        <w:t>con el objetivo de que cada dólar invertido contribuya a reducir el costo de Adquisición de clientes y genere retorno sobre la inversión</w:t>
      </w:r>
      <w:r>
        <w:rPr>
          <w:spacing w:val="-3"/>
        </w:rPr>
        <w:t xml:space="preserve"> </w:t>
      </w:r>
      <w:r>
        <w:t>desde</w:t>
      </w:r>
      <w:r>
        <w:rPr>
          <w:spacing w:val="-3"/>
        </w:rPr>
        <w:t xml:space="preserve"> </w:t>
      </w:r>
      <w:r>
        <w:t>los</w:t>
      </w:r>
      <w:r>
        <w:rPr>
          <w:spacing w:val="-3"/>
        </w:rPr>
        <w:t xml:space="preserve"> </w:t>
      </w:r>
      <w:r>
        <w:t>primeros</w:t>
      </w:r>
      <w:r>
        <w:rPr>
          <w:spacing w:val="-3"/>
        </w:rPr>
        <w:t xml:space="preserve"> </w:t>
      </w:r>
      <w:r>
        <w:t>mese</w:t>
      </w:r>
      <w:r>
        <w:t>s de operación. El enfoque privilegia eficiencia sobre volumen, alineado con la naturaleza del modelo.</w:t>
      </w:r>
    </w:p>
    <w:p w:rsidR="009B4BB4" w:rsidRDefault="00C44001" w:rsidP="00C44001">
      <w:pPr>
        <w:pStyle w:val="Ttulo1"/>
        <w:numPr>
          <w:ilvl w:val="1"/>
          <w:numId w:val="23"/>
        </w:numPr>
        <w:tabs>
          <w:tab w:val="left" w:pos="818"/>
        </w:tabs>
        <w:spacing w:before="240"/>
        <w:ind w:left="818" w:hanging="363"/>
      </w:pPr>
      <w:bookmarkStart w:id="199" w:name="5.6_Cronograma,_indicadores_y_métricas_d"/>
      <w:bookmarkStart w:id="200" w:name="h.grw1crx7ynm5"/>
      <w:bookmarkEnd w:id="199"/>
      <w:bookmarkEnd w:id="200"/>
      <w:r>
        <w:t>Cronograma,</w:t>
      </w:r>
      <w:r>
        <w:rPr>
          <w:spacing w:val="-7"/>
        </w:rPr>
        <w:t xml:space="preserve"> </w:t>
      </w:r>
      <w:r>
        <w:t>indicadores</w:t>
      </w:r>
      <w:r>
        <w:rPr>
          <w:spacing w:val="-6"/>
        </w:rPr>
        <w:t xml:space="preserve"> </w:t>
      </w:r>
      <w:r>
        <w:t>y</w:t>
      </w:r>
      <w:r>
        <w:rPr>
          <w:spacing w:val="-6"/>
        </w:rPr>
        <w:t xml:space="preserve"> </w:t>
      </w:r>
      <w:r>
        <w:t>métricas</w:t>
      </w:r>
      <w:r>
        <w:rPr>
          <w:spacing w:val="-7"/>
        </w:rPr>
        <w:t xml:space="preserve"> </w:t>
      </w:r>
      <w:r>
        <w:t>de</w:t>
      </w:r>
      <w:r>
        <w:rPr>
          <w:spacing w:val="-6"/>
        </w:rPr>
        <w:t xml:space="preserve"> </w:t>
      </w:r>
      <w:r>
        <w:t>éxito</w:t>
      </w:r>
      <w:r>
        <w:rPr>
          <w:spacing w:val="-6"/>
        </w:rPr>
        <w:t xml:space="preserve"> </w:t>
      </w:r>
      <w:r>
        <w:rPr>
          <w:spacing w:val="-2"/>
        </w:rPr>
        <w:t>(KPIs)</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16" w:firstLine="720"/>
        <w:jc w:val="both"/>
      </w:pPr>
      <w:r>
        <w:t>La ejecución de la estrategia Go-to-Market se estructura en tres horizontes temporales para mitigar r</w:t>
      </w:r>
      <w:r>
        <w:t>iesgos y asegurar un crecimiento sostenido:</w:t>
      </w:r>
    </w:p>
    <w:p w:rsidR="009B4BB4" w:rsidRDefault="00C44001" w:rsidP="00C44001">
      <w:pPr>
        <w:pStyle w:val="Prrafodelista"/>
        <w:numPr>
          <w:ilvl w:val="0"/>
          <w:numId w:val="22"/>
        </w:numPr>
        <w:tabs>
          <w:tab w:val="left" w:pos="1145"/>
        </w:tabs>
        <w:spacing w:line="360" w:lineRule="auto"/>
        <w:ind w:right="604"/>
        <w:jc w:val="both"/>
      </w:pPr>
      <w:r>
        <w:t>Fase de lanzamiento (0-6 meses): enfocada en la</w:t>
      </w:r>
      <w:r>
        <w:rPr>
          <w:spacing w:val="-3"/>
        </w:rPr>
        <w:t xml:space="preserve"> </w:t>
      </w:r>
      <w:r>
        <w:t>validación</w:t>
      </w:r>
      <w:r>
        <w:rPr>
          <w:spacing w:val="-3"/>
        </w:rPr>
        <w:t xml:space="preserve"> </w:t>
      </w:r>
      <w:r>
        <w:t>del</w:t>
      </w:r>
      <w:r>
        <w:rPr>
          <w:spacing w:val="-3"/>
        </w:rPr>
        <w:t xml:space="preserve"> </w:t>
      </w:r>
      <w:r>
        <w:t>producto</w:t>
      </w:r>
      <w:r>
        <w:rPr>
          <w:spacing w:val="-3"/>
        </w:rPr>
        <w:t xml:space="preserve"> </w:t>
      </w:r>
      <w:r>
        <w:t>mínimo viable mediante la participación en bazares curados y la activación del canal</w:t>
      </w:r>
      <w:r>
        <w:rPr>
          <w:spacing w:val="40"/>
        </w:rPr>
        <w:t xml:space="preserve"> </w:t>
      </w:r>
      <w:r>
        <w:t>digital propio.</w:t>
      </w:r>
    </w:p>
    <w:p w:rsidR="009B4BB4" w:rsidRDefault="00C44001" w:rsidP="00C44001">
      <w:pPr>
        <w:pStyle w:val="Prrafodelista"/>
        <w:numPr>
          <w:ilvl w:val="0"/>
          <w:numId w:val="22"/>
        </w:numPr>
        <w:tabs>
          <w:tab w:val="left" w:pos="1145"/>
        </w:tabs>
        <w:spacing w:line="360" w:lineRule="auto"/>
        <w:ind w:right="609"/>
        <w:jc w:val="both"/>
      </w:pPr>
      <w:r>
        <w:t>Fase de consolidación (6-12</w:t>
      </w:r>
      <w:r>
        <w:rPr>
          <w:spacing w:val="-4"/>
        </w:rPr>
        <w:t xml:space="preserve"> </w:t>
      </w:r>
      <w:r>
        <w:t>meses):</w:t>
      </w:r>
      <w:r>
        <w:rPr>
          <w:spacing w:val="-4"/>
        </w:rPr>
        <w:t xml:space="preserve"> </w:t>
      </w:r>
      <w:r>
        <w:t>enfocada</w:t>
      </w:r>
      <w:r>
        <w:rPr>
          <w:spacing w:val="-4"/>
        </w:rPr>
        <w:t xml:space="preserve"> </w:t>
      </w:r>
      <w:r>
        <w:t>en</w:t>
      </w:r>
      <w:r>
        <w:rPr>
          <w:spacing w:val="-4"/>
        </w:rPr>
        <w:t xml:space="preserve"> </w:t>
      </w:r>
      <w:r>
        <w:t>la</w:t>
      </w:r>
      <w:r>
        <w:rPr>
          <w:spacing w:val="-4"/>
        </w:rPr>
        <w:t xml:space="preserve"> </w:t>
      </w:r>
      <w:r>
        <w:t>penetración</w:t>
      </w:r>
      <w:r>
        <w:rPr>
          <w:spacing w:val="-4"/>
        </w:rPr>
        <w:t xml:space="preserve"> </w:t>
      </w:r>
      <w:r>
        <w:t>B2B</w:t>
      </w:r>
      <w:r>
        <w:rPr>
          <w:spacing w:val="-4"/>
        </w:rPr>
        <w:t xml:space="preserve"> </w:t>
      </w:r>
      <w:r>
        <w:t>mediante</w:t>
      </w:r>
      <w:r>
        <w:rPr>
          <w:spacing w:val="-4"/>
        </w:rPr>
        <w:t xml:space="preserve"> </w:t>
      </w:r>
      <w:r>
        <w:t>la colocación del producto en concept stores y boutiques en hoteles de la península.</w:t>
      </w:r>
    </w:p>
    <w:p w:rsidR="009B4BB4" w:rsidRDefault="00C44001" w:rsidP="00C44001">
      <w:pPr>
        <w:pStyle w:val="Prrafodelista"/>
        <w:numPr>
          <w:ilvl w:val="0"/>
          <w:numId w:val="22"/>
        </w:numPr>
        <w:tabs>
          <w:tab w:val="left" w:pos="1145"/>
        </w:tabs>
        <w:spacing w:line="360" w:lineRule="auto"/>
        <w:ind w:right="609"/>
        <w:jc w:val="both"/>
      </w:pPr>
      <w:r>
        <w:t>Fase de expansión (12-24 meses): enfocada en la escalabilidad mediante la entrada a marketplaces de</w:t>
      </w:r>
      <w:r>
        <w:rPr>
          <w:spacing w:val="-4"/>
        </w:rPr>
        <w:t xml:space="preserve"> </w:t>
      </w:r>
      <w:r>
        <w:t>alcance</w:t>
      </w:r>
      <w:r>
        <w:rPr>
          <w:spacing w:val="-4"/>
        </w:rPr>
        <w:t xml:space="preserve"> </w:t>
      </w:r>
      <w:r>
        <w:t>nacional</w:t>
      </w:r>
      <w:r>
        <w:rPr>
          <w:spacing w:val="-5"/>
        </w:rPr>
        <w:t xml:space="preserve"> </w:t>
      </w:r>
      <w:r>
        <w:t>e</w:t>
      </w:r>
      <w:r>
        <w:rPr>
          <w:spacing w:val="-4"/>
        </w:rPr>
        <w:t xml:space="preserve"> </w:t>
      </w:r>
      <w:r>
        <w:t>internaciona</w:t>
      </w:r>
      <w:r>
        <w:t>l,</w:t>
      </w:r>
      <w:r>
        <w:rPr>
          <w:spacing w:val="-4"/>
        </w:rPr>
        <w:t xml:space="preserve"> </w:t>
      </w:r>
      <w:r>
        <w:t>por</w:t>
      </w:r>
      <w:r>
        <w:rPr>
          <w:spacing w:val="-5"/>
        </w:rPr>
        <w:t xml:space="preserve"> </w:t>
      </w:r>
      <w:r>
        <w:t>ejemplo,</w:t>
      </w:r>
      <w:r>
        <w:rPr>
          <w:spacing w:val="-4"/>
        </w:rPr>
        <w:t xml:space="preserve"> </w:t>
      </w:r>
      <w:r>
        <w:rPr>
          <w:rFonts w:ascii="Arial" w:hAnsi="Arial"/>
          <w:i/>
        </w:rPr>
        <w:t xml:space="preserve">Amazon Handmade </w:t>
      </w:r>
      <w:r>
        <w:t>o Mercado Libre Full.</w:t>
      </w:r>
    </w:p>
    <w:p w:rsidR="009B4BB4" w:rsidRDefault="00C44001">
      <w:pPr>
        <w:pStyle w:val="Textoindependiente"/>
        <w:spacing w:line="360" w:lineRule="auto"/>
        <w:ind w:left="425" w:right="607" w:firstLine="720"/>
        <w:jc w:val="both"/>
      </w:pPr>
      <w:r>
        <w:t>Para medir el desempeño, se establecen metas cuantitativas para el primer año de operación, siguiendo el marco de control de métricas de Kitchen y Burgmann (2010):</w:t>
      </w:r>
    </w:p>
    <w:p w:rsidR="009B4BB4" w:rsidRDefault="00C44001" w:rsidP="00C44001">
      <w:pPr>
        <w:pStyle w:val="Prrafodelista"/>
        <w:numPr>
          <w:ilvl w:val="0"/>
          <w:numId w:val="22"/>
        </w:numPr>
        <w:tabs>
          <w:tab w:val="left" w:pos="1145"/>
        </w:tabs>
        <w:spacing w:line="360" w:lineRule="auto"/>
        <w:ind w:right="604"/>
        <w:jc w:val="both"/>
      </w:pPr>
      <w:r>
        <w:rPr>
          <w:rFonts w:ascii="Arial" w:hAnsi="Arial"/>
          <w:b/>
        </w:rPr>
        <w:t>Alcance</w:t>
      </w:r>
      <w:r>
        <w:rPr>
          <w:rFonts w:ascii="Arial" w:hAnsi="Arial"/>
          <w:b/>
          <w:spacing w:val="-5"/>
        </w:rPr>
        <w:t xml:space="preserve"> </w:t>
      </w:r>
      <w:r>
        <w:rPr>
          <w:rFonts w:ascii="Arial" w:hAnsi="Arial"/>
          <w:b/>
        </w:rPr>
        <w:t>y</w:t>
      </w:r>
      <w:r>
        <w:rPr>
          <w:rFonts w:ascii="Arial" w:hAnsi="Arial"/>
          <w:b/>
          <w:spacing w:val="-5"/>
        </w:rPr>
        <w:t xml:space="preserve"> </w:t>
      </w:r>
      <w:r>
        <w:rPr>
          <w:rFonts w:ascii="Arial" w:hAnsi="Arial"/>
          <w:b/>
        </w:rPr>
        <w:t>construcción</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rPr>
        <w:t>comunidad</w:t>
      </w:r>
      <w:r>
        <w:rPr>
          <w:rFonts w:ascii="Arial" w:hAnsi="Arial"/>
          <w:b/>
          <w:spacing w:val="-5"/>
        </w:rPr>
        <w:t xml:space="preserve"> </w:t>
      </w:r>
      <w:r>
        <w:rPr>
          <w:rFonts w:ascii="Arial" w:hAnsi="Arial"/>
          <w:b/>
        </w:rPr>
        <w:t>(B</w:t>
      </w:r>
      <w:r>
        <w:rPr>
          <w:rFonts w:ascii="Arial" w:hAnsi="Arial"/>
          <w:b/>
        </w:rPr>
        <w:t>rand</w:t>
      </w:r>
      <w:r>
        <w:rPr>
          <w:rFonts w:ascii="Arial" w:hAnsi="Arial"/>
          <w:b/>
          <w:spacing w:val="-5"/>
        </w:rPr>
        <w:t xml:space="preserve"> </w:t>
      </w:r>
      <w:r>
        <w:rPr>
          <w:rFonts w:ascii="Arial" w:hAnsi="Arial"/>
          <w:b/>
        </w:rPr>
        <w:t>Awareness):</w:t>
      </w:r>
      <w:r>
        <w:rPr>
          <w:rFonts w:ascii="Arial" w:hAnsi="Arial"/>
          <w:b/>
          <w:spacing w:val="-5"/>
        </w:rPr>
        <w:t xml:space="preserve"> </w:t>
      </w:r>
      <w:r>
        <w:t>Alcanzar</w:t>
      </w:r>
      <w:r>
        <w:rPr>
          <w:spacing w:val="-5"/>
        </w:rPr>
        <w:t xml:space="preserve"> </w:t>
      </w:r>
      <w:r>
        <w:t>una</w:t>
      </w:r>
      <w:r>
        <w:rPr>
          <w:spacing w:val="-5"/>
        </w:rPr>
        <w:t xml:space="preserve"> </w:t>
      </w:r>
      <w:r>
        <w:t>base de 10,000 seguidores orgánicos combinados en redes sociales. Esta comunidad propia funcionará como un activo que reducirá progresivamente la dependencia</w:t>
      </w:r>
      <w:r>
        <w:rPr>
          <w:spacing w:val="40"/>
        </w:rPr>
        <w:t xml:space="preserve"> </w:t>
      </w:r>
      <w:r>
        <w:t>de publicidad pagada.</w:t>
      </w:r>
    </w:p>
    <w:p w:rsidR="009B4BB4" w:rsidRDefault="00C44001" w:rsidP="00C44001">
      <w:pPr>
        <w:pStyle w:val="Prrafodelista"/>
        <w:numPr>
          <w:ilvl w:val="0"/>
          <w:numId w:val="22"/>
        </w:numPr>
        <w:tabs>
          <w:tab w:val="left" w:pos="1145"/>
        </w:tabs>
        <w:spacing w:line="360" w:lineRule="auto"/>
        <w:ind w:right="604"/>
        <w:jc w:val="both"/>
      </w:pPr>
      <w:r>
        <w:rPr>
          <w:rFonts w:ascii="Arial" w:hAnsi="Arial"/>
          <w:b/>
        </w:rPr>
        <w:t xml:space="preserve">Eficiencia de adquisición (CAC): </w:t>
      </w:r>
      <w:r>
        <w:t>Mantener un c</w:t>
      </w:r>
      <w:r>
        <w:t>osto de adquisición de cliente (CAC) inferior a $10 USD en el canal digital directo, mediante la optimización continua de las conversiones.</w:t>
      </w:r>
    </w:p>
    <w:p w:rsidR="009B4BB4" w:rsidRDefault="009B4BB4">
      <w:pPr>
        <w:pStyle w:val="Prrafodelista"/>
        <w:spacing w:line="360" w:lineRule="auto"/>
        <w:jc w:val="both"/>
        <w:sectPr w:rsidR="009B4BB4">
          <w:pgSz w:w="11920" w:h="16840"/>
          <w:pgMar w:top="1940" w:right="850" w:bottom="1940" w:left="1275" w:header="0" w:footer="1747" w:gutter="0"/>
          <w:cols w:space="720"/>
        </w:sectPr>
      </w:pPr>
    </w:p>
    <w:p w:rsidR="009B4BB4" w:rsidRDefault="00C44001" w:rsidP="00C44001">
      <w:pPr>
        <w:pStyle w:val="Prrafodelista"/>
        <w:numPr>
          <w:ilvl w:val="0"/>
          <w:numId w:val="22"/>
        </w:numPr>
        <w:tabs>
          <w:tab w:val="left" w:pos="1145"/>
        </w:tabs>
        <w:spacing w:before="79" w:line="360" w:lineRule="auto"/>
        <w:ind w:right="603"/>
        <w:jc w:val="both"/>
      </w:pPr>
      <w:r>
        <w:rPr>
          <w:rFonts w:ascii="Arial" w:hAnsi="Arial"/>
          <w:b/>
        </w:rPr>
        <w:lastRenderedPageBreak/>
        <w:t>Tasa</w:t>
      </w:r>
      <w:r>
        <w:rPr>
          <w:rFonts w:ascii="Arial" w:hAnsi="Arial"/>
          <w:b/>
          <w:spacing w:val="70"/>
        </w:rPr>
        <w:t xml:space="preserve"> </w:t>
      </w:r>
      <w:r>
        <w:rPr>
          <w:rFonts w:ascii="Arial" w:hAnsi="Arial"/>
          <w:b/>
        </w:rPr>
        <w:t>de</w:t>
      </w:r>
      <w:r>
        <w:rPr>
          <w:rFonts w:ascii="Arial" w:hAnsi="Arial"/>
          <w:b/>
          <w:spacing w:val="40"/>
        </w:rPr>
        <w:t xml:space="preserve"> </w:t>
      </w:r>
      <w:r>
        <w:rPr>
          <w:rFonts w:ascii="Arial" w:hAnsi="Arial"/>
          <w:b/>
        </w:rPr>
        <w:t>conversión:</w:t>
      </w:r>
      <w:r>
        <w:rPr>
          <w:rFonts w:ascii="Arial" w:hAnsi="Arial"/>
          <w:b/>
          <w:spacing w:val="40"/>
        </w:rPr>
        <w:t xml:space="preserve"> </w:t>
      </w:r>
      <w:r>
        <w:t>Alcanzar</w:t>
      </w:r>
      <w:r>
        <w:rPr>
          <w:spacing w:val="40"/>
        </w:rPr>
        <w:t xml:space="preserve"> </w:t>
      </w:r>
      <w:r>
        <w:t>una</w:t>
      </w:r>
      <w:r>
        <w:rPr>
          <w:spacing w:val="40"/>
        </w:rPr>
        <w:t xml:space="preserve"> </w:t>
      </w:r>
      <w:r>
        <w:t>tasa</w:t>
      </w:r>
      <w:r>
        <w:rPr>
          <w:spacing w:val="40"/>
        </w:rPr>
        <w:t xml:space="preserve"> </w:t>
      </w:r>
      <w:r>
        <w:t>de</w:t>
      </w:r>
      <w:r>
        <w:rPr>
          <w:spacing w:val="40"/>
        </w:rPr>
        <w:t xml:space="preserve"> </w:t>
      </w:r>
      <w:r>
        <w:t>conversión</w:t>
      </w:r>
      <w:r>
        <w:rPr>
          <w:spacing w:val="40"/>
        </w:rPr>
        <w:t xml:space="preserve"> </w:t>
      </w:r>
      <w:r>
        <w:t>del</w:t>
      </w:r>
      <w:r>
        <w:rPr>
          <w:spacing w:val="40"/>
        </w:rPr>
        <w:t xml:space="preserve"> </w:t>
      </w:r>
      <w:r>
        <w:t>2%</w:t>
      </w:r>
      <w:r>
        <w:rPr>
          <w:spacing w:val="40"/>
        </w:rPr>
        <w:t xml:space="preserve"> </w:t>
      </w:r>
      <w:r>
        <w:t>al</w:t>
      </w:r>
      <w:r>
        <w:rPr>
          <w:spacing w:val="40"/>
        </w:rPr>
        <w:t xml:space="preserve"> </w:t>
      </w:r>
      <w:r>
        <w:t>3%</w:t>
      </w:r>
      <w:r>
        <w:rPr>
          <w:spacing w:val="40"/>
        </w:rPr>
        <w:t xml:space="preserve"> </w:t>
      </w:r>
      <w:r>
        <w:t>en</w:t>
      </w:r>
      <w:r>
        <w:rPr>
          <w:spacing w:val="40"/>
        </w:rPr>
        <w:t xml:space="preserve"> </w:t>
      </w:r>
      <w:r>
        <w:t>el</w:t>
      </w:r>
      <w:r>
        <w:rPr>
          <w:spacing w:val="40"/>
        </w:rPr>
        <w:t xml:space="preserve"> </w:t>
      </w:r>
      <w:r>
        <w:t>e-commerce propio.</w:t>
      </w:r>
      <w:r>
        <w:rPr>
          <w:spacing w:val="-3"/>
        </w:rPr>
        <w:t xml:space="preserve"> </w:t>
      </w:r>
      <w:r>
        <w:t>Este</w:t>
      </w:r>
      <w:r>
        <w:rPr>
          <w:spacing w:val="-3"/>
        </w:rPr>
        <w:t xml:space="preserve"> </w:t>
      </w:r>
      <w:r>
        <w:t>rango</w:t>
      </w:r>
      <w:r>
        <w:rPr>
          <w:spacing w:val="-3"/>
        </w:rPr>
        <w:t xml:space="preserve"> </w:t>
      </w:r>
      <w:r>
        <w:t>se</w:t>
      </w:r>
      <w:r>
        <w:rPr>
          <w:spacing w:val="-3"/>
        </w:rPr>
        <w:t xml:space="preserve"> </w:t>
      </w:r>
      <w:r>
        <w:t>basa</w:t>
      </w:r>
      <w:r>
        <w:rPr>
          <w:spacing w:val="-3"/>
        </w:rPr>
        <w:t xml:space="preserve"> </w:t>
      </w:r>
      <w:r>
        <w:t>en</w:t>
      </w:r>
      <w:r>
        <w:rPr>
          <w:spacing w:val="-3"/>
        </w:rPr>
        <w:t xml:space="preserve"> </w:t>
      </w:r>
      <w:r>
        <w:t>benchmarks</w:t>
      </w:r>
      <w:r>
        <w:rPr>
          <w:spacing w:val="-3"/>
        </w:rPr>
        <w:t xml:space="preserve"> </w:t>
      </w:r>
      <w:r>
        <w:t>globales</w:t>
      </w:r>
      <w:r>
        <w:rPr>
          <w:spacing w:val="-3"/>
        </w:rPr>
        <w:t xml:space="preserve"> </w:t>
      </w:r>
      <w:r>
        <w:t>del</w:t>
      </w:r>
      <w:r>
        <w:rPr>
          <w:spacing w:val="-3"/>
        </w:rPr>
        <w:t xml:space="preserve"> </w:t>
      </w:r>
      <w:r>
        <w:t>sector</w:t>
      </w:r>
      <w:r>
        <w:rPr>
          <w:spacing w:val="-3"/>
        </w:rPr>
        <w:t xml:space="preserve"> </w:t>
      </w:r>
      <w:r>
        <w:t xml:space="preserve">salud, bienestar y productos gourmet, donde una conversión superior al 2% representa un rendimiento competitivo y optimizado (Smart Insights, 2023; IRP Commerce, </w:t>
      </w:r>
      <w:r>
        <w:rPr>
          <w:spacing w:val="-2"/>
        </w:rPr>
        <w:t>2024).</w:t>
      </w:r>
    </w:p>
    <w:p w:rsidR="009B4BB4" w:rsidRDefault="00C44001" w:rsidP="00C44001">
      <w:pPr>
        <w:pStyle w:val="Prrafodelista"/>
        <w:numPr>
          <w:ilvl w:val="0"/>
          <w:numId w:val="22"/>
        </w:numPr>
        <w:tabs>
          <w:tab w:val="left" w:pos="1145"/>
        </w:tabs>
        <w:spacing w:line="360" w:lineRule="auto"/>
        <w:ind w:right="602"/>
        <w:jc w:val="both"/>
      </w:pPr>
      <w:r>
        <w:rPr>
          <w:rFonts w:ascii="Arial" w:hAnsi="Arial"/>
          <w:b/>
        </w:rPr>
        <w:t>Impacto social verificable (KPI ético y</w:t>
      </w:r>
      <w:r>
        <w:rPr>
          <w:rFonts w:ascii="Arial" w:hAnsi="Arial"/>
          <w:b/>
        </w:rPr>
        <w:t xml:space="preserve"> de gobernanza): </w:t>
      </w:r>
      <w:r>
        <w:t>Asegurar el cumplimiento de la propuesta de</w:t>
      </w:r>
      <w:r>
        <w:rPr>
          <w:spacing w:val="-4"/>
        </w:rPr>
        <w:t xml:space="preserve"> </w:t>
      </w:r>
      <w:r>
        <w:t>valor</w:t>
      </w:r>
      <w:r>
        <w:rPr>
          <w:spacing w:val="-4"/>
        </w:rPr>
        <w:t xml:space="preserve"> </w:t>
      </w:r>
      <w:r>
        <w:t>compartido,</w:t>
      </w:r>
      <w:r>
        <w:rPr>
          <w:spacing w:val="-4"/>
        </w:rPr>
        <w:t xml:space="preserve"> </w:t>
      </w:r>
      <w:r>
        <w:t>garantizando</w:t>
      </w:r>
      <w:r>
        <w:rPr>
          <w:spacing w:val="-4"/>
        </w:rPr>
        <w:t xml:space="preserve"> </w:t>
      </w:r>
      <w:r>
        <w:t>que</w:t>
      </w:r>
      <w:r>
        <w:rPr>
          <w:spacing w:val="-4"/>
        </w:rPr>
        <w:t xml:space="preserve"> </w:t>
      </w:r>
      <w:r>
        <w:t>entre</w:t>
      </w:r>
      <w:r>
        <w:rPr>
          <w:spacing w:val="-4"/>
        </w:rPr>
        <w:t xml:space="preserve"> </w:t>
      </w:r>
      <w:r>
        <w:t>el</w:t>
      </w:r>
      <w:r>
        <w:rPr>
          <w:spacing w:val="-4"/>
        </w:rPr>
        <w:t xml:space="preserve"> </w:t>
      </w:r>
      <w:r>
        <w:t>15% y 25% del precio por unidad representa un sobreprecio directo frente al mercado informal para</w:t>
      </w:r>
      <w:r>
        <w:rPr>
          <w:spacing w:val="-4"/>
        </w:rPr>
        <w:t xml:space="preserve"> </w:t>
      </w:r>
      <w:r>
        <w:t>los</w:t>
      </w:r>
      <w:r>
        <w:rPr>
          <w:spacing w:val="-4"/>
        </w:rPr>
        <w:t xml:space="preserve"> </w:t>
      </w:r>
      <w:r>
        <w:t>meliponicultores</w:t>
      </w:r>
      <w:r>
        <w:rPr>
          <w:spacing w:val="-4"/>
        </w:rPr>
        <w:t xml:space="preserve"> </w:t>
      </w:r>
      <w:r>
        <w:t>aliados,</w:t>
      </w:r>
      <w:r>
        <w:rPr>
          <w:spacing w:val="-4"/>
        </w:rPr>
        <w:t xml:space="preserve"> </w:t>
      </w:r>
      <w:r>
        <w:t>equivalente</w:t>
      </w:r>
      <w:r>
        <w:rPr>
          <w:spacing w:val="-4"/>
        </w:rPr>
        <w:t xml:space="preserve"> </w:t>
      </w:r>
      <w:r>
        <w:t>a</w:t>
      </w:r>
      <w:r>
        <w:rPr>
          <w:spacing w:val="-4"/>
        </w:rPr>
        <w:t xml:space="preserve"> </w:t>
      </w:r>
      <w:r>
        <w:t>aproximad</w:t>
      </w:r>
      <w:r>
        <w:t>amente</w:t>
      </w:r>
      <w:r>
        <w:rPr>
          <w:spacing w:val="-4"/>
        </w:rPr>
        <w:t xml:space="preserve"> </w:t>
      </w:r>
      <w:r>
        <w:t>el</w:t>
      </w:r>
      <w:r>
        <w:rPr>
          <w:spacing w:val="-4"/>
        </w:rPr>
        <w:t xml:space="preserve"> </w:t>
      </w:r>
      <w:r>
        <w:t xml:space="preserve">17% del ingreso bruto por unidad destinado a materia prima a precio justo. Este indicador legitima el posicionamiento </w:t>
      </w:r>
      <w:r>
        <w:rPr>
          <w:rFonts w:ascii="Arial" w:hAnsi="Arial"/>
          <w:i/>
        </w:rPr>
        <w:t>premium</w:t>
      </w:r>
      <w:r>
        <w:rPr>
          <w:rFonts w:ascii="Arial" w:hAnsi="Arial"/>
          <w:i/>
          <w:spacing w:val="-5"/>
        </w:rPr>
        <w:t xml:space="preserve"> </w:t>
      </w:r>
      <w:r>
        <w:t>de</w:t>
      </w:r>
      <w:r>
        <w:rPr>
          <w:spacing w:val="-5"/>
        </w:rPr>
        <w:t xml:space="preserve"> </w:t>
      </w:r>
      <w:r>
        <w:t>la</w:t>
      </w:r>
      <w:r>
        <w:rPr>
          <w:spacing w:val="-5"/>
        </w:rPr>
        <w:t xml:space="preserve"> </w:t>
      </w:r>
      <w:r>
        <w:t>marca</w:t>
      </w:r>
      <w:r>
        <w:rPr>
          <w:spacing w:val="-5"/>
        </w:rPr>
        <w:t xml:space="preserve"> </w:t>
      </w:r>
      <w:r>
        <w:t>ante</w:t>
      </w:r>
      <w:r>
        <w:rPr>
          <w:spacing w:val="-5"/>
        </w:rPr>
        <w:t xml:space="preserve"> </w:t>
      </w:r>
      <w:r>
        <w:t>el</w:t>
      </w:r>
      <w:r>
        <w:rPr>
          <w:spacing w:val="-5"/>
        </w:rPr>
        <w:t xml:space="preserve"> </w:t>
      </w:r>
      <w:r>
        <w:t>consumidor,</w:t>
      </w:r>
      <w:r>
        <w:rPr>
          <w:spacing w:val="-5"/>
        </w:rPr>
        <w:t xml:space="preserve"> </w:t>
      </w:r>
      <w:r>
        <w:t>ya que convierte cada compra en una contribución directa y verificable al comercio justo. En conjunto, estos indicadores permiten evaluar tanto el desempeño comercial como la coherencia del modelo de valor.</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23"/>
        </w:numPr>
        <w:tabs>
          <w:tab w:val="left" w:pos="818"/>
        </w:tabs>
        <w:spacing w:before="79"/>
        <w:ind w:left="818" w:hanging="363"/>
      </w:pPr>
      <w:bookmarkStart w:id="201" w:name="5.7_Conclusión__"/>
      <w:bookmarkStart w:id="202" w:name="h.8afjkoele0q1"/>
      <w:bookmarkEnd w:id="201"/>
      <w:bookmarkEnd w:id="202"/>
      <w:r>
        <w:rPr>
          <w:spacing w:val="-2"/>
        </w:rPr>
        <w:lastRenderedPageBreak/>
        <w:t>Conclusión</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4" w:firstLine="720"/>
        <w:jc w:val="both"/>
      </w:pPr>
      <w:r>
        <w:t xml:space="preserve">El diseño del plan </w:t>
      </w:r>
      <w:r>
        <w:t xml:space="preserve">de marketing demuestra que la viabilidad comercial de Guardiana depende de una diferenciación clara, más que de competir por volumen o precio. Al alejar el producto de la categoría de commodity y posicionarlo como un nutracéutico biocultural </w:t>
      </w:r>
      <w:r>
        <w:rPr>
          <w:rFonts w:ascii="Arial" w:hAnsi="Arial"/>
          <w:i/>
        </w:rPr>
        <w:t>premium</w:t>
      </w:r>
      <w:r>
        <w:t>, la ma</w:t>
      </w:r>
      <w:r>
        <w:t>rca reduce la principal barrera de compra del sector, la desconfianza del consumidor. A través de la transparencia radical, el</w:t>
      </w:r>
      <w:r>
        <w:rPr>
          <w:spacing w:val="-5"/>
        </w:rPr>
        <w:t xml:space="preserve"> </w:t>
      </w:r>
      <w:r>
        <w:t xml:space="preserve">concepto de maduración lenta y un firme compromiso de comercio justo, Guardiana sustenta su estructura de precios y asegura </w:t>
      </w:r>
      <w:proofErr w:type="gramStart"/>
      <w:r>
        <w:t>su tr</w:t>
      </w:r>
      <w:r>
        <w:t>acción en nichos de alto valor, tanto nacionales</w:t>
      </w:r>
      <w:r>
        <w:rPr>
          <w:spacing w:val="40"/>
        </w:rPr>
        <w:t xml:space="preserve"> </w:t>
      </w:r>
      <w:r>
        <w:t>como internacionales</w:t>
      </w:r>
      <w:proofErr w:type="gramEnd"/>
      <w:r>
        <w:t>.</w:t>
      </w:r>
      <w:r>
        <w:rPr>
          <w:spacing w:val="40"/>
        </w:rPr>
        <w:t xml:space="preserve"> </w:t>
      </w:r>
      <w:r>
        <w:t xml:space="preserve">El valor percibido reemplaza al precio como principal motor de </w:t>
      </w:r>
      <w:r>
        <w:rPr>
          <w:spacing w:val="-2"/>
        </w:rPr>
        <w:t>decisión.</w:t>
      </w:r>
    </w:p>
    <w:p w:rsidR="009B4BB4" w:rsidRDefault="00C44001">
      <w:pPr>
        <w:pStyle w:val="Textoindependiente"/>
        <w:spacing w:line="360" w:lineRule="auto"/>
        <w:ind w:left="425" w:right="608" w:firstLine="720"/>
        <w:jc w:val="both"/>
      </w:pPr>
      <w:r>
        <w:t xml:space="preserve">Sin embargo, el éxito de esta propuesta depende de la capacidad de ejecución operativa del proyecto. La promesa </w:t>
      </w:r>
      <w:r>
        <w:t>de autenticidad, trazabilidad y abasto</w:t>
      </w:r>
      <w:r>
        <w:rPr>
          <w:spacing w:val="-3"/>
        </w:rPr>
        <w:t xml:space="preserve"> </w:t>
      </w:r>
      <w:r>
        <w:t>continuo</w:t>
      </w:r>
      <w:r>
        <w:rPr>
          <w:spacing w:val="-3"/>
        </w:rPr>
        <w:t xml:space="preserve"> </w:t>
      </w:r>
      <w:r>
        <w:t>exige una cadena de suministro coordinada, especialmente al tratarse de un recurso biológico limitado y vulnerable a las condiciones climáticas.</w:t>
      </w:r>
      <w:r>
        <w:rPr>
          <w:spacing w:val="-3"/>
        </w:rPr>
        <w:t xml:space="preserve"> </w:t>
      </w:r>
      <w:r>
        <w:t>La</w:t>
      </w:r>
      <w:r>
        <w:rPr>
          <w:spacing w:val="-3"/>
        </w:rPr>
        <w:t xml:space="preserve"> </w:t>
      </w:r>
      <w:r>
        <w:t>propuesta</w:t>
      </w:r>
      <w:r>
        <w:rPr>
          <w:spacing w:val="-3"/>
        </w:rPr>
        <w:t xml:space="preserve"> </w:t>
      </w:r>
      <w:r>
        <w:t>de</w:t>
      </w:r>
      <w:r>
        <w:rPr>
          <w:spacing w:val="-3"/>
        </w:rPr>
        <w:t xml:space="preserve"> </w:t>
      </w:r>
      <w:r>
        <w:t>valor</w:t>
      </w:r>
      <w:r>
        <w:rPr>
          <w:spacing w:val="-3"/>
        </w:rPr>
        <w:t xml:space="preserve"> </w:t>
      </w:r>
      <w:r>
        <w:t>sólo</w:t>
      </w:r>
      <w:r>
        <w:rPr>
          <w:spacing w:val="-3"/>
        </w:rPr>
        <w:t xml:space="preserve"> </w:t>
      </w:r>
      <w:r>
        <w:t>se</w:t>
      </w:r>
      <w:r>
        <w:rPr>
          <w:spacing w:val="-3"/>
        </w:rPr>
        <w:t xml:space="preserve"> </w:t>
      </w:r>
      <w:r>
        <w:t>sostiene si la operación es capaz</w:t>
      </w:r>
      <w:r>
        <w:t xml:space="preserve"> de respaldarla.</w:t>
      </w:r>
    </w:p>
    <w:p w:rsidR="009B4BB4" w:rsidRDefault="00C44001">
      <w:pPr>
        <w:pStyle w:val="Textoindependiente"/>
        <w:spacing w:line="360" w:lineRule="auto"/>
        <w:ind w:left="425" w:right="603" w:firstLine="720"/>
        <w:jc w:val="both"/>
      </w:pPr>
      <w:r>
        <w:t>Una vez definida la estrategia para capturar y retener la demanda, el siguiente paso crítico es definir cómo se atenderá esa demanda. En consecuencia, el Capítulo 6 desarrolla el Plan de Operaciones, detallando la arquitectura</w:t>
      </w:r>
      <w:r>
        <w:rPr>
          <w:spacing w:val="-3"/>
        </w:rPr>
        <w:t xml:space="preserve"> </w:t>
      </w:r>
      <w:r>
        <w:t>de</w:t>
      </w:r>
      <w:r>
        <w:rPr>
          <w:spacing w:val="-3"/>
        </w:rPr>
        <w:t xml:space="preserve"> </w:t>
      </w:r>
      <w:r>
        <w:t>la</w:t>
      </w:r>
      <w:r>
        <w:rPr>
          <w:spacing w:val="-3"/>
        </w:rPr>
        <w:t xml:space="preserve"> </w:t>
      </w:r>
      <w:r>
        <w:t>cadena</w:t>
      </w:r>
      <w:r>
        <w:rPr>
          <w:spacing w:val="-3"/>
        </w:rPr>
        <w:t xml:space="preserve"> </w:t>
      </w:r>
      <w:r>
        <w:t>de</w:t>
      </w:r>
      <w:r>
        <w:rPr>
          <w:spacing w:val="-3"/>
        </w:rPr>
        <w:t xml:space="preserve"> </w:t>
      </w:r>
      <w:r>
        <w:t>suministro, las alianzas claves</w:t>
      </w:r>
      <w:r>
        <w:rPr>
          <w:spacing w:val="-3"/>
        </w:rPr>
        <w:t xml:space="preserve"> </w:t>
      </w:r>
      <w:r>
        <w:t>con</w:t>
      </w:r>
      <w:r>
        <w:rPr>
          <w:spacing w:val="-3"/>
        </w:rPr>
        <w:t xml:space="preserve"> </w:t>
      </w:r>
      <w:r>
        <w:t>los</w:t>
      </w:r>
      <w:r>
        <w:rPr>
          <w:spacing w:val="-3"/>
        </w:rPr>
        <w:t xml:space="preserve"> </w:t>
      </w:r>
      <w:r>
        <w:t>meliponarios,</w:t>
      </w:r>
      <w:r>
        <w:rPr>
          <w:spacing w:val="-3"/>
        </w:rPr>
        <w:t xml:space="preserve"> </w:t>
      </w:r>
      <w:r>
        <w:t>los</w:t>
      </w:r>
      <w:r>
        <w:rPr>
          <w:spacing w:val="-3"/>
        </w:rPr>
        <w:t xml:space="preserve"> </w:t>
      </w:r>
      <w:r>
        <w:t>procesos</w:t>
      </w:r>
      <w:r>
        <w:rPr>
          <w:spacing w:val="-3"/>
        </w:rPr>
        <w:t xml:space="preserve"> </w:t>
      </w:r>
      <w:r>
        <w:t>de</w:t>
      </w:r>
      <w:r>
        <w:rPr>
          <w:spacing w:val="-3"/>
        </w:rPr>
        <w:t xml:space="preserve"> </w:t>
      </w:r>
      <w:r>
        <w:t>control</w:t>
      </w:r>
      <w:r>
        <w:rPr>
          <w:spacing w:val="-3"/>
        </w:rPr>
        <w:t xml:space="preserve"> </w:t>
      </w:r>
      <w:r>
        <w:t>de</w:t>
      </w:r>
      <w:r>
        <w:rPr>
          <w:spacing w:val="-3"/>
        </w:rPr>
        <w:t xml:space="preserve"> </w:t>
      </w:r>
      <w:r>
        <w:t>calidad</w:t>
      </w:r>
      <w:r>
        <w:rPr>
          <w:spacing w:val="-3"/>
        </w:rPr>
        <w:t xml:space="preserve"> </w:t>
      </w:r>
      <w:r>
        <w:t>y</w:t>
      </w:r>
      <w:r>
        <w:rPr>
          <w:spacing w:val="-3"/>
        </w:rPr>
        <w:t xml:space="preserve"> </w:t>
      </w:r>
      <w:r>
        <w:t>la</w:t>
      </w:r>
      <w:r>
        <w:rPr>
          <w:spacing w:val="-3"/>
        </w:rPr>
        <w:t xml:space="preserve"> </w:t>
      </w:r>
      <w:r>
        <w:t>viabilidad técnica necesaria para cumplir la propuesta de valor. Este siguiente capítulo traslada la estrategia al terreno operativo, donde se define la capac</w:t>
      </w:r>
      <w:r>
        <w:t>idad real del proyecto para escalar de forma sostenible.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267" w:right="413"/>
        <w:jc w:val="center"/>
      </w:pPr>
      <w:bookmarkStart w:id="203" w:name="Capítulo_6​Plan_Operativo_y_Organizativo"/>
      <w:bookmarkStart w:id="204" w:name="h.mxpzy6phhy8b"/>
      <w:bookmarkEnd w:id="203"/>
      <w:bookmarkEnd w:id="204"/>
      <w:r>
        <w:lastRenderedPageBreak/>
        <w:t>Capítulo</w:t>
      </w:r>
      <w:r>
        <w:rPr>
          <w:spacing w:val="-8"/>
        </w:rPr>
        <w:t xml:space="preserve"> </w:t>
      </w:r>
      <w:r>
        <w:rPr>
          <w:spacing w:val="-10"/>
        </w:rPr>
        <w:t>6</w:t>
      </w:r>
    </w:p>
    <w:p w:rsidR="009B4BB4" w:rsidRDefault="00C44001">
      <w:pPr>
        <w:pStyle w:val="Ttulo1"/>
        <w:spacing w:before="127"/>
        <w:ind w:left="237" w:right="413"/>
        <w:jc w:val="center"/>
      </w:pPr>
      <w:r>
        <w:t>Plan</w:t>
      </w:r>
      <w:r>
        <w:rPr>
          <w:spacing w:val="-5"/>
        </w:rPr>
        <w:t xml:space="preserve"> </w:t>
      </w:r>
      <w:r>
        <w:t>Operativo</w:t>
      </w:r>
      <w:r>
        <w:rPr>
          <w:spacing w:val="-5"/>
        </w:rPr>
        <w:t xml:space="preserve"> </w:t>
      </w:r>
      <w:r>
        <w:t>y</w:t>
      </w:r>
      <w:r>
        <w:rPr>
          <w:spacing w:val="-4"/>
        </w:rPr>
        <w:t xml:space="preserve"> </w:t>
      </w:r>
      <w:r>
        <w:rPr>
          <w:spacing w:val="-2"/>
        </w:rPr>
        <w:t>Organizativo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10" w:firstLine="720"/>
        <w:jc w:val="both"/>
      </w:pPr>
      <w:r>
        <w:t>El plan operativo y organizativo de Guardiana</w:t>
      </w:r>
      <w:r>
        <w:rPr>
          <w:spacing w:val="-4"/>
        </w:rPr>
        <w:t xml:space="preserve"> </w:t>
      </w:r>
      <w:r>
        <w:t>se</w:t>
      </w:r>
      <w:r>
        <w:rPr>
          <w:spacing w:val="-4"/>
        </w:rPr>
        <w:t xml:space="preserve"> </w:t>
      </w:r>
      <w:r>
        <w:t>diseña</w:t>
      </w:r>
      <w:r>
        <w:rPr>
          <w:spacing w:val="-4"/>
        </w:rPr>
        <w:t xml:space="preserve"> </w:t>
      </w:r>
      <w:r>
        <w:t>para</w:t>
      </w:r>
      <w:r>
        <w:rPr>
          <w:spacing w:val="-4"/>
        </w:rPr>
        <w:t xml:space="preserve"> </w:t>
      </w:r>
      <w:r>
        <w:t>sostener</w:t>
      </w:r>
      <w:r>
        <w:rPr>
          <w:spacing w:val="-4"/>
        </w:rPr>
        <w:t xml:space="preserve"> </w:t>
      </w:r>
      <w:r>
        <w:t>un</w:t>
      </w:r>
      <w:r>
        <w:rPr>
          <w:spacing w:val="-4"/>
        </w:rPr>
        <w:t xml:space="preserve"> </w:t>
      </w:r>
      <w:r>
        <w:t xml:space="preserve">modelo de negocio </w:t>
      </w:r>
      <w:r>
        <w:rPr>
          <w:rFonts w:ascii="Arial" w:hAnsi="Arial"/>
          <w:i/>
        </w:rPr>
        <w:t>premium</w:t>
      </w:r>
      <w:r>
        <w:t>, con bajo riesgo estructural y coherente con su propósito de triple impacto</w:t>
      </w:r>
      <w:proofErr w:type="gramStart"/>
      <w:r>
        <w:t>..</w:t>
      </w:r>
      <w:proofErr w:type="gramEnd"/>
      <w:r>
        <w:t xml:space="preserve"> Bajo un enfoque asset-light y de articulación</w:t>
      </w:r>
      <w:r>
        <w:rPr>
          <w:spacing w:val="-5"/>
        </w:rPr>
        <w:t xml:space="preserve"> </w:t>
      </w:r>
      <w:r>
        <w:t>de</w:t>
      </w:r>
      <w:r>
        <w:rPr>
          <w:spacing w:val="-5"/>
        </w:rPr>
        <w:t xml:space="preserve"> </w:t>
      </w:r>
      <w:r>
        <w:t>capacidades</w:t>
      </w:r>
      <w:r>
        <w:rPr>
          <w:spacing w:val="-5"/>
        </w:rPr>
        <w:t xml:space="preserve"> </w:t>
      </w:r>
      <w:r>
        <w:t>externas</w:t>
      </w:r>
      <w:r>
        <w:rPr>
          <w:spacing w:val="-5"/>
        </w:rPr>
        <w:t xml:space="preserve"> </w:t>
      </w:r>
      <w:r>
        <w:t>(Barney, 1991; Osterwalder &amp; Pigneur, 2010), Guardiana opera como un integrador de valor,</w:t>
      </w:r>
      <w:r>
        <w:rPr>
          <w:spacing w:val="-5"/>
        </w:rPr>
        <w:t xml:space="preserve"> </w:t>
      </w:r>
      <w:r>
        <w:t>más que como un p</w:t>
      </w:r>
      <w:r>
        <w:t>roductor convencional.</w:t>
      </w:r>
    </w:p>
    <w:p w:rsidR="009B4BB4" w:rsidRDefault="00C44001">
      <w:pPr>
        <w:pStyle w:val="Textoindependiente"/>
        <w:spacing w:line="360" w:lineRule="auto"/>
        <w:ind w:left="425" w:right="604" w:firstLine="720"/>
        <w:jc w:val="both"/>
      </w:pPr>
      <w:r>
        <w:t>Esta elección busca minimizar inversiones en activos fijos, reducir rigideces operativas y convertir el capital de trabajo, particularmente el pago justo a productores</w:t>
      </w:r>
      <w:r>
        <w:rPr>
          <w:spacing w:val="-3"/>
        </w:rPr>
        <w:t xml:space="preserve"> </w:t>
      </w:r>
      <w:r>
        <w:t>y el diseño de la experiencia de marca, en la principal palanca d</w:t>
      </w:r>
      <w:r>
        <w:t>e creación de valor del modelo. Más allá de producir la miel, Guardiana actúa como curadora de autenticidad</w:t>
      </w:r>
      <w:r>
        <w:rPr>
          <w:spacing w:val="-3"/>
        </w:rPr>
        <w:t xml:space="preserve"> </w:t>
      </w:r>
      <w:r>
        <w:t>al estructurar procesos,</w:t>
      </w:r>
      <w:r>
        <w:rPr>
          <w:spacing w:val="-4"/>
        </w:rPr>
        <w:t xml:space="preserve"> </w:t>
      </w:r>
      <w:r>
        <w:t>estandarizar</w:t>
      </w:r>
      <w:r>
        <w:rPr>
          <w:spacing w:val="-4"/>
        </w:rPr>
        <w:t xml:space="preserve"> </w:t>
      </w:r>
      <w:r>
        <w:t>criterios</w:t>
      </w:r>
      <w:r>
        <w:rPr>
          <w:spacing w:val="-4"/>
        </w:rPr>
        <w:t xml:space="preserve"> </w:t>
      </w:r>
      <w:r>
        <w:t>de</w:t>
      </w:r>
      <w:r>
        <w:rPr>
          <w:spacing w:val="-4"/>
        </w:rPr>
        <w:t xml:space="preserve"> </w:t>
      </w:r>
      <w:r>
        <w:t>calidad</w:t>
      </w:r>
      <w:r>
        <w:rPr>
          <w:spacing w:val="-4"/>
        </w:rPr>
        <w:t xml:space="preserve"> </w:t>
      </w:r>
      <w:r>
        <w:t>y</w:t>
      </w:r>
      <w:r>
        <w:rPr>
          <w:spacing w:val="-4"/>
        </w:rPr>
        <w:t xml:space="preserve"> </w:t>
      </w:r>
      <w:r>
        <w:t>traducir</w:t>
      </w:r>
      <w:r>
        <w:rPr>
          <w:spacing w:val="-4"/>
        </w:rPr>
        <w:t xml:space="preserve"> </w:t>
      </w:r>
      <w:r>
        <w:t>el</w:t>
      </w:r>
      <w:r>
        <w:rPr>
          <w:spacing w:val="-4"/>
        </w:rPr>
        <w:t xml:space="preserve"> </w:t>
      </w:r>
      <w:r>
        <w:t>conocimiento</w:t>
      </w:r>
      <w:r>
        <w:rPr>
          <w:spacing w:val="-4"/>
        </w:rPr>
        <w:t xml:space="preserve"> </w:t>
      </w:r>
      <w:r>
        <w:t>ancestral en una propuesta confiable para el consumidor. En es</w:t>
      </w:r>
      <w:r>
        <w:t>te modelo, lo que realmente se construye es confianza alrededor del producto.</w:t>
      </w:r>
    </w:p>
    <w:p w:rsidR="009B4BB4" w:rsidRDefault="009B4BB4">
      <w:pPr>
        <w:pStyle w:val="Textoindependiente"/>
        <w:spacing w:before="107"/>
      </w:pPr>
    </w:p>
    <w:p w:rsidR="009B4BB4" w:rsidRDefault="00C44001" w:rsidP="00C44001">
      <w:pPr>
        <w:pStyle w:val="Ttulo1"/>
        <w:numPr>
          <w:ilvl w:val="1"/>
          <w:numId w:val="21"/>
        </w:numPr>
        <w:tabs>
          <w:tab w:val="left" w:pos="818"/>
        </w:tabs>
        <w:ind w:left="818" w:hanging="363"/>
      </w:pPr>
      <w:bookmarkStart w:id="205" w:name="6.1_Procesos_de_producción_y_control_de_"/>
      <w:bookmarkStart w:id="206" w:name="h.aksz8pxe14iq"/>
      <w:bookmarkEnd w:id="205"/>
      <w:bookmarkEnd w:id="206"/>
      <w:r>
        <w:t>Procesos</w:t>
      </w:r>
      <w:r>
        <w:rPr>
          <w:spacing w:val="-5"/>
        </w:rPr>
        <w:t xml:space="preserve"> </w:t>
      </w:r>
      <w:r>
        <w:t>de</w:t>
      </w:r>
      <w:r>
        <w:rPr>
          <w:spacing w:val="-5"/>
        </w:rPr>
        <w:t xml:space="preserve"> </w:t>
      </w:r>
      <w:r>
        <w:t>producción</w:t>
      </w:r>
      <w:r>
        <w:rPr>
          <w:spacing w:val="-5"/>
        </w:rPr>
        <w:t xml:space="preserve"> </w:t>
      </w:r>
      <w:r>
        <w:t>y</w:t>
      </w:r>
      <w:r>
        <w:rPr>
          <w:spacing w:val="-5"/>
        </w:rPr>
        <w:t xml:space="preserve"> </w:t>
      </w:r>
      <w:r>
        <w:t>control</w:t>
      </w:r>
      <w:r>
        <w:rPr>
          <w:spacing w:val="-5"/>
        </w:rPr>
        <w:t xml:space="preserve"> </w:t>
      </w:r>
      <w:r>
        <w:t>de</w:t>
      </w:r>
      <w:r>
        <w:rPr>
          <w:spacing w:val="-5"/>
        </w:rPr>
        <w:t xml:space="preserve"> </w:t>
      </w:r>
      <w:r>
        <w:rPr>
          <w:spacing w:val="-2"/>
        </w:rPr>
        <w:t>calidad</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3" w:firstLine="720"/>
        <w:jc w:val="both"/>
      </w:pPr>
      <w:r>
        <w:t xml:space="preserve">El modelo productivo parte de que la miel melipona debe permanecer en manos de quienes históricamente la </w:t>
      </w:r>
      <w:proofErr w:type="gramStart"/>
      <w:r>
        <w:t>han</w:t>
      </w:r>
      <w:proofErr w:type="gramEnd"/>
      <w:r>
        <w:t xml:space="preserve"> producido. La empresa n</w:t>
      </w:r>
      <w:r>
        <w:t>o sustituye al meliponicultor, sino que lo acompaña y fortalece su alcance comercial, en línea</w:t>
      </w:r>
      <w:r>
        <w:rPr>
          <w:spacing w:val="-2"/>
        </w:rPr>
        <w:t xml:space="preserve"> </w:t>
      </w:r>
      <w:r>
        <w:t>con</w:t>
      </w:r>
      <w:r>
        <w:rPr>
          <w:spacing w:val="-2"/>
        </w:rPr>
        <w:t xml:space="preserve"> </w:t>
      </w:r>
      <w:r>
        <w:t>las</w:t>
      </w:r>
      <w:r>
        <w:rPr>
          <w:spacing w:val="-2"/>
        </w:rPr>
        <w:t xml:space="preserve"> </w:t>
      </w:r>
      <w:r>
        <w:t>directrices</w:t>
      </w:r>
      <w:r>
        <w:rPr>
          <w:spacing w:val="-2"/>
        </w:rPr>
        <w:t xml:space="preserve"> </w:t>
      </w:r>
      <w:r>
        <w:t>de</w:t>
      </w:r>
      <w:r>
        <w:rPr>
          <w:spacing w:val="-2"/>
        </w:rPr>
        <w:t xml:space="preserve"> </w:t>
      </w:r>
      <w:r>
        <w:t>la FAO para</w:t>
      </w:r>
      <w:r>
        <w:rPr>
          <w:spacing w:val="-6"/>
        </w:rPr>
        <w:t xml:space="preserve"> </w:t>
      </w:r>
      <w:r>
        <w:t>el</w:t>
      </w:r>
      <w:r>
        <w:rPr>
          <w:spacing w:val="-6"/>
        </w:rPr>
        <w:t xml:space="preserve"> </w:t>
      </w:r>
      <w:r>
        <w:t>fortalecimiento</w:t>
      </w:r>
      <w:r>
        <w:rPr>
          <w:spacing w:val="-6"/>
        </w:rPr>
        <w:t xml:space="preserve"> </w:t>
      </w:r>
      <w:r>
        <w:t>de</w:t>
      </w:r>
      <w:r>
        <w:rPr>
          <w:spacing w:val="-6"/>
        </w:rPr>
        <w:t xml:space="preserve"> </w:t>
      </w:r>
      <w:r>
        <w:t>cadenas</w:t>
      </w:r>
      <w:r>
        <w:rPr>
          <w:spacing w:val="-6"/>
        </w:rPr>
        <w:t xml:space="preserve"> </w:t>
      </w:r>
      <w:r>
        <w:t>alimentarias</w:t>
      </w:r>
      <w:r>
        <w:rPr>
          <w:spacing w:val="-6"/>
        </w:rPr>
        <w:t xml:space="preserve"> </w:t>
      </w:r>
      <w:r>
        <w:t>tradicionales</w:t>
      </w:r>
      <w:r>
        <w:rPr>
          <w:spacing w:val="-6"/>
        </w:rPr>
        <w:t xml:space="preserve"> </w:t>
      </w:r>
      <w:r>
        <w:t>(Arulingam</w:t>
      </w:r>
      <w:r>
        <w:rPr>
          <w:spacing w:val="-6"/>
        </w:rPr>
        <w:t xml:space="preserve"> </w:t>
      </w:r>
      <w:r>
        <w:t>et</w:t>
      </w:r>
      <w:r>
        <w:rPr>
          <w:spacing w:val="-6"/>
        </w:rPr>
        <w:t xml:space="preserve"> </w:t>
      </w:r>
      <w:r>
        <w:t>al.</w:t>
      </w:r>
      <w:r>
        <w:rPr>
          <w:spacing w:val="-6"/>
        </w:rPr>
        <w:t xml:space="preserve"> </w:t>
      </w:r>
      <w:r>
        <w:t>/</w:t>
      </w:r>
      <w:r>
        <w:rPr>
          <w:spacing w:val="-6"/>
        </w:rPr>
        <w:t xml:space="preserve"> </w:t>
      </w:r>
      <w:r>
        <w:t>FAO, 2022). La operación se organiza en cuatro etapas:</w:t>
      </w:r>
    </w:p>
    <w:p w:rsidR="009B4BB4" w:rsidRDefault="00C44001" w:rsidP="00C44001">
      <w:pPr>
        <w:pStyle w:val="Prrafodelista"/>
        <w:numPr>
          <w:ilvl w:val="0"/>
          <w:numId w:val="20"/>
        </w:numPr>
        <w:tabs>
          <w:tab w:val="left" w:pos="1145"/>
        </w:tabs>
        <w:spacing w:line="360" w:lineRule="auto"/>
        <w:ind w:right="602"/>
        <w:jc w:val="both"/>
      </w:pPr>
      <w:r>
        <w:rPr>
          <w:rFonts w:ascii="Arial" w:hAnsi="Arial"/>
          <w:b/>
        </w:rPr>
        <w:t xml:space="preserve">Abastecimiento justo y ético: </w:t>
      </w:r>
      <w:r>
        <w:t>Compra directa a meliponicultores aliados bajo esquemas de precio superiores al mercado informal. Este esquema elimina intermediarios, estabiliza ingresos y garantiza un s</w:t>
      </w:r>
      <w:r>
        <w:t xml:space="preserve">uministro verificable desde el </w:t>
      </w:r>
      <w:r>
        <w:rPr>
          <w:spacing w:val="-2"/>
        </w:rPr>
        <w:t>origen.</w:t>
      </w:r>
    </w:p>
    <w:p w:rsidR="009B4BB4" w:rsidRDefault="00C44001" w:rsidP="00C44001">
      <w:pPr>
        <w:pStyle w:val="Prrafodelista"/>
        <w:numPr>
          <w:ilvl w:val="0"/>
          <w:numId w:val="20"/>
        </w:numPr>
        <w:tabs>
          <w:tab w:val="left" w:pos="1145"/>
        </w:tabs>
        <w:spacing w:line="360" w:lineRule="auto"/>
        <w:ind w:right="606"/>
        <w:jc w:val="both"/>
      </w:pPr>
      <w:r>
        <w:rPr>
          <w:rFonts w:ascii="Arial" w:hAnsi="Arial"/>
          <w:b/>
        </w:rPr>
        <w:t xml:space="preserve">Proceso de maduración y envasado en origen: </w:t>
      </w:r>
      <w:r>
        <w:t>Para garantizar la estabilidad del producto, se respeta un periodo de reposo de cuatro a seis meses en el meliponario.</w:t>
      </w:r>
      <w:r>
        <w:rPr>
          <w:spacing w:val="-4"/>
        </w:rPr>
        <w:t xml:space="preserve"> </w:t>
      </w:r>
      <w:r>
        <w:t>Este</w:t>
      </w:r>
      <w:r>
        <w:rPr>
          <w:spacing w:val="-4"/>
        </w:rPr>
        <w:t xml:space="preserve"> </w:t>
      </w:r>
      <w:r>
        <w:t>proceso</w:t>
      </w:r>
      <w:r>
        <w:rPr>
          <w:spacing w:val="-4"/>
        </w:rPr>
        <w:t xml:space="preserve"> </w:t>
      </w:r>
      <w:r>
        <w:t>permite</w:t>
      </w:r>
      <w:r>
        <w:rPr>
          <w:spacing w:val="-4"/>
        </w:rPr>
        <w:t xml:space="preserve"> </w:t>
      </w:r>
      <w:r>
        <w:t>la</w:t>
      </w:r>
      <w:r>
        <w:rPr>
          <w:spacing w:val="-4"/>
        </w:rPr>
        <w:t xml:space="preserve"> </w:t>
      </w:r>
      <w:r>
        <w:t>liberación</w:t>
      </w:r>
      <w:r>
        <w:rPr>
          <w:spacing w:val="-4"/>
        </w:rPr>
        <w:t xml:space="preserve"> </w:t>
      </w:r>
      <w:r>
        <w:t>natural</w:t>
      </w:r>
      <w:r>
        <w:rPr>
          <w:spacing w:val="-4"/>
        </w:rPr>
        <w:t xml:space="preserve"> </w:t>
      </w:r>
      <w:r>
        <w:t>de</w:t>
      </w:r>
      <w:r>
        <w:rPr>
          <w:spacing w:val="-4"/>
        </w:rPr>
        <w:t xml:space="preserve"> </w:t>
      </w:r>
      <w:r>
        <w:t>gases</w:t>
      </w:r>
      <w:r>
        <w:rPr>
          <w:spacing w:val="-4"/>
        </w:rPr>
        <w:t xml:space="preserve"> </w:t>
      </w:r>
      <w:r>
        <w:t>y</w:t>
      </w:r>
      <w:r>
        <w:rPr>
          <w:spacing w:val="-4"/>
        </w:rPr>
        <w:t xml:space="preserve"> </w:t>
      </w:r>
      <w:r>
        <w:t>la</w:t>
      </w:r>
      <w:r>
        <w:rPr>
          <w:spacing w:val="-4"/>
        </w:rPr>
        <w:t xml:space="preserve"> </w:t>
      </w:r>
      <w:r>
        <w:t>estabilización de la humedad antes del envasado, el cual se realiza por el productor</w:t>
      </w:r>
      <w:r>
        <w:rPr>
          <w:spacing w:val="-3"/>
        </w:rPr>
        <w:t xml:space="preserve"> </w:t>
      </w:r>
      <w:r>
        <w:t>en</w:t>
      </w:r>
      <w:r>
        <w:rPr>
          <w:spacing w:val="-3"/>
        </w:rPr>
        <w:t xml:space="preserve"> </w:t>
      </w:r>
      <w:r>
        <w:t>frascos</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71"/>
      </w:pPr>
      <w:proofErr w:type="gramStart"/>
      <w:r>
        <w:lastRenderedPageBreak/>
        <w:t>de</w:t>
      </w:r>
      <w:proofErr w:type="gramEnd"/>
      <w:r>
        <w:rPr>
          <w:spacing w:val="40"/>
        </w:rPr>
        <w:t xml:space="preserve"> </w:t>
      </w:r>
      <w:r>
        <w:t>vidrio</w:t>
      </w:r>
      <w:r>
        <w:rPr>
          <w:spacing w:val="40"/>
        </w:rPr>
        <w:t xml:space="preserve"> </w:t>
      </w:r>
      <w:r>
        <w:t>ámbar</w:t>
      </w:r>
      <w:r>
        <w:rPr>
          <w:spacing w:val="40"/>
        </w:rPr>
        <w:t xml:space="preserve"> </w:t>
      </w:r>
      <w:r>
        <w:t>bajo</w:t>
      </w:r>
      <w:r>
        <w:rPr>
          <w:spacing w:val="40"/>
        </w:rPr>
        <w:t xml:space="preserve"> </w:t>
      </w:r>
      <w:r>
        <w:t>protocolos</w:t>
      </w:r>
      <w:r>
        <w:rPr>
          <w:spacing w:val="40"/>
        </w:rPr>
        <w:t xml:space="preserve"> </w:t>
      </w:r>
      <w:r>
        <w:t>básicos</w:t>
      </w:r>
      <w:r>
        <w:rPr>
          <w:spacing w:val="40"/>
        </w:rPr>
        <w:t xml:space="preserve"> </w:t>
      </w:r>
      <w:r>
        <w:t>estandarizados</w:t>
      </w:r>
      <w:r>
        <w:rPr>
          <w:spacing w:val="40"/>
        </w:rPr>
        <w:t xml:space="preserve"> </w:t>
      </w:r>
      <w:r>
        <w:t>de higiene. La calidad comienza en origen, no en el empaque final.</w:t>
      </w:r>
    </w:p>
    <w:p w:rsidR="009B4BB4" w:rsidRDefault="00C44001" w:rsidP="00C44001">
      <w:pPr>
        <w:pStyle w:val="Prrafodelista"/>
        <w:numPr>
          <w:ilvl w:val="0"/>
          <w:numId w:val="20"/>
        </w:numPr>
        <w:tabs>
          <w:tab w:val="left" w:pos="1145"/>
        </w:tabs>
        <w:spacing w:line="360" w:lineRule="auto"/>
        <w:ind w:right="603"/>
        <w:jc w:val="both"/>
      </w:pPr>
      <w:r>
        <w:rPr>
          <w:rFonts w:ascii="Arial" w:hAnsi="Arial"/>
          <w:b/>
        </w:rPr>
        <w:t xml:space="preserve">Control de calidad y rigor técnico: </w:t>
      </w:r>
      <w:r>
        <w:t xml:space="preserve">Dado que la especie </w:t>
      </w:r>
      <w:r>
        <w:rPr>
          <w:rFonts w:ascii="Arial" w:hAnsi="Arial"/>
          <w:i/>
        </w:rPr>
        <w:t xml:space="preserve">Melipona beecheii </w:t>
      </w:r>
      <w:r>
        <w:t>produce una miel con alta humedad (hasta 30%) y gran actividad enzimática (Quezada-Euán, 2018); el control de calidad es riguroso. Se realizan pruebas de densidad mediante refractome</w:t>
      </w:r>
      <w:r>
        <w:t>tría digital, verificación de color y análisis organolépticos</w:t>
      </w:r>
      <w:r>
        <w:rPr>
          <w:spacing w:val="-4"/>
        </w:rPr>
        <w:t xml:space="preserve"> </w:t>
      </w:r>
      <w:r>
        <w:t>por</w:t>
      </w:r>
      <w:r>
        <w:rPr>
          <w:spacing w:val="-4"/>
        </w:rPr>
        <w:t xml:space="preserve"> </w:t>
      </w:r>
      <w:r>
        <w:t>lote,</w:t>
      </w:r>
      <w:r>
        <w:rPr>
          <w:spacing w:val="-4"/>
        </w:rPr>
        <w:t xml:space="preserve"> </w:t>
      </w:r>
      <w:r>
        <w:t>con</w:t>
      </w:r>
      <w:r>
        <w:rPr>
          <w:spacing w:val="-4"/>
        </w:rPr>
        <w:t xml:space="preserve"> </w:t>
      </w:r>
      <w:r>
        <w:t>el</w:t>
      </w:r>
      <w:r>
        <w:rPr>
          <w:spacing w:val="-4"/>
        </w:rPr>
        <w:t xml:space="preserve"> </w:t>
      </w:r>
      <w:r>
        <w:t>objetivo</w:t>
      </w:r>
      <w:r>
        <w:rPr>
          <w:spacing w:val="-4"/>
        </w:rPr>
        <w:t xml:space="preserve"> </w:t>
      </w:r>
      <w:r>
        <w:t>de</w:t>
      </w:r>
      <w:r>
        <w:rPr>
          <w:spacing w:val="-4"/>
        </w:rPr>
        <w:t xml:space="preserve"> </w:t>
      </w:r>
      <w:r>
        <w:t>prevenir</w:t>
      </w:r>
      <w:r>
        <w:rPr>
          <w:spacing w:val="-4"/>
        </w:rPr>
        <w:t xml:space="preserve"> </w:t>
      </w:r>
      <w:r>
        <w:t>fermentación.</w:t>
      </w:r>
      <w:r>
        <w:rPr>
          <w:spacing w:val="-4"/>
        </w:rPr>
        <w:t xml:space="preserve"> </w:t>
      </w:r>
      <w:r>
        <w:t>El</w:t>
      </w:r>
      <w:r>
        <w:rPr>
          <w:spacing w:val="-4"/>
        </w:rPr>
        <w:t xml:space="preserve"> </w:t>
      </w:r>
      <w:r>
        <w:t>control</w:t>
      </w:r>
      <w:r>
        <w:rPr>
          <w:spacing w:val="-4"/>
        </w:rPr>
        <w:t xml:space="preserve"> </w:t>
      </w:r>
      <w:r>
        <w:t>técnico permite sostener la consistencia del producto en un entorno naturalmente</w:t>
      </w:r>
      <w:r>
        <w:rPr>
          <w:spacing w:val="40"/>
        </w:rPr>
        <w:t xml:space="preserve"> </w:t>
      </w:r>
      <w:r>
        <w:rPr>
          <w:spacing w:val="-2"/>
        </w:rPr>
        <w:t>variable.</w:t>
      </w:r>
    </w:p>
    <w:p w:rsidR="009B4BB4" w:rsidRDefault="00C44001" w:rsidP="00C44001">
      <w:pPr>
        <w:pStyle w:val="Prrafodelista"/>
        <w:numPr>
          <w:ilvl w:val="0"/>
          <w:numId w:val="20"/>
        </w:numPr>
        <w:tabs>
          <w:tab w:val="left" w:pos="1145"/>
        </w:tabs>
        <w:spacing w:line="360" w:lineRule="auto"/>
        <w:ind w:right="606"/>
        <w:jc w:val="both"/>
      </w:pPr>
      <w:r>
        <w:rPr>
          <w:rFonts w:ascii="Arial" w:hAnsi="Arial"/>
          <w:b/>
        </w:rPr>
        <w:t>Empaque secundario (</w:t>
      </w:r>
      <w:r>
        <w:rPr>
          <w:rFonts w:ascii="Arial" w:hAnsi="Arial"/>
          <w:b/>
          <w:i/>
        </w:rPr>
        <w:t>Travel-Safe</w:t>
      </w:r>
      <w:r>
        <w:rPr>
          <w:rFonts w:ascii="Arial" w:hAnsi="Arial"/>
          <w:b/>
        </w:rPr>
        <w:t xml:space="preserve">) y trazabilidad: </w:t>
      </w:r>
      <w:r>
        <w:t>En el</w:t>
      </w:r>
      <w:r>
        <w:rPr>
          <w:spacing w:val="-5"/>
        </w:rPr>
        <w:t xml:space="preserve"> </w:t>
      </w:r>
      <w:r>
        <w:t>centro</w:t>
      </w:r>
      <w:r>
        <w:rPr>
          <w:spacing w:val="-5"/>
        </w:rPr>
        <w:t xml:space="preserve"> </w:t>
      </w:r>
      <w:r>
        <w:t>de</w:t>
      </w:r>
      <w:r>
        <w:rPr>
          <w:spacing w:val="-5"/>
        </w:rPr>
        <w:t xml:space="preserve"> </w:t>
      </w:r>
      <w:r>
        <w:t xml:space="preserve">operaciones se realiza el etiquetado </w:t>
      </w:r>
      <w:r>
        <w:rPr>
          <w:rFonts w:ascii="Arial" w:hAnsi="Arial"/>
          <w:i/>
        </w:rPr>
        <w:t xml:space="preserve">premium </w:t>
      </w:r>
      <w:r>
        <w:t>y el ensamblaje</w:t>
      </w:r>
      <w:r>
        <w:rPr>
          <w:spacing w:val="-3"/>
        </w:rPr>
        <w:t xml:space="preserve"> </w:t>
      </w:r>
      <w:r>
        <w:t>en</w:t>
      </w:r>
      <w:r>
        <w:rPr>
          <w:spacing w:val="-3"/>
        </w:rPr>
        <w:t xml:space="preserve"> </w:t>
      </w:r>
      <w:r>
        <w:t>cajas</w:t>
      </w:r>
      <w:r>
        <w:rPr>
          <w:spacing w:val="-3"/>
        </w:rPr>
        <w:t xml:space="preserve"> </w:t>
      </w:r>
      <w:r>
        <w:t>rígidas</w:t>
      </w:r>
      <w:r>
        <w:rPr>
          <w:spacing w:val="-3"/>
        </w:rPr>
        <w:t xml:space="preserve"> </w:t>
      </w:r>
      <w:r>
        <w:t>diseñadas</w:t>
      </w:r>
      <w:r>
        <w:rPr>
          <w:spacing w:val="-3"/>
        </w:rPr>
        <w:t xml:space="preserve"> </w:t>
      </w:r>
      <w:r>
        <w:t>para transporte aéreo. Cada unidad incorpora un código QR único que conecta con la historia del productor y la fecha de cosecha lo que</w:t>
      </w:r>
      <w:r>
        <w:t xml:space="preserve"> reduce la incertidumbre del consumidor mediante trazabilidad directa. La trazabilidad convierte el origen en parte visible del producto.</w:t>
      </w:r>
    </w:p>
    <w:p w:rsidR="009B4BB4" w:rsidRDefault="009B4BB4">
      <w:pPr>
        <w:pStyle w:val="Textoindependiente"/>
        <w:spacing w:before="107"/>
      </w:pPr>
    </w:p>
    <w:p w:rsidR="009B4BB4" w:rsidRDefault="00C44001" w:rsidP="00C44001">
      <w:pPr>
        <w:pStyle w:val="Ttulo1"/>
        <w:numPr>
          <w:ilvl w:val="1"/>
          <w:numId w:val="21"/>
        </w:numPr>
        <w:tabs>
          <w:tab w:val="left" w:pos="818"/>
        </w:tabs>
        <w:ind w:left="818" w:hanging="363"/>
      </w:pPr>
      <w:bookmarkStart w:id="207" w:name="6.2_Infraestructura_y_logística_"/>
      <w:bookmarkStart w:id="208" w:name="h.gf3stgkvisty"/>
      <w:bookmarkEnd w:id="207"/>
      <w:bookmarkEnd w:id="208"/>
      <w:r>
        <w:t>Infraestructura</w:t>
      </w:r>
      <w:r>
        <w:rPr>
          <w:spacing w:val="-8"/>
        </w:rPr>
        <w:t xml:space="preserve"> </w:t>
      </w:r>
      <w:r>
        <w:t>y</w:t>
      </w:r>
      <w:r>
        <w:rPr>
          <w:spacing w:val="-8"/>
        </w:rPr>
        <w:t xml:space="preserve"> </w:t>
      </w:r>
      <w:r>
        <w:rPr>
          <w:spacing w:val="-2"/>
        </w:rPr>
        <w:t>logística</w:t>
      </w:r>
    </w:p>
    <w:p w:rsidR="009B4BB4" w:rsidRDefault="009B4BB4">
      <w:pPr>
        <w:pStyle w:val="Textoindependiente"/>
        <w:spacing w:before="233"/>
        <w:rPr>
          <w:rFonts w:ascii="Arial"/>
          <w:b/>
        </w:rPr>
      </w:pPr>
    </w:p>
    <w:p w:rsidR="009B4BB4" w:rsidRDefault="00C44001">
      <w:pPr>
        <w:pStyle w:val="Textoindependiente"/>
        <w:spacing w:before="1" w:line="360" w:lineRule="auto"/>
        <w:ind w:left="425" w:right="603" w:firstLine="720"/>
        <w:jc w:val="both"/>
      </w:pPr>
      <w:r>
        <w:t xml:space="preserve">La infraestructura de Guardiana se plantea como un habilitador flexible bajo un enfoque </w:t>
      </w:r>
      <w:r>
        <w:rPr>
          <w:rFonts w:ascii="Arial"/>
          <w:i/>
        </w:rPr>
        <w:t xml:space="preserve">Lean Startup </w:t>
      </w:r>
      <w:r>
        <w:t>(Ries, 2011), evitando estructuras pesadas para mantener la agilidad del modelo.</w:t>
      </w:r>
    </w:p>
    <w:p w:rsidR="009B4BB4" w:rsidRDefault="00C44001" w:rsidP="00C44001">
      <w:pPr>
        <w:pStyle w:val="Ttulo2"/>
        <w:numPr>
          <w:ilvl w:val="2"/>
          <w:numId w:val="21"/>
        </w:numPr>
        <w:tabs>
          <w:tab w:val="left" w:pos="1000"/>
        </w:tabs>
        <w:ind w:left="1000" w:hanging="545"/>
      </w:pPr>
      <w:bookmarkStart w:id="209" w:name="6.2.1_Infraestructura_Operativa_"/>
      <w:bookmarkStart w:id="210" w:name="h.io4eijpl1auz"/>
      <w:bookmarkEnd w:id="209"/>
      <w:bookmarkEnd w:id="210"/>
      <w:r>
        <w:t>Infraestructura</w:t>
      </w:r>
      <w:r>
        <w:rPr>
          <w:spacing w:val="-15"/>
        </w:rPr>
        <w:t xml:space="preserve"> </w:t>
      </w:r>
      <w:r>
        <w:rPr>
          <w:spacing w:val="-2"/>
        </w:rPr>
        <w:t>Operativa</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15" w:firstLine="720"/>
        <w:jc w:val="both"/>
      </w:pPr>
      <w:r>
        <w:t>Guardiana inicia operaciones con una infraestructura mínima, orientada a</w:t>
      </w:r>
      <w:r>
        <w:rPr>
          <w:spacing w:val="40"/>
        </w:rPr>
        <w:t xml:space="preserve"> </w:t>
      </w:r>
      <w:r>
        <w:t>sostener el flujo de valor:</w:t>
      </w:r>
    </w:p>
    <w:p w:rsidR="009B4BB4" w:rsidRDefault="00C44001" w:rsidP="00C44001">
      <w:pPr>
        <w:pStyle w:val="Prrafodelista"/>
        <w:numPr>
          <w:ilvl w:val="3"/>
          <w:numId w:val="21"/>
        </w:numPr>
        <w:tabs>
          <w:tab w:val="left" w:pos="1145"/>
        </w:tabs>
        <w:spacing w:line="360" w:lineRule="auto"/>
        <w:ind w:right="606"/>
        <w:jc w:val="both"/>
      </w:pPr>
      <w:r>
        <w:rPr>
          <w:rFonts w:ascii="Arial" w:hAnsi="Arial"/>
          <w:b/>
        </w:rPr>
        <w:t xml:space="preserve">Almacenamiento especializado: </w:t>
      </w:r>
      <w:r>
        <w:t>Espacio acondicionado con control de temperatura pasiva, sin exposición solar directa ni contaminantes externos. Se mantiene</w:t>
      </w:r>
      <w:r>
        <w:rPr>
          <w:spacing w:val="-4"/>
        </w:rPr>
        <w:t xml:space="preserve"> </w:t>
      </w:r>
      <w:r>
        <w:t>un</w:t>
      </w:r>
      <w:r>
        <w:rPr>
          <w:spacing w:val="-4"/>
        </w:rPr>
        <w:t xml:space="preserve"> </w:t>
      </w:r>
      <w:r>
        <w:t>entorno</w:t>
      </w:r>
      <w:r>
        <w:rPr>
          <w:spacing w:val="-4"/>
        </w:rPr>
        <w:t xml:space="preserve"> </w:t>
      </w:r>
      <w:r>
        <w:t>fresco</w:t>
      </w:r>
      <w:r>
        <w:rPr>
          <w:spacing w:val="-4"/>
        </w:rPr>
        <w:t xml:space="preserve"> </w:t>
      </w:r>
      <w:r>
        <w:t>y</w:t>
      </w:r>
      <w:r>
        <w:rPr>
          <w:spacing w:val="-4"/>
        </w:rPr>
        <w:t xml:space="preserve"> </w:t>
      </w:r>
      <w:r>
        <w:t>seco,</w:t>
      </w:r>
      <w:r>
        <w:rPr>
          <w:spacing w:val="-4"/>
        </w:rPr>
        <w:t xml:space="preserve"> </w:t>
      </w:r>
      <w:r>
        <w:t>clave</w:t>
      </w:r>
      <w:r>
        <w:rPr>
          <w:spacing w:val="-4"/>
        </w:rPr>
        <w:t xml:space="preserve"> </w:t>
      </w:r>
      <w:r>
        <w:t>para</w:t>
      </w:r>
      <w:r>
        <w:rPr>
          <w:spacing w:val="-4"/>
        </w:rPr>
        <w:t xml:space="preserve"> </w:t>
      </w:r>
      <w:r>
        <w:t>ralentizar</w:t>
      </w:r>
      <w:r>
        <w:rPr>
          <w:spacing w:val="-4"/>
        </w:rPr>
        <w:t xml:space="preserve"> </w:t>
      </w:r>
      <w:r>
        <w:t>los</w:t>
      </w:r>
      <w:r>
        <w:rPr>
          <w:spacing w:val="-4"/>
        </w:rPr>
        <w:t xml:space="preserve"> </w:t>
      </w:r>
      <w:r>
        <w:t>procesos</w:t>
      </w:r>
      <w:r>
        <w:rPr>
          <w:spacing w:val="-4"/>
        </w:rPr>
        <w:t xml:space="preserve"> </w:t>
      </w:r>
      <w:r>
        <w:t>naturales</w:t>
      </w:r>
      <w:r>
        <w:rPr>
          <w:spacing w:val="-4"/>
        </w:rPr>
        <w:t xml:space="preserve"> </w:t>
      </w:r>
      <w:r>
        <w:t>de fermentación de la miel melipona sin alterar sus propiedades.</w:t>
      </w:r>
      <w:r>
        <w:rPr>
          <w:spacing w:val="-4"/>
        </w:rPr>
        <w:t xml:space="preserve"> </w:t>
      </w:r>
      <w:r>
        <w:t>El</w:t>
      </w:r>
      <w:r>
        <w:rPr>
          <w:spacing w:val="-4"/>
        </w:rPr>
        <w:t xml:space="preserve"> </w:t>
      </w:r>
      <w:r>
        <w:t>almacenamiento busca estabilidad más que intervención.</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3"/>
          <w:numId w:val="21"/>
        </w:numPr>
        <w:tabs>
          <w:tab w:val="left" w:pos="1145"/>
        </w:tabs>
        <w:spacing w:before="79" w:line="360" w:lineRule="auto"/>
        <w:ind w:right="605"/>
        <w:jc w:val="both"/>
      </w:pPr>
      <w:r>
        <w:rPr>
          <w:rFonts w:ascii="Arial" w:hAnsi="Arial"/>
          <w:b/>
        </w:rPr>
        <w:lastRenderedPageBreak/>
        <w:t xml:space="preserve">Taller de empaque y control: </w:t>
      </w:r>
      <w:r>
        <w:t>Área de trabajo con superficies de grado alimenticio donde se</w:t>
      </w:r>
      <w:r>
        <w:rPr>
          <w:spacing w:val="-3"/>
        </w:rPr>
        <w:t xml:space="preserve"> </w:t>
      </w:r>
      <w:r>
        <w:t>centralizan</w:t>
      </w:r>
      <w:r>
        <w:rPr>
          <w:spacing w:val="-3"/>
        </w:rPr>
        <w:t xml:space="preserve"> </w:t>
      </w:r>
      <w:r>
        <w:t>la</w:t>
      </w:r>
      <w:r>
        <w:rPr>
          <w:spacing w:val="-3"/>
        </w:rPr>
        <w:t xml:space="preserve"> </w:t>
      </w:r>
      <w:r>
        <w:t>verificac</w:t>
      </w:r>
      <w:r>
        <w:t>ión</w:t>
      </w:r>
      <w:r>
        <w:rPr>
          <w:spacing w:val="-3"/>
        </w:rPr>
        <w:t xml:space="preserve"> </w:t>
      </w:r>
      <w:r>
        <w:t>de</w:t>
      </w:r>
      <w:r>
        <w:rPr>
          <w:spacing w:val="-3"/>
        </w:rPr>
        <w:t xml:space="preserve"> </w:t>
      </w:r>
      <w:r>
        <w:t>calidad,</w:t>
      </w:r>
      <w:r>
        <w:rPr>
          <w:spacing w:val="-3"/>
        </w:rPr>
        <w:t xml:space="preserve"> </w:t>
      </w:r>
      <w:r>
        <w:t>el</w:t>
      </w:r>
      <w:r>
        <w:rPr>
          <w:spacing w:val="-3"/>
        </w:rPr>
        <w:t xml:space="preserve"> </w:t>
      </w:r>
      <w:r>
        <w:t>pesaje</w:t>
      </w:r>
      <w:r>
        <w:rPr>
          <w:spacing w:val="-3"/>
        </w:rPr>
        <w:t xml:space="preserve"> </w:t>
      </w:r>
      <w:r>
        <w:t>de</w:t>
      </w:r>
      <w:r>
        <w:rPr>
          <w:spacing w:val="-3"/>
        </w:rPr>
        <w:t xml:space="preserve"> </w:t>
      </w:r>
      <w:r>
        <w:t>precisión</w:t>
      </w:r>
      <w:r>
        <w:rPr>
          <w:spacing w:val="-3"/>
        </w:rPr>
        <w:t xml:space="preserve"> </w:t>
      </w:r>
      <w:r>
        <w:t>y el</w:t>
      </w:r>
      <w:r>
        <w:rPr>
          <w:spacing w:val="-4"/>
        </w:rPr>
        <w:t xml:space="preserve"> </w:t>
      </w:r>
      <w:r>
        <w:t>ensamblaje</w:t>
      </w:r>
      <w:r>
        <w:rPr>
          <w:spacing w:val="-4"/>
        </w:rPr>
        <w:t xml:space="preserve"> </w:t>
      </w:r>
      <w:r>
        <w:t>final</w:t>
      </w:r>
      <w:r>
        <w:rPr>
          <w:spacing w:val="-4"/>
        </w:rPr>
        <w:t xml:space="preserve"> </w:t>
      </w:r>
      <w:r>
        <w:t>de</w:t>
      </w:r>
      <w:r>
        <w:rPr>
          <w:spacing w:val="-4"/>
        </w:rPr>
        <w:t xml:space="preserve"> </w:t>
      </w:r>
      <w:r>
        <w:t>cada</w:t>
      </w:r>
      <w:r>
        <w:rPr>
          <w:spacing w:val="-4"/>
        </w:rPr>
        <w:t xml:space="preserve"> </w:t>
      </w:r>
      <w:r>
        <w:t>lote.</w:t>
      </w:r>
      <w:r>
        <w:rPr>
          <w:spacing w:val="-4"/>
        </w:rPr>
        <w:t xml:space="preserve"> </w:t>
      </w:r>
      <w:r>
        <w:t>Este</w:t>
      </w:r>
      <w:r>
        <w:rPr>
          <w:spacing w:val="-4"/>
        </w:rPr>
        <w:t xml:space="preserve"> </w:t>
      </w:r>
      <w:r>
        <w:t>espacio</w:t>
      </w:r>
      <w:r>
        <w:rPr>
          <w:spacing w:val="-4"/>
        </w:rPr>
        <w:t xml:space="preserve"> </w:t>
      </w:r>
      <w:r>
        <w:t>concentra</w:t>
      </w:r>
      <w:r>
        <w:rPr>
          <w:spacing w:val="-4"/>
        </w:rPr>
        <w:t xml:space="preserve"> </w:t>
      </w:r>
      <w:r>
        <w:t>el</w:t>
      </w:r>
      <w:r>
        <w:rPr>
          <w:spacing w:val="-4"/>
        </w:rPr>
        <w:t xml:space="preserve"> </w:t>
      </w:r>
      <w:r>
        <w:t>control</w:t>
      </w:r>
      <w:r>
        <w:rPr>
          <w:spacing w:val="-4"/>
        </w:rPr>
        <w:t xml:space="preserve"> </w:t>
      </w:r>
      <w:r>
        <w:t>final</w:t>
      </w:r>
      <w:r>
        <w:rPr>
          <w:spacing w:val="-4"/>
        </w:rPr>
        <w:t xml:space="preserve"> </w:t>
      </w:r>
      <w:r>
        <w:t>antes</w:t>
      </w:r>
      <w:r>
        <w:rPr>
          <w:spacing w:val="-4"/>
        </w:rPr>
        <w:t xml:space="preserve"> </w:t>
      </w:r>
      <w:r>
        <w:t>de</w:t>
      </w:r>
      <w:r>
        <w:rPr>
          <w:spacing w:val="-4"/>
        </w:rPr>
        <w:t xml:space="preserve"> </w:t>
      </w:r>
      <w:r>
        <w:t>la salida al mercado.</w:t>
      </w:r>
    </w:p>
    <w:p w:rsidR="009B4BB4" w:rsidRDefault="00C44001" w:rsidP="00C44001">
      <w:pPr>
        <w:pStyle w:val="Prrafodelista"/>
        <w:numPr>
          <w:ilvl w:val="3"/>
          <w:numId w:val="21"/>
        </w:numPr>
        <w:tabs>
          <w:tab w:val="left" w:pos="1145"/>
        </w:tabs>
        <w:spacing w:line="360" w:lineRule="auto"/>
        <w:ind w:right="609"/>
        <w:jc w:val="both"/>
      </w:pPr>
      <w:r>
        <w:rPr>
          <w:rFonts w:ascii="Arial" w:hAnsi="Arial"/>
          <w:b/>
        </w:rPr>
        <w:t xml:space="preserve">Unidad de gestión digital: </w:t>
      </w:r>
      <w:r>
        <w:t>Espacio administrativo destinado a la gestión de inventarios en tiempo real, coordi</w:t>
      </w:r>
      <w:r>
        <w:t>nación de aliados y atención al cliente</w:t>
      </w:r>
      <w:r>
        <w:rPr>
          <w:spacing w:val="-3"/>
        </w:rPr>
        <w:t xml:space="preserve"> </w:t>
      </w:r>
      <w:r>
        <w:t>del</w:t>
      </w:r>
      <w:r>
        <w:rPr>
          <w:spacing w:val="-3"/>
        </w:rPr>
        <w:t xml:space="preserve"> </w:t>
      </w:r>
      <w:r>
        <w:t>canal digital. La infraestructura prioriza control y coordinación, no escala física.</w:t>
      </w:r>
    </w:p>
    <w:p w:rsidR="009B4BB4" w:rsidRDefault="00C44001" w:rsidP="00C44001">
      <w:pPr>
        <w:pStyle w:val="Ttulo2"/>
        <w:numPr>
          <w:ilvl w:val="2"/>
          <w:numId w:val="21"/>
        </w:numPr>
        <w:tabs>
          <w:tab w:val="left" w:pos="1000"/>
        </w:tabs>
        <w:ind w:left="1000" w:hanging="545"/>
      </w:pPr>
      <w:bookmarkStart w:id="211" w:name="6.2.2_Logística_y_distribución_"/>
      <w:bookmarkStart w:id="212" w:name="h.m97nbr7lexad"/>
      <w:bookmarkEnd w:id="211"/>
      <w:bookmarkEnd w:id="212"/>
      <w:r>
        <w:t>Logística</w:t>
      </w:r>
      <w:r>
        <w:rPr>
          <w:spacing w:val="-5"/>
        </w:rPr>
        <w:t xml:space="preserve"> </w:t>
      </w:r>
      <w:r>
        <w:t>y</w:t>
      </w:r>
      <w:r>
        <w:rPr>
          <w:spacing w:val="-5"/>
        </w:rPr>
        <w:t xml:space="preserve"> </w:t>
      </w:r>
      <w:r>
        <w:rPr>
          <w:spacing w:val="-2"/>
        </w:rPr>
        <w:t>distribución</w:t>
      </w:r>
    </w:p>
    <w:p w:rsidR="009B4BB4" w:rsidRDefault="009B4BB4">
      <w:pPr>
        <w:pStyle w:val="Textoindependiente"/>
        <w:spacing w:before="234"/>
        <w:rPr>
          <w:rFonts w:ascii="Arial"/>
          <w:b/>
          <w:i/>
        </w:rPr>
      </w:pPr>
    </w:p>
    <w:p w:rsidR="009B4BB4" w:rsidRDefault="00C44001">
      <w:pPr>
        <w:pStyle w:val="Textoindependiente"/>
        <w:spacing w:before="0" w:line="360" w:lineRule="auto"/>
        <w:ind w:left="425" w:right="603" w:firstLine="720"/>
        <w:jc w:val="both"/>
      </w:pPr>
      <w:r>
        <w:t>La distribución</w:t>
      </w:r>
      <w:r>
        <w:rPr>
          <w:spacing w:val="-4"/>
        </w:rPr>
        <w:t xml:space="preserve"> </w:t>
      </w:r>
      <w:r>
        <w:t>se</w:t>
      </w:r>
      <w:r>
        <w:rPr>
          <w:spacing w:val="-4"/>
        </w:rPr>
        <w:t xml:space="preserve"> </w:t>
      </w:r>
      <w:r>
        <w:t>organiza</w:t>
      </w:r>
      <w:r>
        <w:rPr>
          <w:spacing w:val="-4"/>
        </w:rPr>
        <w:t xml:space="preserve"> </w:t>
      </w:r>
      <w:r>
        <w:t>de</w:t>
      </w:r>
      <w:r>
        <w:rPr>
          <w:spacing w:val="-4"/>
        </w:rPr>
        <w:t xml:space="preserve"> </w:t>
      </w:r>
      <w:r>
        <w:t>forma</w:t>
      </w:r>
      <w:r>
        <w:rPr>
          <w:spacing w:val="-4"/>
        </w:rPr>
        <w:t xml:space="preserve"> </w:t>
      </w:r>
      <w:r>
        <w:t>modular</w:t>
      </w:r>
      <w:r>
        <w:rPr>
          <w:spacing w:val="-4"/>
        </w:rPr>
        <w:t xml:space="preserve"> </w:t>
      </w:r>
      <w:r>
        <w:t>y</w:t>
      </w:r>
      <w:r>
        <w:rPr>
          <w:spacing w:val="-4"/>
        </w:rPr>
        <w:t xml:space="preserve"> </w:t>
      </w:r>
      <w:r>
        <w:t>escalable,</w:t>
      </w:r>
      <w:r>
        <w:rPr>
          <w:spacing w:val="-4"/>
        </w:rPr>
        <w:t xml:space="preserve"> </w:t>
      </w:r>
      <w:r>
        <w:t>priorizando</w:t>
      </w:r>
      <w:r>
        <w:rPr>
          <w:spacing w:val="-4"/>
        </w:rPr>
        <w:t xml:space="preserve"> </w:t>
      </w:r>
      <w:r>
        <w:t>la</w:t>
      </w:r>
      <w:r>
        <w:rPr>
          <w:spacing w:val="-4"/>
        </w:rPr>
        <w:t xml:space="preserve"> </w:t>
      </w:r>
      <w:r>
        <w:t>integridad del envase de vidrio (Chopra &amp; Meindl, 2013):</w:t>
      </w:r>
    </w:p>
    <w:p w:rsidR="009B4BB4" w:rsidRDefault="00C44001" w:rsidP="00C44001">
      <w:pPr>
        <w:pStyle w:val="Prrafodelista"/>
        <w:numPr>
          <w:ilvl w:val="3"/>
          <w:numId w:val="21"/>
        </w:numPr>
        <w:tabs>
          <w:tab w:val="left" w:pos="1145"/>
        </w:tabs>
        <w:spacing w:line="360" w:lineRule="auto"/>
        <w:ind w:right="607"/>
        <w:jc w:val="both"/>
      </w:pPr>
      <w:r>
        <w:rPr>
          <w:rFonts w:ascii="Arial" w:hAnsi="Arial"/>
          <w:b/>
        </w:rPr>
        <w:t>Distribución B2B Local (Valladolid-Mérida)</w:t>
      </w:r>
      <w:r>
        <w:t xml:space="preserve">: Entregas directas a puntos de venta estratégicos como hoteles boutique, spas y </w:t>
      </w:r>
      <w:r>
        <w:rPr>
          <w:rFonts w:ascii="Arial" w:hAnsi="Arial"/>
          <w:i/>
        </w:rPr>
        <w:t xml:space="preserve">concept stores. </w:t>
      </w:r>
      <w:r>
        <w:t xml:space="preserve">Este modelo permite supervisar la exhibición del producto y </w:t>
      </w:r>
      <w:r>
        <w:t>recoger retroalimentación directa del mercado.</w:t>
      </w:r>
      <w:r>
        <w:rPr>
          <w:spacing w:val="40"/>
        </w:rPr>
        <w:t xml:space="preserve"> </w:t>
      </w:r>
      <w:r>
        <w:t xml:space="preserve">El canal físico funciona también como fuente de aprendizaje </w:t>
      </w:r>
      <w:r>
        <w:rPr>
          <w:spacing w:val="-2"/>
        </w:rPr>
        <w:t>operativo.</w:t>
      </w:r>
    </w:p>
    <w:p w:rsidR="009B4BB4" w:rsidRDefault="00C44001" w:rsidP="00C44001">
      <w:pPr>
        <w:pStyle w:val="Prrafodelista"/>
        <w:numPr>
          <w:ilvl w:val="3"/>
          <w:numId w:val="21"/>
        </w:numPr>
        <w:tabs>
          <w:tab w:val="left" w:pos="1145"/>
        </w:tabs>
        <w:spacing w:line="360" w:lineRule="auto"/>
        <w:ind w:right="602"/>
        <w:jc w:val="both"/>
      </w:pPr>
      <w:r>
        <w:rPr>
          <w:rFonts w:ascii="Arial" w:hAnsi="Arial"/>
          <w:b/>
        </w:rPr>
        <w:t>Distribución nacional</w:t>
      </w:r>
      <w:r>
        <w:rPr>
          <w:rFonts w:ascii="Arial" w:hAnsi="Arial"/>
          <w:b/>
          <w:spacing w:val="-4"/>
        </w:rPr>
        <w:t xml:space="preserve"> </w:t>
      </w:r>
      <w:r>
        <w:rPr>
          <w:rFonts w:ascii="Arial" w:hAnsi="Arial"/>
          <w:b/>
        </w:rPr>
        <w:t>e-commerce:</w:t>
      </w:r>
      <w:r>
        <w:rPr>
          <w:rFonts w:ascii="Arial" w:hAnsi="Arial"/>
          <w:b/>
          <w:spacing w:val="-4"/>
        </w:rPr>
        <w:t xml:space="preserve"> </w:t>
      </w:r>
      <w:r>
        <w:t>Venta</w:t>
      </w:r>
      <w:r>
        <w:rPr>
          <w:spacing w:val="-4"/>
        </w:rPr>
        <w:t xml:space="preserve"> </w:t>
      </w:r>
      <w:r>
        <w:t>directa</w:t>
      </w:r>
      <w:r>
        <w:rPr>
          <w:spacing w:val="-4"/>
        </w:rPr>
        <w:t xml:space="preserve"> </w:t>
      </w:r>
      <w:r>
        <w:t>al</w:t>
      </w:r>
      <w:r>
        <w:rPr>
          <w:spacing w:val="-4"/>
        </w:rPr>
        <w:t xml:space="preserve"> </w:t>
      </w:r>
      <w:r>
        <w:t>consumidor</w:t>
      </w:r>
      <w:r>
        <w:rPr>
          <w:spacing w:val="-4"/>
        </w:rPr>
        <w:t xml:space="preserve"> </w:t>
      </w:r>
      <w:r>
        <w:t>a</w:t>
      </w:r>
      <w:r>
        <w:rPr>
          <w:spacing w:val="-4"/>
        </w:rPr>
        <w:t xml:space="preserve"> </w:t>
      </w:r>
      <w:r>
        <w:t>través</w:t>
      </w:r>
      <w:r>
        <w:rPr>
          <w:spacing w:val="-4"/>
        </w:rPr>
        <w:t xml:space="preserve"> </w:t>
      </w:r>
      <w:r>
        <w:t>de</w:t>
      </w:r>
      <w:r>
        <w:rPr>
          <w:spacing w:val="-4"/>
        </w:rPr>
        <w:t xml:space="preserve"> </w:t>
      </w:r>
      <w:r>
        <w:t>una plataforma digital</w:t>
      </w:r>
      <w:r>
        <w:rPr>
          <w:spacing w:val="-4"/>
        </w:rPr>
        <w:t xml:space="preserve"> </w:t>
      </w:r>
      <w:r>
        <w:t>integrada</w:t>
      </w:r>
      <w:r>
        <w:rPr>
          <w:spacing w:val="-4"/>
        </w:rPr>
        <w:t xml:space="preserve"> </w:t>
      </w:r>
      <w:r>
        <w:t>con</w:t>
      </w:r>
      <w:r>
        <w:rPr>
          <w:spacing w:val="-4"/>
        </w:rPr>
        <w:t xml:space="preserve"> </w:t>
      </w:r>
      <w:r>
        <w:t>operadores</w:t>
      </w:r>
      <w:r>
        <w:rPr>
          <w:spacing w:val="-4"/>
        </w:rPr>
        <w:t xml:space="preserve"> </w:t>
      </w:r>
      <w:r>
        <w:t>logísticos</w:t>
      </w:r>
      <w:r>
        <w:rPr>
          <w:spacing w:val="-4"/>
        </w:rPr>
        <w:t xml:space="preserve"> </w:t>
      </w:r>
      <w:r>
        <w:t>espec</w:t>
      </w:r>
      <w:r>
        <w:t>ializados.</w:t>
      </w:r>
      <w:r>
        <w:rPr>
          <w:spacing w:val="-4"/>
        </w:rPr>
        <w:t xml:space="preserve"> </w:t>
      </w:r>
      <w:r>
        <w:t>Se</w:t>
      </w:r>
      <w:r>
        <w:rPr>
          <w:spacing w:val="-4"/>
        </w:rPr>
        <w:t xml:space="preserve"> </w:t>
      </w:r>
      <w:r>
        <w:t>emplean empaques de alta</w:t>
      </w:r>
      <w:r>
        <w:rPr>
          <w:spacing w:val="-4"/>
        </w:rPr>
        <w:t xml:space="preserve"> </w:t>
      </w:r>
      <w:r>
        <w:t>resistencia</w:t>
      </w:r>
      <w:r>
        <w:rPr>
          <w:spacing w:val="-4"/>
        </w:rPr>
        <w:t xml:space="preserve"> </w:t>
      </w:r>
      <w:r>
        <w:t>con</w:t>
      </w:r>
      <w:r>
        <w:rPr>
          <w:spacing w:val="-4"/>
        </w:rPr>
        <w:t xml:space="preserve"> </w:t>
      </w:r>
      <w:r>
        <w:t>materiales</w:t>
      </w:r>
      <w:r>
        <w:rPr>
          <w:spacing w:val="-4"/>
        </w:rPr>
        <w:t xml:space="preserve"> </w:t>
      </w:r>
      <w:r>
        <w:t>biodegradables</w:t>
      </w:r>
      <w:r>
        <w:rPr>
          <w:spacing w:val="-4"/>
        </w:rPr>
        <w:t xml:space="preserve"> </w:t>
      </w:r>
      <w:r>
        <w:t>para</w:t>
      </w:r>
      <w:r>
        <w:rPr>
          <w:spacing w:val="-4"/>
        </w:rPr>
        <w:t xml:space="preserve"> </w:t>
      </w:r>
      <w:r>
        <w:t>asegurar</w:t>
      </w:r>
      <w:r>
        <w:rPr>
          <w:spacing w:val="-4"/>
        </w:rPr>
        <w:t xml:space="preserve"> </w:t>
      </w:r>
      <w:r>
        <w:t>que</w:t>
      </w:r>
      <w:r>
        <w:rPr>
          <w:spacing w:val="-4"/>
        </w:rPr>
        <w:t xml:space="preserve"> </w:t>
      </w:r>
      <w:r>
        <w:t>el producto llegue</w:t>
      </w:r>
      <w:r>
        <w:rPr>
          <w:spacing w:val="-4"/>
        </w:rPr>
        <w:t xml:space="preserve"> </w:t>
      </w:r>
      <w:r>
        <w:t>en</w:t>
      </w:r>
      <w:r>
        <w:rPr>
          <w:spacing w:val="-4"/>
        </w:rPr>
        <w:t xml:space="preserve"> </w:t>
      </w:r>
      <w:r>
        <w:t>condiciones</w:t>
      </w:r>
      <w:r>
        <w:rPr>
          <w:spacing w:val="-4"/>
        </w:rPr>
        <w:t xml:space="preserve"> </w:t>
      </w:r>
      <w:r>
        <w:t>óptimas</w:t>
      </w:r>
      <w:r>
        <w:rPr>
          <w:spacing w:val="-4"/>
        </w:rPr>
        <w:t xml:space="preserve"> </w:t>
      </w:r>
      <w:r>
        <w:t>a</w:t>
      </w:r>
      <w:r>
        <w:rPr>
          <w:spacing w:val="-4"/>
        </w:rPr>
        <w:t xml:space="preserve"> </w:t>
      </w:r>
      <w:r>
        <w:t>cualquier</w:t>
      </w:r>
      <w:r>
        <w:rPr>
          <w:spacing w:val="-4"/>
        </w:rPr>
        <w:t xml:space="preserve"> </w:t>
      </w:r>
      <w:r>
        <w:t>punto</w:t>
      </w:r>
      <w:r>
        <w:rPr>
          <w:spacing w:val="-4"/>
        </w:rPr>
        <w:t xml:space="preserve"> </w:t>
      </w:r>
      <w:r>
        <w:t>del</w:t>
      </w:r>
      <w:r>
        <w:rPr>
          <w:spacing w:val="-4"/>
        </w:rPr>
        <w:t xml:space="preserve"> </w:t>
      </w:r>
      <w:r>
        <w:t>país,</w:t>
      </w:r>
      <w:r>
        <w:rPr>
          <w:spacing w:val="-4"/>
        </w:rPr>
        <w:t xml:space="preserve"> </w:t>
      </w:r>
      <w:r>
        <w:t>lo</w:t>
      </w:r>
      <w:r>
        <w:rPr>
          <w:spacing w:val="-4"/>
        </w:rPr>
        <w:t xml:space="preserve"> </w:t>
      </w:r>
      <w:r>
        <w:t>que</w:t>
      </w:r>
      <w:r>
        <w:rPr>
          <w:spacing w:val="-4"/>
        </w:rPr>
        <w:t xml:space="preserve"> </w:t>
      </w:r>
      <w:r>
        <w:t>refuerza la percepción de calidad desde la entrega.</w:t>
      </w:r>
    </w:p>
    <w:p w:rsidR="009B4BB4" w:rsidRDefault="00C44001">
      <w:pPr>
        <w:pStyle w:val="Textoindependiente"/>
        <w:spacing w:line="360" w:lineRule="auto"/>
        <w:ind w:left="425" w:right="671"/>
      </w:pPr>
      <w:r>
        <w:t>La logística no solo cumple una función operativa, también influye en la percepción del</w:t>
      </w:r>
      <w:r>
        <w:rPr>
          <w:spacing w:val="40"/>
        </w:rPr>
        <w:t xml:space="preserve"> </w:t>
      </w:r>
      <w:r>
        <w:rPr>
          <w:spacing w:val="-2"/>
        </w:rPr>
        <w:t>producto.</w:t>
      </w:r>
    </w:p>
    <w:p w:rsidR="009B4BB4" w:rsidRDefault="009B4BB4">
      <w:pPr>
        <w:pStyle w:val="Textoindependiente"/>
        <w:spacing w:before="26"/>
      </w:pPr>
    </w:p>
    <w:p w:rsidR="009B4BB4" w:rsidRDefault="00C44001" w:rsidP="00C44001">
      <w:pPr>
        <w:pStyle w:val="Ttulo1"/>
        <w:numPr>
          <w:ilvl w:val="1"/>
          <w:numId w:val="21"/>
        </w:numPr>
        <w:tabs>
          <w:tab w:val="left" w:pos="818"/>
        </w:tabs>
        <w:spacing w:before="1"/>
        <w:ind w:left="818" w:hanging="363"/>
      </w:pPr>
      <w:bookmarkStart w:id="213" w:name="6.3_Estructura_organizativa_y_Equipo_"/>
      <w:bookmarkStart w:id="214" w:name="h.4n27fdimmgvg"/>
      <w:bookmarkEnd w:id="213"/>
      <w:bookmarkEnd w:id="214"/>
      <w:r>
        <w:t>Estructura</w:t>
      </w:r>
      <w:r>
        <w:rPr>
          <w:spacing w:val="-8"/>
        </w:rPr>
        <w:t xml:space="preserve"> </w:t>
      </w:r>
      <w:r>
        <w:t>organizativa</w:t>
      </w:r>
      <w:r>
        <w:rPr>
          <w:spacing w:val="-8"/>
        </w:rPr>
        <w:t xml:space="preserve"> </w:t>
      </w:r>
      <w:r>
        <w:t>y</w:t>
      </w:r>
      <w:r>
        <w:rPr>
          <w:spacing w:val="-7"/>
        </w:rPr>
        <w:t xml:space="preserve"> </w:t>
      </w:r>
      <w:r>
        <w:rPr>
          <w:spacing w:val="-2"/>
        </w:rPr>
        <w:t>Equipo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5" w:firstLine="720"/>
        <w:jc w:val="both"/>
      </w:pPr>
      <w:r>
        <w:t>Guardiana adopta una organización mínima viable para mantener una toma de decisiones ágil (Barney, 1991). Al ser un emprendimiento unipersonal en su fase de lanzamiento, orquesta una red de expertos: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19"/>
        </w:numPr>
        <w:tabs>
          <w:tab w:val="left" w:pos="1145"/>
        </w:tabs>
        <w:spacing w:before="79" w:line="360" w:lineRule="auto"/>
        <w:ind w:right="606"/>
        <w:jc w:val="both"/>
      </w:pPr>
      <w:r>
        <w:rPr>
          <w:rFonts w:ascii="Arial" w:hAnsi="Arial"/>
          <w:b/>
        </w:rPr>
        <w:lastRenderedPageBreak/>
        <w:t xml:space="preserve">Dirección General: </w:t>
      </w:r>
      <w:r>
        <w:t>Responsable de la v</w:t>
      </w:r>
      <w:r>
        <w:t xml:space="preserve">isión estratégica, la curaduría de productores, el control de calidad final y la dirección comercial (marketing y </w:t>
      </w:r>
      <w:r>
        <w:rPr>
          <w:spacing w:val="-2"/>
        </w:rPr>
        <w:t>ventas).</w:t>
      </w:r>
    </w:p>
    <w:p w:rsidR="009B4BB4" w:rsidRDefault="00C44001" w:rsidP="00C44001">
      <w:pPr>
        <w:pStyle w:val="Prrafodelista"/>
        <w:numPr>
          <w:ilvl w:val="0"/>
          <w:numId w:val="19"/>
        </w:numPr>
        <w:tabs>
          <w:tab w:val="left" w:pos="1145"/>
        </w:tabs>
        <w:spacing w:line="360" w:lineRule="auto"/>
        <w:ind w:right="606"/>
        <w:jc w:val="both"/>
      </w:pPr>
      <w:r>
        <w:rPr>
          <w:rFonts w:ascii="Arial" w:hAnsi="Arial"/>
          <w:b/>
        </w:rPr>
        <w:t xml:space="preserve">Red de meliponicultores aliados: </w:t>
      </w:r>
      <w:r>
        <w:t>Socios productivos que aportan la materia prima, el conocimiento ancestral y la labor técnica asocia</w:t>
      </w:r>
      <w:r>
        <w:t>da al cuidado de las colmenas, así como la prevención de plagas.</w:t>
      </w:r>
    </w:p>
    <w:p w:rsidR="009B4BB4" w:rsidRDefault="00C44001" w:rsidP="00C44001">
      <w:pPr>
        <w:pStyle w:val="Prrafodelista"/>
        <w:numPr>
          <w:ilvl w:val="0"/>
          <w:numId w:val="19"/>
        </w:numPr>
        <w:tabs>
          <w:tab w:val="left" w:pos="1145"/>
        </w:tabs>
        <w:spacing w:line="360" w:lineRule="auto"/>
        <w:ind w:right="610"/>
        <w:jc w:val="both"/>
      </w:pPr>
      <w:r>
        <w:rPr>
          <w:rFonts w:ascii="Arial" w:hAnsi="Arial"/>
          <w:b/>
        </w:rPr>
        <w:t xml:space="preserve">Colaboradores estratégicos: </w:t>
      </w:r>
      <w:r>
        <w:t>Especialistas externos (freelancers y agencias)</w:t>
      </w:r>
      <w:r>
        <w:rPr>
          <w:spacing w:val="-5"/>
        </w:rPr>
        <w:t xml:space="preserve"> </w:t>
      </w:r>
      <w:r>
        <w:t>en diseño, pauta digital y servicios logísticos (3PL), lo que permite escalar la operación sin aumentar la estructu</w:t>
      </w:r>
      <w:r>
        <w:t>ra fija.</w:t>
      </w:r>
    </w:p>
    <w:p w:rsidR="009B4BB4" w:rsidRDefault="00C44001">
      <w:pPr>
        <w:pStyle w:val="Textoindependiente"/>
        <w:ind w:left="425"/>
      </w:pPr>
      <w:r>
        <w:t>La</w:t>
      </w:r>
      <w:r>
        <w:rPr>
          <w:spacing w:val="-8"/>
        </w:rPr>
        <w:t xml:space="preserve"> </w:t>
      </w:r>
      <w:r>
        <w:t>estructura</w:t>
      </w:r>
      <w:r>
        <w:rPr>
          <w:spacing w:val="-7"/>
        </w:rPr>
        <w:t xml:space="preserve"> </w:t>
      </w:r>
      <w:r>
        <w:t>prioriza</w:t>
      </w:r>
      <w:r>
        <w:rPr>
          <w:spacing w:val="-8"/>
        </w:rPr>
        <w:t xml:space="preserve"> </w:t>
      </w:r>
      <w:r>
        <w:t>flexibilidad</w:t>
      </w:r>
      <w:r>
        <w:rPr>
          <w:spacing w:val="-7"/>
        </w:rPr>
        <w:t xml:space="preserve"> </w:t>
      </w:r>
      <w:r>
        <w:t>operativa</w:t>
      </w:r>
      <w:r>
        <w:rPr>
          <w:spacing w:val="-8"/>
        </w:rPr>
        <w:t xml:space="preserve"> </w:t>
      </w:r>
      <w:r>
        <w:t>sobre</w:t>
      </w:r>
      <w:r>
        <w:rPr>
          <w:spacing w:val="-7"/>
        </w:rPr>
        <w:t xml:space="preserve"> </w:t>
      </w:r>
      <w:r>
        <w:t>tamaño</w:t>
      </w:r>
      <w:r>
        <w:rPr>
          <w:spacing w:val="-7"/>
        </w:rPr>
        <w:t xml:space="preserve"> </w:t>
      </w:r>
      <w:r>
        <w:rPr>
          <w:spacing w:val="-2"/>
        </w:rPr>
        <w:t>organizacional.</w:t>
      </w:r>
    </w:p>
    <w:p w:rsidR="009B4BB4" w:rsidRDefault="009B4BB4">
      <w:pPr>
        <w:pStyle w:val="Textoindependiente"/>
        <w:spacing w:before="154"/>
      </w:pPr>
    </w:p>
    <w:p w:rsidR="009B4BB4" w:rsidRDefault="00C44001" w:rsidP="00C44001">
      <w:pPr>
        <w:pStyle w:val="Ttulo1"/>
        <w:numPr>
          <w:ilvl w:val="1"/>
          <w:numId w:val="21"/>
        </w:numPr>
        <w:tabs>
          <w:tab w:val="left" w:pos="818"/>
        </w:tabs>
        <w:ind w:left="818" w:hanging="363"/>
      </w:pPr>
      <w:bookmarkStart w:id="215" w:name="6.4_Escalabilidad_del_Proyecto_"/>
      <w:bookmarkStart w:id="216" w:name="h.1o7i13ir17jh"/>
      <w:bookmarkEnd w:id="215"/>
      <w:bookmarkEnd w:id="216"/>
      <w:r>
        <w:t>Escalabilidad</w:t>
      </w:r>
      <w:r>
        <w:rPr>
          <w:spacing w:val="-8"/>
        </w:rPr>
        <w:t xml:space="preserve"> </w:t>
      </w:r>
      <w:r>
        <w:t>del</w:t>
      </w:r>
      <w:r>
        <w:rPr>
          <w:spacing w:val="-8"/>
        </w:rPr>
        <w:t xml:space="preserve"> </w:t>
      </w:r>
      <w:r>
        <w:rPr>
          <w:spacing w:val="-2"/>
        </w:rPr>
        <w:t>Proyecto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71" w:firstLine="720"/>
      </w:pPr>
      <w:r>
        <w:t>La</w:t>
      </w:r>
      <w:r>
        <w:rPr>
          <w:spacing w:val="40"/>
        </w:rPr>
        <w:t xml:space="preserve"> </w:t>
      </w:r>
      <w:r>
        <w:t>escalabilidad</w:t>
      </w:r>
      <w:r>
        <w:rPr>
          <w:spacing w:val="40"/>
        </w:rPr>
        <w:t xml:space="preserve"> </w:t>
      </w:r>
      <w:r>
        <w:t>se</w:t>
      </w:r>
      <w:r>
        <w:rPr>
          <w:spacing w:val="40"/>
        </w:rPr>
        <w:t xml:space="preserve"> </w:t>
      </w:r>
      <w:r>
        <w:t>plantea</w:t>
      </w:r>
      <w:r>
        <w:rPr>
          <w:spacing w:val="40"/>
        </w:rPr>
        <w:t xml:space="preserve"> </w:t>
      </w:r>
      <w:r>
        <w:t>como</w:t>
      </w:r>
      <w:r>
        <w:rPr>
          <w:spacing w:val="40"/>
        </w:rPr>
        <w:t xml:space="preserve"> </w:t>
      </w:r>
      <w:r>
        <w:t>un</w:t>
      </w:r>
      <w:r>
        <w:rPr>
          <w:spacing w:val="40"/>
        </w:rPr>
        <w:t xml:space="preserve"> </w:t>
      </w:r>
      <w:r>
        <w:t>crecimiento</w:t>
      </w:r>
      <w:r>
        <w:rPr>
          <w:spacing w:val="40"/>
        </w:rPr>
        <w:t xml:space="preserve"> </w:t>
      </w:r>
      <w:r>
        <w:t>progresivo con el objetivo de proteger el capital inicial de $7,650 USD:</w:t>
      </w:r>
    </w:p>
    <w:p w:rsidR="009B4BB4" w:rsidRDefault="00C44001" w:rsidP="00C44001">
      <w:pPr>
        <w:pStyle w:val="Prrafodelista"/>
        <w:numPr>
          <w:ilvl w:val="0"/>
          <w:numId w:val="18"/>
        </w:numPr>
        <w:tabs>
          <w:tab w:val="left" w:pos="1145"/>
        </w:tabs>
        <w:spacing w:line="360" w:lineRule="auto"/>
        <w:ind w:right="616"/>
        <w:jc w:val="both"/>
      </w:pPr>
      <w:r>
        <w:rPr>
          <w:rFonts w:ascii="Arial" w:hAnsi="Arial"/>
          <w:b/>
        </w:rPr>
        <w:t>Validación y</w:t>
      </w:r>
      <w:r>
        <w:rPr>
          <w:rFonts w:ascii="Arial" w:hAnsi="Arial"/>
          <w:b/>
          <w:spacing w:val="-5"/>
        </w:rPr>
        <w:t xml:space="preserve"> </w:t>
      </w:r>
      <w:r>
        <w:rPr>
          <w:rFonts w:ascii="Arial" w:hAnsi="Arial"/>
          <w:b/>
        </w:rPr>
        <w:t>tracción</w:t>
      </w:r>
      <w:r>
        <w:rPr>
          <w:rFonts w:ascii="Arial" w:hAnsi="Arial"/>
          <w:b/>
          <w:spacing w:val="-5"/>
        </w:rPr>
        <w:t xml:space="preserve"> </w:t>
      </w:r>
      <w:r>
        <w:rPr>
          <w:rFonts w:ascii="Arial" w:hAnsi="Arial"/>
          <w:b/>
        </w:rPr>
        <w:t>(0-6</w:t>
      </w:r>
      <w:r>
        <w:rPr>
          <w:rFonts w:ascii="Arial" w:hAnsi="Arial"/>
          <w:b/>
          <w:spacing w:val="-5"/>
        </w:rPr>
        <w:t xml:space="preserve"> </w:t>
      </w:r>
      <w:r>
        <w:rPr>
          <w:rFonts w:ascii="Arial" w:hAnsi="Arial"/>
          <w:b/>
        </w:rPr>
        <w:t>meses):</w:t>
      </w:r>
      <w:r>
        <w:rPr>
          <w:rFonts w:ascii="Arial" w:hAnsi="Arial"/>
          <w:b/>
          <w:spacing w:val="-5"/>
        </w:rPr>
        <w:t xml:space="preserve"> </w:t>
      </w:r>
      <w:r>
        <w:t>Activación</w:t>
      </w:r>
      <w:r>
        <w:rPr>
          <w:spacing w:val="-5"/>
        </w:rPr>
        <w:t xml:space="preserve"> </w:t>
      </w:r>
      <w:r>
        <w:t>en</w:t>
      </w:r>
      <w:r>
        <w:rPr>
          <w:spacing w:val="-5"/>
        </w:rPr>
        <w:t xml:space="preserve"> </w:t>
      </w:r>
      <w:r>
        <w:t>bazares</w:t>
      </w:r>
      <w:r>
        <w:rPr>
          <w:spacing w:val="-5"/>
        </w:rPr>
        <w:t xml:space="preserve"> </w:t>
      </w:r>
      <w:r>
        <w:t>de</w:t>
      </w:r>
      <w:r>
        <w:rPr>
          <w:spacing w:val="-5"/>
        </w:rPr>
        <w:t xml:space="preserve"> </w:t>
      </w:r>
      <w:r>
        <w:t>nicho</w:t>
      </w:r>
      <w:r>
        <w:rPr>
          <w:spacing w:val="-5"/>
        </w:rPr>
        <w:t xml:space="preserve"> </w:t>
      </w:r>
      <w:r>
        <w:t>y</w:t>
      </w:r>
      <w:r>
        <w:rPr>
          <w:spacing w:val="-5"/>
        </w:rPr>
        <w:t xml:space="preserve"> </w:t>
      </w:r>
      <w:r>
        <w:t>plataformas digitales para validar el precio ($35 USD) y la narrativa del producto.</w:t>
      </w:r>
    </w:p>
    <w:p w:rsidR="009B4BB4" w:rsidRDefault="00C44001" w:rsidP="00C44001">
      <w:pPr>
        <w:pStyle w:val="Prrafodelista"/>
        <w:numPr>
          <w:ilvl w:val="0"/>
          <w:numId w:val="18"/>
        </w:numPr>
        <w:tabs>
          <w:tab w:val="left" w:pos="1145"/>
        </w:tabs>
      </w:pPr>
      <w:r>
        <w:rPr>
          <w:rFonts w:ascii="Arial" w:hAnsi="Arial"/>
          <w:b/>
        </w:rPr>
        <w:t>Institucionalización</w:t>
      </w:r>
      <w:r>
        <w:rPr>
          <w:rFonts w:ascii="Arial" w:hAnsi="Arial"/>
          <w:b/>
          <w:spacing w:val="19"/>
        </w:rPr>
        <w:t xml:space="preserve"> </w:t>
      </w:r>
      <w:r>
        <w:rPr>
          <w:rFonts w:ascii="Arial" w:hAnsi="Arial"/>
          <w:b/>
        </w:rPr>
        <w:t>(6-12</w:t>
      </w:r>
      <w:r>
        <w:rPr>
          <w:rFonts w:ascii="Arial" w:hAnsi="Arial"/>
          <w:b/>
          <w:spacing w:val="22"/>
        </w:rPr>
        <w:t xml:space="preserve"> </w:t>
      </w:r>
      <w:r>
        <w:rPr>
          <w:rFonts w:ascii="Arial" w:hAnsi="Arial"/>
          <w:b/>
        </w:rPr>
        <w:t>meses):</w:t>
      </w:r>
      <w:r>
        <w:rPr>
          <w:rFonts w:ascii="Arial" w:hAnsi="Arial"/>
          <w:b/>
          <w:spacing w:val="22"/>
        </w:rPr>
        <w:t xml:space="preserve"> </w:t>
      </w:r>
      <w:r>
        <w:t>Incorporación</w:t>
      </w:r>
      <w:r>
        <w:rPr>
          <w:spacing w:val="21"/>
        </w:rPr>
        <w:t xml:space="preserve"> </w:t>
      </w:r>
      <w:r>
        <w:t>a</w:t>
      </w:r>
      <w:r>
        <w:rPr>
          <w:spacing w:val="22"/>
        </w:rPr>
        <w:t xml:space="preserve"> </w:t>
      </w:r>
      <w:r>
        <w:t>canales</w:t>
      </w:r>
      <w:r>
        <w:rPr>
          <w:spacing w:val="22"/>
        </w:rPr>
        <w:t xml:space="preserve"> </w:t>
      </w:r>
      <w:r>
        <w:t>minoristas</w:t>
      </w:r>
      <w:r>
        <w:rPr>
          <w:spacing w:val="22"/>
        </w:rPr>
        <w:t xml:space="preserve"> </w:t>
      </w:r>
      <w:r>
        <w:t>de</w:t>
      </w:r>
      <w:r>
        <w:rPr>
          <w:spacing w:val="8"/>
        </w:rPr>
        <w:t xml:space="preserve"> </w:t>
      </w:r>
      <w:r>
        <w:rPr>
          <w:spacing w:val="-2"/>
        </w:rPr>
        <w:t>perfil</w:t>
      </w:r>
    </w:p>
    <w:p w:rsidR="009B4BB4" w:rsidRDefault="00C44001">
      <w:pPr>
        <w:pStyle w:val="Textoindependiente"/>
        <w:spacing w:before="127"/>
        <w:ind w:left="1145"/>
      </w:pPr>
      <w:proofErr w:type="gramStart"/>
      <w:r>
        <w:rPr>
          <w:rFonts w:ascii="Arial" w:hAnsi="Arial"/>
          <w:i/>
        </w:rPr>
        <w:t>premium</w:t>
      </w:r>
      <w:proofErr w:type="gramEnd"/>
      <w:r>
        <w:rPr>
          <w:rFonts w:ascii="Arial" w:hAnsi="Arial"/>
          <w:i/>
          <w:spacing w:val="-8"/>
        </w:rPr>
        <w:t xml:space="preserve"> </w:t>
      </w:r>
      <w:r>
        <w:t>y</w:t>
      </w:r>
      <w:r>
        <w:rPr>
          <w:spacing w:val="-6"/>
        </w:rPr>
        <w:t xml:space="preserve"> </w:t>
      </w:r>
      <w:r>
        <w:t>optimización</w:t>
      </w:r>
      <w:r>
        <w:rPr>
          <w:spacing w:val="-6"/>
        </w:rPr>
        <w:t xml:space="preserve"> </w:t>
      </w:r>
      <w:r>
        <w:t>del</w:t>
      </w:r>
      <w:r>
        <w:rPr>
          <w:spacing w:val="-5"/>
        </w:rPr>
        <w:t xml:space="preserve"> </w:t>
      </w:r>
      <w:r>
        <w:t>embudo</w:t>
      </w:r>
      <w:r>
        <w:rPr>
          <w:spacing w:val="-6"/>
        </w:rPr>
        <w:t xml:space="preserve"> </w:t>
      </w:r>
      <w:r>
        <w:t>de</w:t>
      </w:r>
      <w:r>
        <w:rPr>
          <w:spacing w:val="-6"/>
        </w:rPr>
        <w:t xml:space="preserve"> </w:t>
      </w:r>
      <w:r>
        <w:t>conversió</w:t>
      </w:r>
      <w:r>
        <w:t>n</w:t>
      </w:r>
      <w:r>
        <w:rPr>
          <w:spacing w:val="-6"/>
        </w:rPr>
        <w:t xml:space="preserve"> </w:t>
      </w:r>
      <w:r>
        <w:t>del</w:t>
      </w:r>
      <w:r>
        <w:rPr>
          <w:spacing w:val="-5"/>
        </w:rPr>
        <w:t xml:space="preserve"> </w:t>
      </w:r>
      <w:r>
        <w:t>e-</w:t>
      </w:r>
      <w:r>
        <w:rPr>
          <w:spacing w:val="-2"/>
        </w:rPr>
        <w:t>commerce.</w:t>
      </w:r>
    </w:p>
    <w:p w:rsidR="009B4BB4" w:rsidRDefault="009B4BB4">
      <w:pPr>
        <w:pStyle w:val="Textoindependiente"/>
        <w:spacing w:before="113"/>
      </w:pPr>
    </w:p>
    <w:p w:rsidR="009B4BB4" w:rsidRDefault="00C44001" w:rsidP="00C44001">
      <w:pPr>
        <w:pStyle w:val="Prrafodelista"/>
        <w:numPr>
          <w:ilvl w:val="0"/>
          <w:numId w:val="18"/>
        </w:numPr>
        <w:tabs>
          <w:tab w:val="left" w:pos="1145"/>
        </w:tabs>
        <w:spacing w:before="0" w:line="360" w:lineRule="auto"/>
        <w:ind w:right="610"/>
        <w:jc w:val="both"/>
      </w:pPr>
      <w:r>
        <w:rPr>
          <w:rFonts w:ascii="Arial" w:hAnsi="Arial"/>
          <w:b/>
        </w:rPr>
        <w:t xml:space="preserve">Expansión y reconocimiento (12-24 meses): </w:t>
      </w:r>
      <w:r>
        <w:t>Desarrollo de protocolos para exportación selectiva hacia mercados gourmet internacionales.</w:t>
      </w:r>
    </w:p>
    <w:p w:rsidR="009B4BB4" w:rsidRDefault="00C44001">
      <w:pPr>
        <w:pStyle w:val="Textoindependiente"/>
        <w:ind w:left="425"/>
      </w:pPr>
      <w:r>
        <w:t>El</w:t>
      </w:r>
      <w:r>
        <w:rPr>
          <w:spacing w:val="-7"/>
        </w:rPr>
        <w:t xml:space="preserve"> </w:t>
      </w:r>
      <w:r>
        <w:t>crecimiento</w:t>
      </w:r>
      <w:r>
        <w:rPr>
          <w:spacing w:val="-6"/>
        </w:rPr>
        <w:t xml:space="preserve"> </w:t>
      </w:r>
      <w:r>
        <w:t>se</w:t>
      </w:r>
      <w:r>
        <w:rPr>
          <w:spacing w:val="-6"/>
        </w:rPr>
        <w:t xml:space="preserve"> </w:t>
      </w:r>
      <w:r>
        <w:t>construye</w:t>
      </w:r>
      <w:r>
        <w:rPr>
          <w:spacing w:val="-7"/>
        </w:rPr>
        <w:t xml:space="preserve"> </w:t>
      </w:r>
      <w:r>
        <w:t>por</w:t>
      </w:r>
      <w:r>
        <w:rPr>
          <w:spacing w:val="-6"/>
        </w:rPr>
        <w:t xml:space="preserve"> </w:t>
      </w:r>
      <w:r>
        <w:t>etapas,</w:t>
      </w:r>
      <w:r>
        <w:rPr>
          <w:spacing w:val="-6"/>
        </w:rPr>
        <w:t xml:space="preserve"> </w:t>
      </w:r>
      <w:r>
        <w:t>priorizando</w:t>
      </w:r>
      <w:r>
        <w:rPr>
          <w:spacing w:val="-7"/>
        </w:rPr>
        <w:t xml:space="preserve"> </w:t>
      </w:r>
      <w:r>
        <w:t>validación</w:t>
      </w:r>
      <w:r>
        <w:rPr>
          <w:spacing w:val="-6"/>
        </w:rPr>
        <w:t xml:space="preserve"> </w:t>
      </w:r>
      <w:r>
        <w:t>antes</w:t>
      </w:r>
      <w:r>
        <w:rPr>
          <w:spacing w:val="-6"/>
        </w:rPr>
        <w:t xml:space="preserve"> </w:t>
      </w:r>
      <w:r>
        <w:t>que</w:t>
      </w:r>
      <w:r>
        <w:rPr>
          <w:spacing w:val="-6"/>
        </w:rPr>
        <w:t xml:space="preserve"> </w:t>
      </w:r>
      <w:r>
        <w:rPr>
          <w:spacing w:val="-2"/>
        </w:rPr>
        <w:t>expansión.</w:t>
      </w:r>
    </w:p>
    <w:p w:rsidR="009B4BB4" w:rsidRDefault="009B4BB4">
      <w:pPr>
        <w:pStyle w:val="Textoindependiente"/>
        <w:spacing w:before="153"/>
      </w:pPr>
    </w:p>
    <w:p w:rsidR="009B4BB4" w:rsidRDefault="00C44001" w:rsidP="00C44001">
      <w:pPr>
        <w:pStyle w:val="Ttulo1"/>
        <w:numPr>
          <w:ilvl w:val="1"/>
          <w:numId w:val="21"/>
        </w:numPr>
        <w:tabs>
          <w:tab w:val="left" w:pos="818"/>
        </w:tabs>
        <w:spacing w:before="1"/>
        <w:ind w:left="818" w:hanging="363"/>
      </w:pPr>
      <w:bookmarkStart w:id="217" w:name="6.5_Sostenibilidad_y_Certificaciones_(Tr"/>
      <w:bookmarkStart w:id="218" w:name="h.1is6b9t9tg42"/>
      <w:bookmarkEnd w:id="217"/>
      <w:bookmarkEnd w:id="218"/>
      <w:r>
        <w:t>Sostenibilidad</w:t>
      </w:r>
      <w:r>
        <w:rPr>
          <w:spacing w:val="-13"/>
        </w:rPr>
        <w:t xml:space="preserve"> </w:t>
      </w:r>
      <w:r>
        <w:t>y</w:t>
      </w:r>
      <w:r>
        <w:rPr>
          <w:spacing w:val="-12"/>
        </w:rPr>
        <w:t xml:space="preserve"> </w:t>
      </w:r>
      <w:r>
        <w:t>Certificaciones</w:t>
      </w:r>
      <w:r>
        <w:rPr>
          <w:spacing w:val="-12"/>
        </w:rPr>
        <w:t xml:space="preserve"> </w:t>
      </w:r>
      <w:r>
        <w:t>(Triple</w:t>
      </w:r>
      <w:r>
        <w:rPr>
          <w:spacing w:val="-12"/>
        </w:rPr>
        <w:t xml:space="preserve"> </w:t>
      </w:r>
      <w:r>
        <w:rPr>
          <w:spacing w:val="-2"/>
        </w:rPr>
        <w:t>Impacto)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71"/>
      </w:pPr>
      <w:r>
        <w:t>Guardiana opera bajo el paradigma del valor compartido (Porter &amp; Kramer,</w:t>
      </w:r>
      <w:r>
        <w:rPr>
          <w:spacing w:val="-6"/>
        </w:rPr>
        <w:t xml:space="preserve"> </w:t>
      </w:r>
      <w:r>
        <w:t>2011),</w:t>
      </w:r>
      <w:r>
        <w:rPr>
          <w:spacing w:val="-6"/>
        </w:rPr>
        <w:t xml:space="preserve"> </w:t>
      </w:r>
      <w:r>
        <w:t>donde la sostenibilidad forma parte del modelo operativo.</w:t>
      </w:r>
    </w:p>
    <w:p w:rsidR="009B4BB4" w:rsidRDefault="00C44001" w:rsidP="00C44001">
      <w:pPr>
        <w:pStyle w:val="Prrafodelista"/>
        <w:numPr>
          <w:ilvl w:val="0"/>
          <w:numId w:val="17"/>
        </w:numPr>
        <w:tabs>
          <w:tab w:val="left" w:pos="1145"/>
        </w:tabs>
        <w:spacing w:line="360" w:lineRule="auto"/>
        <w:ind w:right="607"/>
        <w:jc w:val="both"/>
      </w:pPr>
      <w:r>
        <w:rPr>
          <w:rFonts w:ascii="Arial" w:hAnsi="Arial"/>
          <w:b/>
        </w:rPr>
        <w:t xml:space="preserve">Impacto económico y social: </w:t>
      </w:r>
      <w:r>
        <w:t>Guardiana</w:t>
      </w:r>
      <w:r>
        <w:rPr>
          <w:spacing w:val="-4"/>
        </w:rPr>
        <w:t xml:space="preserve"> </w:t>
      </w:r>
      <w:r>
        <w:t>establece</w:t>
      </w:r>
      <w:r>
        <w:rPr>
          <w:spacing w:val="-4"/>
        </w:rPr>
        <w:t xml:space="preserve"> </w:t>
      </w:r>
      <w:r>
        <w:t>un</w:t>
      </w:r>
      <w:r>
        <w:rPr>
          <w:spacing w:val="-4"/>
        </w:rPr>
        <w:t xml:space="preserve"> </w:t>
      </w:r>
      <w:r>
        <w:t>sobreprecio</w:t>
      </w:r>
      <w:r>
        <w:rPr>
          <w:spacing w:val="-4"/>
        </w:rPr>
        <w:t xml:space="preserve"> </w:t>
      </w:r>
      <w:r>
        <w:t>de</w:t>
      </w:r>
      <w:r>
        <w:rPr>
          <w:spacing w:val="-4"/>
        </w:rPr>
        <w:t xml:space="preserve"> </w:t>
      </w:r>
      <w:r>
        <w:t>entre</w:t>
      </w:r>
      <w:r>
        <w:rPr>
          <w:spacing w:val="-4"/>
        </w:rPr>
        <w:t xml:space="preserve"> </w:t>
      </w:r>
      <w:r>
        <w:t>15% y</w:t>
      </w:r>
      <w:r>
        <w:rPr>
          <w:spacing w:val="40"/>
        </w:rPr>
        <w:t xml:space="preserve"> </w:t>
      </w:r>
      <w:r>
        <w:t>25%</w:t>
      </w:r>
      <w:r>
        <w:rPr>
          <w:spacing w:val="40"/>
        </w:rPr>
        <w:t xml:space="preserve"> </w:t>
      </w:r>
      <w:r>
        <w:t>so</w:t>
      </w:r>
      <w:r>
        <w:t>bre</w:t>
      </w:r>
      <w:r>
        <w:rPr>
          <w:spacing w:val="40"/>
        </w:rPr>
        <w:t xml:space="preserve"> </w:t>
      </w:r>
      <w:r>
        <w:t>el</w:t>
      </w:r>
      <w:r>
        <w:rPr>
          <w:spacing w:val="40"/>
        </w:rPr>
        <w:t xml:space="preserve"> </w:t>
      </w:r>
      <w:r>
        <w:t>mercado</w:t>
      </w:r>
      <w:r>
        <w:rPr>
          <w:spacing w:val="40"/>
        </w:rPr>
        <w:t xml:space="preserve"> </w:t>
      </w:r>
      <w:r>
        <w:t>informal</w:t>
      </w:r>
      <w:r>
        <w:rPr>
          <w:spacing w:val="26"/>
        </w:rPr>
        <w:t xml:space="preserve"> </w:t>
      </w:r>
      <w:r>
        <w:t>para</w:t>
      </w:r>
      <w:r>
        <w:rPr>
          <w:spacing w:val="26"/>
        </w:rPr>
        <w:t xml:space="preserve"> </w:t>
      </w:r>
      <w:r>
        <w:t>los</w:t>
      </w:r>
      <w:r>
        <w:rPr>
          <w:spacing w:val="26"/>
        </w:rPr>
        <w:t xml:space="preserve"> </w:t>
      </w:r>
      <w:r>
        <w:t>meliponicultores</w:t>
      </w:r>
      <w:r>
        <w:rPr>
          <w:spacing w:val="26"/>
        </w:rPr>
        <w:t xml:space="preserve"> </w:t>
      </w:r>
      <w:r>
        <w:t>aliados,</w:t>
      </w:r>
      <w:r>
        <w:rPr>
          <w:spacing w:val="26"/>
        </w:rPr>
        <w:t xml:space="preserve"> </w:t>
      </w:r>
      <w:r>
        <w:t>destinando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03"/>
        <w:jc w:val="both"/>
      </w:pPr>
      <w:proofErr w:type="gramStart"/>
      <w:r>
        <w:lastRenderedPageBreak/>
        <w:t>aproximadamente</w:t>
      </w:r>
      <w:proofErr w:type="gramEnd"/>
      <w:r>
        <w:t xml:space="preserve"> el 17% de cada unidad vendida al pago de materia prima a precio justo. Esta estructura mejora los ingresos de los productores, reduce la presión de migración y posiciona al meliponicultor como socio estratégico de la marca, alineando el cre</w:t>
      </w:r>
      <w:r>
        <w:t>cimiento del negocio con el bienestar de la comunidad.</w:t>
      </w:r>
    </w:p>
    <w:p w:rsidR="009B4BB4" w:rsidRDefault="00C44001" w:rsidP="00C44001">
      <w:pPr>
        <w:pStyle w:val="Prrafodelista"/>
        <w:numPr>
          <w:ilvl w:val="0"/>
          <w:numId w:val="17"/>
        </w:numPr>
        <w:tabs>
          <w:tab w:val="left" w:pos="1145"/>
        </w:tabs>
        <w:spacing w:line="360" w:lineRule="auto"/>
        <w:ind w:right="606"/>
        <w:jc w:val="both"/>
      </w:pPr>
      <w:r>
        <w:rPr>
          <w:rFonts w:ascii="Arial" w:hAnsi="Arial"/>
          <w:b/>
        </w:rPr>
        <w:t xml:space="preserve">Impacto ambiental: </w:t>
      </w:r>
      <w:r>
        <w:t>La comercialización del producto genera incentivos económicos para la reforestación y la protección de la selva maya frente a la deforestación, lo que convierte la conservación del hábitat en una decisión económicamente viable para las comunidades.</w:t>
      </w:r>
    </w:p>
    <w:p w:rsidR="009B4BB4" w:rsidRDefault="00C44001" w:rsidP="00C44001">
      <w:pPr>
        <w:pStyle w:val="Prrafodelista"/>
        <w:numPr>
          <w:ilvl w:val="0"/>
          <w:numId w:val="17"/>
        </w:numPr>
        <w:tabs>
          <w:tab w:val="left" w:pos="1145"/>
        </w:tabs>
        <w:spacing w:line="360" w:lineRule="auto"/>
        <w:ind w:right="604"/>
        <w:jc w:val="both"/>
        <w:rPr>
          <w:rFonts w:ascii="Arial" w:hAnsi="Arial"/>
          <w:b/>
        </w:rPr>
      </w:pPr>
      <w:r>
        <w:rPr>
          <w:rFonts w:ascii="Arial" w:hAnsi="Arial"/>
          <w:b/>
        </w:rPr>
        <w:t>Marco n</w:t>
      </w:r>
      <w:r>
        <w:rPr>
          <w:rFonts w:ascii="Arial" w:hAnsi="Arial"/>
          <w:b/>
        </w:rPr>
        <w:t xml:space="preserve">ormativo: </w:t>
      </w:r>
      <w:r>
        <w:t xml:space="preserve">La miel de </w:t>
      </w:r>
      <w:r>
        <w:rPr>
          <w:rFonts w:ascii="Arial" w:hAnsi="Arial"/>
          <w:i/>
        </w:rPr>
        <w:t xml:space="preserve">Melipona beecheii </w:t>
      </w:r>
      <w:r>
        <w:t>en México presenta desafíos relevantes</w:t>
      </w:r>
      <w:r>
        <w:rPr>
          <w:spacing w:val="40"/>
        </w:rPr>
        <w:t xml:space="preserve"> </w:t>
      </w:r>
      <w:r>
        <w:t>debido</w:t>
      </w:r>
      <w:r>
        <w:rPr>
          <w:spacing w:val="40"/>
        </w:rPr>
        <w:t xml:space="preserve"> </w:t>
      </w:r>
      <w:r>
        <w:t>a</w:t>
      </w:r>
      <w:r>
        <w:rPr>
          <w:spacing w:val="40"/>
        </w:rPr>
        <w:t xml:space="preserve"> </w:t>
      </w:r>
      <w:r>
        <w:t>la</w:t>
      </w:r>
      <w:r>
        <w:rPr>
          <w:spacing w:val="40"/>
        </w:rPr>
        <w:t xml:space="preserve"> </w:t>
      </w:r>
      <w:r>
        <w:t>ausencia</w:t>
      </w:r>
      <w:r>
        <w:rPr>
          <w:spacing w:val="40"/>
        </w:rPr>
        <w:t xml:space="preserve"> </w:t>
      </w:r>
      <w:r>
        <w:t>de</w:t>
      </w:r>
      <w:r>
        <w:rPr>
          <w:spacing w:val="40"/>
        </w:rPr>
        <w:t xml:space="preserve"> </w:t>
      </w:r>
      <w:r>
        <w:t>una</w:t>
      </w:r>
      <w:r>
        <w:rPr>
          <w:spacing w:val="40"/>
        </w:rPr>
        <w:t xml:space="preserve"> </w:t>
      </w:r>
      <w:r>
        <w:t>regulación</w:t>
      </w:r>
      <w:r>
        <w:rPr>
          <w:spacing w:val="40"/>
        </w:rPr>
        <w:t xml:space="preserve"> </w:t>
      </w:r>
      <w:r>
        <w:t>federal</w:t>
      </w:r>
      <w:r>
        <w:rPr>
          <w:spacing w:val="40"/>
        </w:rPr>
        <w:t xml:space="preserve"> </w:t>
      </w:r>
      <w:r>
        <w:t>específica.</w:t>
      </w:r>
      <w:r>
        <w:rPr>
          <w:spacing w:val="40"/>
        </w:rPr>
        <w:t xml:space="preserve"> </w:t>
      </w:r>
      <w:r>
        <w:t>La NOM-004-SAG/GAN-2018, eje rector de la producción de miel en el país, fue diseñada con base en parámetros fisicoquím</w:t>
      </w:r>
      <w:r>
        <w:t xml:space="preserve">icos de la miel de </w:t>
      </w:r>
      <w:r>
        <w:rPr>
          <w:rFonts w:ascii="Arial" w:hAnsi="Arial"/>
          <w:i/>
        </w:rPr>
        <w:t>Apis mellifera</w:t>
      </w:r>
      <w:r>
        <w:t xml:space="preserve">, estableciendo límites de humedad que la miel de melipona no cumple en su estado natural debido a sus propiedades biológicas intrínsecas </w:t>
      </w:r>
      <w:r>
        <w:rPr>
          <w:rFonts w:ascii="Arial" w:hAnsi="Arial"/>
          <w:i/>
        </w:rPr>
        <w:t xml:space="preserve">(Secretaría de Agricultura y Desarrollo Rural [SADER], 2020; BM Editores, s.f.). </w:t>
      </w:r>
      <w:r>
        <w:t>Ante</w:t>
      </w:r>
      <w:r>
        <w:t xml:space="preserve"> esta limitación</w:t>
      </w:r>
      <w:r>
        <w:rPr>
          <w:spacing w:val="-4"/>
        </w:rPr>
        <w:t xml:space="preserve"> </w:t>
      </w:r>
      <w:r>
        <w:t>federal,</w:t>
      </w:r>
      <w:r>
        <w:rPr>
          <w:spacing w:val="-4"/>
        </w:rPr>
        <w:t xml:space="preserve"> </w:t>
      </w:r>
      <w:r>
        <w:t>la</w:t>
      </w:r>
      <w:r>
        <w:rPr>
          <w:spacing w:val="-4"/>
        </w:rPr>
        <w:t xml:space="preserve"> </w:t>
      </w:r>
      <w:r>
        <w:t>Ley</w:t>
      </w:r>
      <w:r>
        <w:rPr>
          <w:spacing w:val="-4"/>
        </w:rPr>
        <w:t xml:space="preserve"> </w:t>
      </w:r>
      <w:r>
        <w:t>de</w:t>
      </w:r>
      <w:r>
        <w:rPr>
          <w:spacing w:val="-4"/>
        </w:rPr>
        <w:t xml:space="preserve"> </w:t>
      </w:r>
      <w:r>
        <w:t>Protección</w:t>
      </w:r>
      <w:r>
        <w:rPr>
          <w:spacing w:val="-4"/>
        </w:rPr>
        <w:t xml:space="preserve"> </w:t>
      </w:r>
      <w:r>
        <w:t>y</w:t>
      </w:r>
      <w:r>
        <w:rPr>
          <w:spacing w:val="-4"/>
        </w:rPr>
        <w:t xml:space="preserve"> </w:t>
      </w:r>
      <w:r>
        <w:t>Fomento</w:t>
      </w:r>
      <w:r>
        <w:rPr>
          <w:spacing w:val="-4"/>
        </w:rPr>
        <w:t xml:space="preserve"> </w:t>
      </w:r>
      <w:r>
        <w:t>de</w:t>
      </w:r>
      <w:r>
        <w:rPr>
          <w:spacing w:val="-4"/>
        </w:rPr>
        <w:t xml:space="preserve"> </w:t>
      </w:r>
      <w:r>
        <w:t>la</w:t>
      </w:r>
      <w:r>
        <w:rPr>
          <w:spacing w:val="-4"/>
        </w:rPr>
        <w:t xml:space="preserve"> </w:t>
      </w:r>
      <w:r>
        <w:t>Meliponicultura</w:t>
      </w:r>
      <w:r>
        <w:rPr>
          <w:spacing w:val="-4"/>
        </w:rPr>
        <w:t xml:space="preserve"> </w:t>
      </w:r>
      <w:r>
        <w:t>del</w:t>
      </w:r>
      <w:r>
        <w:rPr>
          <w:spacing w:val="-4"/>
        </w:rPr>
        <w:t xml:space="preserve"> </w:t>
      </w:r>
      <w:r>
        <w:t>Estado de Yucatán (Congreso del</w:t>
      </w:r>
      <w:r>
        <w:rPr>
          <w:spacing w:val="-5"/>
        </w:rPr>
        <w:t xml:space="preserve"> </w:t>
      </w:r>
      <w:r>
        <w:t>Estado</w:t>
      </w:r>
      <w:r>
        <w:rPr>
          <w:spacing w:val="-5"/>
        </w:rPr>
        <w:t xml:space="preserve"> </w:t>
      </w:r>
      <w:r>
        <w:t>de</w:t>
      </w:r>
      <w:r>
        <w:rPr>
          <w:spacing w:val="-5"/>
        </w:rPr>
        <w:t xml:space="preserve"> </w:t>
      </w:r>
      <w:r>
        <w:t>Yucatán,</w:t>
      </w:r>
      <w:r>
        <w:rPr>
          <w:spacing w:val="-5"/>
        </w:rPr>
        <w:t xml:space="preserve"> </w:t>
      </w:r>
      <w:r>
        <w:t>2021)</w:t>
      </w:r>
      <w:r>
        <w:rPr>
          <w:spacing w:val="-5"/>
        </w:rPr>
        <w:t xml:space="preserve"> </w:t>
      </w:r>
      <w:r>
        <w:t>ofrece</w:t>
      </w:r>
      <w:r>
        <w:rPr>
          <w:spacing w:val="-5"/>
        </w:rPr>
        <w:t xml:space="preserve"> </w:t>
      </w:r>
      <w:r>
        <w:t>un</w:t>
      </w:r>
      <w:r>
        <w:rPr>
          <w:spacing w:val="-5"/>
        </w:rPr>
        <w:t xml:space="preserve"> </w:t>
      </w:r>
      <w:r>
        <w:t>marco</w:t>
      </w:r>
      <w:r>
        <w:rPr>
          <w:spacing w:val="-5"/>
        </w:rPr>
        <w:t xml:space="preserve"> </w:t>
      </w:r>
      <w:r>
        <w:t>de</w:t>
      </w:r>
      <w:r>
        <w:rPr>
          <w:spacing w:val="-5"/>
        </w:rPr>
        <w:t xml:space="preserve"> </w:t>
      </w:r>
      <w:r>
        <w:t>respaldo estatal relevante para la actividad. Debido a que no existe una norma federal específica</w:t>
      </w:r>
      <w:r>
        <w:t>, el proyecto de Guardiana utiliza estándares</w:t>
      </w:r>
      <w:r>
        <w:rPr>
          <w:spacing w:val="-4"/>
        </w:rPr>
        <w:t xml:space="preserve"> </w:t>
      </w:r>
      <w:r>
        <w:t>internacionales</w:t>
      </w:r>
      <w:r>
        <w:rPr>
          <w:spacing w:val="-4"/>
        </w:rPr>
        <w:t xml:space="preserve"> </w:t>
      </w:r>
      <w:r>
        <w:t>y</w:t>
      </w:r>
      <w:r>
        <w:rPr>
          <w:spacing w:val="-4"/>
        </w:rPr>
        <w:t xml:space="preserve"> </w:t>
      </w:r>
      <w:r>
        <w:t>estudios fisicoquímicos como referencia (Redalyc, s.f.; Scielo, 2022) como base para su manual de calidad.</w:t>
      </w:r>
      <w:r>
        <w:rPr>
          <w:spacing w:val="80"/>
        </w:rPr>
        <w:t xml:space="preserve"> </w:t>
      </w:r>
      <w:r>
        <w:t>El crecimiento del negocio se estructura por etapas, en función de los requisitos regulatorios de cada mercado:</w:t>
      </w:r>
    </w:p>
    <w:p w:rsidR="009B4BB4" w:rsidRDefault="00C44001" w:rsidP="00C44001">
      <w:pPr>
        <w:pStyle w:val="Prrafodelista"/>
        <w:numPr>
          <w:ilvl w:val="1"/>
          <w:numId w:val="17"/>
        </w:numPr>
        <w:tabs>
          <w:tab w:val="left" w:pos="1865"/>
        </w:tabs>
        <w:spacing w:line="360" w:lineRule="auto"/>
        <w:ind w:right="607"/>
        <w:jc w:val="both"/>
      </w:pPr>
      <w:r>
        <w:t>Mercado Nacional (Aeropuertos): Se tramita el Aviso de Funcionamiento de</w:t>
      </w:r>
      <w:r>
        <w:rPr>
          <w:spacing w:val="80"/>
        </w:rPr>
        <w:t xml:space="preserve">  </w:t>
      </w:r>
      <w:r>
        <w:t>COFEPRIS</w:t>
      </w:r>
      <w:r>
        <w:rPr>
          <w:spacing w:val="80"/>
        </w:rPr>
        <w:t xml:space="preserve">  </w:t>
      </w:r>
      <w:r>
        <w:t>y</w:t>
      </w:r>
      <w:r>
        <w:rPr>
          <w:spacing w:val="80"/>
        </w:rPr>
        <w:t xml:space="preserve">  </w:t>
      </w:r>
      <w:r>
        <w:t>el</w:t>
      </w:r>
      <w:r>
        <w:rPr>
          <w:spacing w:val="80"/>
        </w:rPr>
        <w:t xml:space="preserve">  </w:t>
      </w:r>
      <w:r>
        <w:t>cumplimiento</w:t>
      </w:r>
      <w:r>
        <w:rPr>
          <w:spacing w:val="80"/>
        </w:rPr>
        <w:t xml:space="preserve">  </w:t>
      </w:r>
      <w:r>
        <w:t>del</w:t>
      </w:r>
      <w:r>
        <w:rPr>
          <w:spacing w:val="80"/>
        </w:rPr>
        <w:t xml:space="preserve">  </w:t>
      </w:r>
      <w:r>
        <w:t>etiquetado</w:t>
      </w:r>
      <w:r>
        <w:rPr>
          <w:spacing w:val="80"/>
        </w:rPr>
        <w:t xml:space="preserve">  </w:t>
      </w:r>
      <w:r>
        <w:t>bajo</w:t>
      </w:r>
      <w:r>
        <w:rPr>
          <w:spacing w:val="80"/>
        </w:rPr>
        <w:t xml:space="preserve">  </w:t>
      </w:r>
      <w:r>
        <w:t>la NOM-051-SCFI/</w:t>
      </w:r>
      <w:r>
        <w:t>SSA1-2010 (COFEPRIS, 2021).</w:t>
      </w:r>
    </w:p>
    <w:p w:rsidR="009B4BB4" w:rsidRDefault="00C44001" w:rsidP="00C44001">
      <w:pPr>
        <w:pStyle w:val="Prrafodelista"/>
        <w:numPr>
          <w:ilvl w:val="1"/>
          <w:numId w:val="17"/>
        </w:numPr>
        <w:tabs>
          <w:tab w:val="left" w:pos="1865"/>
        </w:tabs>
        <w:spacing w:before="0" w:line="360" w:lineRule="auto"/>
        <w:ind w:right="615"/>
        <w:jc w:val="both"/>
      </w:pPr>
      <w:r>
        <w:t>Estados Unidos: Registro ante la FDA y</w:t>
      </w:r>
      <w:r>
        <w:rPr>
          <w:spacing w:val="-4"/>
        </w:rPr>
        <w:t xml:space="preserve"> </w:t>
      </w:r>
      <w:r>
        <w:t>cumplimiento</w:t>
      </w:r>
      <w:r>
        <w:rPr>
          <w:spacing w:val="-4"/>
        </w:rPr>
        <w:t xml:space="preserve"> </w:t>
      </w:r>
      <w:r>
        <w:t>del</w:t>
      </w:r>
      <w:r>
        <w:rPr>
          <w:spacing w:val="-4"/>
        </w:rPr>
        <w:t xml:space="preserve"> </w:t>
      </w:r>
      <w:r>
        <w:t>programa</w:t>
      </w:r>
      <w:r>
        <w:rPr>
          <w:spacing w:val="-4"/>
        </w:rPr>
        <w:t xml:space="preserve"> </w:t>
      </w:r>
      <w:r>
        <w:t>FSVP (Food and Drug Administration [FDA], 2023).</w:t>
      </w:r>
    </w:p>
    <w:p w:rsidR="009B4BB4" w:rsidRDefault="00C44001" w:rsidP="00C44001">
      <w:pPr>
        <w:pStyle w:val="Prrafodelista"/>
        <w:numPr>
          <w:ilvl w:val="1"/>
          <w:numId w:val="17"/>
        </w:numPr>
        <w:tabs>
          <w:tab w:val="left" w:pos="1865"/>
        </w:tabs>
        <w:spacing w:before="0" w:line="360" w:lineRule="auto"/>
        <w:ind w:right="605"/>
        <w:jc w:val="both"/>
      </w:pPr>
      <w:r>
        <w:t>Unión Europea: Ingreso al sistema TRACES NT y certificación orgánica correspondiente (SENASICA, 2024).</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3" w:firstLine="720"/>
        <w:jc w:val="both"/>
      </w:pPr>
      <w:r>
        <w:lastRenderedPageBreak/>
        <w:t>La entrada a estos canales se plantea como una segunda fase del proyecto, ya que depende de la obtención previa de certificaciones y del cumplimiento normativo requerido,</w:t>
      </w:r>
      <w:r>
        <w:rPr>
          <w:spacing w:val="-4"/>
        </w:rPr>
        <w:t xml:space="preserve"> </w:t>
      </w:r>
      <w:r>
        <w:t>lo</w:t>
      </w:r>
      <w:r>
        <w:rPr>
          <w:spacing w:val="-4"/>
        </w:rPr>
        <w:t xml:space="preserve"> </w:t>
      </w:r>
      <w:r>
        <w:t>que</w:t>
      </w:r>
      <w:r>
        <w:rPr>
          <w:spacing w:val="-4"/>
        </w:rPr>
        <w:t xml:space="preserve"> </w:t>
      </w:r>
      <w:r>
        <w:t>permite</w:t>
      </w:r>
      <w:r>
        <w:rPr>
          <w:spacing w:val="-4"/>
        </w:rPr>
        <w:t xml:space="preserve"> </w:t>
      </w:r>
      <w:r>
        <w:t>asegurar</w:t>
      </w:r>
      <w:r>
        <w:rPr>
          <w:spacing w:val="-4"/>
        </w:rPr>
        <w:t xml:space="preserve"> </w:t>
      </w:r>
      <w:r>
        <w:t>una</w:t>
      </w:r>
      <w:r>
        <w:rPr>
          <w:spacing w:val="-4"/>
        </w:rPr>
        <w:t xml:space="preserve"> </w:t>
      </w:r>
      <w:r>
        <w:t>expansión</w:t>
      </w:r>
      <w:r>
        <w:rPr>
          <w:spacing w:val="-4"/>
        </w:rPr>
        <w:t xml:space="preserve"> </w:t>
      </w:r>
      <w:r>
        <w:t>ordenada</w:t>
      </w:r>
      <w:r>
        <w:rPr>
          <w:spacing w:val="-4"/>
        </w:rPr>
        <w:t xml:space="preserve"> </w:t>
      </w:r>
      <w:r>
        <w:t>sin</w:t>
      </w:r>
      <w:r>
        <w:rPr>
          <w:spacing w:val="-4"/>
        </w:rPr>
        <w:t xml:space="preserve"> </w:t>
      </w:r>
      <w:r>
        <w:t>comprometer</w:t>
      </w:r>
      <w:r>
        <w:rPr>
          <w:spacing w:val="-4"/>
        </w:rPr>
        <w:t xml:space="preserve"> </w:t>
      </w:r>
      <w:r>
        <w:t>la</w:t>
      </w:r>
      <w:r>
        <w:rPr>
          <w:spacing w:val="-4"/>
        </w:rPr>
        <w:t xml:space="preserve"> </w:t>
      </w:r>
      <w:r>
        <w:t>viabilidad del modelo.</w:t>
      </w:r>
    </w:p>
    <w:p w:rsidR="009B4BB4" w:rsidRDefault="009B4BB4">
      <w:pPr>
        <w:pStyle w:val="Textoindependiente"/>
        <w:spacing w:before="27"/>
      </w:pPr>
    </w:p>
    <w:p w:rsidR="009B4BB4" w:rsidRDefault="00C44001" w:rsidP="00C44001">
      <w:pPr>
        <w:pStyle w:val="Ttulo1"/>
        <w:numPr>
          <w:ilvl w:val="1"/>
          <w:numId w:val="21"/>
        </w:numPr>
        <w:tabs>
          <w:tab w:val="left" w:pos="818"/>
        </w:tabs>
        <w:ind w:left="818" w:hanging="363"/>
      </w:pPr>
      <w:bookmarkStart w:id="219" w:name="6.6_Alianzas_estratégicas_"/>
      <w:bookmarkStart w:id="220" w:name="h.762ufrv2lruu"/>
      <w:bookmarkEnd w:id="219"/>
      <w:bookmarkEnd w:id="220"/>
      <w:r>
        <w:t>Alianzas</w:t>
      </w:r>
      <w:r>
        <w:rPr>
          <w:spacing w:val="-8"/>
        </w:rPr>
        <w:t xml:space="preserve"> </w:t>
      </w:r>
      <w:r>
        <w:rPr>
          <w:spacing w:val="-2"/>
        </w:rPr>
        <w:t>estratégicas</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6" w:firstLine="30"/>
        <w:jc w:val="both"/>
      </w:pPr>
      <w:r>
        <w:t>La viabilidad de Guardiana depende de su capacidad para coordinar un ecosistema de colaboraciones</w:t>
      </w:r>
      <w:r>
        <w:rPr>
          <w:spacing w:val="40"/>
        </w:rPr>
        <w:t xml:space="preserve"> </w:t>
      </w:r>
      <w:r>
        <w:t>donde</w:t>
      </w:r>
      <w:r>
        <w:rPr>
          <w:spacing w:val="40"/>
        </w:rPr>
        <w:t xml:space="preserve"> </w:t>
      </w:r>
      <w:r>
        <w:t>cada</w:t>
      </w:r>
      <w:r>
        <w:rPr>
          <w:spacing w:val="40"/>
        </w:rPr>
        <w:t xml:space="preserve"> </w:t>
      </w:r>
      <w:r>
        <w:t>actor</w:t>
      </w:r>
      <w:r>
        <w:rPr>
          <w:spacing w:val="40"/>
        </w:rPr>
        <w:t xml:space="preserve"> </w:t>
      </w:r>
      <w:r>
        <w:t>aporta</w:t>
      </w:r>
      <w:r>
        <w:rPr>
          <w:spacing w:val="40"/>
        </w:rPr>
        <w:t xml:space="preserve"> </w:t>
      </w:r>
      <w:r>
        <w:t>recursos que la empresa, bajo su modelo asset-light, no necesita desarrollar internamente. El éxito del proyecto depende de integrar la validación científica, el acceso a mercados y la dimensión cultural en una misma red operativa.</w:t>
      </w:r>
    </w:p>
    <w:p w:rsidR="009B4BB4" w:rsidRDefault="00C44001" w:rsidP="00C44001">
      <w:pPr>
        <w:pStyle w:val="Prrafodelista"/>
        <w:numPr>
          <w:ilvl w:val="0"/>
          <w:numId w:val="16"/>
        </w:numPr>
        <w:tabs>
          <w:tab w:val="left" w:pos="1145"/>
        </w:tabs>
        <w:spacing w:line="360" w:lineRule="auto"/>
        <w:ind w:right="603"/>
        <w:jc w:val="both"/>
      </w:pPr>
      <w:r>
        <w:rPr>
          <w:rFonts w:ascii="Arial" w:hAnsi="Arial"/>
          <w:b/>
        </w:rPr>
        <w:t>Legitimidad técnica y so</w:t>
      </w:r>
      <w:r>
        <w:rPr>
          <w:rFonts w:ascii="Arial" w:hAnsi="Arial"/>
          <w:b/>
        </w:rPr>
        <w:t xml:space="preserve">stenibilidad: </w:t>
      </w:r>
      <w:r>
        <w:t>El rigor biológico se respalda mediante vínculos académicos con instituciones como ECOSUR o la UADY, y organizaciones no gubernamentales especializadas en conservación, tales como Pronatura Península de Yucatán o la Fundación Melipona Maya. E</w:t>
      </w:r>
      <w:r>
        <w:t>stas alianzas</w:t>
      </w:r>
      <w:r>
        <w:rPr>
          <w:spacing w:val="40"/>
        </w:rPr>
        <w:t xml:space="preserve"> </w:t>
      </w:r>
      <w:r>
        <w:t>no se limitan a un rol consultivo, sino que actúan como respaldo técnico del modelo,</w:t>
      </w:r>
      <w:r>
        <w:rPr>
          <w:spacing w:val="-4"/>
        </w:rPr>
        <w:t xml:space="preserve"> </w:t>
      </w:r>
      <w:r>
        <w:t>asegurando</w:t>
      </w:r>
      <w:r>
        <w:rPr>
          <w:spacing w:val="-4"/>
        </w:rPr>
        <w:t xml:space="preserve"> </w:t>
      </w:r>
      <w:r>
        <w:t>que</w:t>
      </w:r>
      <w:r>
        <w:rPr>
          <w:spacing w:val="-4"/>
        </w:rPr>
        <w:t xml:space="preserve"> </w:t>
      </w:r>
      <w:r>
        <w:t>los</w:t>
      </w:r>
      <w:r>
        <w:rPr>
          <w:spacing w:val="-4"/>
        </w:rPr>
        <w:t xml:space="preserve"> </w:t>
      </w:r>
      <w:r>
        <w:t>métodos</w:t>
      </w:r>
      <w:r>
        <w:rPr>
          <w:spacing w:val="-4"/>
        </w:rPr>
        <w:t xml:space="preserve"> </w:t>
      </w:r>
      <w:r>
        <w:t>de</w:t>
      </w:r>
      <w:r>
        <w:rPr>
          <w:spacing w:val="-4"/>
        </w:rPr>
        <w:t xml:space="preserve"> </w:t>
      </w:r>
      <w:r>
        <w:t>cosecha</w:t>
      </w:r>
      <w:r>
        <w:rPr>
          <w:spacing w:val="-4"/>
        </w:rPr>
        <w:t xml:space="preserve"> </w:t>
      </w:r>
      <w:r>
        <w:t>respeten</w:t>
      </w:r>
      <w:r>
        <w:rPr>
          <w:spacing w:val="-4"/>
        </w:rPr>
        <w:t xml:space="preserve"> </w:t>
      </w:r>
      <w:r>
        <w:t>los</w:t>
      </w:r>
      <w:r>
        <w:rPr>
          <w:spacing w:val="-4"/>
        </w:rPr>
        <w:t xml:space="preserve"> </w:t>
      </w:r>
      <w:r>
        <w:t>ciclos</w:t>
      </w:r>
      <w:r>
        <w:rPr>
          <w:spacing w:val="-4"/>
        </w:rPr>
        <w:t xml:space="preserve"> </w:t>
      </w:r>
      <w:r>
        <w:t>de</w:t>
      </w:r>
      <w:r>
        <w:rPr>
          <w:spacing w:val="-4"/>
        </w:rPr>
        <w:t xml:space="preserve"> </w:t>
      </w:r>
      <w:r>
        <w:t>vida</w:t>
      </w:r>
      <w:r>
        <w:rPr>
          <w:spacing w:val="-4"/>
        </w:rPr>
        <w:t xml:space="preserve"> </w:t>
      </w:r>
      <w:r>
        <w:t>de</w:t>
      </w:r>
      <w:r>
        <w:rPr>
          <w:spacing w:val="-4"/>
        </w:rPr>
        <w:t xml:space="preserve"> </w:t>
      </w:r>
      <w:r>
        <w:t xml:space="preserve">la abeja </w:t>
      </w:r>
      <w:r>
        <w:rPr>
          <w:rFonts w:ascii="Arial" w:hAnsi="Arial"/>
          <w:i/>
        </w:rPr>
        <w:t xml:space="preserve">Melipona beecheii. </w:t>
      </w:r>
      <w:r>
        <w:t>Esta supervisión reduce el riesgo reputacional y</w:t>
      </w:r>
      <w:r>
        <w:rPr>
          <w:spacing w:val="40"/>
        </w:rPr>
        <w:t xml:space="preserve"> </w:t>
      </w:r>
      <w:r>
        <w:t>fortalece la credibilidad del proyecto frente a un consumidor más informado, al respaldar la propuesta con criterios técnicos verificables.</w:t>
      </w:r>
    </w:p>
    <w:p w:rsidR="009B4BB4" w:rsidRDefault="00C44001" w:rsidP="00C44001">
      <w:pPr>
        <w:pStyle w:val="Prrafodelista"/>
        <w:numPr>
          <w:ilvl w:val="0"/>
          <w:numId w:val="16"/>
        </w:numPr>
        <w:tabs>
          <w:tab w:val="left" w:pos="1145"/>
        </w:tabs>
        <w:spacing w:before="0" w:line="360" w:lineRule="auto"/>
        <w:ind w:right="605"/>
        <w:jc w:val="both"/>
      </w:pPr>
      <w:r>
        <w:rPr>
          <w:rFonts w:ascii="Arial" w:hAnsi="Arial"/>
          <w:b/>
        </w:rPr>
        <w:t>Comercialización exclusiva:</w:t>
      </w:r>
      <w:r>
        <w:rPr>
          <w:rFonts w:ascii="Arial" w:hAnsi="Arial"/>
          <w:b/>
          <w:spacing w:val="-5"/>
        </w:rPr>
        <w:t xml:space="preserve"> </w:t>
      </w:r>
      <w:r>
        <w:t>A</w:t>
      </w:r>
      <w:r>
        <w:rPr>
          <w:spacing w:val="-5"/>
        </w:rPr>
        <w:t xml:space="preserve"> </w:t>
      </w:r>
      <w:r>
        <w:t>nivel</w:t>
      </w:r>
      <w:r>
        <w:rPr>
          <w:spacing w:val="-5"/>
        </w:rPr>
        <w:t xml:space="preserve"> </w:t>
      </w:r>
      <w:r>
        <w:t>comercial,</w:t>
      </w:r>
      <w:r>
        <w:rPr>
          <w:spacing w:val="-5"/>
        </w:rPr>
        <w:t xml:space="preserve"> </w:t>
      </w:r>
      <w:r>
        <w:t>Guardiana</w:t>
      </w:r>
      <w:r>
        <w:rPr>
          <w:spacing w:val="-5"/>
        </w:rPr>
        <w:t xml:space="preserve"> </w:t>
      </w:r>
      <w:r>
        <w:t>se</w:t>
      </w:r>
      <w:r>
        <w:rPr>
          <w:spacing w:val="-5"/>
        </w:rPr>
        <w:t xml:space="preserve"> </w:t>
      </w:r>
      <w:r>
        <w:t>integra</w:t>
      </w:r>
      <w:r>
        <w:rPr>
          <w:spacing w:val="-5"/>
        </w:rPr>
        <w:t xml:space="preserve"> </w:t>
      </w:r>
      <w:r>
        <w:t>en</w:t>
      </w:r>
      <w:r>
        <w:rPr>
          <w:spacing w:val="-5"/>
        </w:rPr>
        <w:t xml:space="preserve"> </w:t>
      </w:r>
      <w:r>
        <w:t>el</w:t>
      </w:r>
      <w:r>
        <w:rPr>
          <w:spacing w:val="-5"/>
        </w:rPr>
        <w:t xml:space="preserve"> </w:t>
      </w:r>
      <w:r>
        <w:t xml:space="preserve">sector de hospitalidad boutique y turismo </w:t>
      </w:r>
      <w:r>
        <w:t>experiencial. Se establecen acuerdos con hoteles</w:t>
      </w:r>
      <w:r>
        <w:rPr>
          <w:spacing w:val="-4"/>
        </w:rPr>
        <w:t xml:space="preserve"> </w:t>
      </w:r>
      <w:r>
        <w:t>de</w:t>
      </w:r>
      <w:r>
        <w:rPr>
          <w:spacing w:val="-4"/>
        </w:rPr>
        <w:t xml:space="preserve"> </w:t>
      </w:r>
      <w:r>
        <w:t>concepto</w:t>
      </w:r>
      <w:r>
        <w:rPr>
          <w:spacing w:val="-4"/>
        </w:rPr>
        <w:t xml:space="preserve"> </w:t>
      </w:r>
      <w:r>
        <w:t>y</w:t>
      </w:r>
      <w:r>
        <w:rPr>
          <w:spacing w:val="-4"/>
        </w:rPr>
        <w:t xml:space="preserve"> </w:t>
      </w:r>
      <w:r>
        <w:t>spas</w:t>
      </w:r>
      <w:r>
        <w:rPr>
          <w:spacing w:val="-4"/>
        </w:rPr>
        <w:t xml:space="preserve"> </w:t>
      </w:r>
      <w:r>
        <w:t>de</w:t>
      </w:r>
      <w:r>
        <w:rPr>
          <w:spacing w:val="-4"/>
        </w:rPr>
        <w:t xml:space="preserve"> </w:t>
      </w:r>
      <w:r>
        <w:t>bienestar</w:t>
      </w:r>
      <w:r>
        <w:rPr>
          <w:spacing w:val="-4"/>
        </w:rPr>
        <w:t xml:space="preserve"> </w:t>
      </w:r>
      <w:r>
        <w:t>que</w:t>
      </w:r>
      <w:r>
        <w:rPr>
          <w:spacing w:val="-4"/>
        </w:rPr>
        <w:t xml:space="preserve"> </w:t>
      </w:r>
      <w:r>
        <w:t>funcionan</w:t>
      </w:r>
      <w:r>
        <w:rPr>
          <w:spacing w:val="-4"/>
        </w:rPr>
        <w:t xml:space="preserve"> </w:t>
      </w:r>
      <w:r>
        <w:t>como</w:t>
      </w:r>
      <w:r>
        <w:rPr>
          <w:spacing w:val="-4"/>
        </w:rPr>
        <w:t xml:space="preserve"> </w:t>
      </w:r>
      <w:r>
        <w:t>puntos</w:t>
      </w:r>
      <w:r>
        <w:rPr>
          <w:spacing w:val="-4"/>
        </w:rPr>
        <w:t xml:space="preserve"> </w:t>
      </w:r>
      <w:r>
        <w:t>de</w:t>
      </w:r>
      <w:r>
        <w:rPr>
          <w:spacing w:val="-4"/>
        </w:rPr>
        <w:t xml:space="preserve"> </w:t>
      </w:r>
      <w:r>
        <w:t xml:space="preserve">validación de calidad y posicionamiento. Estas alianzas permiten captar dos perfiles complementarios: el turista nacional de nivel socioeconómico </w:t>
      </w:r>
      <w:r>
        <w:t>medio-alto, que busca reconectar con sus raíces mediante patrimonio vivo, y el viajero internacional, que descubre en la miel un exotismo sostenible. En este entorno, con alta predisposición al gasto, el hotel funciona como un punto de descubrimiento que f</w:t>
      </w:r>
      <w:r>
        <w:t xml:space="preserve">acilita la aceptación del precio </w:t>
      </w:r>
      <w:r>
        <w:rPr>
          <w:rFonts w:ascii="Arial" w:hAnsi="Arial"/>
          <w:i/>
        </w:rPr>
        <w:t xml:space="preserve">premium </w:t>
      </w:r>
      <w:r>
        <w:t>y el "lujo</w:t>
      </w:r>
      <w:r>
        <w:rPr>
          <w:spacing w:val="-4"/>
        </w:rPr>
        <w:t xml:space="preserve"> </w:t>
      </w:r>
      <w:r>
        <w:t>accesible", evitando la exposición en canales masivos donde el valor diferencial se diluye frente a opciones industriales, reforzando una estrategia centrada en nichos de mayor valor.</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16"/>
        </w:numPr>
        <w:tabs>
          <w:tab w:val="left" w:pos="1145"/>
        </w:tabs>
        <w:spacing w:before="79" w:line="360" w:lineRule="auto"/>
        <w:ind w:right="603"/>
        <w:jc w:val="both"/>
      </w:pPr>
      <w:r>
        <w:rPr>
          <w:rFonts w:ascii="Arial" w:hAnsi="Arial"/>
          <w:b/>
        </w:rPr>
        <w:lastRenderedPageBreak/>
        <w:t>El</w:t>
      </w:r>
      <w:r>
        <w:rPr>
          <w:rFonts w:ascii="Arial" w:hAnsi="Arial"/>
          <w:b/>
        </w:rPr>
        <w:t xml:space="preserve">evación estética y cultural: </w:t>
      </w:r>
      <w:r>
        <w:t>Finalmente, la</w:t>
      </w:r>
      <w:r>
        <w:rPr>
          <w:spacing w:val="-5"/>
        </w:rPr>
        <w:t xml:space="preserve"> </w:t>
      </w:r>
      <w:r>
        <w:t>propuesta</w:t>
      </w:r>
      <w:r>
        <w:rPr>
          <w:spacing w:val="-5"/>
        </w:rPr>
        <w:t xml:space="preserve"> </w:t>
      </w:r>
      <w:r>
        <w:t>incorpora</w:t>
      </w:r>
      <w:r>
        <w:rPr>
          <w:spacing w:val="-5"/>
        </w:rPr>
        <w:t xml:space="preserve"> </w:t>
      </w:r>
      <w:r>
        <w:t>una</w:t>
      </w:r>
      <w:r>
        <w:rPr>
          <w:spacing w:val="-5"/>
        </w:rPr>
        <w:t xml:space="preserve"> </w:t>
      </w:r>
      <w:r>
        <w:t>dimensión estética mediante la colaboración con artistas y diseñadores regionales. Al</w:t>
      </w:r>
      <w:r>
        <w:rPr>
          <w:spacing w:val="40"/>
        </w:rPr>
        <w:t xml:space="preserve"> </w:t>
      </w:r>
      <w:r>
        <w:t>integrar arte maya contemporáneo en el diseño de los envases, Guardiana transforma el producto en un objeto cultural y coleccionable. Esta integración permite desvincular el precio del costo por gramo, reforzando el posicionamiento en la</w:t>
      </w:r>
      <w:r>
        <w:rPr>
          <w:spacing w:val="-4"/>
        </w:rPr>
        <w:t xml:space="preserve"> </w:t>
      </w:r>
      <w:r>
        <w:t>categoría</w:t>
      </w:r>
      <w:r>
        <w:rPr>
          <w:spacing w:val="-4"/>
        </w:rPr>
        <w:t xml:space="preserve"> </w:t>
      </w:r>
      <w:r>
        <w:t>de</w:t>
      </w:r>
      <w:r>
        <w:rPr>
          <w:spacing w:val="-4"/>
        </w:rPr>
        <w:t xml:space="preserve"> </w:t>
      </w:r>
      <w:r>
        <w:t>biene</w:t>
      </w:r>
      <w:r>
        <w:t>s</w:t>
      </w:r>
      <w:r>
        <w:rPr>
          <w:spacing w:val="-4"/>
        </w:rPr>
        <w:t xml:space="preserve"> </w:t>
      </w:r>
      <w:r>
        <w:t>culturales</w:t>
      </w:r>
      <w:r>
        <w:rPr>
          <w:spacing w:val="-4"/>
        </w:rPr>
        <w:t xml:space="preserve"> </w:t>
      </w:r>
      <w:r>
        <w:t>y</w:t>
      </w:r>
      <w:r>
        <w:rPr>
          <w:spacing w:val="-4"/>
        </w:rPr>
        <w:t xml:space="preserve"> </w:t>
      </w:r>
      <w:r>
        <w:t>regalos</w:t>
      </w:r>
      <w:r>
        <w:rPr>
          <w:spacing w:val="-4"/>
        </w:rPr>
        <w:t xml:space="preserve"> </w:t>
      </w:r>
      <w:r>
        <w:t>exclusivos,</w:t>
      </w:r>
      <w:r>
        <w:rPr>
          <w:spacing w:val="-4"/>
        </w:rPr>
        <w:t xml:space="preserve"> </w:t>
      </w:r>
      <w:r>
        <w:t>donde</w:t>
      </w:r>
      <w:r>
        <w:rPr>
          <w:spacing w:val="-4"/>
        </w:rPr>
        <w:t xml:space="preserve"> </w:t>
      </w:r>
      <w:r>
        <w:t>los</w:t>
      </w:r>
      <w:r>
        <w:rPr>
          <w:spacing w:val="-4"/>
        </w:rPr>
        <w:t xml:space="preserve"> </w:t>
      </w:r>
      <w:r>
        <w:t>márgenes</w:t>
      </w:r>
      <w:r>
        <w:rPr>
          <w:spacing w:val="-4"/>
        </w:rPr>
        <w:t xml:space="preserve"> </w:t>
      </w:r>
      <w:r>
        <w:t>son más altos y la competencia más limitada, consolidando el posicionamiento del producto fuera de categorías tradicionales.</w:t>
      </w:r>
    </w:p>
    <w:p w:rsidR="009B4BB4" w:rsidRDefault="00C44001">
      <w:pPr>
        <w:pStyle w:val="Textoindependiente"/>
        <w:spacing w:line="360" w:lineRule="auto"/>
        <w:ind w:left="425" w:right="607" w:firstLine="720"/>
        <w:jc w:val="both"/>
      </w:pPr>
      <w:r>
        <w:t xml:space="preserve">En conjunto, esta red de alianzas permite a Guardiana operar con la agilidad </w:t>
      </w:r>
      <w:r>
        <w:t xml:space="preserve">de una </w:t>
      </w:r>
      <w:r>
        <w:rPr>
          <w:rFonts w:ascii="Arial" w:hAnsi="Arial"/>
          <w:i/>
        </w:rPr>
        <w:t>startup</w:t>
      </w:r>
      <w:r>
        <w:t>, respaldada por capacidades técnicas, comerciales y culturales que</w:t>
      </w:r>
      <w:r>
        <w:rPr>
          <w:spacing w:val="40"/>
        </w:rPr>
        <w:t xml:space="preserve"> </w:t>
      </w:r>
      <w:r>
        <w:t>fortalecen su posicionamiento en el mercado.</w:t>
      </w:r>
    </w:p>
    <w:p w:rsidR="009B4BB4" w:rsidRDefault="009B4BB4">
      <w:pPr>
        <w:pStyle w:val="Textoindependiente"/>
        <w:spacing w:before="107"/>
      </w:pPr>
    </w:p>
    <w:p w:rsidR="009B4BB4" w:rsidRDefault="00C44001" w:rsidP="00C44001">
      <w:pPr>
        <w:pStyle w:val="Ttulo1"/>
        <w:numPr>
          <w:ilvl w:val="1"/>
          <w:numId w:val="21"/>
        </w:numPr>
        <w:tabs>
          <w:tab w:val="left" w:pos="818"/>
        </w:tabs>
        <w:ind w:left="818" w:hanging="363"/>
      </w:pPr>
      <w:bookmarkStart w:id="221" w:name="6.7_Gestión_de_riesgos_operativos_"/>
      <w:bookmarkStart w:id="222" w:name="h.46ev1k4ge6yt"/>
      <w:bookmarkEnd w:id="221"/>
      <w:bookmarkEnd w:id="222"/>
      <w:r>
        <w:t>Gestión</w:t>
      </w:r>
      <w:r>
        <w:rPr>
          <w:spacing w:val="-6"/>
        </w:rPr>
        <w:t xml:space="preserve"> </w:t>
      </w:r>
      <w:r>
        <w:t>de</w:t>
      </w:r>
      <w:r>
        <w:rPr>
          <w:spacing w:val="-5"/>
        </w:rPr>
        <w:t xml:space="preserve"> </w:t>
      </w:r>
      <w:r>
        <w:t>riesgos</w:t>
      </w:r>
      <w:r>
        <w:rPr>
          <w:spacing w:val="-5"/>
        </w:rPr>
        <w:t xml:space="preserve"> </w:t>
      </w:r>
      <w:r>
        <w:rPr>
          <w:spacing w:val="-2"/>
        </w:rPr>
        <w:t>operativos</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2" w:firstLine="720"/>
        <w:jc w:val="both"/>
      </w:pPr>
      <w:r>
        <w:t>La gestión de riesgos en</w:t>
      </w:r>
      <w:r>
        <w:rPr>
          <w:spacing w:val="-3"/>
        </w:rPr>
        <w:t xml:space="preserve"> </w:t>
      </w:r>
      <w:r>
        <w:t>Guardiana</w:t>
      </w:r>
      <w:r>
        <w:rPr>
          <w:spacing w:val="-3"/>
        </w:rPr>
        <w:t xml:space="preserve"> </w:t>
      </w:r>
      <w:r>
        <w:t>forma</w:t>
      </w:r>
      <w:r>
        <w:rPr>
          <w:spacing w:val="-3"/>
        </w:rPr>
        <w:t xml:space="preserve"> </w:t>
      </w:r>
      <w:r>
        <w:t>parte</w:t>
      </w:r>
      <w:r>
        <w:rPr>
          <w:spacing w:val="-3"/>
        </w:rPr>
        <w:t xml:space="preserve"> </w:t>
      </w:r>
      <w:r>
        <w:t>del</w:t>
      </w:r>
      <w:r>
        <w:rPr>
          <w:spacing w:val="-3"/>
        </w:rPr>
        <w:t xml:space="preserve"> </w:t>
      </w:r>
      <w:r>
        <w:t>modelo</w:t>
      </w:r>
      <w:r>
        <w:rPr>
          <w:spacing w:val="-3"/>
        </w:rPr>
        <w:t xml:space="preserve"> </w:t>
      </w:r>
      <w:r>
        <w:t>de</w:t>
      </w:r>
      <w:r>
        <w:rPr>
          <w:spacing w:val="-3"/>
        </w:rPr>
        <w:t xml:space="preserve"> </w:t>
      </w:r>
      <w:r>
        <w:t>negocio,</w:t>
      </w:r>
      <w:r>
        <w:rPr>
          <w:spacing w:val="-3"/>
        </w:rPr>
        <w:t xml:space="preserve"> </w:t>
      </w:r>
      <w:r>
        <w:t>dado</w:t>
      </w:r>
      <w:r>
        <w:rPr>
          <w:spacing w:val="-3"/>
        </w:rPr>
        <w:t xml:space="preserve"> </w:t>
      </w:r>
      <w:r>
        <w:t>que su viabilidad depende de un recurso biocultural escaso y de condiciones operativas sensibles. En línea con los principios de resiliencia en cadenas de suministro</w:t>
      </w:r>
      <w:r>
        <w:rPr>
          <w:spacing w:val="40"/>
        </w:rPr>
        <w:t xml:space="preserve"> </w:t>
      </w:r>
      <w:r>
        <w:t>(Christopher &amp; Peck, 2004), la operación</w:t>
      </w:r>
      <w:r>
        <w:rPr>
          <w:spacing w:val="-4"/>
        </w:rPr>
        <w:t xml:space="preserve"> </w:t>
      </w:r>
      <w:r>
        <w:t>adopta</w:t>
      </w:r>
      <w:r>
        <w:rPr>
          <w:spacing w:val="-4"/>
        </w:rPr>
        <w:t xml:space="preserve"> </w:t>
      </w:r>
      <w:r>
        <w:t>un</w:t>
      </w:r>
      <w:r>
        <w:rPr>
          <w:spacing w:val="-4"/>
        </w:rPr>
        <w:t xml:space="preserve"> </w:t>
      </w:r>
      <w:r>
        <w:t>enfoque</w:t>
      </w:r>
      <w:r>
        <w:rPr>
          <w:spacing w:val="-4"/>
        </w:rPr>
        <w:t xml:space="preserve"> </w:t>
      </w:r>
      <w:r>
        <w:t>integral</w:t>
      </w:r>
      <w:r>
        <w:rPr>
          <w:spacing w:val="-4"/>
        </w:rPr>
        <w:t xml:space="preserve"> </w:t>
      </w:r>
      <w:r>
        <w:t>orientado</w:t>
      </w:r>
      <w:r>
        <w:rPr>
          <w:spacing w:val="-4"/>
        </w:rPr>
        <w:t xml:space="preserve"> </w:t>
      </w:r>
      <w:r>
        <w:t>a</w:t>
      </w:r>
      <w:r>
        <w:rPr>
          <w:spacing w:val="-4"/>
        </w:rPr>
        <w:t xml:space="preserve"> </w:t>
      </w:r>
      <w:r>
        <w:t>proteger l</w:t>
      </w:r>
      <w:r>
        <w:t>a integridad biológica del producto y la viabilidad comercial de la marca. Estas medidas reducen la exposición a riesgos operativos y protegen la estabilidad del margen y la continuidad de los ingresos. Para ello, se implementan tácticas de mitigación en c</w:t>
      </w:r>
      <w:r>
        <w:t xml:space="preserve">uatro </w:t>
      </w:r>
      <w:r>
        <w:rPr>
          <w:spacing w:val="-2"/>
        </w:rPr>
        <w:t>áreas:</w:t>
      </w:r>
    </w:p>
    <w:p w:rsidR="009B4BB4" w:rsidRDefault="00C44001" w:rsidP="00C44001">
      <w:pPr>
        <w:pStyle w:val="Prrafodelista"/>
        <w:numPr>
          <w:ilvl w:val="0"/>
          <w:numId w:val="15"/>
        </w:numPr>
        <w:tabs>
          <w:tab w:val="left" w:pos="1143"/>
          <w:tab w:val="left" w:pos="1145"/>
        </w:tabs>
        <w:spacing w:line="360" w:lineRule="auto"/>
        <w:ind w:right="606"/>
        <w:jc w:val="both"/>
      </w:pPr>
      <w:r>
        <w:rPr>
          <w:rFonts w:ascii="Arial" w:hAnsi="Arial"/>
          <w:b/>
        </w:rPr>
        <w:t xml:space="preserve">Suministro y clima: </w:t>
      </w:r>
      <w:r>
        <w:t>Para mitigar la volatilidad climática, se diversifica la red de productores en distintas zonas de la</w:t>
      </w:r>
      <w:r>
        <w:rPr>
          <w:spacing w:val="-3"/>
        </w:rPr>
        <w:t xml:space="preserve"> </w:t>
      </w:r>
      <w:r>
        <w:t>península.</w:t>
      </w:r>
      <w:r>
        <w:rPr>
          <w:spacing w:val="-3"/>
        </w:rPr>
        <w:t xml:space="preserve"> </w:t>
      </w:r>
      <w:r>
        <w:t>Esta</w:t>
      </w:r>
      <w:r>
        <w:rPr>
          <w:spacing w:val="-3"/>
        </w:rPr>
        <w:t xml:space="preserve"> </w:t>
      </w:r>
      <w:r>
        <w:t>dispersión</w:t>
      </w:r>
      <w:r>
        <w:rPr>
          <w:spacing w:val="-3"/>
        </w:rPr>
        <w:t xml:space="preserve"> </w:t>
      </w:r>
      <w:r>
        <w:t>reduce</w:t>
      </w:r>
      <w:r>
        <w:rPr>
          <w:spacing w:val="-3"/>
        </w:rPr>
        <w:t xml:space="preserve"> </w:t>
      </w:r>
      <w:r>
        <w:t>el</w:t>
      </w:r>
      <w:r>
        <w:rPr>
          <w:spacing w:val="-3"/>
        </w:rPr>
        <w:t xml:space="preserve"> </w:t>
      </w:r>
      <w:r>
        <w:t>impacto de eventos locales, como sequías o plagas, sobre el abastecimiento total, lo que permite mantener la continuidad del suministro en temporadas críticas sin depender de un solo punto de origen.</w:t>
      </w:r>
    </w:p>
    <w:p w:rsidR="009B4BB4" w:rsidRDefault="00C44001" w:rsidP="00C44001">
      <w:pPr>
        <w:pStyle w:val="Prrafodelista"/>
        <w:numPr>
          <w:ilvl w:val="0"/>
          <w:numId w:val="15"/>
        </w:numPr>
        <w:tabs>
          <w:tab w:val="left" w:pos="1143"/>
          <w:tab w:val="left" w:pos="1145"/>
        </w:tabs>
        <w:spacing w:before="0" w:line="360" w:lineRule="auto"/>
        <w:ind w:right="603"/>
        <w:jc w:val="both"/>
      </w:pPr>
      <w:r>
        <w:rPr>
          <w:rFonts w:ascii="Arial" w:hAnsi="Arial"/>
          <w:b/>
        </w:rPr>
        <w:t xml:space="preserve">Calidad y marca: </w:t>
      </w:r>
      <w:r>
        <w:t xml:space="preserve">La integridad del producto se gestiona </w:t>
      </w:r>
      <w:r>
        <w:t>mediante controles de calidad por lote. Cada lote se somete a pruebas de refractometría y análisis sensorial para descartar adulteraciones. Posteriormente, se incorpora un sello</w:t>
      </w:r>
      <w:r>
        <w:rPr>
          <w:spacing w:val="-4"/>
        </w:rPr>
        <w:t xml:space="preserve"> </w:t>
      </w:r>
      <w:r>
        <w:t>de seguridad</w:t>
      </w:r>
      <w:r>
        <w:rPr>
          <w:spacing w:val="-4"/>
        </w:rPr>
        <w:t xml:space="preserve"> </w:t>
      </w:r>
      <w:r>
        <w:t>en</w:t>
      </w:r>
      <w:r>
        <w:rPr>
          <w:spacing w:val="-4"/>
        </w:rPr>
        <w:t xml:space="preserve"> </w:t>
      </w:r>
      <w:r>
        <w:t>el</w:t>
      </w:r>
      <w:r>
        <w:rPr>
          <w:spacing w:val="-4"/>
        </w:rPr>
        <w:t xml:space="preserve"> </w:t>
      </w:r>
      <w:r>
        <w:t>centro</w:t>
      </w:r>
      <w:r>
        <w:rPr>
          <w:spacing w:val="-4"/>
        </w:rPr>
        <w:t xml:space="preserve"> </w:t>
      </w:r>
      <w:r>
        <w:t>de</w:t>
      </w:r>
      <w:r>
        <w:rPr>
          <w:spacing w:val="-4"/>
        </w:rPr>
        <w:t xml:space="preserve"> </w:t>
      </w:r>
      <w:r>
        <w:t>operaciones</w:t>
      </w:r>
      <w:r>
        <w:rPr>
          <w:spacing w:val="-4"/>
        </w:rPr>
        <w:t xml:space="preserve"> </w:t>
      </w:r>
      <w:r>
        <w:t>para</w:t>
      </w:r>
      <w:r>
        <w:rPr>
          <w:spacing w:val="-4"/>
        </w:rPr>
        <w:t xml:space="preserve"> </w:t>
      </w:r>
      <w:r>
        <w:t>garantizar</w:t>
      </w:r>
      <w:r>
        <w:rPr>
          <w:spacing w:val="-4"/>
        </w:rPr>
        <w:t xml:space="preserve"> </w:t>
      </w:r>
      <w:r>
        <w:t>al</w:t>
      </w:r>
      <w:r>
        <w:rPr>
          <w:spacing w:val="-4"/>
        </w:rPr>
        <w:t xml:space="preserve"> </w:t>
      </w:r>
      <w:r>
        <w:t>cliente</w:t>
      </w:r>
      <w:r>
        <w:rPr>
          <w:spacing w:val="-4"/>
        </w:rPr>
        <w:t xml:space="preserve"> </w:t>
      </w:r>
      <w:r>
        <w:t>la</w:t>
      </w:r>
      <w:r>
        <w:rPr>
          <w:spacing w:val="-4"/>
        </w:rPr>
        <w:t xml:space="preserve"> </w:t>
      </w:r>
      <w:r>
        <w:t>autenti</w:t>
      </w:r>
      <w:r>
        <w:t>cidad</w:t>
      </w:r>
      <w:r>
        <w:rPr>
          <w:spacing w:val="-4"/>
        </w:rPr>
        <w:t xml:space="preserve"> </w:t>
      </w:r>
      <w:r>
        <w:t xml:space="preserve">del </w:t>
      </w:r>
      <w:r>
        <w:rPr>
          <w:spacing w:val="-2"/>
        </w:rPr>
        <w:t>producto.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rsidP="00C44001">
      <w:pPr>
        <w:pStyle w:val="Prrafodelista"/>
        <w:numPr>
          <w:ilvl w:val="0"/>
          <w:numId w:val="15"/>
        </w:numPr>
        <w:tabs>
          <w:tab w:val="left" w:pos="1143"/>
          <w:tab w:val="left" w:pos="1145"/>
        </w:tabs>
        <w:spacing w:before="79" w:line="360" w:lineRule="auto"/>
        <w:ind w:right="605"/>
        <w:jc w:val="both"/>
      </w:pPr>
      <w:r>
        <w:rPr>
          <w:rFonts w:ascii="Arial" w:hAnsi="Arial"/>
          <w:b/>
        </w:rPr>
        <w:lastRenderedPageBreak/>
        <w:t xml:space="preserve">Logística: </w:t>
      </w:r>
      <w:r>
        <w:t>Para reducir mermas en el canal e-commerce, se utilizan empaques</w:t>
      </w:r>
      <w:r>
        <w:rPr>
          <w:spacing w:val="40"/>
        </w:rPr>
        <w:t xml:space="preserve"> </w:t>
      </w:r>
      <w:r>
        <w:t>de alta resistencia junto con seguros de envío. Esta medida reduce costos imprevistos por roturas y protege la experiencia de compra del clien</w:t>
      </w:r>
      <w:r>
        <w:t>te final reduciendo pérdidas operativas sin afectar la percepción de calidad.</w:t>
      </w:r>
    </w:p>
    <w:p w:rsidR="009B4BB4" w:rsidRDefault="00C44001" w:rsidP="00C44001">
      <w:pPr>
        <w:pStyle w:val="Prrafodelista"/>
        <w:numPr>
          <w:ilvl w:val="0"/>
          <w:numId w:val="15"/>
        </w:numPr>
        <w:tabs>
          <w:tab w:val="left" w:pos="1143"/>
          <w:tab w:val="left" w:pos="1145"/>
        </w:tabs>
        <w:spacing w:before="0" w:line="360" w:lineRule="auto"/>
        <w:ind w:right="607"/>
        <w:jc w:val="both"/>
      </w:pPr>
      <w:r>
        <w:rPr>
          <w:rFonts w:ascii="Arial" w:hAnsi="Arial"/>
          <w:b/>
        </w:rPr>
        <w:t xml:space="preserve">Continuidad del negocio: </w:t>
      </w:r>
      <w:r>
        <w:t>Para reducir la dependencia del fundador, se documentan los procesos críticos en un Manual Operativo. Esta documentación facilita la delegación de tareas</w:t>
      </w:r>
      <w:r>
        <w:t xml:space="preserve"> y facilita la delegación de tareas</w:t>
      </w:r>
      <w:r>
        <w:rPr>
          <w:spacing w:val="-3"/>
        </w:rPr>
        <w:t xml:space="preserve"> </w:t>
      </w:r>
      <w:r>
        <w:t>y</w:t>
      </w:r>
      <w:r>
        <w:rPr>
          <w:spacing w:val="-3"/>
        </w:rPr>
        <w:t xml:space="preserve"> </w:t>
      </w:r>
      <w:r>
        <w:t>permite</w:t>
      </w:r>
      <w:r>
        <w:rPr>
          <w:spacing w:val="-3"/>
        </w:rPr>
        <w:t xml:space="preserve"> </w:t>
      </w:r>
      <w:r>
        <w:t>escalar la operación sin perder control sobre los procesos clave.</w:t>
      </w:r>
    </w:p>
    <w:p w:rsidR="009B4BB4" w:rsidRDefault="00C44001">
      <w:pPr>
        <w:pStyle w:val="Textoindependiente"/>
        <w:spacing w:before="0" w:line="360" w:lineRule="auto"/>
        <w:ind w:left="425" w:right="602" w:firstLine="720"/>
        <w:jc w:val="both"/>
      </w:pPr>
      <w:r>
        <w:t>En conjunto, la gestión de riesgos refuerza la capacidad operativa de Guardiana en un entorno incierto.La capacidad de asegurar suministro, gara</w:t>
      </w:r>
      <w:r>
        <w:t>ntizar calidad y mantener la continuidad operativa en un</w:t>
      </w:r>
      <w:r>
        <w:rPr>
          <w:spacing w:val="-4"/>
        </w:rPr>
        <w:t xml:space="preserve"> </w:t>
      </w:r>
      <w:r>
        <w:t>entorno</w:t>
      </w:r>
      <w:r>
        <w:rPr>
          <w:spacing w:val="-4"/>
        </w:rPr>
        <w:t xml:space="preserve"> </w:t>
      </w:r>
      <w:r>
        <w:t>incierto</w:t>
      </w:r>
      <w:r>
        <w:rPr>
          <w:spacing w:val="-4"/>
        </w:rPr>
        <w:t xml:space="preserve"> </w:t>
      </w:r>
      <w:r>
        <w:t>fortalece</w:t>
      </w:r>
      <w:r>
        <w:rPr>
          <w:spacing w:val="-4"/>
        </w:rPr>
        <w:t xml:space="preserve"> </w:t>
      </w:r>
      <w:r>
        <w:t>la</w:t>
      </w:r>
      <w:r>
        <w:rPr>
          <w:spacing w:val="-4"/>
        </w:rPr>
        <w:t xml:space="preserve"> </w:t>
      </w:r>
      <w:r>
        <w:t>propuesta</w:t>
      </w:r>
      <w:r>
        <w:rPr>
          <w:spacing w:val="-4"/>
        </w:rPr>
        <w:t xml:space="preserve"> </w:t>
      </w:r>
      <w:r>
        <w:t>de</w:t>
      </w:r>
      <w:r>
        <w:rPr>
          <w:spacing w:val="-4"/>
        </w:rPr>
        <w:t xml:space="preserve"> </w:t>
      </w:r>
      <w:r>
        <w:t>valor</w:t>
      </w:r>
      <w:r>
        <w:rPr>
          <w:spacing w:val="-4"/>
        </w:rPr>
        <w:t xml:space="preserve"> </w:t>
      </w:r>
      <w:r>
        <w:t xml:space="preserve">y permite sostener una estrategia </w:t>
      </w:r>
      <w:r>
        <w:rPr>
          <w:rFonts w:ascii="Arial" w:hAnsi="Arial"/>
          <w:i/>
        </w:rPr>
        <w:t xml:space="preserve">premium </w:t>
      </w:r>
      <w:r>
        <w:t>basada en confianza y consistencia.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1"/>
        <w:numPr>
          <w:ilvl w:val="1"/>
          <w:numId w:val="21"/>
        </w:numPr>
        <w:tabs>
          <w:tab w:val="left" w:pos="818"/>
        </w:tabs>
        <w:spacing w:before="79"/>
        <w:ind w:left="818" w:hanging="363"/>
      </w:pPr>
      <w:bookmarkStart w:id="223" w:name="6.8_Conclusión_del_capítulo_"/>
      <w:bookmarkStart w:id="224" w:name="h.z9jj08ka35zo"/>
      <w:bookmarkEnd w:id="223"/>
      <w:bookmarkEnd w:id="224"/>
      <w:r>
        <w:lastRenderedPageBreak/>
        <w:t>Conclusión</w:t>
      </w:r>
      <w:r>
        <w:rPr>
          <w:spacing w:val="-7"/>
        </w:rPr>
        <w:t xml:space="preserve"> </w:t>
      </w:r>
      <w:r>
        <w:t>del</w:t>
      </w:r>
      <w:r>
        <w:rPr>
          <w:spacing w:val="-6"/>
        </w:rPr>
        <w:t xml:space="preserve"> </w:t>
      </w:r>
      <w:r>
        <w:rPr>
          <w:spacing w:val="-2"/>
        </w:rPr>
        <w:t>capítulo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2" w:firstLine="720"/>
        <w:jc w:val="both"/>
      </w:pPr>
      <w:r>
        <w:t>El diseño operativo y organizativo de Guardiana válida la premisa que, en la economía actual, la competitividad no depende de la acumulación intensiva de activos físicos, sino de la capacidad de coordinar un ecosistema de valor. Al adoptar un modelo asset-</w:t>
      </w:r>
      <w:r>
        <w:t>light, la empresa logra una</w:t>
      </w:r>
      <w:r>
        <w:rPr>
          <w:spacing w:val="-5"/>
        </w:rPr>
        <w:t xml:space="preserve"> </w:t>
      </w:r>
      <w:r>
        <w:t>agilidad</w:t>
      </w:r>
      <w:r>
        <w:rPr>
          <w:spacing w:val="-5"/>
        </w:rPr>
        <w:t xml:space="preserve"> </w:t>
      </w:r>
      <w:r>
        <w:t>estructural</w:t>
      </w:r>
      <w:r>
        <w:rPr>
          <w:spacing w:val="-5"/>
        </w:rPr>
        <w:t xml:space="preserve"> </w:t>
      </w:r>
      <w:r>
        <w:t>superior,</w:t>
      </w:r>
      <w:r>
        <w:rPr>
          <w:spacing w:val="-5"/>
        </w:rPr>
        <w:t xml:space="preserve"> </w:t>
      </w:r>
      <w:r>
        <w:t>liberando</w:t>
      </w:r>
      <w:r>
        <w:rPr>
          <w:spacing w:val="-5"/>
        </w:rPr>
        <w:t xml:space="preserve"> </w:t>
      </w:r>
      <w:r>
        <w:t>capital</w:t>
      </w:r>
      <w:r>
        <w:rPr>
          <w:spacing w:val="-5"/>
        </w:rPr>
        <w:t xml:space="preserve"> </w:t>
      </w:r>
      <w:r>
        <w:t>de</w:t>
      </w:r>
      <w:r>
        <w:rPr>
          <w:spacing w:val="-5"/>
        </w:rPr>
        <w:t xml:space="preserve"> </w:t>
      </w:r>
      <w:r>
        <w:t>trabajo para</w:t>
      </w:r>
      <w:r>
        <w:rPr>
          <w:spacing w:val="-3"/>
        </w:rPr>
        <w:t xml:space="preserve"> </w:t>
      </w:r>
      <w:r>
        <w:t>invertirlo</w:t>
      </w:r>
      <w:r>
        <w:rPr>
          <w:spacing w:val="-3"/>
        </w:rPr>
        <w:t xml:space="preserve"> </w:t>
      </w:r>
      <w:r>
        <w:t>hacia</w:t>
      </w:r>
      <w:r>
        <w:rPr>
          <w:spacing w:val="-3"/>
        </w:rPr>
        <w:t xml:space="preserve"> </w:t>
      </w:r>
      <w:r>
        <w:t>los</w:t>
      </w:r>
      <w:r>
        <w:rPr>
          <w:spacing w:val="-3"/>
        </w:rPr>
        <w:t xml:space="preserve"> </w:t>
      </w:r>
      <w:r>
        <w:t>elementos</w:t>
      </w:r>
      <w:r>
        <w:rPr>
          <w:spacing w:val="-3"/>
        </w:rPr>
        <w:t xml:space="preserve"> </w:t>
      </w:r>
      <w:r>
        <w:t>donde</w:t>
      </w:r>
      <w:r>
        <w:rPr>
          <w:spacing w:val="-3"/>
        </w:rPr>
        <w:t xml:space="preserve"> </w:t>
      </w:r>
      <w:r>
        <w:t>reside</w:t>
      </w:r>
      <w:r>
        <w:rPr>
          <w:spacing w:val="-3"/>
        </w:rPr>
        <w:t xml:space="preserve"> </w:t>
      </w:r>
      <w:r>
        <w:t>la</w:t>
      </w:r>
      <w:r>
        <w:rPr>
          <w:spacing w:val="-3"/>
        </w:rPr>
        <w:t xml:space="preserve"> </w:t>
      </w:r>
      <w:r>
        <w:t>ventaja</w:t>
      </w:r>
      <w:r>
        <w:rPr>
          <w:spacing w:val="-3"/>
        </w:rPr>
        <w:t xml:space="preserve"> </w:t>
      </w:r>
      <w:r>
        <w:t>competitiva:</w:t>
      </w:r>
      <w:r>
        <w:rPr>
          <w:spacing w:val="-3"/>
        </w:rPr>
        <w:t xml:space="preserve"> </w:t>
      </w:r>
      <w:r>
        <w:t>en</w:t>
      </w:r>
      <w:r>
        <w:rPr>
          <w:spacing w:val="-3"/>
        </w:rPr>
        <w:t xml:space="preserve"> </w:t>
      </w:r>
      <w:r>
        <w:t>la</w:t>
      </w:r>
      <w:r>
        <w:rPr>
          <w:spacing w:val="-3"/>
        </w:rPr>
        <w:t xml:space="preserve"> </w:t>
      </w:r>
      <w:r>
        <w:t>gestión</w:t>
      </w:r>
      <w:r>
        <w:rPr>
          <w:spacing w:val="-3"/>
        </w:rPr>
        <w:t xml:space="preserve"> </w:t>
      </w:r>
      <w:r>
        <w:t>de</w:t>
      </w:r>
      <w:r>
        <w:rPr>
          <w:spacing w:val="-3"/>
        </w:rPr>
        <w:t xml:space="preserve"> </w:t>
      </w:r>
      <w:r>
        <w:t>la calidad, la trazabilidad y la construcción de una narrativa de marca sólida</w:t>
      </w:r>
      <w:r>
        <w:t>.</w:t>
      </w:r>
    </w:p>
    <w:p w:rsidR="009B4BB4" w:rsidRDefault="00C44001">
      <w:pPr>
        <w:pStyle w:val="Textoindependiente"/>
        <w:spacing w:line="360" w:lineRule="auto"/>
        <w:ind w:left="425" w:right="602" w:firstLine="720"/>
        <w:jc w:val="both"/>
      </w:pPr>
      <w:r>
        <w:t>Este planteamiento aborda la tensión entre la producción artesanal y los estándares de la comercialización global. A través de la estandarización del control de calidad, Guardiana profesionaliza la cadena de suministro sin industrializarla, ofreciendo un</w:t>
      </w:r>
      <w:r>
        <w:t xml:space="preserve"> producto ancestral con las garantías de seguridad que exige el</w:t>
      </w:r>
      <w:r>
        <w:rPr>
          <w:spacing w:val="-3"/>
        </w:rPr>
        <w:t xml:space="preserve"> </w:t>
      </w:r>
      <w:r>
        <w:t>consumidor</w:t>
      </w:r>
      <w:r>
        <w:rPr>
          <w:spacing w:val="-3"/>
        </w:rPr>
        <w:t xml:space="preserve"> </w:t>
      </w:r>
      <w:r>
        <w:rPr>
          <w:rFonts w:ascii="Arial" w:hAnsi="Arial"/>
          <w:i/>
        </w:rPr>
        <w:t>premium</w:t>
      </w:r>
      <w:r>
        <w:t>. De esta forma, la infraestructura ligera y la flexibilidad organizativa permiten un crecimiento escalonado</w:t>
      </w:r>
      <w:r>
        <w:rPr>
          <w:spacing w:val="-4"/>
        </w:rPr>
        <w:t xml:space="preserve"> </w:t>
      </w:r>
      <w:r>
        <w:t>que</w:t>
      </w:r>
      <w:r>
        <w:rPr>
          <w:spacing w:val="-4"/>
        </w:rPr>
        <w:t xml:space="preserve"> </w:t>
      </w:r>
      <w:r>
        <w:t>respeta</w:t>
      </w:r>
      <w:r>
        <w:rPr>
          <w:spacing w:val="-4"/>
        </w:rPr>
        <w:t xml:space="preserve"> </w:t>
      </w:r>
      <w:r>
        <w:t>los</w:t>
      </w:r>
      <w:r>
        <w:rPr>
          <w:spacing w:val="-4"/>
        </w:rPr>
        <w:t xml:space="preserve"> </w:t>
      </w:r>
      <w:r>
        <w:t>límites</w:t>
      </w:r>
      <w:r>
        <w:rPr>
          <w:spacing w:val="-4"/>
        </w:rPr>
        <w:t xml:space="preserve"> </w:t>
      </w:r>
      <w:r>
        <w:t>biológicos</w:t>
      </w:r>
      <w:r>
        <w:rPr>
          <w:spacing w:val="-4"/>
        </w:rPr>
        <w:t xml:space="preserve"> </w:t>
      </w:r>
      <w:r>
        <w:t>del</w:t>
      </w:r>
      <w:r>
        <w:rPr>
          <w:spacing w:val="-4"/>
        </w:rPr>
        <w:t xml:space="preserve"> </w:t>
      </w:r>
      <w:r>
        <w:t>recurso</w:t>
      </w:r>
      <w:r>
        <w:rPr>
          <w:spacing w:val="-4"/>
        </w:rPr>
        <w:t xml:space="preserve"> </w:t>
      </w:r>
      <w:r>
        <w:t>y</w:t>
      </w:r>
      <w:r>
        <w:rPr>
          <w:spacing w:val="-4"/>
        </w:rPr>
        <w:t xml:space="preserve"> </w:t>
      </w:r>
      <w:r>
        <w:t>los</w:t>
      </w:r>
      <w:r>
        <w:rPr>
          <w:spacing w:val="-4"/>
        </w:rPr>
        <w:t xml:space="preserve"> </w:t>
      </w:r>
      <w:r>
        <w:t>tiempos</w:t>
      </w:r>
      <w:r>
        <w:rPr>
          <w:spacing w:val="-4"/>
        </w:rPr>
        <w:t xml:space="preserve"> </w:t>
      </w:r>
      <w:r>
        <w:t>de</w:t>
      </w:r>
      <w:r>
        <w:rPr>
          <w:spacing w:val="-4"/>
        </w:rPr>
        <w:t xml:space="preserve"> </w:t>
      </w:r>
      <w:r>
        <w:t>l</w:t>
      </w:r>
      <w:r>
        <w:t>as comunidades productivas, sin depender de una expansión intensiva en activos.</w:t>
      </w:r>
    </w:p>
    <w:p w:rsidR="009B4BB4" w:rsidRDefault="00C44001">
      <w:pPr>
        <w:pStyle w:val="Textoindependiente"/>
        <w:spacing w:line="360" w:lineRule="auto"/>
        <w:ind w:left="425" w:right="607" w:firstLine="720"/>
        <w:jc w:val="both"/>
      </w:pPr>
      <w:r>
        <w:t>La eficiencia operativa desarrollada constituye el punto de partida</w:t>
      </w:r>
      <w:r>
        <w:rPr>
          <w:spacing w:val="-4"/>
        </w:rPr>
        <w:t xml:space="preserve"> </w:t>
      </w:r>
      <w:r>
        <w:t>para</w:t>
      </w:r>
      <w:r>
        <w:rPr>
          <w:spacing w:val="-4"/>
        </w:rPr>
        <w:t xml:space="preserve"> </w:t>
      </w:r>
      <w:r>
        <w:t>el</w:t>
      </w:r>
      <w:r>
        <w:rPr>
          <w:spacing w:val="-4"/>
        </w:rPr>
        <w:t xml:space="preserve"> </w:t>
      </w:r>
      <w:r>
        <w:t>análisis financiero del siguiente capítulo. Las decisiones sobre la tercerización de capacidades y l</w:t>
      </w:r>
      <w:r>
        <w:t>a variabilización de costos se reflejan en una estructura de costos flexible y una base financiera sólida. Esto permite anticipar indicadores de rentabilidad y flujo de caja consistentes, posicionando a Guardiana no solo como un proyecto de rescate cultura</w:t>
      </w:r>
      <w:r>
        <w:t>l, sino como un negocio viable y escalable.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267" w:right="413"/>
        <w:jc w:val="center"/>
      </w:pPr>
      <w:bookmarkStart w:id="225" w:name="Capítulo_7​_Plan_Económico_y_Financiero_"/>
      <w:bookmarkStart w:id="226" w:name="h.2d0zltnvbw0"/>
      <w:bookmarkEnd w:id="225"/>
      <w:bookmarkEnd w:id="226"/>
      <w:r>
        <w:lastRenderedPageBreak/>
        <w:t>Capítulo</w:t>
      </w:r>
      <w:r>
        <w:rPr>
          <w:spacing w:val="-8"/>
        </w:rPr>
        <w:t xml:space="preserve"> </w:t>
      </w:r>
      <w:r>
        <w:rPr>
          <w:spacing w:val="-10"/>
        </w:rPr>
        <w:t>7</w:t>
      </w:r>
    </w:p>
    <w:p w:rsidR="009B4BB4" w:rsidRDefault="00C44001">
      <w:pPr>
        <w:pStyle w:val="Ttulo1"/>
        <w:spacing w:before="127"/>
        <w:ind w:left="298" w:right="413"/>
        <w:jc w:val="center"/>
      </w:pPr>
      <w:r>
        <w:t>Plan</w:t>
      </w:r>
      <w:r>
        <w:rPr>
          <w:spacing w:val="-5"/>
        </w:rPr>
        <w:t xml:space="preserve"> </w:t>
      </w:r>
      <w:r>
        <w:t>Económico</w:t>
      </w:r>
      <w:r>
        <w:rPr>
          <w:spacing w:val="-5"/>
        </w:rPr>
        <w:t xml:space="preserve"> </w:t>
      </w:r>
      <w:r>
        <w:t>y</w:t>
      </w:r>
      <w:r>
        <w:rPr>
          <w:spacing w:val="-4"/>
        </w:rPr>
        <w:t xml:space="preserve"> </w:t>
      </w:r>
      <w:r>
        <w:rPr>
          <w:spacing w:val="-2"/>
        </w:rPr>
        <w:t>Financiero</w:t>
      </w:r>
    </w:p>
    <w:p w:rsidR="009B4BB4" w:rsidRDefault="009B4BB4">
      <w:pPr>
        <w:pStyle w:val="Textoindependiente"/>
        <w:spacing w:before="233"/>
        <w:rPr>
          <w:rFonts w:ascii="Arial"/>
          <w:b/>
        </w:rPr>
      </w:pPr>
    </w:p>
    <w:p w:rsidR="009B4BB4" w:rsidRDefault="00C44001" w:rsidP="00C44001">
      <w:pPr>
        <w:pStyle w:val="Ttulo1"/>
        <w:numPr>
          <w:ilvl w:val="1"/>
          <w:numId w:val="14"/>
        </w:numPr>
        <w:tabs>
          <w:tab w:val="left" w:pos="818"/>
        </w:tabs>
        <w:ind w:left="818" w:hanging="363"/>
      </w:pPr>
      <w:bookmarkStart w:id="227" w:name="7.1_Inversión_inicial_y_financiamiento_"/>
      <w:bookmarkStart w:id="228" w:name="h.al13w5rv22bz"/>
      <w:bookmarkEnd w:id="227"/>
      <w:bookmarkEnd w:id="228"/>
      <w:r>
        <w:t>Inversión</w:t>
      </w:r>
      <w:r>
        <w:rPr>
          <w:spacing w:val="-6"/>
        </w:rPr>
        <w:t xml:space="preserve"> </w:t>
      </w:r>
      <w:r>
        <w:t>inicial</w:t>
      </w:r>
      <w:r>
        <w:rPr>
          <w:spacing w:val="-6"/>
        </w:rPr>
        <w:t xml:space="preserve"> </w:t>
      </w:r>
      <w:r>
        <w:t>y</w:t>
      </w:r>
      <w:r>
        <w:rPr>
          <w:spacing w:val="-5"/>
        </w:rPr>
        <w:t xml:space="preserve"> </w:t>
      </w:r>
      <w:r>
        <w:rPr>
          <w:spacing w:val="-2"/>
        </w:rPr>
        <w:t>financiamiento</w:t>
      </w:r>
    </w:p>
    <w:p w:rsidR="009B4BB4" w:rsidRDefault="00C44001">
      <w:pPr>
        <w:pStyle w:val="Textoindependiente"/>
        <w:spacing w:before="247" w:line="360" w:lineRule="auto"/>
        <w:ind w:left="425" w:right="607" w:firstLine="720"/>
        <w:jc w:val="both"/>
      </w:pPr>
      <w:r>
        <w:t>El proyecto Guardiana prioriza la asignación de recursos hacia elementos que permitan validar el modelo y generar diferenciación competitiva,</w:t>
      </w:r>
      <w:r>
        <w:rPr>
          <w:spacing w:val="-3"/>
        </w:rPr>
        <w:t xml:space="preserve"> </w:t>
      </w:r>
      <w:r>
        <w:t>como</w:t>
      </w:r>
      <w:r>
        <w:rPr>
          <w:spacing w:val="-3"/>
        </w:rPr>
        <w:t xml:space="preserve"> </w:t>
      </w:r>
      <w:r>
        <w:t>el</w:t>
      </w:r>
      <w:r>
        <w:rPr>
          <w:spacing w:val="-3"/>
        </w:rPr>
        <w:t xml:space="preserve"> </w:t>
      </w:r>
      <w:r>
        <w:t>pago</w:t>
      </w:r>
      <w:r>
        <w:rPr>
          <w:spacing w:val="-3"/>
        </w:rPr>
        <w:t xml:space="preserve"> </w:t>
      </w:r>
      <w:r>
        <w:t>justo</w:t>
      </w:r>
      <w:r>
        <w:rPr>
          <w:spacing w:val="-3"/>
        </w:rPr>
        <w:t xml:space="preserve"> </w:t>
      </w:r>
      <w:r>
        <w:t>a</w:t>
      </w:r>
      <w:r>
        <w:rPr>
          <w:spacing w:val="-3"/>
        </w:rPr>
        <w:t xml:space="preserve"> </w:t>
      </w:r>
      <w:r>
        <w:t xml:space="preserve">los meliponicultores, el empaque </w:t>
      </w:r>
      <w:r>
        <w:rPr>
          <w:rFonts w:ascii="Arial" w:hAnsi="Arial"/>
          <w:i/>
        </w:rPr>
        <w:t>premium</w:t>
      </w:r>
      <w:r>
        <w:t>, el marketing de lanzamiento y los canales digitales</w:t>
      </w:r>
      <w:r>
        <w:t xml:space="preserve"> de venta. Este enfoque evita inversiones en infraestructura propia, y se alinea con un modelo</w:t>
      </w:r>
      <w:r>
        <w:rPr>
          <w:spacing w:val="-4"/>
        </w:rPr>
        <w:t xml:space="preserve"> </w:t>
      </w:r>
      <w:r>
        <w:rPr>
          <w:rFonts w:ascii="Arial" w:hAnsi="Arial"/>
          <w:i/>
        </w:rPr>
        <w:t>asset-light</w:t>
      </w:r>
      <w:r>
        <w:rPr>
          <w:rFonts w:ascii="Arial" w:hAnsi="Arial"/>
          <w:i/>
          <w:spacing w:val="-4"/>
        </w:rPr>
        <w:t xml:space="preserve"> </w:t>
      </w:r>
      <w:r>
        <w:t>que</w:t>
      </w:r>
      <w:r>
        <w:rPr>
          <w:spacing w:val="-4"/>
        </w:rPr>
        <w:t xml:space="preserve"> </w:t>
      </w:r>
      <w:r>
        <w:t>concentra</w:t>
      </w:r>
      <w:r>
        <w:rPr>
          <w:spacing w:val="-4"/>
        </w:rPr>
        <w:t xml:space="preserve"> </w:t>
      </w:r>
      <w:r>
        <w:t>el</w:t>
      </w:r>
      <w:r>
        <w:rPr>
          <w:spacing w:val="-4"/>
        </w:rPr>
        <w:t xml:space="preserve"> </w:t>
      </w:r>
      <w:r>
        <w:t>capital</w:t>
      </w:r>
      <w:r>
        <w:rPr>
          <w:spacing w:val="-4"/>
        </w:rPr>
        <w:t xml:space="preserve"> </w:t>
      </w:r>
      <w:r>
        <w:t>en</w:t>
      </w:r>
      <w:r>
        <w:rPr>
          <w:spacing w:val="-4"/>
        </w:rPr>
        <w:t xml:space="preserve"> </w:t>
      </w:r>
      <w:r>
        <w:t>actividades</w:t>
      </w:r>
      <w:r>
        <w:rPr>
          <w:spacing w:val="-4"/>
        </w:rPr>
        <w:t xml:space="preserve"> </w:t>
      </w:r>
      <w:r>
        <w:t>que</w:t>
      </w:r>
      <w:r>
        <w:rPr>
          <w:spacing w:val="-4"/>
        </w:rPr>
        <w:t xml:space="preserve"> </w:t>
      </w:r>
      <w:r>
        <w:t>generan</w:t>
      </w:r>
      <w:r>
        <w:rPr>
          <w:spacing w:val="-4"/>
        </w:rPr>
        <w:t xml:space="preserve"> </w:t>
      </w:r>
      <w:r>
        <w:t>visibilidad, confianza y tracción comercial.</w:t>
      </w:r>
    </w:p>
    <w:p w:rsidR="009B4BB4" w:rsidRDefault="00C44001">
      <w:pPr>
        <w:pStyle w:val="Textoindependiente"/>
        <w:spacing w:line="360" w:lineRule="auto"/>
        <w:ind w:left="425" w:right="604" w:firstLine="720"/>
        <w:jc w:val="both"/>
      </w:pPr>
      <w:r>
        <w:t>El lote piloto contempla 300 frascos</w:t>
      </w:r>
      <w:r>
        <w:rPr>
          <w:spacing w:val="-3"/>
        </w:rPr>
        <w:t xml:space="preserve"> </w:t>
      </w:r>
      <w:r>
        <w:t>de</w:t>
      </w:r>
      <w:r>
        <w:rPr>
          <w:spacing w:val="-3"/>
        </w:rPr>
        <w:t xml:space="preserve"> </w:t>
      </w:r>
      <w:r>
        <w:t>100</w:t>
      </w:r>
      <w:r>
        <w:rPr>
          <w:spacing w:val="-3"/>
        </w:rPr>
        <w:t xml:space="preserve"> </w:t>
      </w:r>
      <w:r>
        <w:t>ml</w:t>
      </w:r>
      <w:r>
        <w:rPr>
          <w:spacing w:val="-3"/>
        </w:rPr>
        <w:t xml:space="preserve"> </w:t>
      </w:r>
      <w:r>
        <w:t>y</w:t>
      </w:r>
      <w:r>
        <w:rPr>
          <w:spacing w:val="-3"/>
        </w:rPr>
        <w:t xml:space="preserve"> </w:t>
      </w:r>
      <w:r>
        <w:t>200</w:t>
      </w:r>
      <w:r>
        <w:rPr>
          <w:spacing w:val="-3"/>
        </w:rPr>
        <w:t xml:space="preserve"> </w:t>
      </w:r>
      <w:r>
        <w:t>goteros</w:t>
      </w:r>
      <w:r>
        <w:rPr>
          <w:spacing w:val="-3"/>
        </w:rPr>
        <w:t xml:space="preserve"> </w:t>
      </w:r>
      <w:r>
        <w:t>de</w:t>
      </w:r>
      <w:r>
        <w:rPr>
          <w:spacing w:val="-3"/>
        </w:rPr>
        <w:t xml:space="preserve"> </w:t>
      </w:r>
      <w:r>
        <w:t>20</w:t>
      </w:r>
      <w:r>
        <w:rPr>
          <w:spacing w:val="-3"/>
        </w:rPr>
        <w:t xml:space="preserve"> </w:t>
      </w:r>
      <w:r>
        <w:t>ml,</w:t>
      </w:r>
      <w:r>
        <w:rPr>
          <w:spacing w:val="-3"/>
        </w:rPr>
        <w:t xml:space="preserve"> </w:t>
      </w:r>
      <w:r>
        <w:t>con</w:t>
      </w:r>
      <w:r>
        <w:rPr>
          <w:spacing w:val="-3"/>
        </w:rPr>
        <w:t xml:space="preserve"> </w:t>
      </w:r>
      <w:r>
        <w:t>costos de miel y envases alineados a precios de mercado y condiciones justas para los productores aliados. Esta escala inicial es factible para una operación individual y se ajusta a la disponibilidad limitada de la miel melipona, cu</w:t>
      </w:r>
      <w:r>
        <w:t>ya</w:t>
      </w:r>
      <w:r>
        <w:rPr>
          <w:spacing w:val="-3"/>
        </w:rPr>
        <w:t xml:space="preserve"> </w:t>
      </w:r>
      <w:r>
        <w:t>producción</w:t>
      </w:r>
      <w:r>
        <w:rPr>
          <w:spacing w:val="-3"/>
        </w:rPr>
        <w:t xml:space="preserve"> </w:t>
      </w:r>
      <w:r>
        <w:t>oscila</w:t>
      </w:r>
      <w:r>
        <w:rPr>
          <w:spacing w:val="-3"/>
        </w:rPr>
        <w:t xml:space="preserve"> </w:t>
      </w:r>
      <w:r>
        <w:t>entre</w:t>
      </w:r>
      <w:r>
        <w:rPr>
          <w:spacing w:val="-3"/>
        </w:rPr>
        <w:t xml:space="preserve"> </w:t>
      </w:r>
      <w:r>
        <w:t>0.5</w:t>
      </w:r>
      <w:r>
        <w:rPr>
          <w:spacing w:val="-3"/>
        </w:rPr>
        <w:t xml:space="preserve"> </w:t>
      </w:r>
      <w:r>
        <w:t>y</w:t>
      </w:r>
      <w:r>
        <w:rPr>
          <w:spacing w:val="40"/>
        </w:rPr>
        <w:t xml:space="preserve"> </w:t>
      </w:r>
      <w:r>
        <w:t>2 litros por colmena al año, lo que condiciona el volumen de producción y refuerza la necesidad de un crecimiento controlado.</w:t>
      </w:r>
    </w:p>
    <w:p w:rsidR="009B4BB4" w:rsidRDefault="00C44001">
      <w:pPr>
        <w:pStyle w:val="Ttulo1"/>
        <w:spacing w:before="240"/>
      </w:pPr>
      <w:r>
        <w:rPr>
          <w:spacing w:val="-2"/>
        </w:rPr>
        <w:t>Tabla</w:t>
      </w:r>
      <w:r>
        <w:rPr>
          <w:spacing w:val="-11"/>
        </w:rPr>
        <w:t xml:space="preserve"> </w:t>
      </w:r>
      <w:r>
        <w:rPr>
          <w:spacing w:val="-5"/>
        </w:rPr>
        <w:t>7.1</w:t>
      </w:r>
    </w:p>
    <w:p w:rsidR="009B4BB4" w:rsidRDefault="00C44001">
      <w:pPr>
        <w:spacing w:before="126"/>
        <w:ind w:left="455"/>
        <w:rPr>
          <w:rFonts w:ascii="Arial" w:hAnsi="Arial"/>
          <w:i/>
        </w:rPr>
      </w:pPr>
      <w:r>
        <w:rPr>
          <w:rFonts w:ascii="Arial" w:hAnsi="Arial"/>
          <w:i/>
        </w:rPr>
        <w:t>Inversión</w:t>
      </w:r>
      <w:r>
        <w:rPr>
          <w:rFonts w:ascii="Arial" w:hAnsi="Arial"/>
          <w:i/>
          <w:spacing w:val="-7"/>
        </w:rPr>
        <w:t xml:space="preserve"> </w:t>
      </w:r>
      <w:r>
        <w:rPr>
          <w:rFonts w:ascii="Arial" w:hAnsi="Arial"/>
          <w:i/>
        </w:rPr>
        <w:t>inicial</w:t>
      </w:r>
      <w:r>
        <w:rPr>
          <w:rFonts w:ascii="Arial" w:hAnsi="Arial"/>
          <w:i/>
          <w:spacing w:val="-7"/>
        </w:rPr>
        <w:t xml:space="preserve"> </w:t>
      </w:r>
      <w:r>
        <w:rPr>
          <w:rFonts w:ascii="Arial" w:hAnsi="Arial"/>
          <w:i/>
        </w:rPr>
        <w:t>estimada</w:t>
      </w:r>
      <w:r>
        <w:rPr>
          <w:rFonts w:ascii="Arial" w:hAnsi="Arial"/>
          <w:i/>
          <w:spacing w:val="-6"/>
        </w:rPr>
        <w:t xml:space="preserve"> </w:t>
      </w:r>
      <w:r>
        <w:rPr>
          <w:rFonts w:ascii="Arial" w:hAnsi="Arial"/>
          <w:i/>
        </w:rPr>
        <w:t>del</w:t>
      </w:r>
      <w:r>
        <w:rPr>
          <w:rFonts w:ascii="Arial" w:hAnsi="Arial"/>
          <w:i/>
          <w:spacing w:val="-7"/>
        </w:rPr>
        <w:t xml:space="preserve"> </w:t>
      </w:r>
      <w:r>
        <w:rPr>
          <w:rFonts w:ascii="Arial" w:hAnsi="Arial"/>
          <w:i/>
        </w:rPr>
        <w:t>proyecto</w:t>
      </w:r>
      <w:r>
        <w:rPr>
          <w:rFonts w:ascii="Arial" w:hAnsi="Arial"/>
          <w:i/>
          <w:spacing w:val="-7"/>
        </w:rPr>
        <w:t xml:space="preserve"> </w:t>
      </w:r>
      <w:r>
        <w:rPr>
          <w:rFonts w:ascii="Arial" w:hAnsi="Arial"/>
          <w:i/>
        </w:rPr>
        <w:t>Guardiana</w:t>
      </w:r>
      <w:r>
        <w:rPr>
          <w:rFonts w:ascii="Arial" w:hAnsi="Arial"/>
          <w:i/>
          <w:spacing w:val="-6"/>
        </w:rPr>
        <w:t xml:space="preserve"> </w:t>
      </w:r>
      <w:r>
        <w:rPr>
          <w:rFonts w:ascii="Arial" w:hAnsi="Arial"/>
          <w:i/>
        </w:rPr>
        <w:t>en</w:t>
      </w:r>
      <w:r>
        <w:rPr>
          <w:rFonts w:ascii="Arial" w:hAnsi="Arial"/>
          <w:i/>
          <w:spacing w:val="-7"/>
        </w:rPr>
        <w:t xml:space="preserve"> </w:t>
      </w:r>
      <w:r>
        <w:rPr>
          <w:rFonts w:ascii="Arial" w:hAnsi="Arial"/>
          <w:i/>
        </w:rPr>
        <w:t>dólares</w:t>
      </w:r>
      <w:r>
        <w:rPr>
          <w:rFonts w:ascii="Arial" w:hAnsi="Arial"/>
          <w:i/>
          <w:spacing w:val="-6"/>
        </w:rPr>
        <w:t xml:space="preserve"> </w:t>
      </w:r>
      <w:r>
        <w:rPr>
          <w:rFonts w:ascii="Arial" w:hAnsi="Arial"/>
          <w:i/>
          <w:spacing w:val="-2"/>
        </w:rPr>
        <w:t>(USD)</w:t>
      </w:r>
    </w:p>
    <w:p w:rsidR="009B4BB4" w:rsidRDefault="009B4BB4">
      <w:pPr>
        <w:pStyle w:val="Textoindependiente"/>
        <w:spacing w:before="1"/>
        <w:rPr>
          <w:rFonts w:ascii="Arial"/>
          <w:i/>
          <w:sz w:val="10"/>
        </w:rPr>
      </w:pPr>
    </w:p>
    <w:tbl>
      <w:tblPr>
        <w:tblStyle w:val="TableNormal"/>
        <w:tblW w:w="0" w:type="auto"/>
        <w:tblInd w:w="432" w:type="dxa"/>
        <w:tblLayout w:type="fixed"/>
        <w:tblLook w:val="01E0" w:firstRow="1" w:lastRow="1" w:firstColumn="1" w:lastColumn="1" w:noHBand="0" w:noVBand="0"/>
      </w:tblPr>
      <w:tblGrid>
        <w:gridCol w:w="4913"/>
        <w:gridCol w:w="2487"/>
        <w:gridCol w:w="1167"/>
      </w:tblGrid>
      <w:tr w:rsidR="009B4BB4">
        <w:trPr>
          <w:trHeight w:val="320"/>
        </w:trPr>
        <w:tc>
          <w:tcPr>
            <w:tcW w:w="4913" w:type="dxa"/>
            <w:tcBorders>
              <w:top w:val="single" w:sz="8" w:space="0" w:color="000000"/>
              <w:bottom w:val="single" w:sz="8" w:space="0" w:color="000000"/>
            </w:tcBorders>
          </w:tcPr>
          <w:p w:rsidR="009B4BB4" w:rsidRDefault="00C44001">
            <w:pPr>
              <w:pStyle w:val="TableParagraph"/>
              <w:spacing w:before="36"/>
              <w:ind w:left="30"/>
              <w:rPr>
                <w:rFonts w:ascii="Arial"/>
                <w:b/>
              </w:rPr>
            </w:pPr>
            <w:r>
              <w:rPr>
                <w:rFonts w:ascii="Arial"/>
                <w:b/>
                <w:spacing w:val="-2"/>
              </w:rPr>
              <w:t>Concepto</w:t>
            </w:r>
          </w:p>
        </w:tc>
        <w:tc>
          <w:tcPr>
            <w:tcW w:w="2487" w:type="dxa"/>
            <w:tcBorders>
              <w:top w:val="single" w:sz="8" w:space="0" w:color="000000"/>
              <w:bottom w:val="single" w:sz="8" w:space="0" w:color="000000"/>
            </w:tcBorders>
          </w:tcPr>
          <w:p w:rsidR="009B4BB4" w:rsidRDefault="00C44001">
            <w:pPr>
              <w:pStyle w:val="TableParagraph"/>
              <w:spacing w:before="36"/>
              <w:ind w:left="825"/>
              <w:rPr>
                <w:rFonts w:ascii="Arial"/>
                <w:b/>
              </w:rPr>
            </w:pPr>
            <w:r>
              <w:rPr>
                <w:rFonts w:ascii="Arial"/>
                <w:b/>
                <w:spacing w:val="-2"/>
              </w:rPr>
              <w:t>Monto</w:t>
            </w:r>
          </w:p>
        </w:tc>
        <w:tc>
          <w:tcPr>
            <w:tcW w:w="1167" w:type="dxa"/>
            <w:tcBorders>
              <w:top w:val="single" w:sz="8" w:space="0" w:color="000000"/>
              <w:bottom w:val="single" w:sz="8" w:space="0" w:color="000000"/>
            </w:tcBorders>
          </w:tcPr>
          <w:p w:rsidR="009B4BB4" w:rsidRDefault="00C44001">
            <w:pPr>
              <w:pStyle w:val="TableParagraph"/>
              <w:spacing w:before="36"/>
              <w:ind w:left="333"/>
              <w:rPr>
                <w:rFonts w:ascii="Arial"/>
                <w:b/>
              </w:rPr>
            </w:pPr>
            <w:r>
              <w:rPr>
                <w:rFonts w:ascii="Arial"/>
                <w:b/>
                <w:spacing w:val="-10"/>
              </w:rPr>
              <w:t>%</w:t>
            </w:r>
          </w:p>
        </w:tc>
      </w:tr>
      <w:tr w:rsidR="009B4BB4">
        <w:trPr>
          <w:trHeight w:val="313"/>
        </w:trPr>
        <w:tc>
          <w:tcPr>
            <w:tcW w:w="4913" w:type="dxa"/>
            <w:tcBorders>
              <w:top w:val="single" w:sz="8" w:space="0" w:color="000000"/>
            </w:tcBorders>
          </w:tcPr>
          <w:p w:rsidR="009B4BB4" w:rsidRDefault="00C44001">
            <w:pPr>
              <w:pStyle w:val="TableParagraph"/>
              <w:spacing w:before="26"/>
              <w:ind w:left="30"/>
            </w:pPr>
            <w:r>
              <w:t>Activos</w:t>
            </w:r>
            <w:r>
              <w:rPr>
                <w:spacing w:val="-7"/>
              </w:rPr>
              <w:t xml:space="preserve"> </w:t>
            </w:r>
            <w:r>
              <w:rPr>
                <w:spacing w:val="-2"/>
              </w:rPr>
              <w:t>Intangibles</w:t>
            </w:r>
          </w:p>
        </w:tc>
        <w:tc>
          <w:tcPr>
            <w:tcW w:w="2487" w:type="dxa"/>
            <w:tcBorders>
              <w:top w:val="single" w:sz="8" w:space="0" w:color="000000"/>
            </w:tcBorders>
          </w:tcPr>
          <w:p w:rsidR="009B4BB4" w:rsidRDefault="00C44001">
            <w:pPr>
              <w:pStyle w:val="TableParagraph"/>
              <w:spacing w:before="26"/>
              <w:ind w:right="332"/>
              <w:jc w:val="right"/>
            </w:pPr>
            <w:r>
              <w:rPr>
                <w:spacing w:val="-2"/>
              </w:rPr>
              <w:t>$1,800</w:t>
            </w:r>
          </w:p>
        </w:tc>
        <w:tc>
          <w:tcPr>
            <w:tcW w:w="1167" w:type="dxa"/>
            <w:tcBorders>
              <w:top w:val="single" w:sz="8" w:space="0" w:color="000000"/>
            </w:tcBorders>
          </w:tcPr>
          <w:p w:rsidR="009B4BB4" w:rsidRDefault="00C44001">
            <w:pPr>
              <w:pStyle w:val="TableParagraph"/>
              <w:spacing w:before="26"/>
              <w:ind w:right="1"/>
              <w:jc w:val="right"/>
            </w:pPr>
            <w:r>
              <w:rPr>
                <w:spacing w:val="-5"/>
              </w:rPr>
              <w:t>24%</w:t>
            </w:r>
          </w:p>
        </w:tc>
      </w:tr>
      <w:tr w:rsidR="009B4BB4">
        <w:trPr>
          <w:trHeight w:val="315"/>
        </w:trPr>
        <w:tc>
          <w:tcPr>
            <w:tcW w:w="4913" w:type="dxa"/>
          </w:tcPr>
          <w:p w:rsidR="009B4BB4" w:rsidRDefault="00C44001">
            <w:pPr>
              <w:pStyle w:val="TableParagraph"/>
              <w:spacing w:before="27"/>
              <w:ind w:left="750"/>
            </w:pPr>
            <w:r>
              <w:t>Identidad</w:t>
            </w:r>
            <w:r>
              <w:rPr>
                <w:spacing w:val="-8"/>
              </w:rPr>
              <w:t xml:space="preserve"> </w:t>
            </w:r>
            <w:r>
              <w:t>de</w:t>
            </w:r>
            <w:r>
              <w:rPr>
                <w:spacing w:val="-5"/>
              </w:rPr>
              <w:t xml:space="preserve"> </w:t>
            </w:r>
            <w:r>
              <w:t>marca</w:t>
            </w:r>
            <w:r>
              <w:rPr>
                <w:spacing w:val="-5"/>
              </w:rPr>
              <w:t xml:space="preserve"> </w:t>
            </w:r>
            <w:r>
              <w:rPr>
                <w:spacing w:val="-4"/>
              </w:rPr>
              <w:t>(Sr.)</w:t>
            </w:r>
          </w:p>
        </w:tc>
        <w:tc>
          <w:tcPr>
            <w:tcW w:w="2487" w:type="dxa"/>
          </w:tcPr>
          <w:p w:rsidR="009B4BB4" w:rsidRDefault="00C44001">
            <w:pPr>
              <w:pStyle w:val="TableParagraph"/>
              <w:spacing w:before="27"/>
              <w:ind w:right="332"/>
              <w:jc w:val="right"/>
            </w:pPr>
            <w:r>
              <w:rPr>
                <w:spacing w:val="-4"/>
              </w:rPr>
              <w:t>$800</w:t>
            </w:r>
          </w:p>
        </w:tc>
        <w:tc>
          <w:tcPr>
            <w:tcW w:w="1167" w:type="dxa"/>
          </w:tcPr>
          <w:p w:rsidR="009B4BB4" w:rsidRDefault="009B4BB4">
            <w:pPr>
              <w:pStyle w:val="TableParagraph"/>
              <w:rPr>
                <w:rFonts w:ascii="Times New Roman"/>
              </w:rPr>
            </w:pPr>
          </w:p>
        </w:tc>
      </w:tr>
      <w:tr w:rsidR="009B4BB4">
        <w:trPr>
          <w:trHeight w:val="315"/>
        </w:trPr>
        <w:tc>
          <w:tcPr>
            <w:tcW w:w="4913" w:type="dxa"/>
          </w:tcPr>
          <w:p w:rsidR="009B4BB4" w:rsidRDefault="00C44001">
            <w:pPr>
              <w:pStyle w:val="TableParagraph"/>
              <w:spacing w:before="27"/>
              <w:ind w:left="750"/>
            </w:pPr>
            <w:r>
              <w:t>E-commerce</w:t>
            </w:r>
            <w:r>
              <w:rPr>
                <w:spacing w:val="-7"/>
              </w:rPr>
              <w:t xml:space="preserve"> </w:t>
            </w:r>
            <w:r>
              <w:t>(Shopify</w:t>
            </w:r>
            <w:r>
              <w:rPr>
                <w:spacing w:val="-6"/>
              </w:rPr>
              <w:t xml:space="preserve"> </w:t>
            </w:r>
            <w:r>
              <w:t>+</w:t>
            </w:r>
            <w:r>
              <w:rPr>
                <w:spacing w:val="-6"/>
              </w:rPr>
              <w:t xml:space="preserve"> </w:t>
            </w:r>
            <w:r>
              <w:rPr>
                <w:spacing w:val="-2"/>
              </w:rPr>
              <w:t>Theme)</w:t>
            </w:r>
          </w:p>
        </w:tc>
        <w:tc>
          <w:tcPr>
            <w:tcW w:w="2487" w:type="dxa"/>
          </w:tcPr>
          <w:p w:rsidR="009B4BB4" w:rsidRDefault="00C44001">
            <w:pPr>
              <w:pStyle w:val="TableParagraph"/>
              <w:spacing w:before="27"/>
              <w:ind w:right="332"/>
              <w:jc w:val="right"/>
            </w:pPr>
            <w:r>
              <w:rPr>
                <w:spacing w:val="-4"/>
              </w:rPr>
              <w:t>$600</w:t>
            </w:r>
          </w:p>
        </w:tc>
        <w:tc>
          <w:tcPr>
            <w:tcW w:w="1167" w:type="dxa"/>
          </w:tcPr>
          <w:p w:rsidR="009B4BB4" w:rsidRDefault="009B4BB4">
            <w:pPr>
              <w:pStyle w:val="TableParagraph"/>
              <w:rPr>
                <w:rFonts w:ascii="Times New Roman"/>
              </w:rPr>
            </w:pPr>
          </w:p>
        </w:tc>
      </w:tr>
      <w:tr w:rsidR="009B4BB4">
        <w:trPr>
          <w:trHeight w:val="375"/>
        </w:trPr>
        <w:tc>
          <w:tcPr>
            <w:tcW w:w="4913" w:type="dxa"/>
          </w:tcPr>
          <w:p w:rsidR="009B4BB4" w:rsidRDefault="00C44001">
            <w:pPr>
              <w:pStyle w:val="TableParagraph"/>
              <w:spacing w:before="27"/>
              <w:ind w:left="750"/>
            </w:pPr>
            <w:r>
              <w:t>Certificaciones</w:t>
            </w:r>
            <w:r>
              <w:rPr>
                <w:spacing w:val="-8"/>
              </w:rPr>
              <w:t xml:space="preserve"> </w:t>
            </w:r>
            <w:r>
              <w:t>y</w:t>
            </w:r>
            <w:r>
              <w:rPr>
                <w:spacing w:val="-8"/>
              </w:rPr>
              <w:t xml:space="preserve"> </w:t>
            </w:r>
            <w:r>
              <w:rPr>
                <w:spacing w:val="-2"/>
              </w:rPr>
              <w:t>Legal</w:t>
            </w:r>
          </w:p>
        </w:tc>
        <w:tc>
          <w:tcPr>
            <w:tcW w:w="2487" w:type="dxa"/>
          </w:tcPr>
          <w:p w:rsidR="009B4BB4" w:rsidRDefault="00C44001">
            <w:pPr>
              <w:pStyle w:val="TableParagraph"/>
              <w:spacing w:before="27"/>
              <w:ind w:right="332"/>
              <w:jc w:val="right"/>
            </w:pPr>
            <w:r>
              <w:rPr>
                <w:spacing w:val="-4"/>
              </w:rPr>
              <w:t>$400</w:t>
            </w:r>
          </w:p>
        </w:tc>
        <w:tc>
          <w:tcPr>
            <w:tcW w:w="1167" w:type="dxa"/>
          </w:tcPr>
          <w:p w:rsidR="009B4BB4" w:rsidRDefault="009B4BB4">
            <w:pPr>
              <w:pStyle w:val="TableParagraph"/>
              <w:rPr>
                <w:rFonts w:ascii="Times New Roman"/>
              </w:rPr>
            </w:pPr>
          </w:p>
        </w:tc>
      </w:tr>
      <w:tr w:rsidR="009B4BB4">
        <w:trPr>
          <w:trHeight w:val="435"/>
        </w:trPr>
        <w:tc>
          <w:tcPr>
            <w:tcW w:w="4913" w:type="dxa"/>
          </w:tcPr>
          <w:p w:rsidR="009B4BB4" w:rsidRDefault="00C44001">
            <w:pPr>
              <w:pStyle w:val="TableParagraph"/>
              <w:spacing w:before="87"/>
              <w:ind w:left="30"/>
            </w:pPr>
            <w:r>
              <w:t>Capital</w:t>
            </w:r>
            <w:r>
              <w:rPr>
                <w:spacing w:val="-5"/>
              </w:rPr>
              <w:t xml:space="preserve"> </w:t>
            </w:r>
            <w:r>
              <w:t>de</w:t>
            </w:r>
            <w:r>
              <w:rPr>
                <w:spacing w:val="-4"/>
              </w:rPr>
              <w:t xml:space="preserve"> </w:t>
            </w:r>
            <w:r>
              <w:rPr>
                <w:spacing w:val="-2"/>
              </w:rPr>
              <w:t>trabajo</w:t>
            </w:r>
          </w:p>
        </w:tc>
        <w:tc>
          <w:tcPr>
            <w:tcW w:w="2487" w:type="dxa"/>
          </w:tcPr>
          <w:p w:rsidR="009B4BB4" w:rsidRDefault="00C44001">
            <w:pPr>
              <w:pStyle w:val="TableParagraph"/>
              <w:spacing w:before="87"/>
              <w:ind w:right="332"/>
              <w:jc w:val="right"/>
            </w:pPr>
            <w:r>
              <w:rPr>
                <w:spacing w:val="-2"/>
              </w:rPr>
              <w:t>$3,750</w:t>
            </w:r>
          </w:p>
        </w:tc>
        <w:tc>
          <w:tcPr>
            <w:tcW w:w="1167" w:type="dxa"/>
          </w:tcPr>
          <w:p w:rsidR="009B4BB4" w:rsidRDefault="00C44001">
            <w:pPr>
              <w:pStyle w:val="TableParagraph"/>
              <w:spacing w:before="87"/>
              <w:ind w:right="1"/>
              <w:jc w:val="right"/>
            </w:pPr>
            <w:r>
              <w:rPr>
                <w:spacing w:val="-5"/>
              </w:rPr>
              <w:t>49%</w:t>
            </w:r>
          </w:p>
        </w:tc>
      </w:tr>
      <w:tr w:rsidR="009B4BB4">
        <w:trPr>
          <w:trHeight w:val="375"/>
        </w:trPr>
        <w:tc>
          <w:tcPr>
            <w:tcW w:w="4913" w:type="dxa"/>
          </w:tcPr>
          <w:p w:rsidR="009B4BB4" w:rsidRDefault="00C44001">
            <w:pPr>
              <w:pStyle w:val="TableParagraph"/>
              <w:spacing w:before="87"/>
              <w:ind w:left="750"/>
            </w:pPr>
            <w:r>
              <w:t>Compra</w:t>
            </w:r>
            <w:r>
              <w:rPr>
                <w:spacing w:val="-4"/>
              </w:rPr>
              <w:t xml:space="preserve"> </w:t>
            </w:r>
            <w:r>
              <w:t>de</w:t>
            </w:r>
            <w:r>
              <w:rPr>
                <w:spacing w:val="-3"/>
              </w:rPr>
              <w:t xml:space="preserve"> </w:t>
            </w:r>
            <w:r>
              <w:t>miel</w:t>
            </w:r>
            <w:r>
              <w:rPr>
                <w:spacing w:val="-3"/>
              </w:rPr>
              <w:t xml:space="preserve"> </w:t>
            </w:r>
            <w:r>
              <w:t>(28</w:t>
            </w:r>
            <w:r>
              <w:rPr>
                <w:spacing w:val="-3"/>
              </w:rPr>
              <w:t xml:space="preserve"> </w:t>
            </w:r>
            <w:r>
              <w:t>L</w:t>
            </w:r>
            <w:r>
              <w:rPr>
                <w:spacing w:val="-3"/>
              </w:rPr>
              <w:t xml:space="preserve"> </w:t>
            </w:r>
            <w:r>
              <w:rPr>
                <w:rFonts w:ascii="Arial"/>
                <w:i/>
                <w:spacing w:val="-2"/>
              </w:rPr>
              <w:t>Premium</w:t>
            </w:r>
            <w:r>
              <w:rPr>
                <w:spacing w:val="-2"/>
              </w:rPr>
              <w:t>)</w:t>
            </w:r>
          </w:p>
        </w:tc>
        <w:tc>
          <w:tcPr>
            <w:tcW w:w="2487" w:type="dxa"/>
          </w:tcPr>
          <w:p w:rsidR="009B4BB4" w:rsidRDefault="00C44001">
            <w:pPr>
              <w:pStyle w:val="TableParagraph"/>
              <w:spacing w:before="87"/>
              <w:ind w:right="332"/>
              <w:jc w:val="right"/>
            </w:pPr>
            <w:r>
              <w:rPr>
                <w:spacing w:val="-2"/>
              </w:rPr>
              <w:t>$1,550</w:t>
            </w:r>
          </w:p>
        </w:tc>
        <w:tc>
          <w:tcPr>
            <w:tcW w:w="1167" w:type="dxa"/>
          </w:tcPr>
          <w:p w:rsidR="009B4BB4" w:rsidRDefault="009B4BB4">
            <w:pPr>
              <w:pStyle w:val="TableParagraph"/>
              <w:rPr>
                <w:rFonts w:ascii="Times New Roman"/>
              </w:rPr>
            </w:pPr>
          </w:p>
        </w:tc>
      </w:tr>
      <w:tr w:rsidR="009B4BB4">
        <w:trPr>
          <w:trHeight w:val="314"/>
        </w:trPr>
        <w:tc>
          <w:tcPr>
            <w:tcW w:w="4913" w:type="dxa"/>
          </w:tcPr>
          <w:p w:rsidR="009B4BB4" w:rsidRDefault="00C44001">
            <w:pPr>
              <w:pStyle w:val="TableParagraph"/>
              <w:spacing w:before="27"/>
              <w:ind w:left="750"/>
            </w:pPr>
            <w:r>
              <w:t>Producción</w:t>
            </w:r>
            <w:r>
              <w:rPr>
                <w:spacing w:val="-6"/>
              </w:rPr>
              <w:t xml:space="preserve"> </w:t>
            </w:r>
            <w:r>
              <w:t>de</w:t>
            </w:r>
            <w:r>
              <w:rPr>
                <w:spacing w:val="-6"/>
              </w:rPr>
              <w:t xml:space="preserve"> </w:t>
            </w:r>
            <w:r>
              <w:rPr>
                <w:spacing w:val="-2"/>
              </w:rPr>
              <w:t>Envases</w:t>
            </w:r>
          </w:p>
        </w:tc>
        <w:tc>
          <w:tcPr>
            <w:tcW w:w="2487" w:type="dxa"/>
          </w:tcPr>
          <w:p w:rsidR="009B4BB4" w:rsidRDefault="00C44001">
            <w:pPr>
              <w:pStyle w:val="TableParagraph"/>
              <w:spacing w:before="27"/>
              <w:ind w:right="332"/>
              <w:jc w:val="right"/>
            </w:pPr>
            <w:r>
              <w:rPr>
                <w:spacing w:val="-2"/>
              </w:rPr>
              <w:t>$1,300</w:t>
            </w:r>
          </w:p>
        </w:tc>
        <w:tc>
          <w:tcPr>
            <w:tcW w:w="1167" w:type="dxa"/>
          </w:tcPr>
          <w:p w:rsidR="009B4BB4" w:rsidRDefault="009B4BB4">
            <w:pPr>
              <w:pStyle w:val="TableParagraph"/>
              <w:rPr>
                <w:rFonts w:ascii="Times New Roman"/>
              </w:rPr>
            </w:pPr>
          </w:p>
        </w:tc>
      </w:tr>
      <w:tr w:rsidR="009B4BB4">
        <w:trPr>
          <w:trHeight w:val="314"/>
        </w:trPr>
        <w:tc>
          <w:tcPr>
            <w:tcW w:w="4913" w:type="dxa"/>
          </w:tcPr>
          <w:p w:rsidR="009B4BB4" w:rsidRDefault="00C44001">
            <w:pPr>
              <w:pStyle w:val="TableParagraph"/>
              <w:spacing w:before="27"/>
              <w:ind w:left="750"/>
            </w:pPr>
            <w:r>
              <w:t>Empaque</w:t>
            </w:r>
            <w:r>
              <w:rPr>
                <w:spacing w:val="-7"/>
              </w:rPr>
              <w:t xml:space="preserve"> </w:t>
            </w:r>
            <w:r>
              <w:rPr>
                <w:spacing w:val="-2"/>
              </w:rPr>
              <w:t>Secundario</w:t>
            </w:r>
          </w:p>
        </w:tc>
        <w:tc>
          <w:tcPr>
            <w:tcW w:w="2487" w:type="dxa"/>
          </w:tcPr>
          <w:p w:rsidR="009B4BB4" w:rsidRDefault="00C44001">
            <w:pPr>
              <w:pStyle w:val="TableParagraph"/>
              <w:spacing w:before="27"/>
              <w:ind w:right="332"/>
              <w:jc w:val="right"/>
            </w:pPr>
            <w:r>
              <w:rPr>
                <w:spacing w:val="-4"/>
              </w:rPr>
              <w:t>$900</w:t>
            </w:r>
          </w:p>
        </w:tc>
        <w:tc>
          <w:tcPr>
            <w:tcW w:w="1167" w:type="dxa"/>
          </w:tcPr>
          <w:p w:rsidR="009B4BB4" w:rsidRDefault="009B4BB4">
            <w:pPr>
              <w:pStyle w:val="TableParagraph"/>
              <w:rPr>
                <w:rFonts w:ascii="Times New Roman"/>
              </w:rPr>
            </w:pPr>
          </w:p>
        </w:tc>
      </w:tr>
      <w:tr w:rsidR="009B4BB4">
        <w:trPr>
          <w:trHeight w:val="315"/>
        </w:trPr>
        <w:tc>
          <w:tcPr>
            <w:tcW w:w="4913" w:type="dxa"/>
          </w:tcPr>
          <w:p w:rsidR="009B4BB4" w:rsidRDefault="00C44001">
            <w:pPr>
              <w:pStyle w:val="TableParagraph"/>
              <w:spacing w:before="27"/>
              <w:ind w:left="30"/>
            </w:pPr>
            <w:r>
              <w:t>Operación</w:t>
            </w:r>
            <w:r>
              <w:rPr>
                <w:spacing w:val="-5"/>
              </w:rPr>
              <w:t xml:space="preserve"> </w:t>
            </w:r>
            <w:r>
              <w:t>e</w:t>
            </w:r>
            <w:r>
              <w:rPr>
                <w:spacing w:val="-5"/>
              </w:rPr>
              <w:t xml:space="preserve"> </w:t>
            </w:r>
            <w:r>
              <w:rPr>
                <w:spacing w:val="-2"/>
              </w:rPr>
              <w:t>Infraestructura</w:t>
            </w:r>
          </w:p>
        </w:tc>
        <w:tc>
          <w:tcPr>
            <w:tcW w:w="2487" w:type="dxa"/>
          </w:tcPr>
          <w:p w:rsidR="009B4BB4" w:rsidRDefault="00C44001">
            <w:pPr>
              <w:pStyle w:val="TableParagraph"/>
              <w:spacing w:before="27"/>
              <w:ind w:right="332"/>
              <w:jc w:val="right"/>
            </w:pPr>
            <w:r>
              <w:rPr>
                <w:spacing w:val="-2"/>
              </w:rPr>
              <w:t>$2,100</w:t>
            </w:r>
          </w:p>
        </w:tc>
        <w:tc>
          <w:tcPr>
            <w:tcW w:w="1167" w:type="dxa"/>
          </w:tcPr>
          <w:p w:rsidR="009B4BB4" w:rsidRDefault="00C44001">
            <w:pPr>
              <w:pStyle w:val="TableParagraph"/>
              <w:spacing w:before="27"/>
              <w:ind w:right="1"/>
              <w:jc w:val="right"/>
            </w:pPr>
            <w:r>
              <w:rPr>
                <w:spacing w:val="-5"/>
              </w:rPr>
              <w:t>27%</w:t>
            </w:r>
          </w:p>
        </w:tc>
      </w:tr>
      <w:tr w:rsidR="009B4BB4">
        <w:trPr>
          <w:trHeight w:val="315"/>
        </w:trPr>
        <w:tc>
          <w:tcPr>
            <w:tcW w:w="4913" w:type="dxa"/>
          </w:tcPr>
          <w:p w:rsidR="009B4BB4" w:rsidRDefault="00C44001">
            <w:pPr>
              <w:pStyle w:val="TableParagraph"/>
              <w:spacing w:before="27"/>
              <w:ind w:left="750"/>
            </w:pPr>
            <w:r>
              <w:t>Marketing</w:t>
            </w:r>
            <w:r>
              <w:rPr>
                <w:spacing w:val="-8"/>
              </w:rPr>
              <w:t xml:space="preserve"> </w:t>
            </w:r>
            <w:r>
              <w:t>Digital</w:t>
            </w:r>
            <w:r>
              <w:rPr>
                <w:spacing w:val="-8"/>
              </w:rPr>
              <w:t xml:space="preserve"> </w:t>
            </w:r>
            <w:r>
              <w:rPr>
                <w:spacing w:val="-2"/>
              </w:rPr>
              <w:t>(Lanzamiento)</w:t>
            </w:r>
          </w:p>
        </w:tc>
        <w:tc>
          <w:tcPr>
            <w:tcW w:w="2487" w:type="dxa"/>
          </w:tcPr>
          <w:p w:rsidR="009B4BB4" w:rsidRDefault="00C44001">
            <w:pPr>
              <w:pStyle w:val="TableParagraph"/>
              <w:spacing w:before="27"/>
              <w:ind w:right="332"/>
              <w:jc w:val="right"/>
            </w:pPr>
            <w:r>
              <w:rPr>
                <w:spacing w:val="-4"/>
              </w:rPr>
              <w:t>$700</w:t>
            </w:r>
          </w:p>
        </w:tc>
        <w:tc>
          <w:tcPr>
            <w:tcW w:w="1167" w:type="dxa"/>
          </w:tcPr>
          <w:p w:rsidR="009B4BB4" w:rsidRDefault="009B4BB4">
            <w:pPr>
              <w:pStyle w:val="TableParagraph"/>
              <w:rPr>
                <w:rFonts w:ascii="Times New Roman"/>
              </w:rPr>
            </w:pPr>
          </w:p>
        </w:tc>
      </w:tr>
      <w:tr w:rsidR="009B4BB4">
        <w:trPr>
          <w:trHeight w:val="315"/>
        </w:trPr>
        <w:tc>
          <w:tcPr>
            <w:tcW w:w="4913" w:type="dxa"/>
          </w:tcPr>
          <w:p w:rsidR="009B4BB4" w:rsidRDefault="00C44001">
            <w:pPr>
              <w:pStyle w:val="TableParagraph"/>
              <w:spacing w:before="27"/>
              <w:ind w:left="750"/>
            </w:pPr>
            <w:r>
              <w:t>Herramental</w:t>
            </w:r>
            <w:r>
              <w:rPr>
                <w:spacing w:val="-6"/>
              </w:rPr>
              <w:t xml:space="preserve"> </w:t>
            </w:r>
            <w:r>
              <w:t>y</w:t>
            </w:r>
            <w:r>
              <w:rPr>
                <w:spacing w:val="-5"/>
              </w:rPr>
              <w:t xml:space="preserve"> </w:t>
            </w:r>
            <w:r>
              <w:t>Equipo</w:t>
            </w:r>
            <w:r>
              <w:rPr>
                <w:spacing w:val="-6"/>
              </w:rPr>
              <w:t xml:space="preserve"> </w:t>
            </w:r>
            <w:r>
              <w:t>(Kit</w:t>
            </w:r>
            <w:r>
              <w:rPr>
                <w:spacing w:val="-5"/>
              </w:rPr>
              <w:t xml:space="preserve"> </w:t>
            </w:r>
            <w:r>
              <w:rPr>
                <w:spacing w:val="-2"/>
              </w:rPr>
              <w:t>Taller)</w:t>
            </w:r>
          </w:p>
        </w:tc>
        <w:tc>
          <w:tcPr>
            <w:tcW w:w="2487" w:type="dxa"/>
          </w:tcPr>
          <w:p w:rsidR="009B4BB4" w:rsidRDefault="00C44001">
            <w:pPr>
              <w:pStyle w:val="TableParagraph"/>
              <w:spacing w:before="27"/>
              <w:ind w:right="332"/>
              <w:jc w:val="right"/>
            </w:pPr>
            <w:r>
              <w:rPr>
                <w:spacing w:val="-4"/>
              </w:rPr>
              <w:t>$200</w:t>
            </w:r>
          </w:p>
        </w:tc>
        <w:tc>
          <w:tcPr>
            <w:tcW w:w="1167" w:type="dxa"/>
          </w:tcPr>
          <w:p w:rsidR="009B4BB4" w:rsidRDefault="009B4BB4">
            <w:pPr>
              <w:pStyle w:val="TableParagraph"/>
              <w:rPr>
                <w:rFonts w:ascii="Times New Roman"/>
              </w:rPr>
            </w:pPr>
          </w:p>
        </w:tc>
      </w:tr>
      <w:tr w:rsidR="009B4BB4">
        <w:trPr>
          <w:trHeight w:val="315"/>
        </w:trPr>
        <w:tc>
          <w:tcPr>
            <w:tcW w:w="4913" w:type="dxa"/>
          </w:tcPr>
          <w:p w:rsidR="009B4BB4" w:rsidRDefault="00C44001">
            <w:pPr>
              <w:pStyle w:val="TableParagraph"/>
              <w:spacing w:before="27"/>
              <w:ind w:left="750"/>
            </w:pPr>
            <w:r>
              <w:t>Asesoría</w:t>
            </w:r>
            <w:r>
              <w:rPr>
                <w:spacing w:val="-7"/>
              </w:rPr>
              <w:t xml:space="preserve"> </w:t>
            </w:r>
            <w:r>
              <w:t>Legal</w:t>
            </w:r>
            <w:r>
              <w:rPr>
                <w:spacing w:val="-6"/>
              </w:rPr>
              <w:t xml:space="preserve"> </w:t>
            </w:r>
            <w:r>
              <w:rPr>
                <w:spacing w:val="-2"/>
              </w:rPr>
              <w:t>(Contratos)</w:t>
            </w:r>
          </w:p>
        </w:tc>
        <w:tc>
          <w:tcPr>
            <w:tcW w:w="2487" w:type="dxa"/>
          </w:tcPr>
          <w:p w:rsidR="009B4BB4" w:rsidRDefault="00C44001">
            <w:pPr>
              <w:pStyle w:val="TableParagraph"/>
              <w:spacing w:before="27"/>
              <w:ind w:right="332"/>
              <w:jc w:val="right"/>
            </w:pPr>
            <w:r>
              <w:rPr>
                <w:spacing w:val="-4"/>
              </w:rPr>
              <w:t>$250</w:t>
            </w:r>
          </w:p>
        </w:tc>
        <w:tc>
          <w:tcPr>
            <w:tcW w:w="1167" w:type="dxa"/>
          </w:tcPr>
          <w:p w:rsidR="009B4BB4" w:rsidRDefault="009B4BB4">
            <w:pPr>
              <w:pStyle w:val="TableParagraph"/>
              <w:rPr>
                <w:rFonts w:ascii="Times New Roman"/>
              </w:rPr>
            </w:pPr>
          </w:p>
        </w:tc>
      </w:tr>
      <w:tr w:rsidR="009B4BB4">
        <w:trPr>
          <w:trHeight w:val="315"/>
        </w:trPr>
        <w:tc>
          <w:tcPr>
            <w:tcW w:w="4913" w:type="dxa"/>
          </w:tcPr>
          <w:p w:rsidR="009B4BB4" w:rsidRDefault="00C44001">
            <w:pPr>
              <w:pStyle w:val="TableParagraph"/>
              <w:spacing w:before="27"/>
              <w:ind w:left="750"/>
            </w:pPr>
            <w:r>
              <w:t>Cuotas</w:t>
            </w:r>
            <w:r>
              <w:rPr>
                <w:spacing w:val="-5"/>
              </w:rPr>
              <w:t xml:space="preserve"> </w:t>
            </w:r>
            <w:r>
              <w:t>de</w:t>
            </w:r>
            <w:r>
              <w:rPr>
                <w:spacing w:val="-5"/>
              </w:rPr>
              <w:t xml:space="preserve"> </w:t>
            </w:r>
            <w:r>
              <w:t>Bazares</w:t>
            </w:r>
            <w:r>
              <w:rPr>
                <w:spacing w:val="-5"/>
              </w:rPr>
              <w:t xml:space="preserve"> </w:t>
            </w:r>
            <w:r>
              <w:rPr>
                <w:spacing w:val="-2"/>
              </w:rPr>
              <w:t>(Lanzamiento)</w:t>
            </w:r>
          </w:p>
        </w:tc>
        <w:tc>
          <w:tcPr>
            <w:tcW w:w="2487" w:type="dxa"/>
          </w:tcPr>
          <w:p w:rsidR="009B4BB4" w:rsidRDefault="00C44001">
            <w:pPr>
              <w:pStyle w:val="TableParagraph"/>
              <w:spacing w:before="27"/>
              <w:ind w:right="332"/>
              <w:jc w:val="right"/>
            </w:pPr>
            <w:r>
              <w:rPr>
                <w:spacing w:val="-4"/>
              </w:rPr>
              <w:t>$300</w:t>
            </w:r>
          </w:p>
        </w:tc>
        <w:tc>
          <w:tcPr>
            <w:tcW w:w="1167" w:type="dxa"/>
          </w:tcPr>
          <w:p w:rsidR="009B4BB4" w:rsidRDefault="009B4BB4">
            <w:pPr>
              <w:pStyle w:val="TableParagraph"/>
              <w:rPr>
                <w:rFonts w:ascii="Times New Roman"/>
              </w:rPr>
            </w:pPr>
          </w:p>
        </w:tc>
      </w:tr>
      <w:tr w:rsidR="009B4BB4">
        <w:trPr>
          <w:trHeight w:val="280"/>
        </w:trPr>
        <w:tc>
          <w:tcPr>
            <w:tcW w:w="4913" w:type="dxa"/>
          </w:tcPr>
          <w:p w:rsidR="009B4BB4" w:rsidRDefault="00C44001">
            <w:pPr>
              <w:pStyle w:val="TableParagraph"/>
              <w:spacing w:before="27" w:line="233" w:lineRule="exact"/>
              <w:ind w:left="750"/>
            </w:pPr>
            <w:r>
              <w:t>Trazabilidad</w:t>
            </w:r>
            <w:r>
              <w:rPr>
                <w:spacing w:val="-11"/>
              </w:rPr>
              <w:t xml:space="preserve"> </w:t>
            </w:r>
            <w:r>
              <w:t>y</w:t>
            </w:r>
            <w:r>
              <w:rPr>
                <w:spacing w:val="-10"/>
              </w:rPr>
              <w:t xml:space="preserve"> </w:t>
            </w:r>
            <w:r>
              <w:rPr>
                <w:spacing w:val="-2"/>
              </w:rPr>
              <w:t>Logística</w:t>
            </w:r>
          </w:p>
        </w:tc>
        <w:tc>
          <w:tcPr>
            <w:tcW w:w="2487" w:type="dxa"/>
          </w:tcPr>
          <w:p w:rsidR="009B4BB4" w:rsidRDefault="00C44001">
            <w:pPr>
              <w:pStyle w:val="TableParagraph"/>
              <w:spacing w:before="27" w:line="233" w:lineRule="exact"/>
              <w:ind w:right="332"/>
              <w:jc w:val="right"/>
            </w:pPr>
            <w:r>
              <w:rPr>
                <w:spacing w:val="-4"/>
              </w:rPr>
              <w:t>$150</w:t>
            </w:r>
          </w:p>
        </w:tc>
        <w:tc>
          <w:tcPr>
            <w:tcW w:w="1167" w:type="dxa"/>
          </w:tcPr>
          <w:p w:rsidR="009B4BB4" w:rsidRDefault="009B4BB4">
            <w:pPr>
              <w:pStyle w:val="TableParagraph"/>
              <w:rPr>
                <w:rFonts w:ascii="Times New Roman"/>
                <w:sz w:val="20"/>
              </w:rPr>
            </w:pPr>
          </w:p>
        </w:tc>
      </w:tr>
    </w:tbl>
    <w:p w:rsidR="009B4BB4" w:rsidRDefault="009B4BB4">
      <w:pPr>
        <w:pStyle w:val="TableParagraph"/>
        <w:rPr>
          <w:rFonts w:ascii="Times New Roman"/>
          <w:sz w:val="20"/>
        </w:rPr>
        <w:sectPr w:rsidR="009B4BB4">
          <w:pgSz w:w="11920" w:h="16840"/>
          <w:pgMar w:top="1500" w:right="850" w:bottom="1940" w:left="1275" w:header="0" w:footer="1747" w:gutter="0"/>
          <w:cols w:space="720"/>
        </w:sectPr>
      </w:pPr>
    </w:p>
    <w:p w:rsidR="009B4BB4" w:rsidRDefault="009B4BB4">
      <w:pPr>
        <w:pStyle w:val="Textoindependiente"/>
        <w:spacing w:before="4"/>
        <w:rPr>
          <w:rFonts w:ascii="Arial"/>
          <w:i/>
          <w:sz w:val="2"/>
        </w:rPr>
      </w:pPr>
    </w:p>
    <w:tbl>
      <w:tblPr>
        <w:tblStyle w:val="TableNormal"/>
        <w:tblW w:w="0" w:type="auto"/>
        <w:tblInd w:w="432" w:type="dxa"/>
        <w:tblLayout w:type="fixed"/>
        <w:tblLook w:val="01E0" w:firstRow="1" w:lastRow="1" w:firstColumn="1" w:lastColumn="1" w:noHBand="0" w:noVBand="0"/>
      </w:tblPr>
      <w:tblGrid>
        <w:gridCol w:w="4806"/>
        <w:gridCol w:w="2728"/>
        <w:gridCol w:w="1031"/>
      </w:tblGrid>
      <w:tr w:rsidR="009B4BB4">
        <w:trPr>
          <w:trHeight w:val="262"/>
        </w:trPr>
        <w:tc>
          <w:tcPr>
            <w:tcW w:w="4806" w:type="dxa"/>
            <w:tcBorders>
              <w:bottom w:val="single" w:sz="8" w:space="0" w:color="000000"/>
            </w:tcBorders>
          </w:tcPr>
          <w:p w:rsidR="009B4BB4" w:rsidRDefault="00C44001">
            <w:pPr>
              <w:pStyle w:val="TableParagraph"/>
              <w:spacing w:line="242" w:lineRule="exact"/>
              <w:ind w:left="750"/>
            </w:pPr>
            <w:r>
              <w:t>Reserva</w:t>
            </w:r>
            <w:r>
              <w:rPr>
                <w:spacing w:val="-5"/>
              </w:rPr>
              <w:t xml:space="preserve"> </w:t>
            </w:r>
            <w:r>
              <w:t>de</w:t>
            </w:r>
            <w:r>
              <w:rPr>
                <w:spacing w:val="-4"/>
              </w:rPr>
              <w:t xml:space="preserve"> </w:t>
            </w:r>
            <w:r>
              <w:rPr>
                <w:spacing w:val="-2"/>
              </w:rPr>
              <w:t>Contingencia</w:t>
            </w:r>
          </w:p>
        </w:tc>
        <w:tc>
          <w:tcPr>
            <w:tcW w:w="2728" w:type="dxa"/>
            <w:tcBorders>
              <w:bottom w:val="single" w:sz="8" w:space="0" w:color="000000"/>
            </w:tcBorders>
          </w:tcPr>
          <w:p w:rsidR="009B4BB4" w:rsidRDefault="00C44001">
            <w:pPr>
              <w:pStyle w:val="TableParagraph"/>
              <w:spacing w:line="242" w:lineRule="exact"/>
              <w:ind w:right="466"/>
              <w:jc w:val="right"/>
            </w:pPr>
            <w:r>
              <w:rPr>
                <w:spacing w:val="-4"/>
              </w:rPr>
              <w:t>$500</w:t>
            </w:r>
          </w:p>
        </w:tc>
        <w:tc>
          <w:tcPr>
            <w:tcW w:w="1031" w:type="dxa"/>
            <w:tcBorders>
              <w:bottom w:val="single" w:sz="8" w:space="0" w:color="000000"/>
            </w:tcBorders>
          </w:tcPr>
          <w:p w:rsidR="009B4BB4" w:rsidRDefault="009B4BB4">
            <w:pPr>
              <w:pStyle w:val="TableParagraph"/>
              <w:rPr>
                <w:rFonts w:ascii="Times New Roman"/>
                <w:sz w:val="18"/>
              </w:rPr>
            </w:pPr>
          </w:p>
        </w:tc>
      </w:tr>
      <w:tr w:rsidR="009B4BB4">
        <w:trPr>
          <w:trHeight w:val="320"/>
        </w:trPr>
        <w:tc>
          <w:tcPr>
            <w:tcW w:w="4806" w:type="dxa"/>
            <w:tcBorders>
              <w:top w:val="single" w:sz="8" w:space="0" w:color="000000"/>
              <w:bottom w:val="single" w:sz="8" w:space="0" w:color="000000"/>
            </w:tcBorders>
          </w:tcPr>
          <w:p w:rsidR="009B4BB4" w:rsidRDefault="00C44001">
            <w:pPr>
              <w:pStyle w:val="TableParagraph"/>
              <w:spacing w:before="40"/>
              <w:ind w:left="30"/>
              <w:rPr>
                <w:rFonts w:ascii="Arial" w:hAnsi="Arial"/>
                <w:b/>
              </w:rPr>
            </w:pPr>
            <w:r>
              <w:rPr>
                <w:rFonts w:ascii="Arial" w:hAnsi="Arial"/>
                <w:b/>
              </w:rPr>
              <w:t>Inversión</w:t>
            </w:r>
            <w:r>
              <w:rPr>
                <w:rFonts w:ascii="Arial" w:hAnsi="Arial"/>
                <w:b/>
                <w:spacing w:val="-9"/>
              </w:rPr>
              <w:t xml:space="preserve"> </w:t>
            </w:r>
            <w:r>
              <w:rPr>
                <w:rFonts w:ascii="Arial" w:hAnsi="Arial"/>
                <w:b/>
                <w:spacing w:val="-2"/>
              </w:rPr>
              <w:t>Total</w:t>
            </w:r>
          </w:p>
        </w:tc>
        <w:tc>
          <w:tcPr>
            <w:tcW w:w="2728" w:type="dxa"/>
            <w:tcBorders>
              <w:top w:val="single" w:sz="8" w:space="0" w:color="000000"/>
              <w:bottom w:val="single" w:sz="8" w:space="0" w:color="000000"/>
            </w:tcBorders>
          </w:tcPr>
          <w:p w:rsidR="009B4BB4" w:rsidRDefault="00C44001">
            <w:pPr>
              <w:pStyle w:val="TableParagraph"/>
              <w:spacing w:before="40"/>
              <w:ind w:right="466"/>
              <w:jc w:val="right"/>
              <w:rPr>
                <w:rFonts w:ascii="Arial"/>
                <w:b/>
              </w:rPr>
            </w:pPr>
            <w:r>
              <w:rPr>
                <w:rFonts w:ascii="Arial"/>
                <w:b/>
                <w:spacing w:val="-2"/>
              </w:rPr>
              <w:t>$7,650</w:t>
            </w:r>
          </w:p>
        </w:tc>
        <w:tc>
          <w:tcPr>
            <w:tcW w:w="1031" w:type="dxa"/>
            <w:tcBorders>
              <w:top w:val="single" w:sz="8" w:space="0" w:color="000000"/>
              <w:bottom w:val="single" w:sz="8" w:space="0" w:color="000000"/>
            </w:tcBorders>
          </w:tcPr>
          <w:p w:rsidR="009B4BB4" w:rsidRDefault="00C44001">
            <w:pPr>
              <w:pStyle w:val="TableParagraph"/>
              <w:spacing w:before="40"/>
              <w:ind w:left="469" w:right="-15"/>
              <w:rPr>
                <w:rFonts w:ascii="Arial"/>
                <w:b/>
              </w:rPr>
            </w:pPr>
            <w:r>
              <w:rPr>
                <w:rFonts w:ascii="Arial"/>
                <w:b/>
                <w:spacing w:val="-4"/>
              </w:rPr>
              <w:t>100%</w:t>
            </w:r>
          </w:p>
        </w:tc>
      </w:tr>
    </w:tbl>
    <w:p w:rsidR="009B4BB4" w:rsidRDefault="00C44001">
      <w:pPr>
        <w:pStyle w:val="Textoindependiente"/>
        <w:spacing w:before="205" w:line="360" w:lineRule="auto"/>
        <w:ind w:left="425" w:right="606" w:firstLine="30"/>
        <w:jc w:val="both"/>
      </w:pPr>
      <w:r>
        <w:rPr>
          <w:rFonts w:ascii="Arial" w:hAnsi="Arial"/>
          <w:i/>
        </w:rPr>
        <w:t xml:space="preserve">Nota. </w:t>
      </w:r>
      <w:r>
        <w:t xml:space="preserve">Composición de la inversión inicial. El modelo </w:t>
      </w:r>
      <w:r>
        <w:rPr>
          <w:rFonts w:ascii="Arial" w:hAnsi="Arial"/>
          <w:i/>
        </w:rPr>
        <w:t xml:space="preserve">asset-light </w:t>
      </w:r>
      <w:r>
        <w:t>prioriza la liquidez en capital de trabajo y el despliegue de activos comerciales, optimizando el retorno sobre activos (ROA) al minimizar la carga en infraestructura fija. Elaboración propia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rsidP="00C44001">
      <w:pPr>
        <w:pStyle w:val="Ttulo2"/>
        <w:numPr>
          <w:ilvl w:val="2"/>
          <w:numId w:val="14"/>
        </w:numPr>
        <w:tabs>
          <w:tab w:val="left" w:pos="1000"/>
        </w:tabs>
        <w:spacing w:before="1"/>
        <w:ind w:left="1000" w:hanging="545"/>
      </w:pPr>
      <w:bookmarkStart w:id="229" w:name="7.1.2_Fuentes_y_usos_de_Fondos_"/>
      <w:bookmarkStart w:id="230" w:name="h.yfdblawjvwhi"/>
      <w:bookmarkEnd w:id="229"/>
      <w:bookmarkEnd w:id="230"/>
      <w:r>
        <w:t>Fuentes</w:t>
      </w:r>
      <w:r>
        <w:rPr>
          <w:spacing w:val="-4"/>
        </w:rPr>
        <w:t xml:space="preserve"> </w:t>
      </w:r>
      <w:r>
        <w:t>y</w:t>
      </w:r>
      <w:r>
        <w:rPr>
          <w:spacing w:val="-3"/>
        </w:rPr>
        <w:t xml:space="preserve"> </w:t>
      </w:r>
      <w:r>
        <w:t>usos</w:t>
      </w:r>
      <w:r>
        <w:rPr>
          <w:spacing w:val="-4"/>
        </w:rPr>
        <w:t xml:space="preserve"> </w:t>
      </w:r>
      <w:r>
        <w:t>de</w:t>
      </w:r>
      <w:r>
        <w:rPr>
          <w:spacing w:val="-3"/>
        </w:rPr>
        <w:t xml:space="preserve"> </w:t>
      </w:r>
      <w:r>
        <w:rPr>
          <w:spacing w:val="-2"/>
        </w:rPr>
        <w:t>Fondos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8" w:firstLine="720"/>
        <w:jc w:val="both"/>
      </w:pPr>
      <w:r>
        <w:t>La estructura de financiamiento combina aportes propios, deuda</w:t>
      </w:r>
      <w:r>
        <w:rPr>
          <w:spacing w:val="-4"/>
        </w:rPr>
        <w:t xml:space="preserve"> </w:t>
      </w:r>
      <w:r>
        <w:t>emprendedora</w:t>
      </w:r>
      <w:r>
        <w:rPr>
          <w:spacing w:val="-4"/>
        </w:rPr>
        <w:t xml:space="preserve"> </w:t>
      </w:r>
      <w:r>
        <w:t>y apoyos institucionales, promoviendo disciplina</w:t>
      </w:r>
      <w:r>
        <w:rPr>
          <w:spacing w:val="-5"/>
        </w:rPr>
        <w:t xml:space="preserve"> </w:t>
      </w:r>
      <w:r>
        <w:t>financiera</w:t>
      </w:r>
      <w:r>
        <w:rPr>
          <w:spacing w:val="-5"/>
        </w:rPr>
        <w:t xml:space="preserve"> </w:t>
      </w:r>
      <w:r>
        <w:t>y</w:t>
      </w:r>
      <w:r>
        <w:rPr>
          <w:spacing w:val="-5"/>
        </w:rPr>
        <w:t xml:space="preserve"> </w:t>
      </w:r>
      <w:r>
        <w:t>fortaleciendo</w:t>
      </w:r>
      <w:r>
        <w:rPr>
          <w:spacing w:val="-5"/>
        </w:rPr>
        <w:t xml:space="preserve"> </w:t>
      </w:r>
      <w:r>
        <w:t>la</w:t>
      </w:r>
      <w:r>
        <w:rPr>
          <w:spacing w:val="-5"/>
        </w:rPr>
        <w:t xml:space="preserve"> </w:t>
      </w:r>
      <w:r>
        <w:t>legitimidad</w:t>
      </w:r>
      <w:r>
        <w:rPr>
          <w:spacing w:val="-5"/>
        </w:rPr>
        <w:t xml:space="preserve"> </w:t>
      </w:r>
      <w:r>
        <w:t xml:space="preserve">del </w:t>
      </w:r>
      <w:r>
        <w:rPr>
          <w:spacing w:val="-2"/>
        </w:rPr>
        <w:t>proyecto.</w:t>
      </w:r>
    </w:p>
    <w:p w:rsidR="009B4BB4" w:rsidRDefault="009B4BB4">
      <w:pPr>
        <w:pStyle w:val="Textoindependiente"/>
        <w:spacing w:before="38"/>
      </w:pPr>
    </w:p>
    <w:p w:rsidR="009B4BB4" w:rsidRDefault="00C44001">
      <w:pPr>
        <w:pStyle w:val="Ttulo1"/>
        <w:jc w:val="both"/>
      </w:pPr>
      <w:r>
        <w:rPr>
          <w:spacing w:val="-2"/>
        </w:rPr>
        <w:t>Tabla</w:t>
      </w:r>
      <w:r>
        <w:rPr>
          <w:spacing w:val="-11"/>
        </w:rPr>
        <w:t xml:space="preserve"> </w:t>
      </w:r>
      <w:r>
        <w:rPr>
          <w:spacing w:val="-5"/>
        </w:rPr>
        <w:t>7.2</w:t>
      </w:r>
    </w:p>
    <w:p w:rsidR="009B4BB4" w:rsidRDefault="00C44001">
      <w:pPr>
        <w:spacing w:before="38"/>
        <w:ind w:left="455"/>
        <w:jc w:val="both"/>
        <w:rPr>
          <w:rFonts w:ascii="Arial"/>
          <w:i/>
        </w:rPr>
      </w:pPr>
      <w:r>
        <w:rPr>
          <w:rFonts w:ascii="Arial"/>
          <w:i/>
        </w:rPr>
        <w:t>Estructura</w:t>
      </w:r>
      <w:r>
        <w:rPr>
          <w:rFonts w:ascii="Arial"/>
          <w:i/>
          <w:spacing w:val="-6"/>
        </w:rPr>
        <w:t xml:space="preserve"> </w:t>
      </w:r>
      <w:r>
        <w:rPr>
          <w:rFonts w:ascii="Arial"/>
          <w:i/>
        </w:rPr>
        <w:t>de</w:t>
      </w:r>
      <w:r>
        <w:rPr>
          <w:rFonts w:ascii="Arial"/>
          <w:i/>
          <w:spacing w:val="-5"/>
        </w:rPr>
        <w:t xml:space="preserve"> </w:t>
      </w:r>
      <w:r>
        <w:rPr>
          <w:rFonts w:ascii="Arial"/>
          <w:i/>
        </w:rPr>
        <w:t>financiamiento</w:t>
      </w:r>
      <w:r>
        <w:rPr>
          <w:rFonts w:ascii="Arial"/>
          <w:i/>
          <w:spacing w:val="-6"/>
        </w:rPr>
        <w:t xml:space="preserve"> </w:t>
      </w:r>
      <w:r>
        <w:rPr>
          <w:rFonts w:ascii="Arial"/>
          <w:i/>
        </w:rPr>
        <w:t>y</w:t>
      </w:r>
      <w:r>
        <w:rPr>
          <w:rFonts w:ascii="Arial"/>
          <w:i/>
          <w:spacing w:val="-5"/>
        </w:rPr>
        <w:t xml:space="preserve"> </w:t>
      </w:r>
      <w:r>
        <w:rPr>
          <w:rFonts w:ascii="Arial"/>
          <w:i/>
        </w:rPr>
        <w:t>usos</w:t>
      </w:r>
      <w:r>
        <w:rPr>
          <w:rFonts w:ascii="Arial"/>
          <w:i/>
          <w:spacing w:val="-6"/>
        </w:rPr>
        <w:t xml:space="preserve"> </w:t>
      </w:r>
      <w:r>
        <w:rPr>
          <w:rFonts w:ascii="Arial"/>
          <w:i/>
        </w:rPr>
        <w:t>de</w:t>
      </w:r>
      <w:r>
        <w:rPr>
          <w:rFonts w:ascii="Arial"/>
          <w:i/>
          <w:spacing w:val="-5"/>
        </w:rPr>
        <w:t xml:space="preserve"> </w:t>
      </w:r>
      <w:r>
        <w:rPr>
          <w:rFonts w:ascii="Arial"/>
          <w:i/>
          <w:spacing w:val="-2"/>
        </w:rPr>
        <w:t>fondos</w:t>
      </w:r>
    </w:p>
    <w:p w:rsidR="009B4BB4" w:rsidRDefault="009B4BB4">
      <w:pPr>
        <w:pStyle w:val="Textoindependiente"/>
        <w:spacing w:before="85"/>
        <w:rPr>
          <w:rFonts w:ascii="Arial"/>
          <w:i/>
          <w:sz w:val="20"/>
        </w:rPr>
      </w:pPr>
    </w:p>
    <w:tbl>
      <w:tblPr>
        <w:tblStyle w:val="TableNormal"/>
        <w:tblW w:w="0" w:type="auto"/>
        <w:tblInd w:w="432" w:type="dxa"/>
        <w:tblLayout w:type="fixed"/>
        <w:tblLook w:val="01E0" w:firstRow="1" w:lastRow="1" w:firstColumn="1" w:lastColumn="1" w:noHBand="0" w:noVBand="0"/>
      </w:tblPr>
      <w:tblGrid>
        <w:gridCol w:w="4489"/>
        <w:gridCol w:w="3164"/>
        <w:gridCol w:w="1686"/>
      </w:tblGrid>
      <w:tr w:rsidR="009B4BB4">
        <w:trPr>
          <w:trHeight w:val="539"/>
        </w:trPr>
        <w:tc>
          <w:tcPr>
            <w:tcW w:w="4489" w:type="dxa"/>
            <w:tcBorders>
              <w:top w:val="single" w:sz="8" w:space="0" w:color="000000"/>
              <w:bottom w:val="single" w:sz="8" w:space="0" w:color="000000"/>
            </w:tcBorders>
          </w:tcPr>
          <w:p w:rsidR="009B4BB4" w:rsidRDefault="00C44001">
            <w:pPr>
              <w:pStyle w:val="TableParagraph"/>
              <w:spacing w:before="152"/>
              <w:ind w:left="75"/>
              <w:rPr>
                <w:rFonts w:ascii="Arial"/>
                <w:b/>
              </w:rPr>
            </w:pPr>
            <w:r>
              <w:rPr>
                <w:rFonts w:ascii="Arial"/>
                <w:b/>
                <w:spacing w:val="-2"/>
              </w:rPr>
              <w:t>Concepto</w:t>
            </w:r>
          </w:p>
        </w:tc>
        <w:tc>
          <w:tcPr>
            <w:tcW w:w="3164" w:type="dxa"/>
            <w:tcBorders>
              <w:top w:val="single" w:sz="8" w:space="0" w:color="000000"/>
              <w:bottom w:val="single" w:sz="8" w:space="0" w:color="000000"/>
            </w:tcBorders>
          </w:tcPr>
          <w:p w:rsidR="009B4BB4" w:rsidRDefault="00C44001">
            <w:pPr>
              <w:pStyle w:val="TableParagraph"/>
              <w:spacing w:before="152"/>
              <w:ind w:left="519"/>
              <w:jc w:val="center"/>
              <w:rPr>
                <w:rFonts w:ascii="Arial"/>
                <w:b/>
              </w:rPr>
            </w:pPr>
            <w:r>
              <w:rPr>
                <w:rFonts w:ascii="Arial"/>
                <w:b/>
              </w:rPr>
              <w:t>Monto</w:t>
            </w:r>
            <w:r>
              <w:rPr>
                <w:rFonts w:ascii="Arial"/>
                <w:b/>
                <w:spacing w:val="-7"/>
              </w:rPr>
              <w:t xml:space="preserve"> </w:t>
            </w:r>
            <w:r>
              <w:rPr>
                <w:rFonts w:ascii="Arial"/>
                <w:b/>
              </w:rPr>
              <w:t>Estimado</w:t>
            </w:r>
            <w:r>
              <w:rPr>
                <w:rFonts w:ascii="Arial"/>
                <w:b/>
                <w:spacing w:val="-6"/>
              </w:rPr>
              <w:t xml:space="preserve"> </w:t>
            </w:r>
            <w:r>
              <w:rPr>
                <w:rFonts w:ascii="Arial"/>
                <w:b/>
                <w:spacing w:val="-2"/>
              </w:rPr>
              <w:t>(USD)</w:t>
            </w:r>
          </w:p>
        </w:tc>
        <w:tc>
          <w:tcPr>
            <w:tcW w:w="1686" w:type="dxa"/>
            <w:tcBorders>
              <w:top w:val="single" w:sz="8" w:space="0" w:color="000000"/>
              <w:bottom w:val="single" w:sz="8" w:space="0" w:color="000000"/>
            </w:tcBorders>
          </w:tcPr>
          <w:p w:rsidR="009B4BB4" w:rsidRDefault="00C44001">
            <w:pPr>
              <w:pStyle w:val="TableParagraph"/>
              <w:spacing w:before="152"/>
              <w:ind w:right="38"/>
              <w:jc w:val="center"/>
              <w:rPr>
                <w:rFonts w:ascii="Arial"/>
                <w:b/>
              </w:rPr>
            </w:pPr>
            <w:r>
              <w:rPr>
                <w:rFonts w:ascii="Arial"/>
                <w:b/>
              </w:rPr>
              <w:t>%</w:t>
            </w:r>
            <w:r>
              <w:rPr>
                <w:rFonts w:ascii="Arial"/>
                <w:b/>
                <w:spacing w:val="-3"/>
              </w:rPr>
              <w:t xml:space="preserve"> </w:t>
            </w:r>
            <w:r>
              <w:rPr>
                <w:rFonts w:ascii="Arial"/>
                <w:b/>
              </w:rPr>
              <w:t>sobre</w:t>
            </w:r>
            <w:r>
              <w:rPr>
                <w:rFonts w:ascii="Arial"/>
                <w:b/>
                <w:spacing w:val="-3"/>
              </w:rPr>
              <w:t xml:space="preserve"> </w:t>
            </w:r>
            <w:r>
              <w:rPr>
                <w:rFonts w:ascii="Arial"/>
                <w:b/>
                <w:spacing w:val="-2"/>
              </w:rPr>
              <w:t>total</w:t>
            </w:r>
          </w:p>
        </w:tc>
      </w:tr>
      <w:tr w:rsidR="009B4BB4">
        <w:trPr>
          <w:trHeight w:val="350"/>
        </w:trPr>
        <w:tc>
          <w:tcPr>
            <w:tcW w:w="4489" w:type="dxa"/>
            <w:tcBorders>
              <w:top w:val="single" w:sz="8" w:space="0" w:color="000000"/>
            </w:tcBorders>
          </w:tcPr>
          <w:p w:rsidR="009B4BB4" w:rsidRDefault="00C44001">
            <w:pPr>
              <w:pStyle w:val="TableParagraph"/>
              <w:spacing w:before="49"/>
              <w:ind w:left="75"/>
              <w:rPr>
                <w:rFonts w:ascii="Arial"/>
                <w:b/>
              </w:rPr>
            </w:pPr>
            <w:r>
              <w:rPr>
                <w:rFonts w:ascii="Arial"/>
                <w:b/>
              </w:rPr>
              <w:t>Fuentes</w:t>
            </w:r>
            <w:r>
              <w:rPr>
                <w:rFonts w:ascii="Arial"/>
                <w:b/>
                <w:spacing w:val="-7"/>
              </w:rPr>
              <w:t xml:space="preserve"> </w:t>
            </w:r>
            <w:r>
              <w:rPr>
                <w:rFonts w:ascii="Arial"/>
                <w:b/>
                <w:spacing w:val="-2"/>
              </w:rPr>
              <w:t>(Origen)</w:t>
            </w:r>
          </w:p>
        </w:tc>
        <w:tc>
          <w:tcPr>
            <w:tcW w:w="3164" w:type="dxa"/>
            <w:tcBorders>
              <w:top w:val="single" w:sz="8" w:space="0" w:color="000000"/>
            </w:tcBorders>
          </w:tcPr>
          <w:p w:rsidR="009B4BB4" w:rsidRDefault="009B4BB4">
            <w:pPr>
              <w:pStyle w:val="TableParagraph"/>
              <w:rPr>
                <w:rFonts w:ascii="Times New Roman"/>
              </w:rPr>
            </w:pPr>
          </w:p>
        </w:tc>
        <w:tc>
          <w:tcPr>
            <w:tcW w:w="1686" w:type="dxa"/>
            <w:tcBorders>
              <w:top w:val="single" w:sz="8" w:space="0" w:color="000000"/>
            </w:tcBorders>
          </w:tcPr>
          <w:p w:rsidR="009B4BB4" w:rsidRDefault="009B4BB4">
            <w:pPr>
              <w:pStyle w:val="TableParagraph"/>
              <w:rPr>
                <w:rFonts w:ascii="Times New Roman"/>
              </w:rPr>
            </w:pPr>
          </w:p>
        </w:tc>
      </w:tr>
      <w:tr w:rsidR="009B4BB4">
        <w:trPr>
          <w:trHeight w:val="342"/>
        </w:trPr>
        <w:tc>
          <w:tcPr>
            <w:tcW w:w="4489" w:type="dxa"/>
          </w:tcPr>
          <w:p w:rsidR="009B4BB4" w:rsidRDefault="00C44001">
            <w:pPr>
              <w:pStyle w:val="TableParagraph"/>
              <w:spacing w:before="41"/>
              <w:ind w:left="795"/>
            </w:pPr>
            <w:r>
              <w:t>Aportes</w:t>
            </w:r>
            <w:r>
              <w:rPr>
                <w:spacing w:val="-7"/>
              </w:rPr>
              <w:t xml:space="preserve"> </w:t>
            </w:r>
            <w:r>
              <w:t>propios</w:t>
            </w:r>
            <w:r>
              <w:rPr>
                <w:spacing w:val="-7"/>
              </w:rPr>
              <w:t xml:space="preserve"> </w:t>
            </w:r>
            <w:r>
              <w:rPr>
                <w:spacing w:val="-2"/>
              </w:rPr>
              <w:t>(Equity)</w:t>
            </w:r>
          </w:p>
        </w:tc>
        <w:tc>
          <w:tcPr>
            <w:tcW w:w="3164" w:type="dxa"/>
          </w:tcPr>
          <w:p w:rsidR="009B4BB4" w:rsidRDefault="00C44001">
            <w:pPr>
              <w:pStyle w:val="TableParagraph"/>
              <w:spacing w:before="41"/>
              <w:ind w:left="519"/>
              <w:jc w:val="center"/>
            </w:pPr>
            <w:r>
              <w:rPr>
                <w:spacing w:val="-2"/>
              </w:rPr>
              <w:t>$4,590</w:t>
            </w:r>
          </w:p>
        </w:tc>
        <w:tc>
          <w:tcPr>
            <w:tcW w:w="1686" w:type="dxa"/>
          </w:tcPr>
          <w:p w:rsidR="009B4BB4" w:rsidRDefault="00C44001">
            <w:pPr>
              <w:pStyle w:val="TableParagraph"/>
              <w:spacing w:before="41"/>
              <w:ind w:right="38"/>
              <w:jc w:val="center"/>
            </w:pPr>
            <w:r>
              <w:rPr>
                <w:spacing w:val="-5"/>
              </w:rPr>
              <w:t>60%</w:t>
            </w:r>
          </w:p>
        </w:tc>
      </w:tr>
      <w:tr w:rsidR="009B4BB4">
        <w:trPr>
          <w:trHeight w:val="342"/>
        </w:trPr>
        <w:tc>
          <w:tcPr>
            <w:tcW w:w="4489" w:type="dxa"/>
          </w:tcPr>
          <w:p w:rsidR="009B4BB4" w:rsidRDefault="00C44001">
            <w:pPr>
              <w:pStyle w:val="TableParagraph"/>
              <w:spacing w:before="41"/>
              <w:ind w:left="795"/>
            </w:pPr>
            <w:r>
              <w:t>Crédito</w:t>
            </w:r>
            <w:r>
              <w:rPr>
                <w:spacing w:val="-7"/>
              </w:rPr>
              <w:t xml:space="preserve"> </w:t>
            </w:r>
            <w:r>
              <w:t>emprendedor</w:t>
            </w:r>
            <w:r>
              <w:rPr>
                <w:spacing w:val="-6"/>
              </w:rPr>
              <w:t xml:space="preserve"> </w:t>
            </w:r>
            <w:r>
              <w:t>/</w:t>
            </w:r>
            <w:r>
              <w:rPr>
                <w:spacing w:val="-6"/>
              </w:rPr>
              <w:t xml:space="preserve"> </w:t>
            </w:r>
            <w:r>
              <w:rPr>
                <w:spacing w:val="-2"/>
              </w:rPr>
              <w:t>Fintech</w:t>
            </w:r>
          </w:p>
        </w:tc>
        <w:tc>
          <w:tcPr>
            <w:tcW w:w="3164" w:type="dxa"/>
          </w:tcPr>
          <w:p w:rsidR="009B4BB4" w:rsidRDefault="00C44001">
            <w:pPr>
              <w:pStyle w:val="TableParagraph"/>
              <w:spacing w:before="41"/>
              <w:ind w:left="519"/>
              <w:jc w:val="center"/>
            </w:pPr>
            <w:r>
              <w:rPr>
                <w:spacing w:val="-2"/>
              </w:rPr>
              <w:t>$2,295</w:t>
            </w:r>
          </w:p>
        </w:tc>
        <w:tc>
          <w:tcPr>
            <w:tcW w:w="1686" w:type="dxa"/>
          </w:tcPr>
          <w:p w:rsidR="009B4BB4" w:rsidRDefault="00C44001">
            <w:pPr>
              <w:pStyle w:val="TableParagraph"/>
              <w:spacing w:before="41"/>
              <w:ind w:right="38"/>
              <w:jc w:val="center"/>
            </w:pPr>
            <w:r>
              <w:rPr>
                <w:spacing w:val="-5"/>
              </w:rPr>
              <w:t>30%</w:t>
            </w:r>
          </w:p>
        </w:tc>
      </w:tr>
      <w:tr w:rsidR="009B4BB4">
        <w:trPr>
          <w:trHeight w:val="343"/>
        </w:trPr>
        <w:tc>
          <w:tcPr>
            <w:tcW w:w="4489" w:type="dxa"/>
          </w:tcPr>
          <w:p w:rsidR="009B4BB4" w:rsidRDefault="00C44001">
            <w:pPr>
              <w:pStyle w:val="TableParagraph"/>
              <w:spacing w:before="41"/>
              <w:ind w:right="648"/>
              <w:jc w:val="right"/>
            </w:pPr>
            <w:r>
              <w:t>Subvenciones</w:t>
            </w:r>
            <w:r>
              <w:rPr>
                <w:spacing w:val="-10"/>
              </w:rPr>
              <w:t xml:space="preserve"> </w:t>
            </w:r>
            <w:r>
              <w:t>(Fondos</w:t>
            </w:r>
            <w:r>
              <w:rPr>
                <w:spacing w:val="-9"/>
              </w:rPr>
              <w:t xml:space="preserve"> </w:t>
            </w:r>
            <w:r>
              <w:rPr>
                <w:spacing w:val="-2"/>
              </w:rPr>
              <w:t>verdes)</w:t>
            </w:r>
          </w:p>
        </w:tc>
        <w:tc>
          <w:tcPr>
            <w:tcW w:w="3164" w:type="dxa"/>
          </w:tcPr>
          <w:p w:rsidR="009B4BB4" w:rsidRDefault="00C44001">
            <w:pPr>
              <w:pStyle w:val="TableParagraph"/>
              <w:spacing w:before="41"/>
              <w:ind w:left="519"/>
              <w:jc w:val="center"/>
            </w:pPr>
            <w:r>
              <w:rPr>
                <w:spacing w:val="-4"/>
              </w:rPr>
              <w:t>$765</w:t>
            </w:r>
          </w:p>
        </w:tc>
        <w:tc>
          <w:tcPr>
            <w:tcW w:w="1686" w:type="dxa"/>
          </w:tcPr>
          <w:p w:rsidR="009B4BB4" w:rsidRDefault="00C44001">
            <w:pPr>
              <w:pStyle w:val="TableParagraph"/>
              <w:spacing w:before="41"/>
              <w:ind w:right="38"/>
              <w:jc w:val="center"/>
            </w:pPr>
            <w:r>
              <w:rPr>
                <w:spacing w:val="-5"/>
              </w:rPr>
              <w:t>10%</w:t>
            </w:r>
          </w:p>
        </w:tc>
      </w:tr>
      <w:tr w:rsidR="009B4BB4">
        <w:trPr>
          <w:trHeight w:val="514"/>
        </w:trPr>
        <w:tc>
          <w:tcPr>
            <w:tcW w:w="4489" w:type="dxa"/>
          </w:tcPr>
          <w:p w:rsidR="009B4BB4" w:rsidRDefault="00C44001">
            <w:pPr>
              <w:pStyle w:val="TableParagraph"/>
              <w:spacing w:before="41"/>
              <w:ind w:left="45"/>
              <w:rPr>
                <w:rFonts w:ascii="Arial"/>
                <w:b/>
              </w:rPr>
            </w:pPr>
            <w:r>
              <w:rPr>
                <w:rFonts w:ascii="Arial"/>
                <w:b/>
                <w:spacing w:val="-2"/>
              </w:rPr>
              <w:t>Total</w:t>
            </w:r>
            <w:r>
              <w:rPr>
                <w:rFonts w:ascii="Arial"/>
                <w:b/>
                <w:spacing w:val="-11"/>
              </w:rPr>
              <w:t xml:space="preserve"> </w:t>
            </w:r>
            <w:r>
              <w:rPr>
                <w:rFonts w:ascii="Arial"/>
                <w:b/>
                <w:spacing w:val="-2"/>
              </w:rPr>
              <w:t>Fuentes</w:t>
            </w:r>
          </w:p>
        </w:tc>
        <w:tc>
          <w:tcPr>
            <w:tcW w:w="3164" w:type="dxa"/>
          </w:tcPr>
          <w:p w:rsidR="009B4BB4" w:rsidRDefault="00C44001">
            <w:pPr>
              <w:pStyle w:val="TableParagraph"/>
              <w:spacing w:before="41"/>
              <w:ind w:left="519"/>
              <w:jc w:val="center"/>
              <w:rPr>
                <w:rFonts w:ascii="Arial"/>
                <w:b/>
              </w:rPr>
            </w:pPr>
            <w:r>
              <w:rPr>
                <w:rFonts w:ascii="Arial"/>
                <w:b/>
                <w:spacing w:val="-2"/>
              </w:rPr>
              <w:t>$7,650</w:t>
            </w:r>
          </w:p>
        </w:tc>
        <w:tc>
          <w:tcPr>
            <w:tcW w:w="1686" w:type="dxa"/>
          </w:tcPr>
          <w:p w:rsidR="009B4BB4" w:rsidRDefault="00C44001">
            <w:pPr>
              <w:pStyle w:val="TableParagraph"/>
              <w:spacing w:before="41"/>
              <w:ind w:right="38"/>
              <w:jc w:val="center"/>
              <w:rPr>
                <w:rFonts w:ascii="Arial"/>
                <w:b/>
              </w:rPr>
            </w:pPr>
            <w:r>
              <w:rPr>
                <w:rFonts w:ascii="Arial"/>
                <w:b/>
                <w:spacing w:val="-4"/>
              </w:rPr>
              <w:t>100%</w:t>
            </w:r>
          </w:p>
        </w:tc>
      </w:tr>
      <w:tr w:rsidR="009B4BB4">
        <w:trPr>
          <w:trHeight w:val="514"/>
        </w:trPr>
        <w:tc>
          <w:tcPr>
            <w:tcW w:w="4489" w:type="dxa"/>
          </w:tcPr>
          <w:p w:rsidR="009B4BB4" w:rsidRDefault="00C44001">
            <w:pPr>
              <w:pStyle w:val="TableParagraph"/>
              <w:spacing w:before="213"/>
              <w:ind w:left="75"/>
              <w:rPr>
                <w:rFonts w:ascii="Arial" w:hAnsi="Arial"/>
                <w:b/>
              </w:rPr>
            </w:pPr>
            <w:r>
              <w:rPr>
                <w:rFonts w:ascii="Arial" w:hAnsi="Arial"/>
                <w:b/>
              </w:rPr>
              <w:t>Usos</w:t>
            </w:r>
            <w:r>
              <w:rPr>
                <w:rFonts w:ascii="Arial" w:hAnsi="Arial"/>
                <w:b/>
                <w:spacing w:val="-4"/>
              </w:rPr>
              <w:t xml:space="preserve"> </w:t>
            </w:r>
            <w:r>
              <w:rPr>
                <w:rFonts w:ascii="Arial" w:hAnsi="Arial"/>
                <w:b/>
                <w:spacing w:val="-2"/>
              </w:rPr>
              <w:t>(Aplicación)</w:t>
            </w:r>
          </w:p>
        </w:tc>
        <w:tc>
          <w:tcPr>
            <w:tcW w:w="3164" w:type="dxa"/>
          </w:tcPr>
          <w:p w:rsidR="009B4BB4" w:rsidRDefault="009B4BB4">
            <w:pPr>
              <w:pStyle w:val="TableParagraph"/>
              <w:rPr>
                <w:rFonts w:ascii="Times New Roman"/>
              </w:rPr>
            </w:pPr>
          </w:p>
        </w:tc>
        <w:tc>
          <w:tcPr>
            <w:tcW w:w="1686" w:type="dxa"/>
          </w:tcPr>
          <w:p w:rsidR="009B4BB4" w:rsidRDefault="009B4BB4">
            <w:pPr>
              <w:pStyle w:val="TableParagraph"/>
              <w:rPr>
                <w:rFonts w:ascii="Times New Roman"/>
              </w:rPr>
            </w:pPr>
          </w:p>
        </w:tc>
      </w:tr>
      <w:tr w:rsidR="009B4BB4">
        <w:trPr>
          <w:trHeight w:val="342"/>
        </w:trPr>
        <w:tc>
          <w:tcPr>
            <w:tcW w:w="4489" w:type="dxa"/>
          </w:tcPr>
          <w:p w:rsidR="009B4BB4" w:rsidRDefault="00C44001">
            <w:pPr>
              <w:pStyle w:val="TableParagraph"/>
              <w:spacing w:before="41"/>
              <w:ind w:left="795"/>
            </w:pPr>
            <w:r>
              <w:t>Inversión</w:t>
            </w:r>
            <w:r>
              <w:rPr>
                <w:spacing w:val="-5"/>
              </w:rPr>
              <w:t xml:space="preserve"> </w:t>
            </w:r>
            <w:r>
              <w:t>en</w:t>
            </w:r>
            <w:r>
              <w:rPr>
                <w:spacing w:val="-5"/>
              </w:rPr>
              <w:t xml:space="preserve"> </w:t>
            </w:r>
            <w:r>
              <w:t>Activos</w:t>
            </w:r>
            <w:r>
              <w:rPr>
                <w:spacing w:val="-5"/>
              </w:rPr>
              <w:t xml:space="preserve"> </w:t>
            </w:r>
            <w:r>
              <w:t>y</w:t>
            </w:r>
            <w:r>
              <w:rPr>
                <w:spacing w:val="-4"/>
              </w:rPr>
              <w:t xml:space="preserve"> </w:t>
            </w:r>
            <w:r>
              <w:rPr>
                <w:spacing w:val="-2"/>
              </w:rPr>
              <w:t>Marca</w:t>
            </w:r>
          </w:p>
        </w:tc>
        <w:tc>
          <w:tcPr>
            <w:tcW w:w="3164" w:type="dxa"/>
          </w:tcPr>
          <w:p w:rsidR="009B4BB4" w:rsidRDefault="00C44001">
            <w:pPr>
              <w:pStyle w:val="TableParagraph"/>
              <w:spacing w:before="41"/>
              <w:ind w:left="519"/>
              <w:jc w:val="center"/>
            </w:pPr>
            <w:r>
              <w:rPr>
                <w:spacing w:val="-2"/>
              </w:rPr>
              <w:t>$1,800</w:t>
            </w:r>
          </w:p>
        </w:tc>
        <w:tc>
          <w:tcPr>
            <w:tcW w:w="1686" w:type="dxa"/>
          </w:tcPr>
          <w:p w:rsidR="009B4BB4" w:rsidRDefault="00C44001">
            <w:pPr>
              <w:pStyle w:val="TableParagraph"/>
              <w:spacing w:before="41"/>
              <w:ind w:right="38"/>
              <w:jc w:val="center"/>
            </w:pPr>
            <w:r>
              <w:rPr>
                <w:spacing w:val="-2"/>
              </w:rPr>
              <w:t>23.5%</w:t>
            </w:r>
          </w:p>
        </w:tc>
      </w:tr>
      <w:tr w:rsidR="009B4BB4">
        <w:trPr>
          <w:trHeight w:val="342"/>
        </w:trPr>
        <w:tc>
          <w:tcPr>
            <w:tcW w:w="4489" w:type="dxa"/>
          </w:tcPr>
          <w:p w:rsidR="009B4BB4" w:rsidRDefault="00C44001">
            <w:pPr>
              <w:pStyle w:val="TableParagraph"/>
              <w:spacing w:before="41"/>
              <w:ind w:right="656"/>
              <w:jc w:val="right"/>
            </w:pPr>
            <w:r>
              <w:t>Capital</w:t>
            </w:r>
            <w:r>
              <w:rPr>
                <w:spacing w:val="-7"/>
              </w:rPr>
              <w:t xml:space="preserve"> </w:t>
            </w:r>
            <w:r>
              <w:t>de</w:t>
            </w:r>
            <w:r>
              <w:rPr>
                <w:spacing w:val="-6"/>
              </w:rPr>
              <w:t xml:space="preserve"> </w:t>
            </w:r>
            <w:r>
              <w:t>Trabajo</w:t>
            </w:r>
            <w:r>
              <w:rPr>
                <w:spacing w:val="-6"/>
              </w:rPr>
              <w:t xml:space="preserve"> </w:t>
            </w:r>
            <w:r>
              <w:t>y</w:t>
            </w:r>
            <w:r>
              <w:rPr>
                <w:spacing w:val="-6"/>
              </w:rPr>
              <w:t xml:space="preserve"> </w:t>
            </w:r>
            <w:r>
              <w:rPr>
                <w:spacing w:val="-2"/>
              </w:rPr>
              <w:t>Operación</w:t>
            </w:r>
          </w:p>
        </w:tc>
        <w:tc>
          <w:tcPr>
            <w:tcW w:w="3164" w:type="dxa"/>
          </w:tcPr>
          <w:p w:rsidR="009B4BB4" w:rsidRDefault="00C44001">
            <w:pPr>
              <w:pStyle w:val="TableParagraph"/>
              <w:spacing w:before="41"/>
              <w:ind w:left="519"/>
              <w:jc w:val="center"/>
            </w:pPr>
            <w:r>
              <w:rPr>
                <w:spacing w:val="-2"/>
              </w:rPr>
              <w:t>$5,350</w:t>
            </w:r>
          </w:p>
        </w:tc>
        <w:tc>
          <w:tcPr>
            <w:tcW w:w="1686" w:type="dxa"/>
          </w:tcPr>
          <w:p w:rsidR="009B4BB4" w:rsidRDefault="00C44001">
            <w:pPr>
              <w:pStyle w:val="TableParagraph"/>
              <w:spacing w:before="41"/>
              <w:ind w:right="38"/>
              <w:jc w:val="center"/>
            </w:pPr>
            <w:r>
              <w:rPr>
                <w:spacing w:val="-2"/>
              </w:rPr>
              <w:t>69.9%</w:t>
            </w:r>
          </w:p>
        </w:tc>
      </w:tr>
      <w:tr w:rsidR="009B4BB4">
        <w:trPr>
          <w:trHeight w:val="342"/>
        </w:trPr>
        <w:tc>
          <w:tcPr>
            <w:tcW w:w="4489" w:type="dxa"/>
          </w:tcPr>
          <w:p w:rsidR="009B4BB4" w:rsidRDefault="00C44001">
            <w:pPr>
              <w:pStyle w:val="TableParagraph"/>
              <w:spacing w:before="41"/>
              <w:ind w:left="795"/>
            </w:pPr>
            <w:r>
              <w:t>Reserva</w:t>
            </w:r>
            <w:r>
              <w:rPr>
                <w:spacing w:val="-5"/>
              </w:rPr>
              <w:t xml:space="preserve"> </w:t>
            </w:r>
            <w:r>
              <w:t>de</w:t>
            </w:r>
            <w:r>
              <w:rPr>
                <w:spacing w:val="-4"/>
              </w:rPr>
              <w:t xml:space="preserve"> </w:t>
            </w:r>
            <w:r>
              <w:rPr>
                <w:spacing w:val="-2"/>
              </w:rPr>
              <w:t>Contingencia</w:t>
            </w:r>
          </w:p>
        </w:tc>
        <w:tc>
          <w:tcPr>
            <w:tcW w:w="3164" w:type="dxa"/>
          </w:tcPr>
          <w:p w:rsidR="009B4BB4" w:rsidRDefault="00C44001">
            <w:pPr>
              <w:pStyle w:val="TableParagraph"/>
              <w:spacing w:before="41"/>
              <w:ind w:left="519"/>
              <w:jc w:val="center"/>
            </w:pPr>
            <w:r>
              <w:rPr>
                <w:spacing w:val="-4"/>
              </w:rPr>
              <w:t>$500</w:t>
            </w:r>
          </w:p>
        </w:tc>
        <w:tc>
          <w:tcPr>
            <w:tcW w:w="1686" w:type="dxa"/>
          </w:tcPr>
          <w:p w:rsidR="009B4BB4" w:rsidRDefault="00C44001">
            <w:pPr>
              <w:pStyle w:val="TableParagraph"/>
              <w:spacing w:before="41"/>
              <w:ind w:right="38"/>
              <w:jc w:val="center"/>
            </w:pPr>
            <w:r>
              <w:rPr>
                <w:spacing w:val="-4"/>
              </w:rPr>
              <w:t>6.5%</w:t>
            </w:r>
          </w:p>
        </w:tc>
      </w:tr>
      <w:tr w:rsidR="009B4BB4">
        <w:trPr>
          <w:trHeight w:val="322"/>
        </w:trPr>
        <w:tc>
          <w:tcPr>
            <w:tcW w:w="4489" w:type="dxa"/>
            <w:tcBorders>
              <w:bottom w:val="single" w:sz="8" w:space="0" w:color="000000"/>
            </w:tcBorders>
          </w:tcPr>
          <w:p w:rsidR="009B4BB4" w:rsidRDefault="00C44001">
            <w:pPr>
              <w:pStyle w:val="TableParagraph"/>
              <w:spacing w:before="41"/>
              <w:ind w:left="75"/>
              <w:rPr>
                <w:rFonts w:ascii="Arial"/>
                <w:b/>
              </w:rPr>
            </w:pPr>
            <w:r>
              <w:rPr>
                <w:rFonts w:ascii="Arial"/>
                <w:b/>
                <w:spacing w:val="-2"/>
              </w:rPr>
              <w:t>Total</w:t>
            </w:r>
            <w:r>
              <w:rPr>
                <w:rFonts w:ascii="Arial"/>
                <w:b/>
                <w:spacing w:val="-13"/>
              </w:rPr>
              <w:t xml:space="preserve"> </w:t>
            </w:r>
            <w:r>
              <w:rPr>
                <w:rFonts w:ascii="Arial"/>
                <w:b/>
                <w:spacing w:val="-4"/>
              </w:rPr>
              <w:t>Usos</w:t>
            </w:r>
          </w:p>
        </w:tc>
        <w:tc>
          <w:tcPr>
            <w:tcW w:w="3164" w:type="dxa"/>
            <w:tcBorders>
              <w:bottom w:val="single" w:sz="8" w:space="0" w:color="000000"/>
            </w:tcBorders>
          </w:tcPr>
          <w:p w:rsidR="009B4BB4" w:rsidRDefault="00C44001">
            <w:pPr>
              <w:pStyle w:val="TableParagraph"/>
              <w:spacing w:before="41"/>
              <w:ind w:left="519"/>
              <w:jc w:val="center"/>
              <w:rPr>
                <w:rFonts w:ascii="Arial"/>
                <w:b/>
              </w:rPr>
            </w:pPr>
            <w:r>
              <w:rPr>
                <w:rFonts w:ascii="Arial"/>
                <w:b/>
                <w:spacing w:val="-2"/>
              </w:rPr>
              <w:t>$7,650</w:t>
            </w:r>
          </w:p>
        </w:tc>
        <w:tc>
          <w:tcPr>
            <w:tcW w:w="1686" w:type="dxa"/>
            <w:tcBorders>
              <w:bottom w:val="single" w:sz="8" w:space="0" w:color="000000"/>
            </w:tcBorders>
          </w:tcPr>
          <w:p w:rsidR="009B4BB4" w:rsidRDefault="00C44001">
            <w:pPr>
              <w:pStyle w:val="TableParagraph"/>
              <w:spacing w:before="41"/>
              <w:ind w:right="38"/>
              <w:jc w:val="center"/>
              <w:rPr>
                <w:rFonts w:ascii="Arial"/>
                <w:b/>
              </w:rPr>
            </w:pPr>
            <w:r>
              <w:rPr>
                <w:rFonts w:ascii="Arial"/>
                <w:b/>
                <w:spacing w:val="-4"/>
              </w:rPr>
              <w:t>100%</w:t>
            </w:r>
          </w:p>
        </w:tc>
      </w:tr>
    </w:tbl>
    <w:p w:rsidR="009B4BB4" w:rsidRDefault="009B4BB4">
      <w:pPr>
        <w:pStyle w:val="Textoindependiente"/>
        <w:spacing w:before="6"/>
        <w:rPr>
          <w:rFonts w:ascii="Arial"/>
          <w:i/>
        </w:rPr>
      </w:pPr>
    </w:p>
    <w:p w:rsidR="009B4BB4" w:rsidRDefault="00C44001">
      <w:pPr>
        <w:pStyle w:val="Textoindependiente"/>
        <w:spacing w:before="0" w:line="360" w:lineRule="auto"/>
        <w:ind w:left="425" w:right="609"/>
        <w:jc w:val="both"/>
      </w:pPr>
      <w:r>
        <w:rPr>
          <w:rFonts w:ascii="Arial" w:hAnsi="Arial"/>
          <w:i/>
        </w:rPr>
        <w:t xml:space="preserve">Nota. </w:t>
      </w:r>
      <w:r>
        <w:t xml:space="preserve">Estructura de apalancamiento operativo. El financiamiento externo (30%) se gestiona vía crédito </w:t>
      </w:r>
      <w:r>
        <w:rPr>
          <w:rFonts w:ascii="Arial" w:hAnsi="Arial"/>
          <w:i/>
        </w:rPr>
        <w:t xml:space="preserve">fintech </w:t>
      </w:r>
      <w:r>
        <w:t>para optimizar el ciclo de conversión de efectivo, fondeando exclusivamente inventario de alta rotación sin comprometer la solvencia a largo plazo. Elaboración propia (2025).</w:t>
      </w:r>
    </w:p>
    <w:p w:rsidR="009B4BB4" w:rsidRDefault="009B4BB4">
      <w:pPr>
        <w:pStyle w:val="Textoindependiente"/>
        <w:spacing w:line="360" w:lineRule="auto"/>
        <w:jc w:val="both"/>
        <w:sectPr w:rsidR="009B4BB4">
          <w:pgSz w:w="11920" w:h="16840"/>
          <w:pgMar w:top="1580" w:right="850" w:bottom="1940" w:left="1275" w:header="0" w:footer="1747" w:gutter="0"/>
          <w:cols w:space="720"/>
        </w:sectPr>
      </w:pPr>
    </w:p>
    <w:p w:rsidR="009B4BB4" w:rsidRDefault="00C44001">
      <w:pPr>
        <w:pStyle w:val="Textoindependiente"/>
        <w:spacing w:before="79" w:line="360" w:lineRule="auto"/>
        <w:ind w:left="425" w:right="608" w:firstLine="720"/>
        <w:jc w:val="both"/>
      </w:pPr>
      <w:r>
        <w:lastRenderedPageBreak/>
        <w:t>La estructura de capital responde a tres principios: eficiencia</w:t>
      </w:r>
      <w:r>
        <w:t xml:space="preserve"> en la asignación de recursos, prudencia en el apalancamiento y coherencia con el impacto social. En</w:t>
      </w:r>
      <w:r>
        <w:rPr>
          <w:spacing w:val="-3"/>
        </w:rPr>
        <w:t xml:space="preserve"> </w:t>
      </w:r>
      <w:r>
        <w:t>la</w:t>
      </w:r>
      <w:r>
        <w:rPr>
          <w:spacing w:val="-3"/>
        </w:rPr>
        <w:t xml:space="preserve"> </w:t>
      </w:r>
      <w:r>
        <w:t>fase inicial, la liquidez se destina prioritariamente al capital de trabajo productivo, es decir, al pago a productores y a la activación comercial, ide</w:t>
      </w:r>
      <w:r>
        <w:t>ntificados como los principales</w:t>
      </w:r>
      <w:r>
        <w:rPr>
          <w:spacing w:val="40"/>
        </w:rPr>
        <w:t xml:space="preserve"> </w:t>
      </w:r>
      <w:r>
        <w:t>motores de validación.</w:t>
      </w:r>
    </w:p>
    <w:p w:rsidR="009B4BB4" w:rsidRDefault="00C44001">
      <w:pPr>
        <w:pStyle w:val="Textoindependiente"/>
        <w:spacing w:line="360" w:lineRule="auto"/>
        <w:ind w:left="425" w:right="603" w:firstLine="720"/>
        <w:jc w:val="both"/>
      </w:pPr>
      <w:r>
        <w:t>En cuanto al financiamiento externo, la deuda representa el 30% de</w:t>
      </w:r>
      <w:r>
        <w:rPr>
          <w:spacing w:val="-3"/>
        </w:rPr>
        <w:t xml:space="preserve"> </w:t>
      </w:r>
      <w:r>
        <w:t>la</w:t>
      </w:r>
      <w:r>
        <w:rPr>
          <w:spacing w:val="-3"/>
        </w:rPr>
        <w:t xml:space="preserve"> </w:t>
      </w:r>
      <w:r>
        <w:t xml:space="preserve">estructura de capital y se gestiona mediante instrumentos Fintech de corto plazo. Se proyecta una tasa efectiva anual entre el 33% </w:t>
      </w:r>
      <w:r>
        <w:t>y el 42% para 2026, en línea con las proyecciones de tasas del Banco de México</w:t>
      </w:r>
      <w:r>
        <w:rPr>
          <w:spacing w:val="-3"/>
        </w:rPr>
        <w:t xml:space="preserve"> </w:t>
      </w:r>
      <w:r>
        <w:t>(2025)</w:t>
      </w:r>
      <w:r>
        <w:rPr>
          <w:spacing w:val="-3"/>
        </w:rPr>
        <w:t xml:space="preserve"> </w:t>
      </w:r>
      <w:r>
        <w:t>y</w:t>
      </w:r>
      <w:r>
        <w:rPr>
          <w:spacing w:val="-3"/>
        </w:rPr>
        <w:t xml:space="preserve"> </w:t>
      </w:r>
      <w:r>
        <w:t>reportes</w:t>
      </w:r>
      <w:r>
        <w:rPr>
          <w:spacing w:val="-3"/>
        </w:rPr>
        <w:t xml:space="preserve"> </w:t>
      </w:r>
      <w:r>
        <w:t>de</w:t>
      </w:r>
      <w:r>
        <w:rPr>
          <w:spacing w:val="-3"/>
        </w:rPr>
        <w:t xml:space="preserve"> </w:t>
      </w:r>
      <w:r>
        <w:t>crédito</w:t>
      </w:r>
      <w:r>
        <w:rPr>
          <w:spacing w:val="-3"/>
        </w:rPr>
        <w:t xml:space="preserve"> </w:t>
      </w:r>
      <w:r>
        <w:t>PyME</w:t>
      </w:r>
      <w:r>
        <w:rPr>
          <w:spacing w:val="-3"/>
        </w:rPr>
        <w:t xml:space="preserve"> </w:t>
      </w:r>
      <w:r>
        <w:t>de</w:t>
      </w:r>
      <w:r>
        <w:rPr>
          <w:spacing w:val="-3"/>
        </w:rPr>
        <w:t xml:space="preserve"> </w:t>
      </w:r>
      <w:r>
        <w:t>Konfio.</w:t>
      </w:r>
      <w:r>
        <w:rPr>
          <w:spacing w:val="-3"/>
        </w:rPr>
        <w:t xml:space="preserve"> </w:t>
      </w:r>
      <w:r>
        <w:t>Aunque</w:t>
      </w:r>
      <w:r>
        <w:rPr>
          <w:spacing w:val="-3"/>
        </w:rPr>
        <w:t xml:space="preserve"> </w:t>
      </w:r>
      <w:r>
        <w:t>se</w:t>
      </w:r>
      <w:r>
        <w:rPr>
          <w:spacing w:val="-3"/>
        </w:rPr>
        <w:t xml:space="preserve"> </w:t>
      </w:r>
      <w:r>
        <w:t>trata de un costo financiero elevado, su uso se limita</w:t>
      </w:r>
      <w:r>
        <w:rPr>
          <w:spacing w:val="-3"/>
        </w:rPr>
        <w:t xml:space="preserve"> </w:t>
      </w:r>
      <w:r>
        <w:t>a</w:t>
      </w:r>
      <w:r>
        <w:rPr>
          <w:spacing w:val="-3"/>
        </w:rPr>
        <w:t xml:space="preserve"> </w:t>
      </w:r>
      <w:r>
        <w:t>financiar</w:t>
      </w:r>
      <w:r>
        <w:rPr>
          <w:spacing w:val="-3"/>
        </w:rPr>
        <w:t xml:space="preserve"> </w:t>
      </w:r>
      <w:r>
        <w:t>inventario</w:t>
      </w:r>
      <w:r>
        <w:rPr>
          <w:spacing w:val="-3"/>
        </w:rPr>
        <w:t xml:space="preserve"> </w:t>
      </w:r>
      <w:r>
        <w:t>de</w:t>
      </w:r>
      <w:r>
        <w:rPr>
          <w:spacing w:val="-3"/>
        </w:rPr>
        <w:t xml:space="preserve"> </w:t>
      </w:r>
      <w:r>
        <w:t>alta</w:t>
      </w:r>
      <w:r>
        <w:rPr>
          <w:spacing w:val="-3"/>
        </w:rPr>
        <w:t xml:space="preserve"> </w:t>
      </w:r>
      <w:r>
        <w:t>rotación,</w:t>
      </w:r>
      <w:r>
        <w:rPr>
          <w:spacing w:val="-3"/>
        </w:rPr>
        <w:t xml:space="preserve"> </w:t>
      </w:r>
      <w:r>
        <w:t>de modo que el margen brut</w:t>
      </w:r>
      <w:r>
        <w:t xml:space="preserve">o cubra el costo financiero sin comprometer la estabilidad operativa en el mediano plazo, manteniendo el uso de la deuda dentro de un rango </w:t>
      </w:r>
      <w:r>
        <w:rPr>
          <w:spacing w:val="-2"/>
        </w:rPr>
        <w:t>controlado.</w:t>
      </w:r>
    </w:p>
    <w:p w:rsidR="009B4BB4" w:rsidRDefault="00C44001" w:rsidP="00C44001">
      <w:pPr>
        <w:pStyle w:val="Ttulo2"/>
        <w:numPr>
          <w:ilvl w:val="2"/>
          <w:numId w:val="14"/>
        </w:numPr>
        <w:tabs>
          <w:tab w:val="left" w:pos="1000"/>
        </w:tabs>
        <w:ind w:left="1000" w:hanging="545"/>
      </w:pPr>
      <w:bookmarkStart w:id="231" w:name="7.1.3_Costo_de_Capital_"/>
      <w:bookmarkStart w:id="232" w:name="h.e0x8q8w2l4iu"/>
      <w:bookmarkEnd w:id="231"/>
      <w:bookmarkEnd w:id="232"/>
      <w:r>
        <w:t>Costo</w:t>
      </w:r>
      <w:r>
        <w:rPr>
          <w:spacing w:val="-4"/>
        </w:rPr>
        <w:t xml:space="preserve"> </w:t>
      </w:r>
      <w:r>
        <w:t>de</w:t>
      </w:r>
      <w:r>
        <w:rPr>
          <w:spacing w:val="-3"/>
        </w:rPr>
        <w:t xml:space="preserve"> </w:t>
      </w:r>
      <w:r>
        <w:rPr>
          <w:spacing w:val="-2"/>
        </w:rPr>
        <w:t>Capital</w:t>
      </w:r>
    </w:p>
    <w:p w:rsidR="009B4BB4" w:rsidRDefault="009B4BB4">
      <w:pPr>
        <w:pStyle w:val="Textoindependiente"/>
        <w:spacing w:before="114"/>
        <w:rPr>
          <w:rFonts w:ascii="Arial"/>
          <w:b/>
          <w:i/>
        </w:rPr>
      </w:pPr>
    </w:p>
    <w:p w:rsidR="009B4BB4" w:rsidRDefault="00C44001">
      <w:pPr>
        <w:pStyle w:val="Textoindependiente"/>
        <w:spacing w:before="0" w:line="360" w:lineRule="auto"/>
        <w:ind w:left="425" w:right="606" w:firstLine="720"/>
        <w:jc w:val="both"/>
      </w:pPr>
      <w:r>
        <w:t>Para evaluar la rentabilidad del proyecto, el Valor Actual Neto (VAN) se calcula con u</w:t>
      </w:r>
      <w:r>
        <w:t>na tasa de</w:t>
      </w:r>
      <w:r>
        <w:rPr>
          <w:spacing w:val="-4"/>
        </w:rPr>
        <w:t xml:space="preserve"> </w:t>
      </w:r>
      <w:r>
        <w:t>descuento</w:t>
      </w:r>
      <w:r>
        <w:rPr>
          <w:spacing w:val="-4"/>
        </w:rPr>
        <w:t xml:space="preserve"> </w:t>
      </w:r>
      <w:r>
        <w:t>del</w:t>
      </w:r>
      <w:r>
        <w:rPr>
          <w:spacing w:val="-4"/>
        </w:rPr>
        <w:t xml:space="preserve"> </w:t>
      </w:r>
      <w:r>
        <w:t>12%,</w:t>
      </w:r>
      <w:r>
        <w:rPr>
          <w:spacing w:val="-4"/>
        </w:rPr>
        <w:t xml:space="preserve"> </w:t>
      </w:r>
      <w:r>
        <w:t>estimada</w:t>
      </w:r>
      <w:r>
        <w:rPr>
          <w:spacing w:val="-4"/>
        </w:rPr>
        <w:t xml:space="preserve"> </w:t>
      </w:r>
      <w:r>
        <w:t>mediante</w:t>
      </w:r>
      <w:r>
        <w:rPr>
          <w:spacing w:val="-4"/>
        </w:rPr>
        <w:t xml:space="preserve"> </w:t>
      </w:r>
      <w:r>
        <w:t>el</w:t>
      </w:r>
      <w:r>
        <w:rPr>
          <w:spacing w:val="-4"/>
        </w:rPr>
        <w:t xml:space="preserve"> </w:t>
      </w:r>
      <w:r>
        <w:t>método</w:t>
      </w:r>
      <w:r>
        <w:rPr>
          <w:spacing w:val="-4"/>
        </w:rPr>
        <w:t xml:space="preserve"> </w:t>
      </w:r>
      <w:r>
        <w:t>acumulativo</w:t>
      </w:r>
      <w:r>
        <w:rPr>
          <w:spacing w:val="-4"/>
        </w:rPr>
        <w:t xml:space="preserve"> </w:t>
      </w:r>
      <w:r>
        <w:t>(Build-Up Method) y expresada en dólares corrientes. Esta tasa refleja el costo de oportunidad</w:t>
      </w:r>
      <w:r>
        <w:rPr>
          <w:spacing w:val="-3"/>
        </w:rPr>
        <w:t xml:space="preserve"> </w:t>
      </w:r>
      <w:r>
        <w:t>del capital en un proyecto de nicho dentro de un mercado emergente, y permite aislar la volatilidad inflacionaria local.</w:t>
      </w:r>
    </w:p>
    <w:p w:rsidR="009B4BB4" w:rsidRDefault="00C44001">
      <w:pPr>
        <w:pStyle w:val="Textoindependiente"/>
        <w:spacing w:line="360" w:lineRule="auto"/>
        <w:ind w:left="425" w:right="604" w:firstLine="720"/>
        <w:jc w:val="both"/>
      </w:pPr>
      <w:r>
        <w:t>La tasa se construye a partir</w:t>
      </w:r>
      <w:r>
        <w:rPr>
          <w:spacing w:val="-4"/>
        </w:rPr>
        <w:t xml:space="preserve"> </w:t>
      </w:r>
      <w:r>
        <w:t>de</w:t>
      </w:r>
      <w:r>
        <w:rPr>
          <w:spacing w:val="-4"/>
        </w:rPr>
        <w:t xml:space="preserve"> </w:t>
      </w:r>
      <w:r>
        <w:t>una</w:t>
      </w:r>
      <w:r>
        <w:rPr>
          <w:spacing w:val="-4"/>
        </w:rPr>
        <w:t xml:space="preserve"> </w:t>
      </w:r>
      <w:r>
        <w:t>tasa</w:t>
      </w:r>
      <w:r>
        <w:rPr>
          <w:spacing w:val="-4"/>
        </w:rPr>
        <w:t xml:space="preserve"> </w:t>
      </w:r>
      <w:r>
        <w:t>libre</w:t>
      </w:r>
      <w:r>
        <w:rPr>
          <w:spacing w:val="-4"/>
        </w:rPr>
        <w:t xml:space="preserve"> </w:t>
      </w:r>
      <w:r>
        <w:t>de</w:t>
      </w:r>
      <w:r>
        <w:rPr>
          <w:spacing w:val="-4"/>
        </w:rPr>
        <w:t xml:space="preserve"> </w:t>
      </w:r>
      <w:r>
        <w:t>riesgo</w:t>
      </w:r>
      <w:r>
        <w:rPr>
          <w:spacing w:val="-4"/>
        </w:rPr>
        <w:t xml:space="preserve"> </w:t>
      </w:r>
      <w:r>
        <w:t>del</w:t>
      </w:r>
      <w:r>
        <w:rPr>
          <w:spacing w:val="-4"/>
        </w:rPr>
        <w:t xml:space="preserve"> </w:t>
      </w:r>
      <w:r>
        <w:t>5%</w:t>
      </w:r>
      <w:r>
        <w:rPr>
          <w:spacing w:val="-4"/>
        </w:rPr>
        <w:t xml:space="preserve"> </w:t>
      </w:r>
      <w:r>
        <w:t>(bonos</w:t>
      </w:r>
      <w:r>
        <w:rPr>
          <w:spacing w:val="-4"/>
        </w:rPr>
        <w:t xml:space="preserve"> </w:t>
      </w:r>
      <w:r>
        <w:t>del</w:t>
      </w:r>
      <w:r>
        <w:rPr>
          <w:spacing w:val="-4"/>
        </w:rPr>
        <w:t xml:space="preserve"> </w:t>
      </w:r>
      <w:r>
        <w:t xml:space="preserve">Tesoro de EE. UU. </w:t>
      </w:r>
      <w:proofErr w:type="gramStart"/>
      <w:r>
        <w:t>a</w:t>
      </w:r>
      <w:proofErr w:type="gramEnd"/>
      <w:r>
        <w:t xml:space="preserve"> 10 años, U.S. Treasury 2025), a la que se</w:t>
      </w:r>
      <w:r>
        <w:rPr>
          <w:spacing w:val="-2"/>
        </w:rPr>
        <w:t xml:space="preserve"> </w:t>
      </w:r>
      <w:r>
        <w:t>añade</w:t>
      </w:r>
      <w:r>
        <w:rPr>
          <w:spacing w:val="-3"/>
        </w:rPr>
        <w:t xml:space="preserve"> </w:t>
      </w:r>
      <w:r>
        <w:t>una</w:t>
      </w:r>
      <w:r>
        <w:rPr>
          <w:spacing w:val="-2"/>
        </w:rPr>
        <w:t xml:space="preserve"> </w:t>
      </w:r>
      <w:r>
        <w:t>prima</w:t>
      </w:r>
      <w:r>
        <w:rPr>
          <w:spacing w:val="-3"/>
        </w:rPr>
        <w:t xml:space="preserve"> </w:t>
      </w:r>
      <w:r>
        <w:t>de</w:t>
      </w:r>
      <w:r>
        <w:rPr>
          <w:spacing w:val="-2"/>
        </w:rPr>
        <w:t xml:space="preserve"> </w:t>
      </w:r>
      <w:r>
        <w:t>riesgo</w:t>
      </w:r>
      <w:r>
        <w:rPr>
          <w:spacing w:val="-3"/>
        </w:rPr>
        <w:t xml:space="preserve"> </w:t>
      </w:r>
      <w:r>
        <w:t>país de 5.5%, basada en el EMBI Global de México (Damodaran; JP Morgan, 2024). Se incorpora además una prima de riesgo específico del 1.5%, asociada a la iliquidez y la</w:t>
      </w:r>
      <w:r>
        <w:t xml:space="preserve"> volatilidad de emprendimientos en etapa temprana (Copeland et al., 2000).</w:t>
      </w:r>
    </w:p>
    <w:p w:rsidR="009B4BB4" w:rsidRDefault="00C44001">
      <w:pPr>
        <w:pStyle w:val="Textoindependiente"/>
        <w:spacing w:line="360" w:lineRule="auto"/>
        <w:ind w:left="425" w:right="603" w:firstLine="720"/>
        <w:jc w:val="both"/>
      </w:pPr>
      <w:r>
        <w:t>En conjunto, estos componentes establecen un rendimiento</w:t>
      </w:r>
      <w:r>
        <w:rPr>
          <w:spacing w:val="-4"/>
        </w:rPr>
        <w:t xml:space="preserve"> </w:t>
      </w:r>
      <w:r>
        <w:t>mínimo</w:t>
      </w:r>
      <w:r>
        <w:rPr>
          <w:spacing w:val="-4"/>
        </w:rPr>
        <w:t xml:space="preserve"> </w:t>
      </w:r>
      <w:r>
        <w:t>esperado</w:t>
      </w:r>
      <w:r>
        <w:rPr>
          <w:spacing w:val="-4"/>
        </w:rPr>
        <w:t xml:space="preserve"> </w:t>
      </w:r>
      <w:r>
        <w:t>del 12% anual. Esta tasa se utiliza como referencia para la valoración del proyecto, considerando que la deu</w:t>
      </w:r>
      <w:r>
        <w:t>da se maneja bajo</w:t>
      </w:r>
      <w:r>
        <w:rPr>
          <w:spacing w:val="-3"/>
        </w:rPr>
        <w:t xml:space="preserve"> </w:t>
      </w:r>
      <w:r>
        <w:t>un</w:t>
      </w:r>
      <w:r>
        <w:rPr>
          <w:spacing w:val="-3"/>
        </w:rPr>
        <w:t xml:space="preserve"> </w:t>
      </w:r>
      <w:r>
        <w:t>esquema</w:t>
      </w:r>
      <w:r>
        <w:rPr>
          <w:spacing w:val="-3"/>
        </w:rPr>
        <w:t xml:space="preserve"> </w:t>
      </w:r>
      <w:r>
        <w:t>autoliquidable:</w:t>
      </w:r>
      <w:r>
        <w:rPr>
          <w:spacing w:val="-3"/>
        </w:rPr>
        <w:t xml:space="preserve"> </w:t>
      </w:r>
      <w:r>
        <w:t>el</w:t>
      </w:r>
      <w:r>
        <w:rPr>
          <w:spacing w:val="-3"/>
        </w:rPr>
        <w:t xml:space="preserve"> </w:t>
      </w:r>
      <w:r>
        <w:t>financiamiento se destina a inventario, y su rotación permite cubrir el servicio de la deuda en el corto plazo.</w:t>
      </w:r>
      <w:r>
        <w:rPr>
          <w:spacing w:val="26"/>
        </w:rPr>
        <w:t xml:space="preserve"> </w:t>
      </w:r>
      <w:r>
        <w:t>Al</w:t>
      </w:r>
      <w:r>
        <w:rPr>
          <w:spacing w:val="26"/>
        </w:rPr>
        <w:t xml:space="preserve"> </w:t>
      </w:r>
      <w:r>
        <w:t>reducir</w:t>
      </w:r>
      <w:r>
        <w:rPr>
          <w:spacing w:val="26"/>
        </w:rPr>
        <w:t xml:space="preserve"> </w:t>
      </w:r>
      <w:r>
        <w:t>el impacto de la deuda en el corto plazo, el principal desafío financiero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71"/>
      </w:pPr>
      <w:proofErr w:type="gramStart"/>
      <w:r>
        <w:lastRenderedPageBreak/>
        <w:t>se</w:t>
      </w:r>
      <w:proofErr w:type="gramEnd"/>
      <w:r>
        <w:t xml:space="preserve"> concentra en alcanzar la rentabilidad exigida, asegurando que el retorno</w:t>
      </w:r>
      <w:r>
        <w:rPr>
          <w:spacing w:val="-4"/>
        </w:rPr>
        <w:t xml:space="preserve"> </w:t>
      </w:r>
      <w:r>
        <w:t>del</w:t>
      </w:r>
      <w:r>
        <w:rPr>
          <w:spacing w:val="-4"/>
        </w:rPr>
        <w:t xml:space="preserve"> </w:t>
      </w:r>
      <w:r>
        <w:t>proyecto compense adecuadamente su nivel de riesgo.</w:t>
      </w:r>
    </w:p>
    <w:p w:rsidR="009B4BB4" w:rsidRDefault="00C44001" w:rsidP="00C44001">
      <w:pPr>
        <w:pStyle w:val="Ttulo2"/>
        <w:numPr>
          <w:ilvl w:val="2"/>
          <w:numId w:val="14"/>
        </w:numPr>
        <w:tabs>
          <w:tab w:val="left" w:pos="1000"/>
        </w:tabs>
        <w:ind w:left="1000" w:hanging="545"/>
      </w:pPr>
      <w:bookmarkStart w:id="233" w:name="7.1.4_Coherencia_social_y_Blended_Value_"/>
      <w:bookmarkStart w:id="234" w:name="h.5gdq7fifpifb"/>
      <w:bookmarkEnd w:id="233"/>
      <w:bookmarkEnd w:id="234"/>
      <w:r>
        <w:t>Coherencia</w:t>
      </w:r>
      <w:r>
        <w:rPr>
          <w:spacing w:val="-6"/>
        </w:rPr>
        <w:t xml:space="preserve"> </w:t>
      </w:r>
      <w:r>
        <w:t>social</w:t>
      </w:r>
      <w:r>
        <w:rPr>
          <w:spacing w:val="-6"/>
        </w:rPr>
        <w:t xml:space="preserve"> </w:t>
      </w:r>
      <w:r>
        <w:t>y</w:t>
      </w:r>
      <w:r>
        <w:rPr>
          <w:spacing w:val="-6"/>
        </w:rPr>
        <w:t xml:space="preserve"> </w:t>
      </w:r>
      <w:r>
        <w:t>Blended</w:t>
      </w:r>
      <w:r>
        <w:rPr>
          <w:spacing w:val="-6"/>
        </w:rPr>
        <w:t xml:space="preserve"> </w:t>
      </w:r>
      <w:r>
        <w:rPr>
          <w:spacing w:val="-2"/>
        </w:rPr>
        <w:t>Value</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2" w:firstLine="720"/>
        <w:jc w:val="both"/>
      </w:pPr>
      <w:r>
        <w:t>Un elemento diferenciador en la arquitectura financiera de Guardiana es la asignación del capital. Aproximadamente el 20% de la inversión inicial se destina directamente a la</w:t>
      </w:r>
      <w:r>
        <w:rPr>
          <w:spacing w:val="-3"/>
        </w:rPr>
        <w:t xml:space="preserve"> </w:t>
      </w:r>
      <w:r>
        <w:t>base</w:t>
      </w:r>
      <w:r>
        <w:rPr>
          <w:spacing w:val="-3"/>
        </w:rPr>
        <w:t xml:space="preserve"> </w:t>
      </w:r>
      <w:r>
        <w:t>productiva,</w:t>
      </w:r>
      <w:r>
        <w:rPr>
          <w:spacing w:val="-3"/>
        </w:rPr>
        <w:t xml:space="preserve"> </w:t>
      </w:r>
      <w:r>
        <w:t>mediante</w:t>
      </w:r>
      <w:r>
        <w:rPr>
          <w:spacing w:val="-3"/>
        </w:rPr>
        <w:t xml:space="preserve"> </w:t>
      </w:r>
      <w:r>
        <w:t>la</w:t>
      </w:r>
      <w:r>
        <w:rPr>
          <w:spacing w:val="-3"/>
        </w:rPr>
        <w:t xml:space="preserve"> </w:t>
      </w:r>
      <w:r>
        <w:t>compra</w:t>
      </w:r>
      <w:r>
        <w:rPr>
          <w:spacing w:val="-3"/>
        </w:rPr>
        <w:t xml:space="preserve"> </w:t>
      </w:r>
      <w:r>
        <w:t>de</w:t>
      </w:r>
      <w:r>
        <w:rPr>
          <w:spacing w:val="-3"/>
        </w:rPr>
        <w:t xml:space="preserve"> </w:t>
      </w:r>
      <w:r>
        <w:t>materia</w:t>
      </w:r>
      <w:r>
        <w:rPr>
          <w:spacing w:val="-3"/>
        </w:rPr>
        <w:t xml:space="preserve"> </w:t>
      </w:r>
      <w:r>
        <w:t>prima</w:t>
      </w:r>
      <w:r>
        <w:rPr>
          <w:spacing w:val="-3"/>
        </w:rPr>
        <w:t xml:space="preserve"> </w:t>
      </w:r>
      <w:r>
        <w:t>a</w:t>
      </w:r>
      <w:r>
        <w:rPr>
          <w:spacing w:val="-3"/>
        </w:rPr>
        <w:t xml:space="preserve"> </w:t>
      </w:r>
      <w:r>
        <w:t>precio</w:t>
      </w:r>
      <w:r>
        <w:rPr>
          <w:spacing w:val="-3"/>
        </w:rPr>
        <w:t xml:space="preserve"> </w:t>
      </w:r>
      <w:r>
        <w:t>justo,</w:t>
      </w:r>
      <w:r>
        <w:rPr>
          <w:spacing w:val="-3"/>
        </w:rPr>
        <w:t xml:space="preserve"> </w:t>
      </w:r>
      <w:r>
        <w:t>lo que asegu</w:t>
      </w:r>
      <w:r>
        <w:t>ra el abastecimiento de calidad y genera ingresos directos para las comunidades mayas. Esta decisión convierte el costo de ventas en un mecanismo de desarrollo local y preservación cultural, vinculando</w:t>
      </w:r>
      <w:r>
        <w:rPr>
          <w:spacing w:val="-4"/>
        </w:rPr>
        <w:t xml:space="preserve"> </w:t>
      </w:r>
      <w:r>
        <w:t>directamente</w:t>
      </w:r>
      <w:r>
        <w:rPr>
          <w:spacing w:val="-4"/>
        </w:rPr>
        <w:t xml:space="preserve"> </w:t>
      </w:r>
      <w:r>
        <w:t>la</w:t>
      </w:r>
      <w:r>
        <w:rPr>
          <w:spacing w:val="-4"/>
        </w:rPr>
        <w:t xml:space="preserve"> </w:t>
      </w:r>
      <w:r>
        <w:t>operación</w:t>
      </w:r>
      <w:r>
        <w:rPr>
          <w:spacing w:val="-4"/>
        </w:rPr>
        <w:t xml:space="preserve"> </w:t>
      </w:r>
      <w:r>
        <w:t>del</w:t>
      </w:r>
      <w:r>
        <w:rPr>
          <w:spacing w:val="-4"/>
        </w:rPr>
        <w:t xml:space="preserve"> </w:t>
      </w:r>
      <w:r>
        <w:t>negocio con su impacto s</w:t>
      </w:r>
      <w:r>
        <w:t>ocial.</w:t>
      </w:r>
    </w:p>
    <w:p w:rsidR="009B4BB4" w:rsidRDefault="00C44001">
      <w:pPr>
        <w:pStyle w:val="Textoindependiente"/>
        <w:spacing w:line="360" w:lineRule="auto"/>
        <w:ind w:left="425" w:right="602" w:firstLine="720"/>
        <w:jc w:val="both"/>
      </w:pPr>
      <w:r>
        <w:t>Bajo este esquema, Guardiana amplía el enfoque de viabilidad económica tradicional hacia un modelo de Valor Compartido (Porter &amp; Kramer, 2011), donde la rentabilidad se construye junto con el fortalecimiento de la cadena de suministro.</w:t>
      </w:r>
      <w:r>
        <w:rPr>
          <w:spacing w:val="40"/>
        </w:rPr>
        <w:t xml:space="preserve"> </w:t>
      </w:r>
      <w:r>
        <w:t xml:space="preserve">Alineado con </w:t>
      </w:r>
      <w:r>
        <w:t>la teoría del Blended Value (Emerson, 2003), el proyecto no sacrifica retornos financieros en favor del</w:t>
      </w:r>
      <w:r>
        <w:rPr>
          <w:spacing w:val="-3"/>
        </w:rPr>
        <w:t xml:space="preserve"> </w:t>
      </w:r>
      <w:r>
        <w:t>impacto</w:t>
      </w:r>
      <w:r>
        <w:rPr>
          <w:spacing w:val="-3"/>
        </w:rPr>
        <w:t xml:space="preserve"> </w:t>
      </w:r>
      <w:r>
        <w:t>social,</w:t>
      </w:r>
      <w:r>
        <w:rPr>
          <w:spacing w:val="-3"/>
        </w:rPr>
        <w:t xml:space="preserve"> </w:t>
      </w:r>
      <w:r>
        <w:t>sino</w:t>
      </w:r>
      <w:r>
        <w:rPr>
          <w:spacing w:val="-3"/>
        </w:rPr>
        <w:t xml:space="preserve"> </w:t>
      </w:r>
      <w:r>
        <w:t>que</w:t>
      </w:r>
      <w:r>
        <w:rPr>
          <w:spacing w:val="-3"/>
        </w:rPr>
        <w:t xml:space="preserve"> </w:t>
      </w:r>
      <w:r>
        <w:t>los</w:t>
      </w:r>
      <w:r>
        <w:rPr>
          <w:spacing w:val="-3"/>
        </w:rPr>
        <w:t xml:space="preserve"> </w:t>
      </w:r>
      <w:r>
        <w:t>integra</w:t>
      </w:r>
      <w:r>
        <w:rPr>
          <w:spacing w:val="-3"/>
        </w:rPr>
        <w:t xml:space="preserve"> </w:t>
      </w:r>
      <w:r>
        <w:t>en</w:t>
      </w:r>
      <w:r>
        <w:rPr>
          <w:spacing w:val="-3"/>
        </w:rPr>
        <w:t xml:space="preserve"> </w:t>
      </w:r>
      <w:r>
        <w:t>una</w:t>
      </w:r>
      <w:r>
        <w:rPr>
          <w:spacing w:val="-3"/>
        </w:rPr>
        <w:t xml:space="preserve"> </w:t>
      </w:r>
      <w:r>
        <w:t>misma</w:t>
      </w:r>
      <w:r>
        <w:rPr>
          <w:spacing w:val="-3"/>
        </w:rPr>
        <w:t xml:space="preserve"> </w:t>
      </w:r>
      <w:r>
        <w:t>lógica de negocio orientada a la mitigación</w:t>
      </w:r>
      <w:r>
        <w:rPr>
          <w:spacing w:val="-3"/>
        </w:rPr>
        <w:t xml:space="preserve"> </w:t>
      </w:r>
      <w:r>
        <w:t>de</w:t>
      </w:r>
      <w:r>
        <w:rPr>
          <w:spacing w:val="-3"/>
        </w:rPr>
        <w:t xml:space="preserve"> </w:t>
      </w:r>
      <w:r>
        <w:t>riesgos</w:t>
      </w:r>
      <w:r>
        <w:rPr>
          <w:spacing w:val="-3"/>
        </w:rPr>
        <w:t xml:space="preserve"> </w:t>
      </w:r>
      <w:r>
        <w:t>y</w:t>
      </w:r>
      <w:r>
        <w:rPr>
          <w:spacing w:val="-3"/>
        </w:rPr>
        <w:t xml:space="preserve"> </w:t>
      </w:r>
      <w:r>
        <w:t>la</w:t>
      </w:r>
      <w:r>
        <w:rPr>
          <w:spacing w:val="-3"/>
        </w:rPr>
        <w:t xml:space="preserve"> </w:t>
      </w:r>
      <w:r>
        <w:t>diferenciación.</w:t>
      </w:r>
      <w:r>
        <w:rPr>
          <w:spacing w:val="-3"/>
        </w:rPr>
        <w:t xml:space="preserve"> </w:t>
      </w:r>
      <w:r>
        <w:t>Esta</w:t>
      </w:r>
      <w:r>
        <w:rPr>
          <w:spacing w:val="-3"/>
        </w:rPr>
        <w:t xml:space="preserve"> </w:t>
      </w:r>
      <w:r>
        <w:t>coherencia</w:t>
      </w:r>
      <w:r>
        <w:rPr>
          <w:spacing w:val="-3"/>
        </w:rPr>
        <w:t xml:space="preserve"> </w:t>
      </w:r>
      <w:r>
        <w:t>entre el f</w:t>
      </w:r>
      <w:r>
        <w:t>lujo de caja y el propósito refuerza la legitimidad</w:t>
      </w:r>
      <w:r>
        <w:rPr>
          <w:spacing w:val="-2"/>
        </w:rPr>
        <w:t xml:space="preserve"> </w:t>
      </w:r>
      <w:r>
        <w:t>del</w:t>
      </w:r>
      <w:r>
        <w:rPr>
          <w:spacing w:val="-2"/>
        </w:rPr>
        <w:t xml:space="preserve"> </w:t>
      </w:r>
      <w:r>
        <w:t>proyecto</w:t>
      </w:r>
      <w:r>
        <w:rPr>
          <w:spacing w:val="-2"/>
        </w:rPr>
        <w:t xml:space="preserve"> </w:t>
      </w:r>
      <w:r>
        <w:t>frente</w:t>
      </w:r>
      <w:r>
        <w:rPr>
          <w:spacing w:val="-2"/>
        </w:rPr>
        <w:t xml:space="preserve"> </w:t>
      </w:r>
      <w:r>
        <w:t>a</w:t>
      </w:r>
      <w:r>
        <w:rPr>
          <w:spacing w:val="-2"/>
        </w:rPr>
        <w:t xml:space="preserve"> </w:t>
      </w:r>
      <w:r>
        <w:t>inversionistas</w:t>
      </w:r>
      <w:r>
        <w:rPr>
          <w:spacing w:val="-2"/>
        </w:rPr>
        <w:t xml:space="preserve"> </w:t>
      </w:r>
      <w:r>
        <w:t>y consumidores, consolidando a Guardiana como un</w:t>
      </w:r>
      <w:r>
        <w:rPr>
          <w:spacing w:val="-4"/>
        </w:rPr>
        <w:t xml:space="preserve"> </w:t>
      </w:r>
      <w:r>
        <w:t>modelo</w:t>
      </w:r>
      <w:r>
        <w:rPr>
          <w:spacing w:val="-4"/>
        </w:rPr>
        <w:t xml:space="preserve"> </w:t>
      </w:r>
      <w:r>
        <w:t>de</w:t>
      </w:r>
      <w:r>
        <w:rPr>
          <w:spacing w:val="-4"/>
        </w:rPr>
        <w:t xml:space="preserve"> </w:t>
      </w:r>
      <w:r>
        <w:t>negocio</w:t>
      </w:r>
      <w:r>
        <w:rPr>
          <w:spacing w:val="-4"/>
        </w:rPr>
        <w:t xml:space="preserve"> </w:t>
      </w:r>
      <w:r>
        <w:t>con</w:t>
      </w:r>
      <w:r>
        <w:rPr>
          <w:spacing w:val="-4"/>
        </w:rPr>
        <w:t xml:space="preserve"> </w:t>
      </w:r>
      <w:r>
        <w:t xml:space="preserve">sostenibilidad en el largo plazo, donde el impacto social y el desempeño financiero se refuerzan </w:t>
      </w:r>
      <w:r>
        <w:rPr>
          <w:spacing w:val="-2"/>
        </w:rPr>
        <w:t>mutuamente.</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rsidP="00C44001">
      <w:pPr>
        <w:pStyle w:val="Ttulo1"/>
        <w:numPr>
          <w:ilvl w:val="1"/>
          <w:numId w:val="14"/>
        </w:numPr>
        <w:tabs>
          <w:tab w:val="left" w:pos="818"/>
        </w:tabs>
        <w:ind w:left="818" w:hanging="363"/>
      </w:pPr>
      <w:bookmarkStart w:id="235" w:name="7.2_Proyección_de_ingresos_y_egresos__"/>
      <w:bookmarkStart w:id="236" w:name="h.9kqdj0fmts01"/>
      <w:bookmarkEnd w:id="235"/>
      <w:bookmarkEnd w:id="236"/>
      <w:r>
        <w:t>Proyección</w:t>
      </w:r>
      <w:r>
        <w:rPr>
          <w:spacing w:val="-6"/>
        </w:rPr>
        <w:t xml:space="preserve"> </w:t>
      </w:r>
      <w:r>
        <w:t>de</w:t>
      </w:r>
      <w:r>
        <w:rPr>
          <w:spacing w:val="-5"/>
        </w:rPr>
        <w:t xml:space="preserve"> </w:t>
      </w:r>
      <w:r>
        <w:t>ingresos</w:t>
      </w:r>
      <w:r>
        <w:rPr>
          <w:spacing w:val="-5"/>
        </w:rPr>
        <w:t xml:space="preserve"> </w:t>
      </w:r>
      <w:r>
        <w:t>y</w:t>
      </w:r>
      <w:r>
        <w:rPr>
          <w:spacing w:val="-5"/>
        </w:rPr>
        <w:t xml:space="preserve"> </w:t>
      </w:r>
      <w:r>
        <w:rPr>
          <w:spacing w:val="-2"/>
        </w:rPr>
        <w:t>egresos</w:t>
      </w:r>
    </w:p>
    <w:p w:rsidR="009B4BB4" w:rsidRDefault="009B4BB4">
      <w:pPr>
        <w:pStyle w:val="Textoindependiente"/>
        <w:spacing w:before="113"/>
        <w:rPr>
          <w:rFonts w:ascii="Arial"/>
          <w:b/>
        </w:rPr>
      </w:pPr>
    </w:p>
    <w:p w:rsidR="009B4BB4" w:rsidRDefault="00C44001" w:rsidP="00C44001">
      <w:pPr>
        <w:pStyle w:val="Ttulo2"/>
        <w:numPr>
          <w:ilvl w:val="2"/>
          <w:numId w:val="13"/>
        </w:numPr>
        <w:tabs>
          <w:tab w:val="left" w:pos="1000"/>
        </w:tabs>
        <w:spacing w:before="1"/>
        <w:ind w:left="1000" w:hanging="545"/>
      </w:pPr>
      <w:bookmarkStart w:id="237" w:name="7.2.1_Resultados_proyectados_del_lote_pi"/>
      <w:bookmarkStart w:id="238" w:name="h.tfnwf4qmn3n"/>
      <w:bookmarkEnd w:id="237"/>
      <w:bookmarkEnd w:id="238"/>
      <w:r>
        <w:t>Resultados</w:t>
      </w:r>
      <w:r>
        <w:rPr>
          <w:spacing w:val="-9"/>
        </w:rPr>
        <w:t xml:space="preserve"> </w:t>
      </w:r>
      <w:r>
        <w:t>proyectados</w:t>
      </w:r>
      <w:r>
        <w:rPr>
          <w:spacing w:val="-7"/>
        </w:rPr>
        <w:t xml:space="preserve"> </w:t>
      </w:r>
      <w:r>
        <w:t>del</w:t>
      </w:r>
      <w:r>
        <w:rPr>
          <w:spacing w:val="-7"/>
        </w:rPr>
        <w:t xml:space="preserve"> </w:t>
      </w:r>
      <w:r>
        <w:t>lote</w:t>
      </w:r>
      <w:r>
        <w:rPr>
          <w:spacing w:val="-7"/>
        </w:rPr>
        <w:t xml:space="preserve"> </w:t>
      </w:r>
      <w:r>
        <w:rPr>
          <w:spacing w:val="-2"/>
        </w:rPr>
        <w:t>piloto</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6" w:firstLine="720"/>
        <w:jc w:val="both"/>
      </w:pPr>
      <w:r>
        <w:t>En la fase de lanzamiento, se proyecta la producción y venta de un lote</w:t>
      </w:r>
      <w:r>
        <w:rPr>
          <w:spacing w:val="-3"/>
        </w:rPr>
        <w:t xml:space="preserve"> </w:t>
      </w:r>
      <w:r>
        <w:t>piloto</w:t>
      </w:r>
      <w:r>
        <w:rPr>
          <w:spacing w:val="-3"/>
        </w:rPr>
        <w:t xml:space="preserve"> </w:t>
      </w:r>
      <w:r>
        <w:t>de 500 unidades, distribuidas en 300 frascos de 100 g y 200 goteros de 20 ml.</w:t>
      </w:r>
    </w:p>
    <w:p w:rsidR="009B4BB4" w:rsidRDefault="00C44001">
      <w:pPr>
        <w:pStyle w:val="Textoindependiente"/>
        <w:spacing w:line="360" w:lineRule="auto"/>
        <w:ind w:left="425" w:right="610" w:firstLine="720"/>
        <w:jc w:val="both"/>
      </w:pPr>
      <w:r>
        <w:t xml:space="preserve">El precio de venta se define bajo una estrategia de posicionamiento </w:t>
      </w:r>
      <w:r>
        <w:rPr>
          <w:rFonts w:ascii="Arial" w:hAnsi="Arial"/>
          <w:i/>
        </w:rPr>
        <w:t>premium</w:t>
      </w:r>
      <w:r>
        <w:t>: el frasco se fija en $</w:t>
      </w:r>
      <w:r>
        <w:t>33 USD, dentro del rango superior de la</w:t>
      </w:r>
      <w:r>
        <w:rPr>
          <w:spacing w:val="-3"/>
        </w:rPr>
        <w:t xml:space="preserve"> </w:t>
      </w:r>
      <w:r>
        <w:t>banda</w:t>
      </w:r>
      <w:r>
        <w:rPr>
          <w:spacing w:val="-3"/>
        </w:rPr>
        <w:t xml:space="preserve"> </w:t>
      </w:r>
      <w:r>
        <w:t>de</w:t>
      </w:r>
      <w:r>
        <w:rPr>
          <w:spacing w:val="-3"/>
        </w:rPr>
        <w:t xml:space="preserve"> </w:t>
      </w:r>
      <w:r>
        <w:t>aceptación</w:t>
      </w:r>
      <w:r>
        <w:rPr>
          <w:spacing w:val="-3"/>
        </w:rPr>
        <w:t xml:space="preserve"> </w:t>
      </w:r>
      <w:r>
        <w:t>validada ($25–$35</w:t>
      </w:r>
      <w:r>
        <w:rPr>
          <w:spacing w:val="40"/>
        </w:rPr>
        <w:t xml:space="preserve"> </w:t>
      </w:r>
      <w:r>
        <w:t>USD).</w:t>
      </w:r>
      <w:r>
        <w:rPr>
          <w:spacing w:val="40"/>
        </w:rPr>
        <w:t xml:space="preserve"> </w:t>
      </w:r>
      <w:r>
        <w:t>Esta</w:t>
      </w:r>
      <w:r>
        <w:rPr>
          <w:spacing w:val="40"/>
        </w:rPr>
        <w:t xml:space="preserve"> </w:t>
      </w:r>
      <w:r>
        <w:t>decisión</w:t>
      </w:r>
      <w:r>
        <w:rPr>
          <w:spacing w:val="40"/>
        </w:rPr>
        <w:t xml:space="preserve"> </w:t>
      </w:r>
      <w:r>
        <w:t>responde</w:t>
      </w:r>
      <w:r>
        <w:rPr>
          <w:spacing w:val="40"/>
        </w:rPr>
        <w:t xml:space="preserve"> </w:t>
      </w:r>
      <w:r>
        <w:t>a</w:t>
      </w:r>
      <w:r>
        <w:rPr>
          <w:spacing w:val="40"/>
        </w:rPr>
        <w:t xml:space="preserve"> </w:t>
      </w:r>
      <w:r>
        <w:t>la</w:t>
      </w:r>
      <w:r>
        <w:rPr>
          <w:spacing w:val="40"/>
        </w:rPr>
        <w:t xml:space="preserve"> </w:t>
      </w:r>
      <w:r>
        <w:t>necesidad</w:t>
      </w:r>
      <w:r>
        <w:rPr>
          <w:spacing w:val="40"/>
        </w:rPr>
        <w:t xml:space="preserve"> </w:t>
      </w:r>
      <w:r>
        <w:t>de</w:t>
      </w:r>
      <w:r>
        <w:rPr>
          <w:spacing w:val="40"/>
        </w:rPr>
        <w:t xml:space="preserve"> </w:t>
      </w:r>
      <w:r>
        <w:t>reforzar</w:t>
      </w:r>
      <w:r>
        <w:rPr>
          <w:spacing w:val="40"/>
        </w:rPr>
        <w:t xml:space="preserve"> </w:t>
      </w:r>
      <w:r>
        <w:t>la</w:t>
      </w:r>
      <w:r>
        <w:rPr>
          <w:spacing w:val="40"/>
        </w:rPr>
        <w:t xml:space="preserve"> </w:t>
      </w:r>
      <w:r>
        <w:t>percepción</w:t>
      </w:r>
      <w:r>
        <w:rPr>
          <w:spacing w:val="40"/>
        </w:rPr>
        <w:t xml:space="preserve"> </w:t>
      </w:r>
      <w:r>
        <w:t>de</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5"/>
        <w:jc w:val="both"/>
      </w:pPr>
      <w:proofErr w:type="gramStart"/>
      <w:r>
        <w:lastRenderedPageBreak/>
        <w:t>calidad</w:t>
      </w:r>
      <w:proofErr w:type="gramEnd"/>
      <w:r>
        <w:t xml:space="preserve"> en un mercado con alta asimetría de información, evitando que un precio bajo ge</w:t>
      </w:r>
      <w:r>
        <w:t>nere dudas sobre la autenticidad del producto. El gotero se fija en $16 USD, funcionando como un punto de entrada más accesible sin afectar la percepción de valor del portafolio, facilitando la captación de nuevos clientes.</w:t>
      </w:r>
    </w:p>
    <w:p w:rsidR="009B4BB4" w:rsidRDefault="00C44001">
      <w:pPr>
        <w:pStyle w:val="Textoindependiente"/>
        <w:spacing w:line="360" w:lineRule="auto"/>
        <w:ind w:left="425" w:right="608" w:firstLine="720"/>
        <w:jc w:val="both"/>
      </w:pPr>
      <w:r>
        <w:t>En cuanto a los egresos, la estr</w:t>
      </w:r>
      <w:r>
        <w:t>uctura de costos se calcula para asegurar la integridad del producto y la experiencia del cliente. El costo unitario es de $12.00 USD por frasco y $5.50 USD por gotero, e incluye tres componentes principales:</w:t>
      </w:r>
    </w:p>
    <w:p w:rsidR="009B4BB4" w:rsidRDefault="00C44001" w:rsidP="00C44001">
      <w:pPr>
        <w:pStyle w:val="Prrafodelista"/>
        <w:numPr>
          <w:ilvl w:val="3"/>
          <w:numId w:val="13"/>
        </w:numPr>
        <w:tabs>
          <w:tab w:val="left" w:pos="1143"/>
          <w:tab w:val="left" w:pos="1145"/>
        </w:tabs>
        <w:spacing w:line="360" w:lineRule="auto"/>
        <w:ind w:right="613"/>
        <w:jc w:val="both"/>
      </w:pPr>
      <w:r>
        <w:rPr>
          <w:rFonts w:ascii="Arial" w:hAnsi="Arial"/>
          <w:b/>
        </w:rPr>
        <w:t xml:space="preserve">Materia prima: </w:t>
      </w:r>
      <w:r>
        <w:t>miel adquirida bajo esquema de comercio justo a $55 USD por litro, seleccionada por sus parámetros fisicoquímicos.</w:t>
      </w:r>
    </w:p>
    <w:p w:rsidR="009B4BB4" w:rsidRDefault="00C44001" w:rsidP="00C44001">
      <w:pPr>
        <w:pStyle w:val="Prrafodelista"/>
        <w:numPr>
          <w:ilvl w:val="3"/>
          <w:numId w:val="13"/>
        </w:numPr>
        <w:tabs>
          <w:tab w:val="left" w:pos="1143"/>
          <w:tab w:val="left" w:pos="1145"/>
        </w:tabs>
        <w:spacing w:line="360" w:lineRule="auto"/>
        <w:ind w:right="602"/>
        <w:jc w:val="both"/>
      </w:pPr>
      <w:r>
        <w:rPr>
          <w:rFonts w:ascii="Arial" w:hAnsi="Arial"/>
          <w:b/>
        </w:rPr>
        <w:t xml:space="preserve">Empaque primario: </w:t>
      </w:r>
      <w:r>
        <w:t>vidrio ámbar de grado farmacéutico que protege las propiedades de la miel frente a la exposición a la luz, complementado co</w:t>
      </w:r>
      <w:r>
        <w:t>n sistemas de cierre hermético para evitar derrames.</w:t>
      </w:r>
    </w:p>
    <w:p w:rsidR="009B4BB4" w:rsidRDefault="00C44001" w:rsidP="00C44001">
      <w:pPr>
        <w:pStyle w:val="Prrafodelista"/>
        <w:numPr>
          <w:ilvl w:val="3"/>
          <w:numId w:val="13"/>
        </w:numPr>
        <w:tabs>
          <w:tab w:val="left" w:pos="1143"/>
          <w:tab w:val="left" w:pos="1145"/>
        </w:tabs>
        <w:spacing w:line="360" w:lineRule="auto"/>
        <w:ind w:right="607"/>
        <w:jc w:val="both"/>
      </w:pPr>
      <w:r>
        <w:rPr>
          <w:rFonts w:ascii="Arial" w:hAnsi="Arial"/>
          <w:b/>
        </w:rPr>
        <w:t xml:space="preserve">Empaque secundario: </w:t>
      </w:r>
      <w:r>
        <w:t>caja individual</w:t>
      </w:r>
      <w:r>
        <w:rPr>
          <w:spacing w:val="-5"/>
        </w:rPr>
        <w:t xml:space="preserve"> </w:t>
      </w:r>
      <w:r>
        <w:t>informativa</w:t>
      </w:r>
      <w:r>
        <w:rPr>
          <w:spacing w:val="-5"/>
        </w:rPr>
        <w:t xml:space="preserve"> </w:t>
      </w:r>
      <w:r>
        <w:t>y</w:t>
      </w:r>
      <w:r>
        <w:rPr>
          <w:spacing w:val="-5"/>
        </w:rPr>
        <w:t xml:space="preserve"> </w:t>
      </w:r>
      <w:r>
        <w:t>materiales</w:t>
      </w:r>
      <w:r>
        <w:rPr>
          <w:spacing w:val="-5"/>
        </w:rPr>
        <w:t xml:space="preserve"> </w:t>
      </w:r>
      <w:r>
        <w:t>biodegradables</w:t>
      </w:r>
      <w:r>
        <w:rPr>
          <w:spacing w:val="-5"/>
        </w:rPr>
        <w:t xml:space="preserve"> </w:t>
      </w:r>
      <w:r>
        <w:t>de amortiguación para el</w:t>
      </w:r>
      <w:r>
        <w:rPr>
          <w:spacing w:val="-3"/>
        </w:rPr>
        <w:t xml:space="preserve"> </w:t>
      </w:r>
      <w:r>
        <w:t>envío,</w:t>
      </w:r>
      <w:r>
        <w:rPr>
          <w:spacing w:val="-3"/>
        </w:rPr>
        <w:t xml:space="preserve"> </w:t>
      </w:r>
      <w:r>
        <w:t>lo</w:t>
      </w:r>
      <w:r>
        <w:rPr>
          <w:spacing w:val="-3"/>
        </w:rPr>
        <w:t xml:space="preserve"> </w:t>
      </w:r>
      <w:r>
        <w:t>que</w:t>
      </w:r>
      <w:r>
        <w:rPr>
          <w:spacing w:val="-3"/>
        </w:rPr>
        <w:t xml:space="preserve"> </w:t>
      </w:r>
      <w:r>
        <w:t>permite</w:t>
      </w:r>
      <w:r>
        <w:rPr>
          <w:spacing w:val="-3"/>
        </w:rPr>
        <w:t xml:space="preserve"> </w:t>
      </w:r>
      <w:r>
        <w:t>que</w:t>
      </w:r>
      <w:r>
        <w:rPr>
          <w:spacing w:val="-3"/>
        </w:rPr>
        <w:t xml:space="preserve"> </w:t>
      </w:r>
      <w:r>
        <w:t>el</w:t>
      </w:r>
      <w:r>
        <w:rPr>
          <w:spacing w:val="-3"/>
        </w:rPr>
        <w:t xml:space="preserve"> </w:t>
      </w:r>
      <w:r>
        <w:t>producto</w:t>
      </w:r>
      <w:r>
        <w:rPr>
          <w:spacing w:val="-3"/>
        </w:rPr>
        <w:t xml:space="preserve"> </w:t>
      </w:r>
      <w:r>
        <w:t>soporte</w:t>
      </w:r>
      <w:r>
        <w:rPr>
          <w:spacing w:val="-3"/>
        </w:rPr>
        <w:t xml:space="preserve"> </w:t>
      </w:r>
      <w:r>
        <w:t>la</w:t>
      </w:r>
      <w:r>
        <w:rPr>
          <w:spacing w:val="-3"/>
        </w:rPr>
        <w:t xml:space="preserve"> </w:t>
      </w:r>
      <w:r>
        <w:t>logística</w:t>
      </w:r>
      <w:r>
        <w:rPr>
          <w:spacing w:val="-3"/>
        </w:rPr>
        <w:t xml:space="preserve"> </w:t>
      </w:r>
      <w:r>
        <w:t xml:space="preserve">de e-commerce sin mermas y refuerza la percepción de calidad desde la entrega, alineando la experiencia del cliente con el posicionamiento </w:t>
      </w:r>
      <w:r>
        <w:rPr>
          <w:rFonts w:ascii="Arial" w:hAnsi="Arial"/>
          <w:i/>
        </w:rPr>
        <w:t xml:space="preserve">premium </w:t>
      </w:r>
      <w:r>
        <w:t>del producto.</w:t>
      </w:r>
    </w:p>
    <w:p w:rsidR="009B4BB4" w:rsidRDefault="00C44001">
      <w:pPr>
        <w:pStyle w:val="Ttulo1"/>
        <w:spacing w:before="240"/>
        <w:jc w:val="both"/>
      </w:pPr>
      <w:r>
        <w:rPr>
          <w:spacing w:val="-2"/>
        </w:rPr>
        <w:t>Tabla</w:t>
      </w:r>
      <w:r>
        <w:rPr>
          <w:spacing w:val="-11"/>
        </w:rPr>
        <w:t xml:space="preserve"> </w:t>
      </w:r>
      <w:r>
        <w:rPr>
          <w:spacing w:val="-5"/>
        </w:rPr>
        <w:t>7.3</w:t>
      </w:r>
    </w:p>
    <w:p w:rsidR="009B4BB4" w:rsidRDefault="00C44001">
      <w:pPr>
        <w:spacing w:before="127"/>
        <w:ind w:left="455"/>
        <w:jc w:val="both"/>
        <w:rPr>
          <w:rFonts w:ascii="Arial"/>
          <w:i/>
        </w:rPr>
      </w:pPr>
      <w:r>
        <w:rPr>
          <w:rFonts w:ascii="Arial"/>
          <w:i/>
        </w:rPr>
        <w:t>Desglose</w:t>
      </w:r>
      <w:r>
        <w:rPr>
          <w:rFonts w:ascii="Arial"/>
          <w:i/>
          <w:spacing w:val="-7"/>
        </w:rPr>
        <w:t xml:space="preserve"> </w:t>
      </w:r>
      <w:r>
        <w:rPr>
          <w:rFonts w:ascii="Arial"/>
          <w:i/>
        </w:rPr>
        <w:t>del</w:t>
      </w:r>
      <w:r>
        <w:rPr>
          <w:rFonts w:ascii="Arial"/>
          <w:i/>
          <w:spacing w:val="-5"/>
        </w:rPr>
        <w:t xml:space="preserve"> </w:t>
      </w:r>
      <w:r>
        <w:rPr>
          <w:rFonts w:ascii="Arial"/>
          <w:i/>
        </w:rPr>
        <w:t>costo</w:t>
      </w:r>
      <w:r>
        <w:rPr>
          <w:rFonts w:ascii="Arial"/>
          <w:i/>
          <w:spacing w:val="-5"/>
        </w:rPr>
        <w:t xml:space="preserve"> </w:t>
      </w:r>
      <w:r>
        <w:rPr>
          <w:rFonts w:ascii="Arial"/>
          <w:i/>
        </w:rPr>
        <w:t>unitario</w:t>
      </w:r>
      <w:r>
        <w:rPr>
          <w:rFonts w:ascii="Arial"/>
          <w:i/>
          <w:spacing w:val="-4"/>
        </w:rPr>
        <w:t xml:space="preserve"> </w:t>
      </w:r>
      <w:r>
        <w:rPr>
          <w:rFonts w:ascii="Arial"/>
          <w:i/>
        </w:rPr>
        <w:t>estimado</w:t>
      </w:r>
      <w:r>
        <w:rPr>
          <w:rFonts w:ascii="Arial"/>
          <w:i/>
          <w:spacing w:val="-5"/>
        </w:rPr>
        <w:t xml:space="preserve"> </w:t>
      </w:r>
      <w:r>
        <w:rPr>
          <w:rFonts w:ascii="Arial"/>
          <w:i/>
        </w:rPr>
        <w:t>por</w:t>
      </w:r>
      <w:r>
        <w:rPr>
          <w:rFonts w:ascii="Arial"/>
          <w:i/>
          <w:spacing w:val="-5"/>
        </w:rPr>
        <w:t xml:space="preserve"> </w:t>
      </w:r>
      <w:r>
        <w:rPr>
          <w:rFonts w:ascii="Arial"/>
          <w:i/>
        </w:rPr>
        <w:t>frasco</w:t>
      </w:r>
      <w:r>
        <w:rPr>
          <w:rFonts w:ascii="Arial"/>
          <w:i/>
          <w:spacing w:val="-4"/>
        </w:rPr>
        <w:t xml:space="preserve"> </w:t>
      </w:r>
      <w:r>
        <w:rPr>
          <w:rFonts w:ascii="Arial"/>
          <w:i/>
        </w:rPr>
        <w:t>de</w:t>
      </w:r>
      <w:r>
        <w:rPr>
          <w:rFonts w:ascii="Arial"/>
          <w:i/>
          <w:spacing w:val="-5"/>
        </w:rPr>
        <w:t xml:space="preserve"> </w:t>
      </w:r>
      <w:r>
        <w:rPr>
          <w:rFonts w:ascii="Arial"/>
          <w:i/>
        </w:rPr>
        <w:t>100</w:t>
      </w:r>
      <w:r>
        <w:rPr>
          <w:rFonts w:ascii="Arial"/>
          <w:i/>
          <w:spacing w:val="-5"/>
        </w:rPr>
        <w:t xml:space="preserve"> </w:t>
      </w:r>
      <w:r>
        <w:rPr>
          <w:rFonts w:ascii="Arial"/>
          <w:i/>
        </w:rPr>
        <w:t>g</w:t>
      </w:r>
      <w:r>
        <w:rPr>
          <w:rFonts w:ascii="Arial"/>
          <w:i/>
          <w:spacing w:val="-4"/>
        </w:rPr>
        <w:t xml:space="preserve"> </w:t>
      </w:r>
      <w:r>
        <w:rPr>
          <w:rFonts w:ascii="Arial"/>
          <w:i/>
          <w:spacing w:val="-2"/>
        </w:rPr>
        <w:t>(USD)</w:t>
      </w:r>
    </w:p>
    <w:p w:rsidR="009B4BB4" w:rsidRDefault="009B4BB4">
      <w:pPr>
        <w:pStyle w:val="Textoindependiente"/>
        <w:spacing w:before="0"/>
        <w:rPr>
          <w:rFonts w:ascii="Arial"/>
          <w:i/>
          <w:sz w:val="20"/>
        </w:rPr>
      </w:pPr>
    </w:p>
    <w:p w:rsidR="009B4BB4" w:rsidRDefault="009B4BB4">
      <w:pPr>
        <w:pStyle w:val="Textoindependiente"/>
        <w:spacing w:before="36"/>
        <w:rPr>
          <w:rFonts w:ascii="Arial"/>
          <w:i/>
          <w:sz w:val="20"/>
        </w:rPr>
      </w:pPr>
    </w:p>
    <w:tbl>
      <w:tblPr>
        <w:tblStyle w:val="TableNormal"/>
        <w:tblW w:w="0" w:type="auto"/>
        <w:tblInd w:w="432" w:type="dxa"/>
        <w:tblLayout w:type="fixed"/>
        <w:tblLook w:val="01E0" w:firstRow="1" w:lastRow="1" w:firstColumn="1" w:lastColumn="1" w:noHBand="0" w:noVBand="0"/>
      </w:tblPr>
      <w:tblGrid>
        <w:gridCol w:w="4023"/>
        <w:gridCol w:w="2836"/>
      </w:tblGrid>
      <w:tr w:rsidR="009B4BB4">
        <w:trPr>
          <w:trHeight w:val="340"/>
        </w:trPr>
        <w:tc>
          <w:tcPr>
            <w:tcW w:w="4023" w:type="dxa"/>
            <w:tcBorders>
              <w:top w:val="single" w:sz="8" w:space="0" w:color="000000"/>
              <w:bottom w:val="single" w:sz="8" w:space="0" w:color="000000"/>
            </w:tcBorders>
          </w:tcPr>
          <w:p w:rsidR="009B4BB4" w:rsidRDefault="00C44001">
            <w:pPr>
              <w:pStyle w:val="TableParagraph"/>
              <w:spacing w:before="49"/>
              <w:ind w:left="75"/>
              <w:rPr>
                <w:rFonts w:ascii="Arial"/>
                <w:b/>
              </w:rPr>
            </w:pPr>
            <w:r>
              <w:rPr>
                <w:rFonts w:ascii="Arial"/>
                <w:b/>
                <w:spacing w:val="-2"/>
              </w:rPr>
              <w:t>Componente</w:t>
            </w:r>
          </w:p>
        </w:tc>
        <w:tc>
          <w:tcPr>
            <w:tcW w:w="2836" w:type="dxa"/>
            <w:tcBorders>
              <w:top w:val="single" w:sz="8" w:space="0" w:color="000000"/>
              <w:bottom w:val="single" w:sz="8" w:space="0" w:color="000000"/>
            </w:tcBorders>
          </w:tcPr>
          <w:p w:rsidR="009B4BB4" w:rsidRDefault="00C44001">
            <w:pPr>
              <w:pStyle w:val="TableParagraph"/>
              <w:spacing w:before="49"/>
              <w:ind w:left="234"/>
              <w:jc w:val="center"/>
              <w:rPr>
                <w:rFonts w:ascii="Arial"/>
                <w:b/>
              </w:rPr>
            </w:pPr>
            <w:r>
              <w:rPr>
                <w:rFonts w:ascii="Arial"/>
                <w:b/>
              </w:rPr>
              <w:t>Costo</w:t>
            </w:r>
            <w:r>
              <w:rPr>
                <w:rFonts w:ascii="Arial"/>
                <w:b/>
                <w:spacing w:val="-5"/>
              </w:rPr>
              <w:t xml:space="preserve"> </w:t>
            </w:r>
            <w:r>
              <w:rPr>
                <w:rFonts w:ascii="Arial"/>
                <w:b/>
                <w:spacing w:val="-2"/>
              </w:rPr>
              <w:t>Estimado</w:t>
            </w:r>
          </w:p>
        </w:tc>
      </w:tr>
      <w:tr w:rsidR="009B4BB4">
        <w:trPr>
          <w:trHeight w:val="348"/>
        </w:trPr>
        <w:tc>
          <w:tcPr>
            <w:tcW w:w="4023" w:type="dxa"/>
            <w:tcBorders>
              <w:top w:val="single" w:sz="8" w:space="0" w:color="000000"/>
            </w:tcBorders>
          </w:tcPr>
          <w:p w:rsidR="009B4BB4" w:rsidRDefault="00C44001">
            <w:pPr>
              <w:pStyle w:val="TableParagraph"/>
              <w:spacing w:before="47"/>
              <w:ind w:left="75"/>
            </w:pPr>
            <w:r>
              <w:t>Materia</w:t>
            </w:r>
            <w:r>
              <w:rPr>
                <w:spacing w:val="-7"/>
              </w:rPr>
              <w:t xml:space="preserve"> </w:t>
            </w:r>
            <w:r>
              <w:rPr>
                <w:spacing w:val="-2"/>
              </w:rPr>
              <w:t>Prima</w:t>
            </w:r>
          </w:p>
        </w:tc>
        <w:tc>
          <w:tcPr>
            <w:tcW w:w="2836" w:type="dxa"/>
            <w:tcBorders>
              <w:top w:val="single" w:sz="8" w:space="0" w:color="000000"/>
            </w:tcBorders>
          </w:tcPr>
          <w:p w:rsidR="009B4BB4" w:rsidRDefault="00C44001">
            <w:pPr>
              <w:pStyle w:val="TableParagraph"/>
              <w:spacing w:before="47"/>
              <w:ind w:left="234"/>
              <w:jc w:val="center"/>
              <w:rPr>
                <w:rFonts w:ascii="Arial"/>
                <w:b/>
              </w:rPr>
            </w:pPr>
            <w:r>
              <w:rPr>
                <w:rFonts w:ascii="Arial"/>
                <w:b/>
                <w:spacing w:val="-2"/>
              </w:rPr>
              <w:t>$5.50</w:t>
            </w:r>
          </w:p>
        </w:tc>
      </w:tr>
      <w:tr w:rsidR="009B4BB4">
        <w:trPr>
          <w:trHeight w:val="342"/>
        </w:trPr>
        <w:tc>
          <w:tcPr>
            <w:tcW w:w="4023" w:type="dxa"/>
          </w:tcPr>
          <w:p w:rsidR="009B4BB4" w:rsidRDefault="00C44001">
            <w:pPr>
              <w:pStyle w:val="TableParagraph"/>
              <w:spacing w:before="41"/>
              <w:ind w:left="795"/>
            </w:pPr>
            <w:r>
              <w:t>Miel</w:t>
            </w:r>
            <w:r>
              <w:rPr>
                <w:spacing w:val="-8"/>
              </w:rPr>
              <w:t xml:space="preserve"> </w:t>
            </w:r>
            <w:r>
              <w:t>Melipona</w:t>
            </w:r>
            <w:r>
              <w:rPr>
                <w:spacing w:val="-6"/>
              </w:rPr>
              <w:t xml:space="preserve"> </w:t>
            </w:r>
            <w:r>
              <w:rPr>
                <w:spacing w:val="-2"/>
              </w:rPr>
              <w:t>(100g)</w:t>
            </w:r>
          </w:p>
        </w:tc>
        <w:tc>
          <w:tcPr>
            <w:tcW w:w="2836" w:type="dxa"/>
          </w:tcPr>
          <w:p w:rsidR="009B4BB4" w:rsidRDefault="00C44001">
            <w:pPr>
              <w:pStyle w:val="TableParagraph"/>
              <w:spacing w:before="41"/>
              <w:ind w:left="234"/>
              <w:jc w:val="center"/>
            </w:pPr>
            <w:r>
              <w:rPr>
                <w:spacing w:val="-2"/>
              </w:rPr>
              <w:t>$5.50</w:t>
            </w:r>
          </w:p>
        </w:tc>
      </w:tr>
      <w:tr w:rsidR="009B4BB4">
        <w:trPr>
          <w:trHeight w:val="342"/>
        </w:trPr>
        <w:tc>
          <w:tcPr>
            <w:tcW w:w="4023" w:type="dxa"/>
          </w:tcPr>
          <w:p w:rsidR="009B4BB4" w:rsidRDefault="00C44001">
            <w:pPr>
              <w:pStyle w:val="TableParagraph"/>
              <w:spacing w:before="41"/>
              <w:ind w:left="75"/>
            </w:pPr>
            <w:r>
              <w:t>Empaque</w:t>
            </w:r>
            <w:r>
              <w:rPr>
                <w:spacing w:val="-7"/>
              </w:rPr>
              <w:t xml:space="preserve"> </w:t>
            </w:r>
            <w:r>
              <w:rPr>
                <w:spacing w:val="-2"/>
              </w:rPr>
              <w:t>Primario</w:t>
            </w:r>
          </w:p>
        </w:tc>
        <w:tc>
          <w:tcPr>
            <w:tcW w:w="2836" w:type="dxa"/>
          </w:tcPr>
          <w:p w:rsidR="009B4BB4" w:rsidRDefault="00C44001">
            <w:pPr>
              <w:pStyle w:val="TableParagraph"/>
              <w:spacing w:before="41"/>
              <w:ind w:left="234"/>
              <w:jc w:val="center"/>
              <w:rPr>
                <w:rFonts w:ascii="Arial"/>
                <w:b/>
              </w:rPr>
            </w:pPr>
            <w:r>
              <w:rPr>
                <w:rFonts w:ascii="Arial"/>
                <w:b/>
                <w:spacing w:val="-2"/>
              </w:rPr>
              <w:t>$2.50</w:t>
            </w:r>
          </w:p>
        </w:tc>
      </w:tr>
      <w:tr w:rsidR="009B4BB4">
        <w:trPr>
          <w:trHeight w:val="343"/>
        </w:trPr>
        <w:tc>
          <w:tcPr>
            <w:tcW w:w="4023" w:type="dxa"/>
          </w:tcPr>
          <w:p w:rsidR="009B4BB4" w:rsidRDefault="00C44001">
            <w:pPr>
              <w:pStyle w:val="TableParagraph"/>
              <w:spacing w:before="41"/>
              <w:ind w:left="795"/>
            </w:pPr>
            <w:r>
              <w:t>Frasco</w:t>
            </w:r>
            <w:r>
              <w:rPr>
                <w:spacing w:val="-8"/>
              </w:rPr>
              <w:t xml:space="preserve"> </w:t>
            </w:r>
            <w:r>
              <w:t>Vidrio</w:t>
            </w:r>
            <w:r>
              <w:rPr>
                <w:spacing w:val="-8"/>
              </w:rPr>
              <w:t xml:space="preserve"> </w:t>
            </w:r>
            <w:r>
              <w:rPr>
                <w:spacing w:val="-2"/>
              </w:rPr>
              <w:t>Ámbar</w:t>
            </w:r>
          </w:p>
        </w:tc>
        <w:tc>
          <w:tcPr>
            <w:tcW w:w="2836" w:type="dxa"/>
          </w:tcPr>
          <w:p w:rsidR="009B4BB4" w:rsidRDefault="00C44001">
            <w:pPr>
              <w:pStyle w:val="TableParagraph"/>
              <w:spacing w:before="41"/>
              <w:ind w:left="234"/>
              <w:jc w:val="center"/>
            </w:pPr>
            <w:r>
              <w:rPr>
                <w:spacing w:val="-2"/>
              </w:rPr>
              <w:t>$1.20</w:t>
            </w:r>
          </w:p>
        </w:tc>
      </w:tr>
      <w:tr w:rsidR="009B4BB4">
        <w:trPr>
          <w:trHeight w:val="343"/>
        </w:trPr>
        <w:tc>
          <w:tcPr>
            <w:tcW w:w="4023" w:type="dxa"/>
          </w:tcPr>
          <w:p w:rsidR="009B4BB4" w:rsidRDefault="00C44001">
            <w:pPr>
              <w:pStyle w:val="TableParagraph"/>
              <w:spacing w:before="41"/>
              <w:ind w:left="795"/>
            </w:pPr>
            <w:r>
              <w:rPr>
                <w:spacing w:val="-5"/>
              </w:rPr>
              <w:t>Tapa</w:t>
            </w:r>
            <w:r>
              <w:rPr>
                <w:spacing w:val="-8"/>
              </w:rPr>
              <w:t xml:space="preserve"> </w:t>
            </w:r>
            <w:r>
              <w:rPr>
                <w:spacing w:val="-2"/>
              </w:rPr>
              <w:t>Hermética</w:t>
            </w:r>
          </w:p>
        </w:tc>
        <w:tc>
          <w:tcPr>
            <w:tcW w:w="2836" w:type="dxa"/>
          </w:tcPr>
          <w:p w:rsidR="009B4BB4" w:rsidRDefault="00C44001">
            <w:pPr>
              <w:pStyle w:val="TableParagraph"/>
              <w:spacing w:before="41"/>
              <w:ind w:left="234"/>
              <w:jc w:val="center"/>
            </w:pPr>
            <w:r>
              <w:rPr>
                <w:spacing w:val="-2"/>
              </w:rPr>
              <w:t>$0.80</w:t>
            </w:r>
          </w:p>
        </w:tc>
      </w:tr>
      <w:tr w:rsidR="009B4BB4">
        <w:trPr>
          <w:trHeight w:val="343"/>
        </w:trPr>
        <w:tc>
          <w:tcPr>
            <w:tcW w:w="4023" w:type="dxa"/>
          </w:tcPr>
          <w:p w:rsidR="009B4BB4" w:rsidRDefault="00C44001">
            <w:pPr>
              <w:pStyle w:val="TableParagraph"/>
              <w:spacing w:before="41"/>
              <w:ind w:left="795"/>
            </w:pPr>
            <w:r>
              <w:t>Etiqueta</w:t>
            </w:r>
            <w:r>
              <w:rPr>
                <w:spacing w:val="-8"/>
              </w:rPr>
              <w:t xml:space="preserve"> </w:t>
            </w:r>
            <w:r>
              <w:rPr>
                <w:spacing w:val="-2"/>
              </w:rPr>
              <w:t>(Frente/Reverso)</w:t>
            </w:r>
          </w:p>
        </w:tc>
        <w:tc>
          <w:tcPr>
            <w:tcW w:w="2836" w:type="dxa"/>
          </w:tcPr>
          <w:p w:rsidR="009B4BB4" w:rsidRDefault="00C44001">
            <w:pPr>
              <w:pStyle w:val="TableParagraph"/>
              <w:spacing w:before="41"/>
              <w:ind w:left="234"/>
              <w:jc w:val="center"/>
            </w:pPr>
            <w:r>
              <w:rPr>
                <w:spacing w:val="-2"/>
              </w:rPr>
              <w:t>$0.50</w:t>
            </w:r>
          </w:p>
        </w:tc>
      </w:tr>
      <w:tr w:rsidR="009B4BB4">
        <w:trPr>
          <w:trHeight w:val="342"/>
        </w:trPr>
        <w:tc>
          <w:tcPr>
            <w:tcW w:w="4023" w:type="dxa"/>
          </w:tcPr>
          <w:p w:rsidR="009B4BB4" w:rsidRDefault="00C44001">
            <w:pPr>
              <w:pStyle w:val="TableParagraph"/>
              <w:spacing w:before="41"/>
              <w:ind w:left="75"/>
            </w:pPr>
            <w:r>
              <w:t>Empaque</w:t>
            </w:r>
            <w:r>
              <w:rPr>
                <w:spacing w:val="-7"/>
              </w:rPr>
              <w:t xml:space="preserve"> </w:t>
            </w:r>
            <w:r>
              <w:rPr>
                <w:spacing w:val="-2"/>
              </w:rPr>
              <w:t>Secundario</w:t>
            </w:r>
          </w:p>
        </w:tc>
        <w:tc>
          <w:tcPr>
            <w:tcW w:w="2836" w:type="dxa"/>
          </w:tcPr>
          <w:p w:rsidR="009B4BB4" w:rsidRDefault="00C44001">
            <w:pPr>
              <w:pStyle w:val="TableParagraph"/>
              <w:spacing w:before="41"/>
              <w:ind w:left="234"/>
              <w:jc w:val="center"/>
              <w:rPr>
                <w:rFonts w:ascii="Arial"/>
                <w:b/>
              </w:rPr>
            </w:pPr>
            <w:r>
              <w:rPr>
                <w:rFonts w:ascii="Arial"/>
                <w:b/>
                <w:spacing w:val="-2"/>
              </w:rPr>
              <w:t>$2.50</w:t>
            </w:r>
          </w:p>
        </w:tc>
      </w:tr>
      <w:tr w:rsidR="009B4BB4">
        <w:trPr>
          <w:trHeight w:val="342"/>
        </w:trPr>
        <w:tc>
          <w:tcPr>
            <w:tcW w:w="4023" w:type="dxa"/>
          </w:tcPr>
          <w:p w:rsidR="009B4BB4" w:rsidRDefault="00C44001">
            <w:pPr>
              <w:pStyle w:val="TableParagraph"/>
              <w:spacing w:before="41"/>
              <w:ind w:left="795"/>
            </w:pPr>
            <w:r>
              <w:t>Caja</w:t>
            </w:r>
            <w:r>
              <w:rPr>
                <w:spacing w:val="-4"/>
              </w:rPr>
              <w:t xml:space="preserve"> </w:t>
            </w:r>
            <w:r>
              <w:rPr>
                <w:spacing w:val="-2"/>
              </w:rPr>
              <w:t>individual</w:t>
            </w:r>
          </w:p>
        </w:tc>
        <w:tc>
          <w:tcPr>
            <w:tcW w:w="2836" w:type="dxa"/>
          </w:tcPr>
          <w:p w:rsidR="009B4BB4" w:rsidRDefault="00C44001">
            <w:pPr>
              <w:pStyle w:val="TableParagraph"/>
              <w:spacing w:before="41"/>
              <w:ind w:left="234"/>
              <w:jc w:val="center"/>
            </w:pPr>
            <w:r>
              <w:rPr>
                <w:spacing w:val="-2"/>
              </w:rPr>
              <w:t>$1.80</w:t>
            </w:r>
          </w:p>
        </w:tc>
      </w:tr>
      <w:tr w:rsidR="009B4BB4">
        <w:trPr>
          <w:trHeight w:val="342"/>
        </w:trPr>
        <w:tc>
          <w:tcPr>
            <w:tcW w:w="4023" w:type="dxa"/>
          </w:tcPr>
          <w:p w:rsidR="009B4BB4" w:rsidRDefault="00C44001">
            <w:pPr>
              <w:pStyle w:val="TableParagraph"/>
              <w:spacing w:before="41"/>
              <w:ind w:left="795"/>
            </w:pPr>
            <w:r>
              <w:t>Sello</w:t>
            </w:r>
            <w:r>
              <w:rPr>
                <w:spacing w:val="-4"/>
              </w:rPr>
              <w:t xml:space="preserve"> </w:t>
            </w:r>
            <w:r>
              <w:t>de</w:t>
            </w:r>
            <w:r>
              <w:rPr>
                <w:spacing w:val="-3"/>
              </w:rPr>
              <w:t xml:space="preserve"> </w:t>
            </w:r>
            <w:r>
              <w:rPr>
                <w:spacing w:val="-2"/>
              </w:rPr>
              <w:t>Garantía</w:t>
            </w:r>
          </w:p>
        </w:tc>
        <w:tc>
          <w:tcPr>
            <w:tcW w:w="2836" w:type="dxa"/>
          </w:tcPr>
          <w:p w:rsidR="009B4BB4" w:rsidRDefault="00C44001">
            <w:pPr>
              <w:pStyle w:val="TableParagraph"/>
              <w:spacing w:before="41"/>
              <w:ind w:left="234"/>
              <w:jc w:val="center"/>
            </w:pPr>
            <w:r>
              <w:rPr>
                <w:spacing w:val="-2"/>
              </w:rPr>
              <w:t>$0.20</w:t>
            </w:r>
          </w:p>
        </w:tc>
      </w:tr>
      <w:tr w:rsidR="009B4BB4">
        <w:trPr>
          <w:trHeight w:val="294"/>
        </w:trPr>
        <w:tc>
          <w:tcPr>
            <w:tcW w:w="4023" w:type="dxa"/>
          </w:tcPr>
          <w:p w:rsidR="009B4BB4" w:rsidRDefault="00C44001">
            <w:pPr>
              <w:pStyle w:val="TableParagraph"/>
              <w:spacing w:before="41" w:line="233" w:lineRule="exact"/>
              <w:ind w:left="795"/>
            </w:pPr>
            <w:r>
              <w:rPr>
                <w:spacing w:val="-4"/>
              </w:rPr>
              <w:t>Tarjeta</w:t>
            </w:r>
            <w:r>
              <w:rPr>
                <w:spacing w:val="-3"/>
              </w:rPr>
              <w:t xml:space="preserve"> </w:t>
            </w:r>
            <w:r>
              <w:rPr>
                <w:spacing w:val="-2"/>
              </w:rPr>
              <w:t>Técnica</w:t>
            </w:r>
          </w:p>
        </w:tc>
        <w:tc>
          <w:tcPr>
            <w:tcW w:w="2836" w:type="dxa"/>
          </w:tcPr>
          <w:p w:rsidR="009B4BB4" w:rsidRDefault="00C44001">
            <w:pPr>
              <w:pStyle w:val="TableParagraph"/>
              <w:spacing w:before="41" w:line="233" w:lineRule="exact"/>
              <w:ind w:left="234"/>
              <w:jc w:val="center"/>
            </w:pPr>
            <w:r>
              <w:rPr>
                <w:spacing w:val="-2"/>
              </w:rPr>
              <w:t>$0.50</w:t>
            </w:r>
          </w:p>
        </w:tc>
      </w:tr>
    </w:tbl>
    <w:p w:rsidR="009B4BB4" w:rsidRDefault="009B4BB4">
      <w:pPr>
        <w:pStyle w:val="TableParagraph"/>
        <w:spacing w:line="233" w:lineRule="exact"/>
        <w:jc w:val="center"/>
        <w:sectPr w:rsidR="009B4BB4">
          <w:pgSz w:w="11920" w:h="16840"/>
          <w:pgMar w:top="1500" w:right="850" w:bottom="2951" w:left="1275" w:header="0" w:footer="1747" w:gutter="0"/>
          <w:cols w:space="720"/>
        </w:sectPr>
      </w:pPr>
    </w:p>
    <w:tbl>
      <w:tblPr>
        <w:tblStyle w:val="TableNormal"/>
        <w:tblW w:w="0" w:type="auto"/>
        <w:tblInd w:w="432" w:type="dxa"/>
        <w:tblLayout w:type="fixed"/>
        <w:tblLook w:val="01E0" w:firstRow="1" w:lastRow="1" w:firstColumn="1" w:lastColumn="1" w:noHBand="0" w:noVBand="0"/>
      </w:tblPr>
      <w:tblGrid>
        <w:gridCol w:w="4170"/>
        <w:gridCol w:w="2690"/>
      </w:tblGrid>
      <w:tr w:rsidR="009B4BB4">
        <w:trPr>
          <w:trHeight w:val="294"/>
        </w:trPr>
        <w:tc>
          <w:tcPr>
            <w:tcW w:w="4170" w:type="dxa"/>
          </w:tcPr>
          <w:p w:rsidR="009B4BB4" w:rsidRDefault="00C44001">
            <w:pPr>
              <w:pStyle w:val="TableParagraph"/>
              <w:spacing w:line="246" w:lineRule="exact"/>
              <w:ind w:left="75"/>
            </w:pPr>
            <w:r>
              <w:lastRenderedPageBreak/>
              <w:t>Logística</w:t>
            </w:r>
            <w:r>
              <w:rPr>
                <w:spacing w:val="-9"/>
              </w:rPr>
              <w:t xml:space="preserve"> </w:t>
            </w:r>
            <w:r>
              <w:rPr>
                <w:spacing w:val="-2"/>
              </w:rPr>
              <w:t>(Producción)</w:t>
            </w:r>
          </w:p>
        </w:tc>
        <w:tc>
          <w:tcPr>
            <w:tcW w:w="2690" w:type="dxa"/>
          </w:tcPr>
          <w:p w:rsidR="009B4BB4" w:rsidRDefault="00C44001">
            <w:pPr>
              <w:pStyle w:val="TableParagraph"/>
              <w:spacing w:line="246" w:lineRule="exact"/>
              <w:ind w:left="86"/>
              <w:jc w:val="center"/>
              <w:rPr>
                <w:rFonts w:ascii="Arial"/>
                <w:b/>
              </w:rPr>
            </w:pPr>
            <w:r>
              <w:rPr>
                <w:rFonts w:ascii="Arial"/>
                <w:b/>
                <w:spacing w:val="-2"/>
              </w:rPr>
              <w:t>$1.50</w:t>
            </w:r>
          </w:p>
        </w:tc>
      </w:tr>
      <w:tr w:rsidR="009B4BB4">
        <w:trPr>
          <w:trHeight w:val="342"/>
        </w:trPr>
        <w:tc>
          <w:tcPr>
            <w:tcW w:w="4170" w:type="dxa"/>
          </w:tcPr>
          <w:p w:rsidR="009B4BB4" w:rsidRDefault="00C44001">
            <w:pPr>
              <w:pStyle w:val="TableParagraph"/>
              <w:spacing w:before="41"/>
              <w:ind w:left="795"/>
            </w:pPr>
            <w:r>
              <w:t>Protección</w:t>
            </w:r>
            <w:r>
              <w:rPr>
                <w:spacing w:val="-7"/>
              </w:rPr>
              <w:t xml:space="preserve"> </w:t>
            </w:r>
            <w:r>
              <w:t>Eco</w:t>
            </w:r>
            <w:r>
              <w:rPr>
                <w:spacing w:val="-6"/>
              </w:rPr>
              <w:t xml:space="preserve"> </w:t>
            </w:r>
            <w:r>
              <w:rPr>
                <w:spacing w:val="-2"/>
              </w:rPr>
              <w:t>(Papel)</w:t>
            </w:r>
          </w:p>
        </w:tc>
        <w:tc>
          <w:tcPr>
            <w:tcW w:w="2690" w:type="dxa"/>
          </w:tcPr>
          <w:p w:rsidR="009B4BB4" w:rsidRDefault="00C44001">
            <w:pPr>
              <w:pStyle w:val="TableParagraph"/>
              <w:spacing w:before="41"/>
              <w:ind w:left="86"/>
              <w:jc w:val="center"/>
            </w:pPr>
            <w:r>
              <w:rPr>
                <w:spacing w:val="-2"/>
              </w:rPr>
              <w:t>$0.50</w:t>
            </w:r>
          </w:p>
        </w:tc>
      </w:tr>
      <w:tr w:rsidR="009B4BB4">
        <w:trPr>
          <w:trHeight w:val="333"/>
        </w:trPr>
        <w:tc>
          <w:tcPr>
            <w:tcW w:w="4170" w:type="dxa"/>
            <w:tcBorders>
              <w:bottom w:val="single" w:sz="8" w:space="0" w:color="000000"/>
            </w:tcBorders>
          </w:tcPr>
          <w:p w:rsidR="009B4BB4" w:rsidRDefault="00C44001">
            <w:pPr>
              <w:pStyle w:val="TableParagraph"/>
              <w:spacing w:before="41"/>
              <w:ind w:left="795"/>
            </w:pPr>
            <w:r>
              <w:t>Caja</w:t>
            </w:r>
            <w:r>
              <w:rPr>
                <w:spacing w:val="-7"/>
              </w:rPr>
              <w:t xml:space="preserve"> </w:t>
            </w:r>
            <w:r>
              <w:t>Corrugada</w:t>
            </w:r>
            <w:r>
              <w:rPr>
                <w:spacing w:val="-6"/>
              </w:rPr>
              <w:t xml:space="preserve"> </w:t>
            </w:r>
            <w:r>
              <w:rPr>
                <w:spacing w:val="-2"/>
              </w:rPr>
              <w:t>(Envío)</w:t>
            </w:r>
          </w:p>
        </w:tc>
        <w:tc>
          <w:tcPr>
            <w:tcW w:w="2690" w:type="dxa"/>
            <w:tcBorders>
              <w:bottom w:val="single" w:sz="8" w:space="0" w:color="000000"/>
            </w:tcBorders>
          </w:tcPr>
          <w:p w:rsidR="009B4BB4" w:rsidRDefault="00C44001">
            <w:pPr>
              <w:pStyle w:val="TableParagraph"/>
              <w:spacing w:before="41"/>
              <w:ind w:left="86"/>
              <w:jc w:val="center"/>
            </w:pPr>
            <w:r>
              <w:rPr>
                <w:spacing w:val="-2"/>
              </w:rPr>
              <w:t>$1.00</w:t>
            </w:r>
          </w:p>
        </w:tc>
      </w:tr>
      <w:tr w:rsidR="009B4BB4">
        <w:trPr>
          <w:trHeight w:val="340"/>
        </w:trPr>
        <w:tc>
          <w:tcPr>
            <w:tcW w:w="4170" w:type="dxa"/>
            <w:tcBorders>
              <w:top w:val="single" w:sz="8" w:space="0" w:color="000000"/>
              <w:bottom w:val="single" w:sz="8" w:space="0" w:color="000000"/>
            </w:tcBorders>
          </w:tcPr>
          <w:p w:rsidR="009B4BB4" w:rsidRDefault="00C44001">
            <w:pPr>
              <w:pStyle w:val="TableParagraph"/>
              <w:spacing w:before="45"/>
              <w:ind w:left="75"/>
              <w:rPr>
                <w:rFonts w:ascii="Arial"/>
                <w:b/>
              </w:rPr>
            </w:pPr>
            <w:r>
              <w:rPr>
                <w:rFonts w:ascii="Arial"/>
                <w:b/>
              </w:rPr>
              <w:t>Total</w:t>
            </w:r>
            <w:r>
              <w:rPr>
                <w:rFonts w:ascii="Arial"/>
                <w:b/>
                <w:spacing w:val="-13"/>
              </w:rPr>
              <w:t xml:space="preserve"> </w:t>
            </w:r>
            <w:r>
              <w:rPr>
                <w:rFonts w:ascii="Arial"/>
                <w:b/>
              </w:rPr>
              <w:t>Costo</w:t>
            </w:r>
            <w:r>
              <w:rPr>
                <w:rFonts w:ascii="Arial"/>
                <w:b/>
                <w:spacing w:val="-13"/>
              </w:rPr>
              <w:t xml:space="preserve"> </w:t>
            </w:r>
            <w:r>
              <w:rPr>
                <w:rFonts w:ascii="Arial"/>
                <w:b/>
                <w:spacing w:val="-2"/>
              </w:rPr>
              <w:t>Unitario</w:t>
            </w:r>
          </w:p>
        </w:tc>
        <w:tc>
          <w:tcPr>
            <w:tcW w:w="2690" w:type="dxa"/>
            <w:tcBorders>
              <w:top w:val="single" w:sz="8" w:space="0" w:color="000000"/>
              <w:bottom w:val="single" w:sz="8" w:space="0" w:color="000000"/>
            </w:tcBorders>
          </w:tcPr>
          <w:p w:rsidR="009B4BB4" w:rsidRDefault="00C44001">
            <w:pPr>
              <w:pStyle w:val="TableParagraph"/>
              <w:spacing w:before="45"/>
              <w:ind w:left="86"/>
              <w:jc w:val="center"/>
              <w:rPr>
                <w:rFonts w:ascii="Arial"/>
                <w:b/>
              </w:rPr>
            </w:pPr>
            <w:r>
              <w:rPr>
                <w:rFonts w:ascii="Arial"/>
                <w:b/>
                <w:spacing w:val="-2"/>
              </w:rPr>
              <w:t>$12.00</w:t>
            </w:r>
          </w:p>
        </w:tc>
      </w:tr>
    </w:tbl>
    <w:p w:rsidR="009B4BB4" w:rsidRDefault="009B4BB4">
      <w:pPr>
        <w:pStyle w:val="Textoindependiente"/>
        <w:spacing w:before="0"/>
        <w:rPr>
          <w:rFonts w:ascii="Arial"/>
          <w:i/>
        </w:rPr>
      </w:pPr>
    </w:p>
    <w:p w:rsidR="009B4BB4" w:rsidRDefault="009B4BB4">
      <w:pPr>
        <w:pStyle w:val="Textoindependiente"/>
        <w:spacing w:before="22"/>
        <w:rPr>
          <w:rFonts w:ascii="Arial"/>
          <w:i/>
        </w:rPr>
      </w:pPr>
    </w:p>
    <w:p w:rsidR="009B4BB4" w:rsidRDefault="00C44001">
      <w:pPr>
        <w:pStyle w:val="Textoindependiente"/>
        <w:spacing w:before="1" w:line="360" w:lineRule="auto"/>
        <w:ind w:left="425" w:right="608" w:firstLine="30"/>
        <w:jc w:val="both"/>
      </w:pPr>
      <w:r>
        <w:rPr>
          <w:rFonts w:ascii="Arial" w:hAnsi="Arial"/>
          <w:i/>
        </w:rPr>
        <w:t xml:space="preserve">Nota. </w:t>
      </w:r>
      <w:r>
        <w:t>Costo de insumo crítico. La base de $55.00 USD/litro bajo</w:t>
      </w:r>
      <w:r>
        <w:rPr>
          <w:spacing w:val="-3"/>
        </w:rPr>
        <w:t xml:space="preserve"> </w:t>
      </w:r>
      <w:r>
        <w:t>comercio</w:t>
      </w:r>
      <w:r>
        <w:rPr>
          <w:spacing w:val="-3"/>
        </w:rPr>
        <w:t xml:space="preserve"> </w:t>
      </w:r>
      <w:r>
        <w:t>justo</w:t>
      </w:r>
      <w:r>
        <w:rPr>
          <w:spacing w:val="-3"/>
        </w:rPr>
        <w:t xml:space="preserve"> </w:t>
      </w:r>
      <w:r>
        <w:t>asegura la trazabilidad del producto y mitiga riesgos de desabasto en la cadena de suministro. Elaboración propia (2025).</w:t>
      </w:r>
    </w:p>
    <w:p w:rsidR="009B4BB4" w:rsidRDefault="00C44001">
      <w:pPr>
        <w:pStyle w:val="Ttulo1"/>
        <w:spacing w:before="240"/>
      </w:pPr>
      <w:r>
        <w:rPr>
          <w:spacing w:val="-2"/>
        </w:rPr>
        <w:t>Tabla</w:t>
      </w:r>
      <w:r>
        <w:rPr>
          <w:spacing w:val="-11"/>
        </w:rPr>
        <w:t xml:space="preserve"> </w:t>
      </w:r>
      <w:r>
        <w:rPr>
          <w:spacing w:val="-5"/>
        </w:rPr>
        <w:t>7.4</w:t>
      </w:r>
    </w:p>
    <w:p w:rsidR="009B4BB4" w:rsidRDefault="00C44001">
      <w:pPr>
        <w:spacing w:before="38"/>
        <w:ind w:left="455"/>
        <w:rPr>
          <w:rFonts w:ascii="Arial" w:hAnsi="Arial"/>
          <w:i/>
        </w:rPr>
      </w:pPr>
      <w:r>
        <w:rPr>
          <w:rFonts w:ascii="Arial" w:hAnsi="Arial"/>
          <w:i/>
        </w:rPr>
        <w:t>Proyección</w:t>
      </w:r>
      <w:r>
        <w:rPr>
          <w:rFonts w:ascii="Arial" w:hAnsi="Arial"/>
          <w:i/>
          <w:spacing w:val="-8"/>
        </w:rPr>
        <w:t xml:space="preserve"> </w:t>
      </w:r>
      <w:r>
        <w:rPr>
          <w:rFonts w:ascii="Arial" w:hAnsi="Arial"/>
          <w:i/>
        </w:rPr>
        <w:t>de</w:t>
      </w:r>
      <w:r>
        <w:rPr>
          <w:rFonts w:ascii="Arial" w:hAnsi="Arial"/>
          <w:i/>
          <w:spacing w:val="-5"/>
        </w:rPr>
        <w:t xml:space="preserve"> </w:t>
      </w:r>
      <w:r>
        <w:rPr>
          <w:rFonts w:ascii="Arial" w:hAnsi="Arial"/>
          <w:i/>
        </w:rPr>
        <w:t>ingresos</w:t>
      </w:r>
      <w:r>
        <w:rPr>
          <w:rFonts w:ascii="Arial" w:hAnsi="Arial"/>
          <w:i/>
          <w:spacing w:val="-6"/>
        </w:rPr>
        <w:t xml:space="preserve"> </w:t>
      </w:r>
      <w:r>
        <w:rPr>
          <w:rFonts w:ascii="Arial" w:hAnsi="Arial"/>
          <w:i/>
        </w:rPr>
        <w:t>del</w:t>
      </w:r>
      <w:r>
        <w:rPr>
          <w:rFonts w:ascii="Arial" w:hAnsi="Arial"/>
          <w:i/>
          <w:spacing w:val="-5"/>
        </w:rPr>
        <w:t xml:space="preserve"> </w:t>
      </w:r>
      <w:r>
        <w:rPr>
          <w:rFonts w:ascii="Arial" w:hAnsi="Arial"/>
          <w:i/>
        </w:rPr>
        <w:t>lote</w:t>
      </w:r>
      <w:r>
        <w:rPr>
          <w:rFonts w:ascii="Arial" w:hAnsi="Arial"/>
          <w:i/>
          <w:spacing w:val="-5"/>
        </w:rPr>
        <w:t xml:space="preserve"> </w:t>
      </w:r>
      <w:r>
        <w:rPr>
          <w:rFonts w:ascii="Arial" w:hAnsi="Arial"/>
          <w:i/>
          <w:spacing w:val="-2"/>
        </w:rPr>
        <w:t>piloto</w:t>
      </w:r>
    </w:p>
    <w:p w:rsidR="009B4BB4" w:rsidRDefault="009B4BB4">
      <w:pPr>
        <w:pStyle w:val="Textoindependiente"/>
        <w:spacing w:before="89"/>
        <w:rPr>
          <w:rFonts w:ascii="Arial"/>
          <w:i/>
          <w:sz w:val="20"/>
        </w:rPr>
      </w:pPr>
    </w:p>
    <w:tbl>
      <w:tblPr>
        <w:tblStyle w:val="TableNormal"/>
        <w:tblW w:w="0" w:type="auto"/>
        <w:tblInd w:w="432" w:type="dxa"/>
        <w:tblLayout w:type="fixed"/>
        <w:tblLook w:val="01E0" w:firstRow="1" w:lastRow="1" w:firstColumn="1" w:lastColumn="1" w:noHBand="0" w:noVBand="0"/>
      </w:tblPr>
      <w:tblGrid>
        <w:gridCol w:w="2831"/>
        <w:gridCol w:w="2560"/>
        <w:gridCol w:w="1867"/>
        <w:gridCol w:w="2002"/>
      </w:tblGrid>
      <w:tr w:rsidR="009B4BB4">
        <w:trPr>
          <w:trHeight w:val="379"/>
        </w:trPr>
        <w:tc>
          <w:tcPr>
            <w:tcW w:w="2831" w:type="dxa"/>
            <w:tcBorders>
              <w:top w:val="single" w:sz="8" w:space="0" w:color="000000"/>
              <w:bottom w:val="single" w:sz="8" w:space="0" w:color="000000"/>
            </w:tcBorders>
          </w:tcPr>
          <w:p w:rsidR="009B4BB4" w:rsidRDefault="00C44001">
            <w:pPr>
              <w:pStyle w:val="TableParagraph"/>
              <w:spacing w:before="49"/>
              <w:ind w:left="75"/>
              <w:rPr>
                <w:rFonts w:ascii="Arial"/>
                <w:b/>
              </w:rPr>
            </w:pPr>
            <w:r>
              <w:rPr>
                <w:rFonts w:ascii="Arial"/>
                <w:b/>
                <w:spacing w:val="-2"/>
              </w:rPr>
              <w:t>Producto</w:t>
            </w:r>
          </w:p>
        </w:tc>
        <w:tc>
          <w:tcPr>
            <w:tcW w:w="2560" w:type="dxa"/>
            <w:tcBorders>
              <w:top w:val="single" w:sz="8" w:space="0" w:color="000000"/>
              <w:bottom w:val="single" w:sz="8" w:space="0" w:color="000000"/>
            </w:tcBorders>
          </w:tcPr>
          <w:p w:rsidR="009B4BB4" w:rsidRDefault="00C44001">
            <w:pPr>
              <w:pStyle w:val="TableParagraph"/>
              <w:spacing w:before="49"/>
              <w:ind w:left="1154"/>
              <w:jc w:val="center"/>
              <w:rPr>
                <w:rFonts w:ascii="Arial"/>
                <w:b/>
              </w:rPr>
            </w:pPr>
            <w:r>
              <w:rPr>
                <w:rFonts w:ascii="Arial"/>
                <w:b/>
                <w:spacing w:val="-2"/>
              </w:rPr>
              <w:t>Unidades</w:t>
            </w:r>
          </w:p>
        </w:tc>
        <w:tc>
          <w:tcPr>
            <w:tcW w:w="1867" w:type="dxa"/>
            <w:tcBorders>
              <w:top w:val="single" w:sz="8" w:space="0" w:color="000000"/>
              <w:bottom w:val="single" w:sz="8" w:space="0" w:color="000000"/>
            </w:tcBorders>
          </w:tcPr>
          <w:p w:rsidR="009B4BB4" w:rsidRDefault="00C44001">
            <w:pPr>
              <w:pStyle w:val="TableParagraph"/>
              <w:spacing w:before="49"/>
              <w:ind w:left="87"/>
              <w:jc w:val="center"/>
              <w:rPr>
                <w:rFonts w:ascii="Arial"/>
                <w:b/>
              </w:rPr>
            </w:pPr>
            <w:r>
              <w:rPr>
                <w:rFonts w:ascii="Arial"/>
                <w:b/>
              </w:rPr>
              <w:t>Precio</w:t>
            </w:r>
            <w:r>
              <w:rPr>
                <w:rFonts w:ascii="Arial"/>
                <w:b/>
                <w:spacing w:val="-6"/>
              </w:rPr>
              <w:t xml:space="preserve"> </w:t>
            </w:r>
            <w:r>
              <w:rPr>
                <w:rFonts w:ascii="Arial"/>
                <w:b/>
                <w:spacing w:val="-2"/>
              </w:rPr>
              <w:t>unitario</w:t>
            </w:r>
          </w:p>
        </w:tc>
        <w:tc>
          <w:tcPr>
            <w:tcW w:w="2002" w:type="dxa"/>
            <w:tcBorders>
              <w:top w:val="single" w:sz="8" w:space="0" w:color="000000"/>
              <w:bottom w:val="single" w:sz="8" w:space="0" w:color="000000"/>
            </w:tcBorders>
          </w:tcPr>
          <w:p w:rsidR="009B4BB4" w:rsidRDefault="00C44001">
            <w:pPr>
              <w:pStyle w:val="TableParagraph"/>
              <w:spacing w:before="49"/>
              <w:ind w:right="29"/>
              <w:jc w:val="center"/>
              <w:rPr>
                <w:rFonts w:ascii="Arial"/>
                <w:b/>
              </w:rPr>
            </w:pPr>
            <w:r>
              <w:rPr>
                <w:rFonts w:ascii="Arial"/>
                <w:b/>
              </w:rPr>
              <w:t>Ingresos</w:t>
            </w:r>
            <w:r>
              <w:rPr>
                <w:rFonts w:ascii="Arial"/>
                <w:b/>
                <w:spacing w:val="-8"/>
              </w:rPr>
              <w:t xml:space="preserve"> </w:t>
            </w:r>
            <w:r>
              <w:rPr>
                <w:rFonts w:ascii="Arial"/>
                <w:b/>
                <w:spacing w:val="-2"/>
              </w:rPr>
              <w:t>Totales</w:t>
            </w:r>
          </w:p>
        </w:tc>
      </w:tr>
      <w:tr w:rsidR="009B4BB4">
        <w:trPr>
          <w:trHeight w:val="365"/>
        </w:trPr>
        <w:tc>
          <w:tcPr>
            <w:tcW w:w="2831" w:type="dxa"/>
            <w:tcBorders>
              <w:top w:val="single" w:sz="8" w:space="0" w:color="000000"/>
            </w:tcBorders>
          </w:tcPr>
          <w:p w:rsidR="009B4BB4" w:rsidRDefault="00C44001">
            <w:pPr>
              <w:pStyle w:val="TableParagraph"/>
              <w:spacing w:before="45"/>
              <w:ind w:left="75"/>
            </w:pPr>
            <w:r>
              <w:t>Frasco</w:t>
            </w:r>
            <w:r>
              <w:rPr>
                <w:spacing w:val="-5"/>
              </w:rPr>
              <w:t xml:space="preserve"> </w:t>
            </w:r>
            <w:r>
              <w:t>100</w:t>
            </w:r>
            <w:r>
              <w:rPr>
                <w:spacing w:val="-4"/>
              </w:rPr>
              <w:t xml:space="preserve"> </w:t>
            </w:r>
            <w:r>
              <w:rPr>
                <w:spacing w:val="-5"/>
              </w:rPr>
              <w:t>ml</w:t>
            </w:r>
          </w:p>
        </w:tc>
        <w:tc>
          <w:tcPr>
            <w:tcW w:w="2560" w:type="dxa"/>
            <w:tcBorders>
              <w:top w:val="single" w:sz="8" w:space="0" w:color="000000"/>
            </w:tcBorders>
          </w:tcPr>
          <w:p w:rsidR="009B4BB4" w:rsidRDefault="00C44001">
            <w:pPr>
              <w:pStyle w:val="TableParagraph"/>
              <w:spacing w:before="45"/>
              <w:ind w:left="1154"/>
              <w:jc w:val="center"/>
            </w:pPr>
            <w:r>
              <w:rPr>
                <w:spacing w:val="-5"/>
              </w:rPr>
              <w:t>300</w:t>
            </w:r>
          </w:p>
        </w:tc>
        <w:tc>
          <w:tcPr>
            <w:tcW w:w="1867" w:type="dxa"/>
            <w:tcBorders>
              <w:top w:val="single" w:sz="8" w:space="0" w:color="000000"/>
            </w:tcBorders>
          </w:tcPr>
          <w:p w:rsidR="009B4BB4" w:rsidRDefault="00C44001">
            <w:pPr>
              <w:pStyle w:val="TableParagraph"/>
              <w:spacing w:before="45"/>
              <w:ind w:left="87"/>
              <w:jc w:val="center"/>
            </w:pPr>
            <w:r>
              <w:rPr>
                <w:spacing w:val="-2"/>
              </w:rPr>
              <w:t>$33.00</w:t>
            </w:r>
          </w:p>
        </w:tc>
        <w:tc>
          <w:tcPr>
            <w:tcW w:w="2002" w:type="dxa"/>
            <w:tcBorders>
              <w:top w:val="single" w:sz="8" w:space="0" w:color="000000"/>
            </w:tcBorders>
          </w:tcPr>
          <w:p w:rsidR="009B4BB4" w:rsidRDefault="00C44001">
            <w:pPr>
              <w:pStyle w:val="TableParagraph"/>
              <w:spacing w:before="45"/>
              <w:ind w:right="29"/>
              <w:jc w:val="center"/>
            </w:pPr>
            <w:r>
              <w:rPr>
                <w:spacing w:val="-2"/>
              </w:rPr>
              <w:t>$9,900</w:t>
            </w:r>
          </w:p>
        </w:tc>
      </w:tr>
      <w:tr w:rsidR="009B4BB4">
        <w:trPr>
          <w:trHeight w:val="394"/>
        </w:trPr>
        <w:tc>
          <w:tcPr>
            <w:tcW w:w="2831" w:type="dxa"/>
            <w:tcBorders>
              <w:bottom w:val="single" w:sz="8" w:space="0" w:color="000000"/>
            </w:tcBorders>
          </w:tcPr>
          <w:p w:rsidR="009B4BB4" w:rsidRDefault="00C44001">
            <w:pPr>
              <w:pStyle w:val="TableParagraph"/>
              <w:spacing w:before="60"/>
              <w:ind w:left="75"/>
            </w:pPr>
            <w:r>
              <w:t>Gotero</w:t>
            </w:r>
            <w:r>
              <w:rPr>
                <w:spacing w:val="-7"/>
              </w:rPr>
              <w:t xml:space="preserve"> </w:t>
            </w:r>
            <w:r>
              <w:t>20</w:t>
            </w:r>
            <w:r>
              <w:rPr>
                <w:spacing w:val="-18"/>
              </w:rPr>
              <w:t xml:space="preserve"> </w:t>
            </w:r>
            <w:r>
              <w:rPr>
                <w:spacing w:val="-7"/>
              </w:rPr>
              <w:t>ml</w:t>
            </w:r>
          </w:p>
        </w:tc>
        <w:tc>
          <w:tcPr>
            <w:tcW w:w="2560" w:type="dxa"/>
            <w:tcBorders>
              <w:bottom w:val="single" w:sz="8" w:space="0" w:color="000000"/>
            </w:tcBorders>
          </w:tcPr>
          <w:p w:rsidR="009B4BB4" w:rsidRDefault="00C44001">
            <w:pPr>
              <w:pStyle w:val="TableParagraph"/>
              <w:spacing w:before="60"/>
              <w:ind w:left="1154"/>
              <w:jc w:val="center"/>
            </w:pPr>
            <w:r>
              <w:rPr>
                <w:spacing w:val="-5"/>
              </w:rPr>
              <w:t>200</w:t>
            </w:r>
          </w:p>
        </w:tc>
        <w:tc>
          <w:tcPr>
            <w:tcW w:w="1867" w:type="dxa"/>
            <w:tcBorders>
              <w:bottom w:val="single" w:sz="8" w:space="0" w:color="000000"/>
            </w:tcBorders>
          </w:tcPr>
          <w:p w:rsidR="009B4BB4" w:rsidRDefault="00C44001">
            <w:pPr>
              <w:pStyle w:val="TableParagraph"/>
              <w:spacing w:before="60"/>
              <w:ind w:left="87"/>
              <w:jc w:val="center"/>
            </w:pPr>
            <w:r>
              <w:rPr>
                <w:spacing w:val="-2"/>
              </w:rPr>
              <w:t>$16.00</w:t>
            </w:r>
          </w:p>
        </w:tc>
        <w:tc>
          <w:tcPr>
            <w:tcW w:w="2002" w:type="dxa"/>
            <w:tcBorders>
              <w:bottom w:val="single" w:sz="8" w:space="0" w:color="000000"/>
            </w:tcBorders>
          </w:tcPr>
          <w:p w:rsidR="009B4BB4" w:rsidRDefault="00C44001">
            <w:pPr>
              <w:pStyle w:val="TableParagraph"/>
              <w:spacing w:before="60"/>
              <w:ind w:right="29"/>
              <w:jc w:val="center"/>
            </w:pPr>
            <w:r>
              <w:rPr>
                <w:spacing w:val="-2"/>
              </w:rPr>
              <w:t>$3,200</w:t>
            </w:r>
          </w:p>
        </w:tc>
      </w:tr>
      <w:tr w:rsidR="009B4BB4">
        <w:trPr>
          <w:trHeight w:val="360"/>
        </w:trPr>
        <w:tc>
          <w:tcPr>
            <w:tcW w:w="2831" w:type="dxa"/>
            <w:tcBorders>
              <w:top w:val="single" w:sz="8" w:space="0" w:color="000000"/>
              <w:bottom w:val="single" w:sz="8" w:space="0" w:color="000000"/>
            </w:tcBorders>
          </w:tcPr>
          <w:p w:rsidR="009B4BB4" w:rsidRDefault="00C44001">
            <w:pPr>
              <w:pStyle w:val="TableParagraph"/>
              <w:spacing w:before="42"/>
              <w:ind w:left="75"/>
              <w:rPr>
                <w:rFonts w:ascii="Arial"/>
                <w:b/>
              </w:rPr>
            </w:pPr>
            <w:r>
              <w:rPr>
                <w:rFonts w:ascii="Arial"/>
                <w:b/>
                <w:spacing w:val="-2"/>
              </w:rPr>
              <w:t>Total</w:t>
            </w:r>
            <w:r>
              <w:rPr>
                <w:rFonts w:ascii="Arial"/>
                <w:b/>
                <w:spacing w:val="-11"/>
              </w:rPr>
              <w:t xml:space="preserve"> </w:t>
            </w:r>
            <w:r>
              <w:rPr>
                <w:rFonts w:ascii="Arial"/>
                <w:b/>
                <w:spacing w:val="-2"/>
              </w:rPr>
              <w:t>Ingreso</w:t>
            </w:r>
          </w:p>
        </w:tc>
        <w:tc>
          <w:tcPr>
            <w:tcW w:w="2560" w:type="dxa"/>
            <w:tcBorders>
              <w:top w:val="single" w:sz="8" w:space="0" w:color="000000"/>
              <w:bottom w:val="single" w:sz="8" w:space="0" w:color="000000"/>
            </w:tcBorders>
          </w:tcPr>
          <w:p w:rsidR="009B4BB4" w:rsidRDefault="00C44001">
            <w:pPr>
              <w:pStyle w:val="TableParagraph"/>
              <w:spacing w:before="42"/>
              <w:ind w:left="1154"/>
              <w:jc w:val="center"/>
              <w:rPr>
                <w:rFonts w:ascii="Arial"/>
                <w:b/>
              </w:rPr>
            </w:pPr>
            <w:r>
              <w:rPr>
                <w:rFonts w:ascii="Arial"/>
                <w:b/>
                <w:spacing w:val="-5"/>
              </w:rPr>
              <w:t>500</w:t>
            </w:r>
          </w:p>
        </w:tc>
        <w:tc>
          <w:tcPr>
            <w:tcW w:w="1867" w:type="dxa"/>
            <w:tcBorders>
              <w:top w:val="single" w:sz="8" w:space="0" w:color="000000"/>
              <w:bottom w:val="single" w:sz="8" w:space="0" w:color="000000"/>
            </w:tcBorders>
          </w:tcPr>
          <w:p w:rsidR="009B4BB4" w:rsidRDefault="009B4BB4">
            <w:pPr>
              <w:pStyle w:val="TableParagraph"/>
              <w:rPr>
                <w:rFonts w:ascii="Times New Roman"/>
              </w:rPr>
            </w:pPr>
          </w:p>
        </w:tc>
        <w:tc>
          <w:tcPr>
            <w:tcW w:w="2002" w:type="dxa"/>
            <w:tcBorders>
              <w:top w:val="single" w:sz="8" w:space="0" w:color="000000"/>
              <w:bottom w:val="single" w:sz="8" w:space="0" w:color="000000"/>
            </w:tcBorders>
          </w:tcPr>
          <w:p w:rsidR="009B4BB4" w:rsidRDefault="00C44001">
            <w:pPr>
              <w:pStyle w:val="TableParagraph"/>
              <w:spacing w:before="42"/>
              <w:ind w:right="29"/>
              <w:jc w:val="center"/>
              <w:rPr>
                <w:rFonts w:ascii="Arial"/>
                <w:b/>
              </w:rPr>
            </w:pPr>
            <w:r>
              <w:rPr>
                <w:rFonts w:ascii="Arial"/>
                <w:b/>
                <w:spacing w:val="-2"/>
              </w:rPr>
              <w:t>$13,100</w:t>
            </w:r>
          </w:p>
        </w:tc>
      </w:tr>
    </w:tbl>
    <w:p w:rsidR="009B4BB4" w:rsidRDefault="009B4BB4">
      <w:pPr>
        <w:pStyle w:val="Textoindependiente"/>
        <w:spacing w:before="1"/>
        <w:rPr>
          <w:rFonts w:ascii="Arial"/>
          <w:i/>
        </w:rPr>
      </w:pPr>
    </w:p>
    <w:p w:rsidR="009B4BB4" w:rsidRDefault="00C44001">
      <w:pPr>
        <w:pStyle w:val="Textoindependiente"/>
        <w:spacing w:before="0" w:line="360" w:lineRule="auto"/>
        <w:ind w:left="425" w:right="611" w:firstLine="30"/>
        <w:jc w:val="both"/>
      </w:pPr>
      <w:r>
        <w:rPr>
          <w:rFonts w:ascii="Arial" w:hAnsi="Arial"/>
          <w:i/>
        </w:rPr>
        <w:t xml:space="preserve">Nota. </w:t>
      </w:r>
      <w:r>
        <w:t xml:space="preserve">Proyección de ingresos (Q1). El volumen inicial de 500 unidades valida un posicionamiento de precio </w:t>
      </w:r>
      <w:r>
        <w:rPr>
          <w:rFonts w:ascii="Arial" w:hAnsi="Arial"/>
          <w:i/>
        </w:rPr>
        <w:t>premium</w:t>
      </w:r>
      <w:r>
        <w:t>, capturando el valor de la pureza del insumo y el diseño del empaque como diferenciadores de marca. Elaboración propia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1"/>
      </w:pPr>
    </w:p>
    <w:p w:rsidR="009B4BB4" w:rsidRDefault="00C44001">
      <w:pPr>
        <w:pStyle w:val="Ttulo1"/>
      </w:pPr>
      <w:r>
        <w:rPr>
          <w:spacing w:val="-2"/>
        </w:rPr>
        <w:t>Tabla</w:t>
      </w:r>
      <w:r>
        <w:rPr>
          <w:spacing w:val="-11"/>
        </w:rPr>
        <w:t xml:space="preserve"> </w:t>
      </w:r>
      <w:r>
        <w:rPr>
          <w:spacing w:val="-5"/>
        </w:rPr>
        <w:t>7.5</w:t>
      </w:r>
    </w:p>
    <w:p w:rsidR="009B4BB4" w:rsidRDefault="00C44001">
      <w:pPr>
        <w:spacing w:before="38"/>
        <w:ind w:left="455"/>
        <w:rPr>
          <w:rFonts w:ascii="Arial" w:hAnsi="Arial"/>
          <w:i/>
        </w:rPr>
      </w:pPr>
      <w:r>
        <w:rPr>
          <w:rFonts w:ascii="Arial" w:hAnsi="Arial"/>
          <w:i/>
        </w:rPr>
        <w:t>Proyección</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rPr>
        <w:t>egresos</w:t>
      </w:r>
      <w:r>
        <w:rPr>
          <w:rFonts w:ascii="Arial" w:hAnsi="Arial"/>
          <w:i/>
          <w:spacing w:val="-5"/>
        </w:rPr>
        <w:t xml:space="preserve"> </w:t>
      </w:r>
      <w:r>
        <w:rPr>
          <w:rFonts w:ascii="Arial" w:hAnsi="Arial"/>
          <w:i/>
        </w:rPr>
        <w:t>del</w:t>
      </w:r>
      <w:r>
        <w:rPr>
          <w:rFonts w:ascii="Arial" w:hAnsi="Arial"/>
          <w:i/>
          <w:spacing w:val="-5"/>
        </w:rPr>
        <w:t xml:space="preserve"> </w:t>
      </w:r>
      <w:r>
        <w:rPr>
          <w:rFonts w:ascii="Arial" w:hAnsi="Arial"/>
          <w:i/>
        </w:rPr>
        <w:t>lote</w:t>
      </w:r>
      <w:r>
        <w:rPr>
          <w:rFonts w:ascii="Arial" w:hAnsi="Arial"/>
          <w:i/>
          <w:spacing w:val="-5"/>
        </w:rPr>
        <w:t xml:space="preserve"> </w:t>
      </w:r>
      <w:r>
        <w:rPr>
          <w:rFonts w:ascii="Arial" w:hAnsi="Arial"/>
          <w:i/>
          <w:spacing w:val="-2"/>
        </w:rPr>
        <w:t>piloto</w:t>
      </w:r>
    </w:p>
    <w:p w:rsidR="009B4BB4" w:rsidRDefault="009B4BB4">
      <w:pPr>
        <w:pStyle w:val="Textoindependiente"/>
        <w:spacing w:before="95"/>
        <w:rPr>
          <w:rFonts w:ascii="Arial"/>
          <w:i/>
          <w:sz w:val="20"/>
        </w:rPr>
      </w:pPr>
    </w:p>
    <w:tbl>
      <w:tblPr>
        <w:tblStyle w:val="TableNormal"/>
        <w:tblW w:w="0" w:type="auto"/>
        <w:tblInd w:w="432" w:type="dxa"/>
        <w:tblLayout w:type="fixed"/>
        <w:tblLook w:val="01E0" w:firstRow="1" w:lastRow="1" w:firstColumn="1" w:lastColumn="1" w:noHBand="0" w:noVBand="0"/>
      </w:tblPr>
      <w:tblGrid>
        <w:gridCol w:w="5930"/>
        <w:gridCol w:w="3330"/>
      </w:tblGrid>
      <w:tr w:rsidR="009B4BB4">
        <w:trPr>
          <w:trHeight w:val="360"/>
        </w:trPr>
        <w:tc>
          <w:tcPr>
            <w:tcW w:w="5930" w:type="dxa"/>
            <w:tcBorders>
              <w:top w:val="single" w:sz="8" w:space="0" w:color="000000"/>
              <w:bottom w:val="single" w:sz="8" w:space="0" w:color="000000"/>
            </w:tcBorders>
          </w:tcPr>
          <w:p w:rsidR="009B4BB4" w:rsidRDefault="00C44001">
            <w:pPr>
              <w:pStyle w:val="TableParagraph"/>
              <w:spacing w:before="43"/>
              <w:ind w:left="75"/>
              <w:rPr>
                <w:rFonts w:ascii="Arial"/>
                <w:b/>
              </w:rPr>
            </w:pPr>
            <w:r>
              <w:rPr>
                <w:rFonts w:ascii="Arial"/>
                <w:b/>
                <w:spacing w:val="-2"/>
              </w:rPr>
              <w:t>Concepto</w:t>
            </w:r>
          </w:p>
        </w:tc>
        <w:tc>
          <w:tcPr>
            <w:tcW w:w="3330" w:type="dxa"/>
            <w:tcBorders>
              <w:top w:val="single" w:sz="8" w:space="0" w:color="000000"/>
              <w:bottom w:val="single" w:sz="8" w:space="0" w:color="000000"/>
            </w:tcBorders>
          </w:tcPr>
          <w:p w:rsidR="009B4BB4" w:rsidRDefault="00C44001">
            <w:pPr>
              <w:pStyle w:val="TableParagraph"/>
              <w:spacing w:before="43"/>
              <w:ind w:right="580"/>
              <w:jc w:val="right"/>
              <w:rPr>
                <w:rFonts w:ascii="Arial"/>
                <w:b/>
              </w:rPr>
            </w:pPr>
            <w:r>
              <w:rPr>
                <w:rFonts w:ascii="Arial"/>
                <w:b/>
                <w:spacing w:val="-2"/>
              </w:rPr>
              <w:t>Total</w:t>
            </w:r>
          </w:p>
        </w:tc>
      </w:tr>
      <w:tr w:rsidR="009B4BB4">
        <w:trPr>
          <w:trHeight w:val="380"/>
        </w:trPr>
        <w:tc>
          <w:tcPr>
            <w:tcW w:w="5930" w:type="dxa"/>
            <w:tcBorders>
              <w:top w:val="single" w:sz="8" w:space="0" w:color="000000"/>
            </w:tcBorders>
          </w:tcPr>
          <w:p w:rsidR="009B4BB4" w:rsidRDefault="00C44001">
            <w:pPr>
              <w:pStyle w:val="TableParagraph"/>
              <w:spacing w:before="59"/>
              <w:ind w:left="75"/>
            </w:pPr>
            <w:r>
              <w:t>Costos</w:t>
            </w:r>
            <w:r>
              <w:rPr>
                <w:spacing w:val="-6"/>
              </w:rPr>
              <w:t xml:space="preserve"> </w:t>
            </w:r>
            <w:r>
              <w:t>de</w:t>
            </w:r>
            <w:r>
              <w:rPr>
                <w:spacing w:val="-6"/>
              </w:rPr>
              <w:t xml:space="preserve"> </w:t>
            </w:r>
            <w:r>
              <w:t>producción</w:t>
            </w:r>
            <w:r>
              <w:rPr>
                <w:spacing w:val="-6"/>
              </w:rPr>
              <w:t xml:space="preserve"> </w:t>
            </w:r>
            <w:r>
              <w:rPr>
                <w:spacing w:val="-2"/>
              </w:rPr>
              <w:t>(COGS)</w:t>
            </w:r>
          </w:p>
        </w:tc>
        <w:tc>
          <w:tcPr>
            <w:tcW w:w="3330" w:type="dxa"/>
            <w:tcBorders>
              <w:top w:val="single" w:sz="8" w:space="0" w:color="000000"/>
            </w:tcBorders>
          </w:tcPr>
          <w:p w:rsidR="009B4BB4" w:rsidRDefault="00C44001">
            <w:pPr>
              <w:pStyle w:val="TableParagraph"/>
              <w:spacing w:before="59"/>
              <w:ind w:right="47"/>
              <w:jc w:val="right"/>
            </w:pPr>
            <w:r>
              <w:rPr>
                <w:spacing w:val="-2"/>
              </w:rPr>
              <w:t>$4,700</w:t>
            </w:r>
          </w:p>
        </w:tc>
      </w:tr>
      <w:tr w:rsidR="009B4BB4">
        <w:trPr>
          <w:trHeight w:val="380"/>
        </w:trPr>
        <w:tc>
          <w:tcPr>
            <w:tcW w:w="5930" w:type="dxa"/>
          </w:tcPr>
          <w:p w:rsidR="009B4BB4" w:rsidRDefault="00C44001">
            <w:pPr>
              <w:pStyle w:val="TableParagraph"/>
              <w:spacing w:before="60"/>
              <w:ind w:left="795"/>
            </w:pPr>
            <w:r>
              <w:t>Frascos</w:t>
            </w:r>
            <w:r>
              <w:rPr>
                <w:spacing w:val="-4"/>
              </w:rPr>
              <w:t xml:space="preserve"> </w:t>
            </w:r>
            <w:r>
              <w:t>100</w:t>
            </w:r>
            <w:r>
              <w:rPr>
                <w:spacing w:val="-4"/>
              </w:rPr>
              <w:t xml:space="preserve"> </w:t>
            </w:r>
            <w:r>
              <w:t>g</w:t>
            </w:r>
            <w:r>
              <w:rPr>
                <w:spacing w:val="-3"/>
              </w:rPr>
              <w:t xml:space="preserve"> </w:t>
            </w:r>
            <w:r>
              <w:rPr>
                <w:spacing w:val="-2"/>
              </w:rPr>
              <w:t>(Premium)</w:t>
            </w:r>
          </w:p>
        </w:tc>
        <w:tc>
          <w:tcPr>
            <w:tcW w:w="3330" w:type="dxa"/>
          </w:tcPr>
          <w:p w:rsidR="009B4BB4" w:rsidRDefault="00C44001">
            <w:pPr>
              <w:pStyle w:val="TableParagraph"/>
              <w:spacing w:before="60"/>
              <w:ind w:right="47"/>
              <w:jc w:val="right"/>
              <w:rPr>
                <w:rFonts w:ascii="Arial"/>
                <w:i/>
              </w:rPr>
            </w:pPr>
            <w:r>
              <w:rPr>
                <w:rFonts w:ascii="Arial"/>
                <w:i/>
                <w:spacing w:val="-2"/>
              </w:rPr>
              <w:t>$3,600</w:t>
            </w:r>
          </w:p>
        </w:tc>
      </w:tr>
      <w:tr w:rsidR="009B4BB4">
        <w:trPr>
          <w:trHeight w:val="380"/>
        </w:trPr>
        <w:tc>
          <w:tcPr>
            <w:tcW w:w="5930" w:type="dxa"/>
          </w:tcPr>
          <w:p w:rsidR="009B4BB4" w:rsidRDefault="00C44001">
            <w:pPr>
              <w:pStyle w:val="TableParagraph"/>
              <w:spacing w:before="60"/>
              <w:ind w:left="795"/>
            </w:pPr>
            <w:r>
              <w:t>Goteros</w:t>
            </w:r>
            <w:r>
              <w:rPr>
                <w:spacing w:val="-4"/>
              </w:rPr>
              <w:t xml:space="preserve"> </w:t>
            </w:r>
            <w:r>
              <w:t>20</w:t>
            </w:r>
            <w:r>
              <w:rPr>
                <w:spacing w:val="-4"/>
              </w:rPr>
              <w:t xml:space="preserve"> </w:t>
            </w:r>
            <w:r>
              <w:t>ml</w:t>
            </w:r>
            <w:r>
              <w:rPr>
                <w:spacing w:val="-3"/>
              </w:rPr>
              <w:t xml:space="preserve"> </w:t>
            </w:r>
            <w:r>
              <w:rPr>
                <w:spacing w:val="-2"/>
              </w:rPr>
              <w:t>(Medicinal)</w:t>
            </w:r>
          </w:p>
        </w:tc>
        <w:tc>
          <w:tcPr>
            <w:tcW w:w="3330" w:type="dxa"/>
          </w:tcPr>
          <w:p w:rsidR="009B4BB4" w:rsidRDefault="00C44001">
            <w:pPr>
              <w:pStyle w:val="TableParagraph"/>
              <w:spacing w:before="60"/>
              <w:ind w:right="47"/>
              <w:jc w:val="right"/>
              <w:rPr>
                <w:rFonts w:ascii="Arial"/>
                <w:i/>
              </w:rPr>
            </w:pPr>
            <w:r>
              <w:rPr>
                <w:spacing w:val="-2"/>
              </w:rPr>
              <w:t>$1,10</w:t>
            </w:r>
            <w:r>
              <w:rPr>
                <w:rFonts w:ascii="Arial"/>
                <w:i/>
                <w:spacing w:val="-2"/>
              </w:rPr>
              <w:t>0</w:t>
            </w:r>
          </w:p>
        </w:tc>
      </w:tr>
      <w:tr w:rsidR="009B4BB4">
        <w:trPr>
          <w:trHeight w:val="381"/>
        </w:trPr>
        <w:tc>
          <w:tcPr>
            <w:tcW w:w="5930" w:type="dxa"/>
          </w:tcPr>
          <w:p w:rsidR="009B4BB4" w:rsidRDefault="00C44001">
            <w:pPr>
              <w:pStyle w:val="TableParagraph"/>
              <w:spacing w:before="60"/>
              <w:ind w:left="75"/>
            </w:pPr>
            <w:r>
              <w:t>Gastos</w:t>
            </w:r>
            <w:r>
              <w:rPr>
                <w:spacing w:val="-8"/>
              </w:rPr>
              <w:t xml:space="preserve"> </w:t>
            </w:r>
            <w:r>
              <w:t>operativos</w:t>
            </w:r>
            <w:r>
              <w:rPr>
                <w:spacing w:val="-8"/>
              </w:rPr>
              <w:t xml:space="preserve"> </w:t>
            </w:r>
            <w:r>
              <w:rPr>
                <w:spacing w:val="-2"/>
              </w:rPr>
              <w:t>(OPEX)</w:t>
            </w:r>
          </w:p>
        </w:tc>
        <w:tc>
          <w:tcPr>
            <w:tcW w:w="3330" w:type="dxa"/>
          </w:tcPr>
          <w:p w:rsidR="009B4BB4" w:rsidRDefault="00C44001">
            <w:pPr>
              <w:pStyle w:val="TableParagraph"/>
              <w:spacing w:before="60"/>
              <w:ind w:right="47"/>
              <w:jc w:val="right"/>
            </w:pPr>
            <w:r>
              <w:rPr>
                <w:spacing w:val="-2"/>
              </w:rPr>
              <w:t>$3,622</w:t>
            </w:r>
          </w:p>
        </w:tc>
      </w:tr>
      <w:tr w:rsidR="009B4BB4">
        <w:trPr>
          <w:trHeight w:val="380"/>
        </w:trPr>
        <w:tc>
          <w:tcPr>
            <w:tcW w:w="5930" w:type="dxa"/>
          </w:tcPr>
          <w:p w:rsidR="009B4BB4" w:rsidRDefault="00C44001">
            <w:pPr>
              <w:pStyle w:val="TableParagraph"/>
              <w:spacing w:before="60"/>
              <w:ind w:left="795"/>
            </w:pPr>
            <w:r>
              <w:t>Marketing</w:t>
            </w:r>
            <w:r>
              <w:rPr>
                <w:spacing w:val="-5"/>
              </w:rPr>
              <w:t xml:space="preserve"> </w:t>
            </w:r>
            <w:r>
              <w:t>y</w:t>
            </w:r>
            <w:r>
              <w:rPr>
                <w:spacing w:val="-5"/>
              </w:rPr>
              <w:t xml:space="preserve"> </w:t>
            </w:r>
            <w:r>
              <w:rPr>
                <w:spacing w:val="-2"/>
              </w:rPr>
              <w:t>comunicación</w:t>
            </w:r>
          </w:p>
        </w:tc>
        <w:tc>
          <w:tcPr>
            <w:tcW w:w="3330" w:type="dxa"/>
          </w:tcPr>
          <w:p w:rsidR="009B4BB4" w:rsidRDefault="00C44001">
            <w:pPr>
              <w:pStyle w:val="TableParagraph"/>
              <w:spacing w:before="60"/>
              <w:ind w:right="47"/>
              <w:jc w:val="right"/>
            </w:pPr>
            <w:r>
              <w:rPr>
                <w:spacing w:val="-2"/>
              </w:rPr>
              <w:t>$1,389</w:t>
            </w:r>
          </w:p>
        </w:tc>
      </w:tr>
      <w:tr w:rsidR="009B4BB4">
        <w:trPr>
          <w:trHeight w:val="380"/>
        </w:trPr>
        <w:tc>
          <w:tcPr>
            <w:tcW w:w="5930" w:type="dxa"/>
          </w:tcPr>
          <w:p w:rsidR="009B4BB4" w:rsidRDefault="00C44001">
            <w:pPr>
              <w:pStyle w:val="TableParagraph"/>
              <w:spacing w:before="60"/>
              <w:ind w:left="795"/>
            </w:pPr>
            <w:r>
              <w:t>E-commerce</w:t>
            </w:r>
            <w:r>
              <w:rPr>
                <w:spacing w:val="-6"/>
              </w:rPr>
              <w:t xml:space="preserve"> </w:t>
            </w:r>
            <w:r>
              <w:t>y</w:t>
            </w:r>
            <w:r>
              <w:rPr>
                <w:spacing w:val="-5"/>
              </w:rPr>
              <w:t xml:space="preserve"> </w:t>
            </w:r>
            <w:r>
              <w:rPr>
                <w:spacing w:val="-2"/>
              </w:rPr>
              <w:t>administración</w:t>
            </w:r>
          </w:p>
        </w:tc>
        <w:tc>
          <w:tcPr>
            <w:tcW w:w="3330" w:type="dxa"/>
          </w:tcPr>
          <w:p w:rsidR="009B4BB4" w:rsidRDefault="00C44001">
            <w:pPr>
              <w:pStyle w:val="TableParagraph"/>
              <w:spacing w:before="60"/>
              <w:ind w:right="47"/>
              <w:jc w:val="right"/>
            </w:pPr>
            <w:r>
              <w:rPr>
                <w:spacing w:val="-4"/>
              </w:rPr>
              <w:t>$833</w:t>
            </w:r>
          </w:p>
        </w:tc>
      </w:tr>
      <w:tr w:rsidR="009B4BB4">
        <w:trPr>
          <w:trHeight w:val="313"/>
        </w:trPr>
        <w:tc>
          <w:tcPr>
            <w:tcW w:w="5930" w:type="dxa"/>
          </w:tcPr>
          <w:p w:rsidR="009B4BB4" w:rsidRDefault="00C44001">
            <w:pPr>
              <w:pStyle w:val="TableParagraph"/>
              <w:spacing w:before="60" w:line="233" w:lineRule="exact"/>
              <w:ind w:left="795"/>
            </w:pPr>
            <w:r>
              <w:t>Certificaciones</w:t>
            </w:r>
            <w:r>
              <w:rPr>
                <w:spacing w:val="-8"/>
              </w:rPr>
              <w:t xml:space="preserve"> </w:t>
            </w:r>
            <w:r>
              <w:t>y</w:t>
            </w:r>
            <w:r>
              <w:rPr>
                <w:spacing w:val="-8"/>
              </w:rPr>
              <w:t xml:space="preserve"> </w:t>
            </w:r>
            <w:r>
              <w:rPr>
                <w:spacing w:val="-2"/>
              </w:rPr>
              <w:t>registros</w:t>
            </w:r>
          </w:p>
        </w:tc>
        <w:tc>
          <w:tcPr>
            <w:tcW w:w="3330" w:type="dxa"/>
          </w:tcPr>
          <w:p w:rsidR="009B4BB4" w:rsidRDefault="00C44001">
            <w:pPr>
              <w:pStyle w:val="TableParagraph"/>
              <w:spacing w:before="60" w:line="233" w:lineRule="exact"/>
              <w:ind w:right="47"/>
              <w:jc w:val="right"/>
            </w:pPr>
            <w:r>
              <w:rPr>
                <w:spacing w:val="-4"/>
              </w:rPr>
              <w:t>$556</w:t>
            </w:r>
          </w:p>
        </w:tc>
      </w:tr>
    </w:tbl>
    <w:p w:rsidR="009B4BB4" w:rsidRDefault="009B4BB4">
      <w:pPr>
        <w:pStyle w:val="TableParagraph"/>
        <w:spacing w:line="233" w:lineRule="exact"/>
        <w:jc w:val="right"/>
        <w:sectPr w:rsidR="009B4BB4">
          <w:type w:val="continuous"/>
          <w:pgSz w:w="11920" w:h="16840"/>
          <w:pgMar w:top="1800" w:right="850" w:bottom="3011" w:left="1275" w:header="0" w:footer="1747" w:gutter="0"/>
          <w:cols w:space="720"/>
        </w:sectPr>
      </w:pPr>
    </w:p>
    <w:tbl>
      <w:tblPr>
        <w:tblStyle w:val="TableNormal"/>
        <w:tblW w:w="0" w:type="auto"/>
        <w:tblInd w:w="432" w:type="dxa"/>
        <w:tblLayout w:type="fixed"/>
        <w:tblLook w:val="01E0" w:firstRow="1" w:lastRow="1" w:firstColumn="1" w:lastColumn="1" w:noHBand="0" w:noVBand="0"/>
      </w:tblPr>
      <w:tblGrid>
        <w:gridCol w:w="5968"/>
        <w:gridCol w:w="3291"/>
      </w:tblGrid>
      <w:tr w:rsidR="009B4BB4">
        <w:trPr>
          <w:trHeight w:val="431"/>
        </w:trPr>
        <w:tc>
          <w:tcPr>
            <w:tcW w:w="5968" w:type="dxa"/>
            <w:tcBorders>
              <w:bottom w:val="single" w:sz="8" w:space="0" w:color="000000"/>
            </w:tcBorders>
          </w:tcPr>
          <w:p w:rsidR="009B4BB4" w:rsidRDefault="00C44001">
            <w:pPr>
              <w:pStyle w:val="TableParagraph"/>
              <w:spacing w:line="246" w:lineRule="exact"/>
              <w:ind w:left="795"/>
            </w:pPr>
            <w:r>
              <w:lastRenderedPageBreak/>
              <w:t>Logística</w:t>
            </w:r>
            <w:r>
              <w:rPr>
                <w:spacing w:val="-5"/>
              </w:rPr>
              <w:t xml:space="preserve"> </w:t>
            </w:r>
            <w:r>
              <w:t>y</w:t>
            </w:r>
            <w:r>
              <w:rPr>
                <w:spacing w:val="-5"/>
              </w:rPr>
              <w:t xml:space="preserve"> </w:t>
            </w:r>
            <w:r>
              <w:rPr>
                <w:spacing w:val="-2"/>
              </w:rPr>
              <w:t>Administrativos</w:t>
            </w:r>
          </w:p>
        </w:tc>
        <w:tc>
          <w:tcPr>
            <w:tcW w:w="3291" w:type="dxa"/>
            <w:tcBorders>
              <w:bottom w:val="single" w:sz="8" w:space="0" w:color="000000"/>
            </w:tcBorders>
          </w:tcPr>
          <w:p w:rsidR="009B4BB4" w:rsidRDefault="00C44001">
            <w:pPr>
              <w:pStyle w:val="TableParagraph"/>
              <w:spacing w:line="246" w:lineRule="exact"/>
              <w:ind w:right="46"/>
              <w:jc w:val="right"/>
            </w:pPr>
            <w:r>
              <w:rPr>
                <w:spacing w:val="-4"/>
              </w:rPr>
              <w:t>$844</w:t>
            </w:r>
          </w:p>
        </w:tc>
      </w:tr>
      <w:tr w:rsidR="009B4BB4">
        <w:trPr>
          <w:trHeight w:val="379"/>
        </w:trPr>
        <w:tc>
          <w:tcPr>
            <w:tcW w:w="5968" w:type="dxa"/>
            <w:tcBorders>
              <w:top w:val="single" w:sz="8" w:space="0" w:color="000000"/>
              <w:bottom w:val="single" w:sz="8" w:space="0" w:color="000000"/>
            </w:tcBorders>
          </w:tcPr>
          <w:p w:rsidR="009B4BB4" w:rsidRDefault="00C44001">
            <w:pPr>
              <w:pStyle w:val="TableParagraph"/>
              <w:spacing w:before="54"/>
              <w:ind w:left="75"/>
              <w:rPr>
                <w:rFonts w:ascii="Arial"/>
                <w:b/>
              </w:rPr>
            </w:pPr>
            <w:r>
              <w:rPr>
                <w:rFonts w:ascii="Arial"/>
                <w:b/>
                <w:spacing w:val="-2"/>
              </w:rPr>
              <w:t>Total</w:t>
            </w:r>
            <w:r>
              <w:rPr>
                <w:rFonts w:ascii="Arial"/>
                <w:b/>
                <w:spacing w:val="-11"/>
              </w:rPr>
              <w:t xml:space="preserve"> </w:t>
            </w:r>
            <w:r>
              <w:rPr>
                <w:rFonts w:ascii="Arial"/>
                <w:b/>
                <w:spacing w:val="-2"/>
              </w:rPr>
              <w:t>Egresos</w:t>
            </w:r>
          </w:p>
        </w:tc>
        <w:tc>
          <w:tcPr>
            <w:tcW w:w="3291" w:type="dxa"/>
            <w:tcBorders>
              <w:top w:val="single" w:sz="8" w:space="0" w:color="000000"/>
              <w:bottom w:val="single" w:sz="8" w:space="0" w:color="000000"/>
            </w:tcBorders>
          </w:tcPr>
          <w:p w:rsidR="009B4BB4" w:rsidRDefault="00C44001">
            <w:pPr>
              <w:pStyle w:val="TableParagraph"/>
              <w:spacing w:before="54"/>
              <w:ind w:right="46"/>
              <w:jc w:val="right"/>
              <w:rPr>
                <w:rFonts w:ascii="Arial"/>
                <w:b/>
              </w:rPr>
            </w:pPr>
            <w:r>
              <w:rPr>
                <w:rFonts w:ascii="Arial"/>
                <w:b/>
                <w:spacing w:val="-2"/>
              </w:rPr>
              <w:t>$8,322</w:t>
            </w:r>
          </w:p>
        </w:tc>
      </w:tr>
    </w:tbl>
    <w:p w:rsidR="009B4BB4" w:rsidRDefault="00C44001">
      <w:pPr>
        <w:pStyle w:val="Textoindependiente"/>
        <w:spacing w:before="230" w:line="360" w:lineRule="auto"/>
        <w:ind w:left="425" w:right="611"/>
        <w:jc w:val="both"/>
      </w:pPr>
      <w:r>
        <w:rPr>
          <w:rFonts w:ascii="Arial" w:hAnsi="Arial"/>
          <w:i/>
        </w:rPr>
        <w:t xml:space="preserve">Nota. </w:t>
      </w:r>
      <w:r>
        <w:t>Estructura de costos operativos. El presupuesto consolida el COGS y el OPEX críticos</w:t>
      </w:r>
      <w:r>
        <w:rPr>
          <w:spacing w:val="-3"/>
        </w:rPr>
        <w:t xml:space="preserve"> </w:t>
      </w:r>
      <w:r>
        <w:t>para</w:t>
      </w:r>
      <w:r>
        <w:rPr>
          <w:spacing w:val="-3"/>
        </w:rPr>
        <w:t xml:space="preserve"> </w:t>
      </w:r>
      <w:r>
        <w:t>alcanzar</w:t>
      </w:r>
      <w:r>
        <w:rPr>
          <w:spacing w:val="-3"/>
        </w:rPr>
        <w:t xml:space="preserve"> </w:t>
      </w:r>
      <w:r>
        <w:t>el</w:t>
      </w:r>
      <w:r>
        <w:rPr>
          <w:spacing w:val="-3"/>
        </w:rPr>
        <w:t xml:space="preserve"> </w:t>
      </w:r>
      <w:r>
        <w:t>punto</w:t>
      </w:r>
      <w:r>
        <w:rPr>
          <w:spacing w:val="-3"/>
        </w:rPr>
        <w:t xml:space="preserve"> </w:t>
      </w:r>
      <w:r>
        <w:t>de</w:t>
      </w:r>
      <w:r>
        <w:rPr>
          <w:spacing w:val="-3"/>
        </w:rPr>
        <w:t xml:space="preserve"> </w:t>
      </w:r>
      <w:r>
        <w:t>equilibrio</w:t>
      </w:r>
      <w:r>
        <w:rPr>
          <w:spacing w:val="-3"/>
        </w:rPr>
        <w:t xml:space="preserve"> </w:t>
      </w:r>
      <w:r>
        <w:t>en</w:t>
      </w:r>
      <w:r>
        <w:rPr>
          <w:spacing w:val="-3"/>
        </w:rPr>
        <w:t xml:space="preserve"> </w:t>
      </w:r>
      <w:r>
        <w:t>la</w:t>
      </w:r>
      <w:r>
        <w:rPr>
          <w:spacing w:val="-3"/>
        </w:rPr>
        <w:t xml:space="preserve"> </w:t>
      </w:r>
      <w:r>
        <w:t>fase</w:t>
      </w:r>
      <w:r>
        <w:rPr>
          <w:spacing w:val="-3"/>
        </w:rPr>
        <w:t xml:space="preserve"> </w:t>
      </w:r>
      <w:r>
        <w:t>de</w:t>
      </w:r>
      <w:r>
        <w:rPr>
          <w:spacing w:val="-3"/>
        </w:rPr>
        <w:t xml:space="preserve"> </w:t>
      </w:r>
      <w:r>
        <w:t>lanzamiento,</w:t>
      </w:r>
      <w:r>
        <w:rPr>
          <w:spacing w:val="-3"/>
        </w:rPr>
        <w:t xml:space="preserve"> </w:t>
      </w:r>
      <w:r>
        <w:t>optimizando</w:t>
      </w:r>
      <w:r>
        <w:rPr>
          <w:spacing w:val="-3"/>
        </w:rPr>
        <w:t xml:space="preserve"> </w:t>
      </w:r>
      <w:r>
        <w:t>el</w:t>
      </w:r>
      <w:r>
        <w:rPr>
          <w:spacing w:val="-3"/>
        </w:rPr>
        <w:t xml:space="preserve"> </w:t>
      </w:r>
      <w:r>
        <w:t>flujo de caja mediante una estructura de gastos fijos mínima. Elaboración propia (2025).</w:t>
      </w:r>
    </w:p>
    <w:p w:rsidR="009B4BB4" w:rsidRDefault="009B4BB4">
      <w:pPr>
        <w:pStyle w:val="Textoindependiente"/>
        <w:spacing w:before="127"/>
      </w:pPr>
    </w:p>
    <w:p w:rsidR="009B4BB4" w:rsidRDefault="00C44001">
      <w:pPr>
        <w:pStyle w:val="Ttulo1"/>
        <w:jc w:val="both"/>
      </w:pPr>
      <w:r>
        <w:rPr>
          <w:spacing w:val="-2"/>
        </w:rPr>
        <w:t>Tabla</w:t>
      </w:r>
      <w:r>
        <w:rPr>
          <w:spacing w:val="-11"/>
        </w:rPr>
        <w:t xml:space="preserve"> </w:t>
      </w:r>
      <w:r>
        <w:rPr>
          <w:spacing w:val="-5"/>
        </w:rPr>
        <w:t>7.6</w:t>
      </w:r>
    </w:p>
    <w:p w:rsidR="009B4BB4" w:rsidRDefault="00C44001">
      <w:pPr>
        <w:spacing w:before="126"/>
        <w:ind w:left="455"/>
        <w:jc w:val="both"/>
        <w:rPr>
          <w:rFonts w:ascii="Arial"/>
          <w:i/>
        </w:rPr>
      </w:pPr>
      <w:r>
        <w:rPr>
          <w:rFonts w:ascii="Arial"/>
          <w:i/>
        </w:rPr>
        <w:t>Estado</w:t>
      </w:r>
      <w:r>
        <w:rPr>
          <w:rFonts w:ascii="Arial"/>
          <w:i/>
          <w:spacing w:val="-6"/>
        </w:rPr>
        <w:t xml:space="preserve"> </w:t>
      </w:r>
      <w:r>
        <w:rPr>
          <w:rFonts w:ascii="Arial"/>
          <w:i/>
        </w:rPr>
        <w:t>de</w:t>
      </w:r>
      <w:r>
        <w:rPr>
          <w:rFonts w:ascii="Arial"/>
          <w:i/>
          <w:spacing w:val="-6"/>
        </w:rPr>
        <w:t xml:space="preserve"> </w:t>
      </w:r>
      <w:r>
        <w:rPr>
          <w:rFonts w:ascii="Arial"/>
          <w:i/>
        </w:rPr>
        <w:t>resultados</w:t>
      </w:r>
      <w:r>
        <w:rPr>
          <w:rFonts w:ascii="Arial"/>
          <w:i/>
          <w:spacing w:val="-6"/>
        </w:rPr>
        <w:t xml:space="preserve"> </w:t>
      </w:r>
      <w:r>
        <w:rPr>
          <w:rFonts w:ascii="Arial"/>
          <w:i/>
        </w:rPr>
        <w:t>proyectado</w:t>
      </w:r>
      <w:r>
        <w:rPr>
          <w:rFonts w:ascii="Arial"/>
          <w:i/>
          <w:spacing w:val="-6"/>
        </w:rPr>
        <w:t xml:space="preserve"> </w:t>
      </w:r>
      <w:r>
        <w:rPr>
          <w:rFonts w:ascii="Arial"/>
          <w:i/>
        </w:rPr>
        <w:t>del</w:t>
      </w:r>
      <w:r>
        <w:rPr>
          <w:rFonts w:ascii="Arial"/>
          <w:i/>
          <w:spacing w:val="-6"/>
        </w:rPr>
        <w:t xml:space="preserve"> </w:t>
      </w:r>
      <w:r>
        <w:rPr>
          <w:rFonts w:ascii="Arial"/>
          <w:i/>
        </w:rPr>
        <w:t>lote</w:t>
      </w:r>
      <w:r>
        <w:rPr>
          <w:rFonts w:ascii="Arial"/>
          <w:i/>
          <w:spacing w:val="-5"/>
        </w:rPr>
        <w:t xml:space="preserve"> </w:t>
      </w:r>
      <w:r>
        <w:rPr>
          <w:rFonts w:ascii="Arial"/>
          <w:i/>
          <w:spacing w:val="-2"/>
        </w:rPr>
        <w:t>piloto</w:t>
      </w:r>
    </w:p>
    <w:p w:rsidR="009B4BB4" w:rsidRDefault="009B4BB4">
      <w:pPr>
        <w:pStyle w:val="Textoindependiente"/>
        <w:spacing w:before="0"/>
        <w:rPr>
          <w:rFonts w:ascii="Arial"/>
          <w:i/>
          <w:sz w:val="20"/>
        </w:rPr>
      </w:pPr>
    </w:p>
    <w:p w:rsidR="009B4BB4" w:rsidRDefault="009B4BB4">
      <w:pPr>
        <w:pStyle w:val="Textoindependiente"/>
        <w:spacing w:before="29"/>
        <w:rPr>
          <w:rFonts w:ascii="Arial"/>
          <w:i/>
          <w:sz w:val="20"/>
        </w:rPr>
      </w:pPr>
    </w:p>
    <w:tbl>
      <w:tblPr>
        <w:tblStyle w:val="TableNormal"/>
        <w:tblW w:w="0" w:type="auto"/>
        <w:tblInd w:w="432" w:type="dxa"/>
        <w:tblLayout w:type="fixed"/>
        <w:tblLook w:val="01E0" w:firstRow="1" w:lastRow="1" w:firstColumn="1" w:lastColumn="1" w:noHBand="0" w:noVBand="0"/>
      </w:tblPr>
      <w:tblGrid>
        <w:gridCol w:w="4169"/>
        <w:gridCol w:w="2558"/>
        <w:gridCol w:w="2373"/>
      </w:tblGrid>
      <w:tr w:rsidR="009B4BB4">
        <w:trPr>
          <w:trHeight w:val="380"/>
        </w:trPr>
        <w:tc>
          <w:tcPr>
            <w:tcW w:w="4169" w:type="dxa"/>
            <w:tcBorders>
              <w:top w:val="single" w:sz="8" w:space="0" w:color="000000"/>
              <w:bottom w:val="single" w:sz="8" w:space="0" w:color="000000"/>
            </w:tcBorders>
          </w:tcPr>
          <w:p w:rsidR="009B4BB4" w:rsidRDefault="00C44001">
            <w:pPr>
              <w:pStyle w:val="TableParagraph"/>
              <w:spacing w:before="56"/>
              <w:ind w:left="197"/>
              <w:jc w:val="center"/>
              <w:rPr>
                <w:rFonts w:ascii="Arial"/>
                <w:b/>
              </w:rPr>
            </w:pPr>
            <w:r>
              <w:rPr>
                <w:rFonts w:ascii="Arial"/>
                <w:b/>
                <w:spacing w:val="-2"/>
              </w:rPr>
              <w:t>Concepto</w:t>
            </w:r>
          </w:p>
        </w:tc>
        <w:tc>
          <w:tcPr>
            <w:tcW w:w="2558" w:type="dxa"/>
            <w:tcBorders>
              <w:top w:val="single" w:sz="8" w:space="0" w:color="000000"/>
              <w:bottom w:val="single" w:sz="8" w:space="0" w:color="000000"/>
            </w:tcBorders>
          </w:tcPr>
          <w:p w:rsidR="009B4BB4" w:rsidRDefault="00C44001">
            <w:pPr>
              <w:pStyle w:val="TableParagraph"/>
              <w:spacing w:before="56"/>
              <w:ind w:right="649"/>
              <w:jc w:val="right"/>
              <w:rPr>
                <w:rFonts w:ascii="Arial"/>
                <w:b/>
              </w:rPr>
            </w:pPr>
            <w:r>
              <w:rPr>
                <w:rFonts w:ascii="Arial"/>
                <w:b/>
                <w:spacing w:val="-2"/>
              </w:rPr>
              <w:t>Monto</w:t>
            </w:r>
          </w:p>
        </w:tc>
        <w:tc>
          <w:tcPr>
            <w:tcW w:w="2373" w:type="dxa"/>
            <w:tcBorders>
              <w:top w:val="single" w:sz="8" w:space="0" w:color="000000"/>
              <w:bottom w:val="single" w:sz="8" w:space="0" w:color="000000"/>
            </w:tcBorders>
          </w:tcPr>
          <w:p w:rsidR="009B4BB4" w:rsidRDefault="00C44001">
            <w:pPr>
              <w:pStyle w:val="TableParagraph"/>
              <w:spacing w:before="56"/>
              <w:ind w:left="419"/>
              <w:jc w:val="center"/>
              <w:rPr>
                <w:rFonts w:ascii="Arial"/>
                <w:b/>
              </w:rPr>
            </w:pPr>
            <w:r>
              <w:rPr>
                <w:rFonts w:ascii="Arial"/>
                <w:b/>
              </w:rPr>
              <w:t>%</w:t>
            </w:r>
            <w:r>
              <w:rPr>
                <w:rFonts w:ascii="Arial"/>
                <w:b/>
                <w:spacing w:val="-3"/>
              </w:rPr>
              <w:t xml:space="preserve"> </w:t>
            </w:r>
            <w:r>
              <w:rPr>
                <w:rFonts w:ascii="Arial"/>
                <w:b/>
              </w:rPr>
              <w:t>sobre</w:t>
            </w:r>
            <w:r>
              <w:rPr>
                <w:rFonts w:ascii="Arial"/>
                <w:b/>
                <w:spacing w:val="-3"/>
              </w:rPr>
              <w:t xml:space="preserve"> </w:t>
            </w:r>
            <w:r>
              <w:rPr>
                <w:rFonts w:ascii="Arial"/>
                <w:b/>
                <w:spacing w:val="-2"/>
              </w:rPr>
              <w:t>Ventas</w:t>
            </w:r>
          </w:p>
        </w:tc>
      </w:tr>
      <w:tr w:rsidR="009B4BB4">
        <w:trPr>
          <w:trHeight w:val="373"/>
        </w:trPr>
        <w:tc>
          <w:tcPr>
            <w:tcW w:w="4169" w:type="dxa"/>
            <w:tcBorders>
              <w:top w:val="single" w:sz="8" w:space="0" w:color="000000"/>
            </w:tcBorders>
          </w:tcPr>
          <w:p w:rsidR="009B4BB4" w:rsidRDefault="00C44001">
            <w:pPr>
              <w:pStyle w:val="TableParagraph"/>
              <w:spacing w:before="52"/>
              <w:ind w:left="197"/>
              <w:jc w:val="center"/>
            </w:pPr>
            <w:r>
              <w:t>Ingresos</w:t>
            </w:r>
            <w:r>
              <w:rPr>
                <w:spacing w:val="-8"/>
              </w:rPr>
              <w:t xml:space="preserve"> </w:t>
            </w:r>
            <w:r>
              <w:rPr>
                <w:spacing w:val="-2"/>
              </w:rPr>
              <w:t>Totales</w:t>
            </w:r>
          </w:p>
        </w:tc>
        <w:tc>
          <w:tcPr>
            <w:tcW w:w="2558" w:type="dxa"/>
            <w:tcBorders>
              <w:top w:val="single" w:sz="8" w:space="0" w:color="000000"/>
            </w:tcBorders>
          </w:tcPr>
          <w:p w:rsidR="009B4BB4" w:rsidRDefault="00C44001">
            <w:pPr>
              <w:pStyle w:val="TableParagraph"/>
              <w:spacing w:before="52"/>
              <w:ind w:right="581"/>
              <w:jc w:val="right"/>
            </w:pPr>
            <w:r>
              <w:rPr>
                <w:spacing w:val="-2"/>
              </w:rPr>
              <w:t>$13,100</w:t>
            </w:r>
          </w:p>
        </w:tc>
        <w:tc>
          <w:tcPr>
            <w:tcW w:w="2373" w:type="dxa"/>
            <w:tcBorders>
              <w:top w:val="single" w:sz="8" w:space="0" w:color="000000"/>
            </w:tcBorders>
          </w:tcPr>
          <w:p w:rsidR="009B4BB4" w:rsidRDefault="00C44001">
            <w:pPr>
              <w:pStyle w:val="TableParagraph"/>
              <w:spacing w:before="52"/>
              <w:ind w:left="419"/>
              <w:jc w:val="center"/>
            </w:pPr>
            <w:r>
              <w:rPr>
                <w:spacing w:val="-4"/>
              </w:rPr>
              <w:t>100%</w:t>
            </w:r>
          </w:p>
        </w:tc>
      </w:tr>
      <w:tr w:rsidR="009B4BB4">
        <w:trPr>
          <w:trHeight w:val="386"/>
        </w:trPr>
        <w:tc>
          <w:tcPr>
            <w:tcW w:w="4169" w:type="dxa"/>
            <w:tcBorders>
              <w:bottom w:val="single" w:sz="8" w:space="0" w:color="000000"/>
            </w:tcBorders>
          </w:tcPr>
          <w:p w:rsidR="009B4BB4" w:rsidRDefault="00C44001">
            <w:pPr>
              <w:pStyle w:val="TableParagraph"/>
              <w:spacing w:before="60"/>
              <w:ind w:left="197"/>
              <w:jc w:val="center"/>
            </w:pPr>
            <w:r>
              <w:rPr>
                <w:spacing w:val="-2"/>
              </w:rPr>
              <w:t>(-)</w:t>
            </w:r>
            <w:r>
              <w:rPr>
                <w:spacing w:val="-8"/>
              </w:rPr>
              <w:t xml:space="preserve"> </w:t>
            </w:r>
            <w:r>
              <w:rPr>
                <w:spacing w:val="-2"/>
              </w:rPr>
              <w:t>Total</w:t>
            </w:r>
            <w:r>
              <w:rPr>
                <w:spacing w:val="-8"/>
              </w:rPr>
              <w:t xml:space="preserve"> </w:t>
            </w:r>
            <w:r>
              <w:rPr>
                <w:spacing w:val="-2"/>
              </w:rPr>
              <w:t>Egresos</w:t>
            </w:r>
          </w:p>
        </w:tc>
        <w:tc>
          <w:tcPr>
            <w:tcW w:w="2558" w:type="dxa"/>
            <w:tcBorders>
              <w:bottom w:val="single" w:sz="8" w:space="0" w:color="000000"/>
            </w:tcBorders>
          </w:tcPr>
          <w:p w:rsidR="009B4BB4" w:rsidRDefault="00C44001">
            <w:pPr>
              <w:pStyle w:val="TableParagraph"/>
              <w:spacing w:before="60"/>
              <w:ind w:right="642"/>
              <w:jc w:val="right"/>
            </w:pPr>
            <w:r>
              <w:rPr>
                <w:spacing w:val="-2"/>
              </w:rPr>
              <w:t>$8,322</w:t>
            </w:r>
          </w:p>
        </w:tc>
        <w:tc>
          <w:tcPr>
            <w:tcW w:w="2373" w:type="dxa"/>
            <w:tcBorders>
              <w:bottom w:val="single" w:sz="8" w:space="0" w:color="000000"/>
            </w:tcBorders>
          </w:tcPr>
          <w:p w:rsidR="009B4BB4" w:rsidRDefault="00C44001">
            <w:pPr>
              <w:pStyle w:val="TableParagraph"/>
              <w:spacing w:before="60"/>
              <w:ind w:left="419"/>
              <w:jc w:val="center"/>
            </w:pPr>
            <w:r>
              <w:rPr>
                <w:spacing w:val="-5"/>
              </w:rPr>
              <w:t>64%</w:t>
            </w:r>
          </w:p>
        </w:tc>
      </w:tr>
      <w:tr w:rsidR="009B4BB4">
        <w:trPr>
          <w:trHeight w:val="379"/>
        </w:trPr>
        <w:tc>
          <w:tcPr>
            <w:tcW w:w="4169" w:type="dxa"/>
            <w:tcBorders>
              <w:top w:val="single" w:sz="8" w:space="0" w:color="000000"/>
              <w:bottom w:val="single" w:sz="8" w:space="0" w:color="000000"/>
            </w:tcBorders>
          </w:tcPr>
          <w:p w:rsidR="009B4BB4" w:rsidRDefault="00C44001">
            <w:pPr>
              <w:pStyle w:val="TableParagraph"/>
              <w:spacing w:before="49"/>
              <w:ind w:left="197"/>
              <w:jc w:val="center"/>
              <w:rPr>
                <w:rFonts w:ascii="Arial"/>
                <w:b/>
              </w:rPr>
            </w:pPr>
            <w:r>
              <w:rPr>
                <w:rFonts w:ascii="Arial"/>
                <w:b/>
              </w:rPr>
              <w:t>Utilidad</w:t>
            </w:r>
            <w:r>
              <w:rPr>
                <w:rFonts w:ascii="Arial"/>
                <w:b/>
                <w:spacing w:val="-8"/>
              </w:rPr>
              <w:t xml:space="preserve"> </w:t>
            </w:r>
            <w:r>
              <w:rPr>
                <w:rFonts w:ascii="Arial"/>
                <w:b/>
                <w:spacing w:val="-4"/>
              </w:rPr>
              <w:t>Neta</w:t>
            </w:r>
          </w:p>
        </w:tc>
        <w:tc>
          <w:tcPr>
            <w:tcW w:w="2558" w:type="dxa"/>
            <w:tcBorders>
              <w:top w:val="single" w:sz="8" w:space="0" w:color="000000"/>
              <w:bottom w:val="single" w:sz="8" w:space="0" w:color="000000"/>
            </w:tcBorders>
          </w:tcPr>
          <w:p w:rsidR="009B4BB4" w:rsidRDefault="00C44001">
            <w:pPr>
              <w:pStyle w:val="TableParagraph"/>
              <w:spacing w:before="49"/>
              <w:ind w:right="642"/>
              <w:jc w:val="right"/>
              <w:rPr>
                <w:rFonts w:ascii="Arial"/>
                <w:b/>
              </w:rPr>
            </w:pPr>
            <w:r>
              <w:rPr>
                <w:rFonts w:ascii="Arial"/>
                <w:b/>
                <w:spacing w:val="-2"/>
              </w:rPr>
              <w:t>$4,778</w:t>
            </w:r>
          </w:p>
        </w:tc>
        <w:tc>
          <w:tcPr>
            <w:tcW w:w="2373" w:type="dxa"/>
            <w:tcBorders>
              <w:top w:val="single" w:sz="8" w:space="0" w:color="000000"/>
              <w:bottom w:val="single" w:sz="8" w:space="0" w:color="000000"/>
            </w:tcBorders>
          </w:tcPr>
          <w:p w:rsidR="009B4BB4" w:rsidRDefault="00C44001">
            <w:pPr>
              <w:pStyle w:val="TableParagraph"/>
              <w:spacing w:before="49"/>
              <w:ind w:left="419"/>
              <w:jc w:val="center"/>
              <w:rPr>
                <w:rFonts w:ascii="Arial"/>
                <w:b/>
              </w:rPr>
            </w:pPr>
            <w:r>
              <w:rPr>
                <w:rFonts w:ascii="Arial"/>
                <w:b/>
                <w:spacing w:val="-5"/>
              </w:rPr>
              <w:t>36%</w:t>
            </w:r>
          </w:p>
        </w:tc>
      </w:tr>
    </w:tbl>
    <w:p w:rsidR="009B4BB4" w:rsidRDefault="00C44001">
      <w:pPr>
        <w:pStyle w:val="Textoindependiente"/>
        <w:spacing w:before="242" w:line="360" w:lineRule="auto"/>
        <w:ind w:left="425" w:right="671" w:firstLine="30"/>
      </w:pPr>
      <w:r>
        <w:rPr>
          <w:rFonts w:ascii="Arial" w:hAnsi="Arial"/>
          <w:i/>
        </w:rPr>
        <w:t xml:space="preserve">Nota. </w:t>
      </w:r>
      <w:r>
        <w:t>El modelo refleja una utilidad neta proyectada</w:t>
      </w:r>
      <w:r>
        <w:rPr>
          <w:spacing w:val="-3"/>
        </w:rPr>
        <w:t xml:space="preserve"> </w:t>
      </w:r>
      <w:r>
        <w:t>del</w:t>
      </w:r>
      <w:r>
        <w:rPr>
          <w:spacing w:val="-4"/>
        </w:rPr>
        <w:t xml:space="preserve"> </w:t>
      </w:r>
      <w:r>
        <w:t>36%,</w:t>
      </w:r>
      <w:r>
        <w:rPr>
          <w:spacing w:val="-3"/>
        </w:rPr>
        <w:t xml:space="preserve"> </w:t>
      </w:r>
      <w:r>
        <w:t>validando</w:t>
      </w:r>
      <w:r>
        <w:rPr>
          <w:spacing w:val="-4"/>
        </w:rPr>
        <w:t xml:space="preserve"> </w:t>
      </w:r>
      <w:r>
        <w:t>la</w:t>
      </w:r>
      <w:r>
        <w:rPr>
          <w:spacing w:val="-3"/>
        </w:rPr>
        <w:t xml:space="preserve"> </w:t>
      </w:r>
      <w:r>
        <w:t>capacidad</w:t>
      </w:r>
      <w:r>
        <w:rPr>
          <w:spacing w:val="-4"/>
        </w:rPr>
        <w:t xml:space="preserve"> </w:t>
      </w:r>
      <w:r>
        <w:t>del proyecto para autofinanciar futuros ciclos productivos. Elaboración propia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pPr>
        <w:pStyle w:val="Textoindependiente"/>
        <w:spacing w:before="1" w:line="360" w:lineRule="auto"/>
        <w:ind w:left="425" w:right="609" w:firstLine="720"/>
        <w:jc w:val="both"/>
      </w:pPr>
      <w:r>
        <w:t xml:space="preserve">Este resultado confirma la solidez financiera del modelo asset-light </w:t>
      </w:r>
      <w:r>
        <w:t xml:space="preserve">adoptado por Guardiana. A diferencia de esquemas tradicionales que dependen del volumen para alcanzar rentabilidad, el posicionamiento </w:t>
      </w:r>
      <w:r>
        <w:rPr>
          <w:rFonts w:ascii="Arial"/>
          <w:i/>
        </w:rPr>
        <w:t xml:space="preserve">premium </w:t>
      </w:r>
      <w:r>
        <w:t>permite obtener una utilidad neta del 36% incluso a escala piloto.</w:t>
      </w:r>
    </w:p>
    <w:p w:rsidR="009B4BB4" w:rsidRDefault="00C44001">
      <w:pPr>
        <w:pStyle w:val="Textoindependiente"/>
        <w:spacing w:before="239" w:line="360" w:lineRule="auto"/>
        <w:ind w:left="425" w:right="609" w:firstLine="720"/>
        <w:jc w:val="both"/>
      </w:pPr>
      <w:proofErr w:type="gramStart"/>
      <w:r>
        <w:t>Este margen no sólo valida</w:t>
      </w:r>
      <w:proofErr w:type="gramEnd"/>
      <w:r>
        <w:t xml:space="preserve"> la viabilidad del m</w:t>
      </w:r>
      <w:r>
        <w:t>odelo, sino que evidencia su capacidad</w:t>
      </w:r>
      <w:r>
        <w:rPr>
          <w:spacing w:val="-4"/>
        </w:rPr>
        <w:t xml:space="preserve"> </w:t>
      </w:r>
      <w:r>
        <w:t>de</w:t>
      </w:r>
      <w:r>
        <w:rPr>
          <w:spacing w:val="-4"/>
        </w:rPr>
        <w:t xml:space="preserve"> </w:t>
      </w:r>
      <w:r>
        <w:t>autofinanciamiento.</w:t>
      </w:r>
      <w:r>
        <w:rPr>
          <w:spacing w:val="-4"/>
        </w:rPr>
        <w:t xml:space="preserve"> </w:t>
      </w:r>
      <w:r>
        <w:t>El</w:t>
      </w:r>
      <w:r>
        <w:rPr>
          <w:spacing w:val="-4"/>
        </w:rPr>
        <w:t xml:space="preserve"> </w:t>
      </w:r>
      <w:r>
        <w:t>flujo</w:t>
      </w:r>
      <w:r>
        <w:rPr>
          <w:spacing w:val="-4"/>
        </w:rPr>
        <w:t xml:space="preserve"> </w:t>
      </w:r>
      <w:r>
        <w:t>de</w:t>
      </w:r>
      <w:r>
        <w:rPr>
          <w:spacing w:val="-4"/>
        </w:rPr>
        <w:t xml:space="preserve"> </w:t>
      </w:r>
      <w:r>
        <w:t>efectivo</w:t>
      </w:r>
      <w:r>
        <w:rPr>
          <w:spacing w:val="-4"/>
        </w:rPr>
        <w:t xml:space="preserve"> </w:t>
      </w:r>
      <w:r>
        <w:t>libre</w:t>
      </w:r>
      <w:r>
        <w:rPr>
          <w:spacing w:val="-4"/>
        </w:rPr>
        <w:t xml:space="preserve"> </w:t>
      </w:r>
      <w:r>
        <w:t>generado,</w:t>
      </w:r>
      <w:r>
        <w:rPr>
          <w:spacing w:val="-4"/>
        </w:rPr>
        <w:t xml:space="preserve"> </w:t>
      </w:r>
      <w:r>
        <w:t>equivalente</w:t>
      </w:r>
      <w:r>
        <w:rPr>
          <w:spacing w:val="-4"/>
        </w:rPr>
        <w:t xml:space="preserve"> </w:t>
      </w:r>
      <w:r>
        <w:t>a</w:t>
      </w:r>
      <w:r>
        <w:rPr>
          <w:spacing w:val="-4"/>
        </w:rPr>
        <w:t xml:space="preserve"> </w:t>
      </w:r>
      <w:r>
        <w:t>$4,778 USD, permite cubrir la inversión operativa del siguiente ciclo productivo, reduciendo la dependencia de deuda externa y facilitando un c</w:t>
      </w:r>
      <w:r>
        <w:t>recimiento progresivo.</w:t>
      </w:r>
    </w:p>
    <w:p w:rsidR="009B4BB4" w:rsidRDefault="00C44001" w:rsidP="00C44001">
      <w:pPr>
        <w:pStyle w:val="Ttulo2"/>
        <w:numPr>
          <w:ilvl w:val="2"/>
          <w:numId w:val="13"/>
        </w:numPr>
        <w:tabs>
          <w:tab w:val="left" w:pos="1000"/>
        </w:tabs>
        <w:spacing w:before="241"/>
        <w:ind w:left="1000" w:hanging="545"/>
      </w:pPr>
      <w:bookmarkStart w:id="239" w:name="7.2.2_Capacidad_productiva_y_factibilida"/>
      <w:bookmarkStart w:id="240" w:name="h.qibcqgg75d6u"/>
      <w:bookmarkEnd w:id="239"/>
      <w:bookmarkEnd w:id="240"/>
      <w:r>
        <w:t>Capacidad</w:t>
      </w:r>
      <w:r>
        <w:rPr>
          <w:spacing w:val="-7"/>
        </w:rPr>
        <w:t xml:space="preserve"> </w:t>
      </w:r>
      <w:r>
        <w:t>productiva</w:t>
      </w:r>
      <w:r>
        <w:rPr>
          <w:spacing w:val="-7"/>
        </w:rPr>
        <w:t xml:space="preserve"> </w:t>
      </w:r>
      <w:r>
        <w:t>y</w:t>
      </w:r>
      <w:r>
        <w:rPr>
          <w:spacing w:val="-7"/>
        </w:rPr>
        <w:t xml:space="preserve"> </w:t>
      </w:r>
      <w:r>
        <w:t>factibilidad</w:t>
      </w:r>
      <w:r>
        <w:rPr>
          <w:spacing w:val="-7"/>
        </w:rPr>
        <w:t xml:space="preserve"> </w:t>
      </w:r>
      <w:r>
        <w:t>de</w:t>
      </w:r>
      <w:r>
        <w:rPr>
          <w:spacing w:val="-6"/>
        </w:rPr>
        <w:t xml:space="preserve"> </w:t>
      </w:r>
      <w:r>
        <w:rPr>
          <w:spacing w:val="-2"/>
        </w:rPr>
        <w:t>suministros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12" w:firstLine="720"/>
        <w:jc w:val="both"/>
      </w:pPr>
      <w:r>
        <w:t>Para la ejecución del lote piloto de 500 unidades, el plan de producción requiere un</w:t>
      </w:r>
      <w:r>
        <w:rPr>
          <w:spacing w:val="-3"/>
        </w:rPr>
        <w:t xml:space="preserve"> </w:t>
      </w:r>
      <w:r>
        <w:t>volumen</w:t>
      </w:r>
      <w:r>
        <w:rPr>
          <w:spacing w:val="-3"/>
        </w:rPr>
        <w:t xml:space="preserve"> </w:t>
      </w:r>
      <w:r>
        <w:t>total</w:t>
      </w:r>
      <w:r>
        <w:rPr>
          <w:spacing w:val="-3"/>
        </w:rPr>
        <w:t xml:space="preserve"> </w:t>
      </w:r>
      <w:r>
        <w:t>de</w:t>
      </w:r>
      <w:r>
        <w:rPr>
          <w:spacing w:val="-3"/>
        </w:rPr>
        <w:t xml:space="preserve"> </w:t>
      </w:r>
      <w:r>
        <w:t>28</w:t>
      </w:r>
      <w:r>
        <w:rPr>
          <w:spacing w:val="-3"/>
        </w:rPr>
        <w:t xml:space="preserve"> </w:t>
      </w:r>
      <w:r>
        <w:t>litros</w:t>
      </w:r>
      <w:r>
        <w:rPr>
          <w:spacing w:val="-3"/>
        </w:rPr>
        <w:t xml:space="preserve"> </w:t>
      </w:r>
      <w:r>
        <w:t>de</w:t>
      </w:r>
      <w:r>
        <w:rPr>
          <w:spacing w:val="-3"/>
        </w:rPr>
        <w:t xml:space="preserve"> </w:t>
      </w:r>
      <w:r>
        <w:t>miel</w:t>
      </w:r>
      <w:r>
        <w:rPr>
          <w:spacing w:val="-3"/>
        </w:rPr>
        <w:t xml:space="preserve"> </w:t>
      </w:r>
      <w:r>
        <w:t>melipona.</w:t>
      </w:r>
      <w:r>
        <w:rPr>
          <w:spacing w:val="-3"/>
        </w:rPr>
        <w:t xml:space="preserve"> </w:t>
      </w:r>
      <w:r>
        <w:t>Este</w:t>
      </w:r>
      <w:r>
        <w:rPr>
          <w:spacing w:val="-3"/>
        </w:rPr>
        <w:t xml:space="preserve"> </w:t>
      </w:r>
      <w:r>
        <w:t>cálculo</w:t>
      </w:r>
      <w:r>
        <w:rPr>
          <w:spacing w:val="-3"/>
        </w:rPr>
        <w:t xml:space="preserve"> </w:t>
      </w:r>
      <w:r>
        <w:t>se</w:t>
      </w:r>
      <w:r>
        <w:rPr>
          <w:spacing w:val="-3"/>
        </w:rPr>
        <w:t xml:space="preserve"> </w:t>
      </w:r>
      <w:r>
        <w:t>basa</w:t>
      </w:r>
      <w:r>
        <w:rPr>
          <w:spacing w:val="-3"/>
        </w:rPr>
        <w:t xml:space="preserve"> </w:t>
      </w:r>
      <w:r>
        <w:t>en</w:t>
      </w:r>
      <w:r>
        <w:rPr>
          <w:spacing w:val="-3"/>
        </w:rPr>
        <w:t xml:space="preserve"> </w:t>
      </w:r>
      <w:r>
        <w:t>la</w:t>
      </w:r>
      <w:r>
        <w:rPr>
          <w:spacing w:val="-3"/>
        </w:rPr>
        <w:t xml:space="preserve"> </w:t>
      </w:r>
      <w:r>
        <w:t>estandarización del producto por peso neto (300 unidades de 100 g)</w:t>
      </w:r>
      <w:r>
        <w:rPr>
          <w:spacing w:val="-3"/>
        </w:rPr>
        <w:t xml:space="preserve"> </w:t>
      </w:r>
      <w:r>
        <w:t>y</w:t>
      </w:r>
      <w:r>
        <w:rPr>
          <w:spacing w:val="-3"/>
        </w:rPr>
        <w:t xml:space="preserve"> </w:t>
      </w:r>
      <w:r>
        <w:t>volumen</w:t>
      </w:r>
      <w:r>
        <w:rPr>
          <w:spacing w:val="-3"/>
        </w:rPr>
        <w:t xml:space="preserve"> </w:t>
      </w:r>
      <w:r>
        <w:t>(200</w:t>
      </w:r>
      <w:r>
        <w:rPr>
          <w:spacing w:val="-3"/>
        </w:rPr>
        <w:t xml:space="preserve"> </w:t>
      </w:r>
      <w:r>
        <w:t>unidades</w:t>
      </w:r>
      <w:r>
        <w:rPr>
          <w:spacing w:val="-3"/>
        </w:rPr>
        <w:t xml:space="preserve"> </w:t>
      </w:r>
      <w:r>
        <w:t>de</w:t>
      </w:r>
      <w:r>
        <w:rPr>
          <w:spacing w:val="-3"/>
        </w:rPr>
        <w:t xml:space="preserve"> </w:t>
      </w:r>
      <w:r>
        <w:t>20</w:t>
      </w:r>
      <w:r>
        <w:rPr>
          <w:spacing w:val="-3"/>
        </w:rPr>
        <w:t xml:space="preserve"> </w:t>
      </w:r>
      <w:r>
        <w:t>ml),</w:t>
      </w:r>
    </w:p>
    <w:p w:rsidR="009B4BB4" w:rsidRDefault="009B4BB4">
      <w:pPr>
        <w:pStyle w:val="Textoindependiente"/>
        <w:spacing w:line="360" w:lineRule="auto"/>
        <w:jc w:val="both"/>
        <w:sectPr w:rsidR="009B4BB4">
          <w:type w:val="continuous"/>
          <w:pgSz w:w="11920" w:h="16840"/>
          <w:pgMar w:top="1720" w:right="850" w:bottom="1940" w:left="1275" w:header="0" w:footer="1747" w:gutter="0"/>
          <w:cols w:space="720"/>
        </w:sectPr>
      </w:pPr>
    </w:p>
    <w:p w:rsidR="009B4BB4" w:rsidRDefault="00C44001">
      <w:pPr>
        <w:pStyle w:val="Textoindependiente"/>
        <w:spacing w:before="79" w:line="360" w:lineRule="auto"/>
        <w:ind w:left="425" w:right="609"/>
        <w:jc w:val="both"/>
      </w:pPr>
      <w:proofErr w:type="gramStart"/>
      <w:r>
        <w:lastRenderedPageBreak/>
        <w:t>considerando</w:t>
      </w:r>
      <w:proofErr w:type="gramEnd"/>
      <w:r>
        <w:t xml:space="preserve"> una densidad promedio de 1.35 g/ml y</w:t>
      </w:r>
      <w:r>
        <w:rPr>
          <w:spacing w:val="-4"/>
        </w:rPr>
        <w:t xml:space="preserve"> </w:t>
      </w:r>
      <w:r>
        <w:t>un</w:t>
      </w:r>
      <w:r>
        <w:rPr>
          <w:spacing w:val="-4"/>
        </w:rPr>
        <w:t xml:space="preserve"> </w:t>
      </w:r>
      <w:r>
        <w:t>margen</w:t>
      </w:r>
      <w:r>
        <w:rPr>
          <w:spacing w:val="-4"/>
        </w:rPr>
        <w:t xml:space="preserve"> </w:t>
      </w:r>
      <w:r>
        <w:t>técnico</w:t>
      </w:r>
      <w:r>
        <w:rPr>
          <w:spacing w:val="-4"/>
        </w:rPr>
        <w:t xml:space="preserve"> </w:t>
      </w:r>
      <w:r>
        <w:t>para</w:t>
      </w:r>
      <w:r>
        <w:rPr>
          <w:spacing w:val="-4"/>
        </w:rPr>
        <w:t xml:space="preserve"> </w:t>
      </w:r>
      <w:r>
        <w:t>mermas</w:t>
      </w:r>
      <w:r>
        <w:rPr>
          <w:spacing w:val="-4"/>
        </w:rPr>
        <w:t xml:space="preserve"> </w:t>
      </w:r>
      <w:r>
        <w:t>de envasado, lo que asegura consistencia en el volumen</w:t>
      </w:r>
      <w:r>
        <w:t xml:space="preserve"> final comercializado.</w:t>
      </w:r>
    </w:p>
    <w:p w:rsidR="009B4BB4" w:rsidRDefault="00C44001">
      <w:pPr>
        <w:pStyle w:val="Textoindependiente"/>
        <w:spacing w:line="360" w:lineRule="auto"/>
        <w:ind w:left="425" w:right="609" w:firstLine="720"/>
        <w:jc w:val="both"/>
      </w:pPr>
      <w:r>
        <w:t xml:space="preserve">Considerando la biología de la </w:t>
      </w:r>
      <w:r>
        <w:rPr>
          <w:rFonts w:ascii="Arial" w:hAnsi="Arial"/>
          <w:i/>
        </w:rPr>
        <w:t>Melipona beecheii</w:t>
      </w:r>
      <w:r>
        <w:t>, cuya producción por colonia oscila</w:t>
      </w:r>
      <w:r>
        <w:rPr>
          <w:spacing w:val="22"/>
        </w:rPr>
        <w:t xml:space="preserve"> </w:t>
      </w:r>
      <w:r>
        <w:t>entre</w:t>
      </w:r>
      <w:r>
        <w:rPr>
          <w:spacing w:val="25"/>
        </w:rPr>
        <w:t xml:space="preserve"> </w:t>
      </w:r>
      <w:r>
        <w:t>0.5</w:t>
      </w:r>
      <w:r>
        <w:rPr>
          <w:spacing w:val="10"/>
        </w:rPr>
        <w:t xml:space="preserve"> </w:t>
      </w:r>
      <w:r>
        <w:t>y</w:t>
      </w:r>
      <w:r>
        <w:rPr>
          <w:spacing w:val="11"/>
        </w:rPr>
        <w:t xml:space="preserve"> </w:t>
      </w:r>
      <w:r>
        <w:t>2</w:t>
      </w:r>
      <w:r>
        <w:rPr>
          <w:spacing w:val="10"/>
        </w:rPr>
        <w:t xml:space="preserve"> </w:t>
      </w:r>
      <w:r>
        <w:t>litros</w:t>
      </w:r>
      <w:r>
        <w:rPr>
          <w:spacing w:val="10"/>
        </w:rPr>
        <w:t xml:space="preserve"> </w:t>
      </w:r>
      <w:r>
        <w:t>anuales,</w:t>
      </w:r>
      <w:r>
        <w:rPr>
          <w:spacing w:val="11"/>
        </w:rPr>
        <w:t xml:space="preserve"> </w:t>
      </w:r>
      <w:r>
        <w:t>la</w:t>
      </w:r>
      <w:r>
        <w:rPr>
          <w:spacing w:val="10"/>
        </w:rPr>
        <w:t xml:space="preserve"> </w:t>
      </w:r>
      <w:r>
        <w:t>operación</w:t>
      </w:r>
      <w:r>
        <w:rPr>
          <w:spacing w:val="11"/>
        </w:rPr>
        <w:t xml:space="preserve"> </w:t>
      </w:r>
      <w:r>
        <w:t>inicial</w:t>
      </w:r>
      <w:r>
        <w:rPr>
          <w:spacing w:val="10"/>
        </w:rPr>
        <w:t xml:space="preserve"> </w:t>
      </w:r>
      <w:r>
        <w:t>requiere</w:t>
      </w:r>
      <w:r>
        <w:rPr>
          <w:spacing w:val="10"/>
        </w:rPr>
        <w:t xml:space="preserve"> </w:t>
      </w:r>
      <w:r>
        <w:t>el</w:t>
      </w:r>
      <w:r>
        <w:rPr>
          <w:spacing w:val="11"/>
        </w:rPr>
        <w:t xml:space="preserve"> </w:t>
      </w:r>
      <w:r>
        <w:t>respaldo</w:t>
      </w:r>
      <w:r>
        <w:rPr>
          <w:spacing w:val="10"/>
        </w:rPr>
        <w:t xml:space="preserve"> </w:t>
      </w:r>
      <w:r>
        <w:t>de</w:t>
      </w:r>
      <w:r>
        <w:rPr>
          <w:spacing w:val="11"/>
        </w:rPr>
        <w:t xml:space="preserve"> </w:t>
      </w:r>
      <w:r>
        <w:t>entre</w:t>
      </w:r>
      <w:r>
        <w:rPr>
          <w:spacing w:val="10"/>
        </w:rPr>
        <w:t xml:space="preserve"> </w:t>
      </w:r>
      <w:r>
        <w:t>14</w:t>
      </w:r>
      <w:r>
        <w:rPr>
          <w:spacing w:val="11"/>
        </w:rPr>
        <w:t xml:space="preserve"> </w:t>
      </w:r>
      <w:r>
        <w:rPr>
          <w:spacing w:val="-10"/>
        </w:rPr>
        <w:t>y</w:t>
      </w:r>
    </w:p>
    <w:p w:rsidR="009B4BB4" w:rsidRDefault="00C44001">
      <w:pPr>
        <w:pStyle w:val="Textoindependiente"/>
        <w:spacing w:before="0" w:line="360" w:lineRule="auto"/>
        <w:ind w:left="425" w:right="671"/>
      </w:pPr>
      <w:r>
        <w:t>56</w:t>
      </w:r>
      <w:r>
        <w:rPr>
          <w:spacing w:val="40"/>
        </w:rPr>
        <w:t xml:space="preserve"> </w:t>
      </w:r>
      <w:r>
        <w:t>colonias,</w:t>
      </w:r>
      <w:r>
        <w:rPr>
          <w:spacing w:val="40"/>
        </w:rPr>
        <w:t xml:space="preserve"> </w:t>
      </w:r>
      <w:r>
        <w:t>lo</w:t>
      </w:r>
      <w:r>
        <w:rPr>
          <w:spacing w:val="40"/>
        </w:rPr>
        <w:t xml:space="preserve"> </w:t>
      </w:r>
      <w:r>
        <w:t>que</w:t>
      </w:r>
      <w:r>
        <w:rPr>
          <w:spacing w:val="40"/>
        </w:rPr>
        <w:t xml:space="preserve"> </w:t>
      </w:r>
      <w:r>
        <w:t>establece</w:t>
      </w:r>
      <w:r>
        <w:rPr>
          <w:spacing w:val="40"/>
        </w:rPr>
        <w:t xml:space="preserve"> </w:t>
      </w:r>
      <w:r>
        <w:t>una</w:t>
      </w:r>
      <w:r>
        <w:rPr>
          <w:spacing w:val="40"/>
        </w:rPr>
        <w:t xml:space="preserve"> </w:t>
      </w:r>
      <w:r>
        <w:t>base</w:t>
      </w:r>
      <w:r>
        <w:rPr>
          <w:spacing w:val="40"/>
        </w:rPr>
        <w:t xml:space="preserve"> </w:t>
      </w:r>
      <w:r>
        <w:t>productiva</w:t>
      </w:r>
      <w:r>
        <w:rPr>
          <w:spacing w:val="40"/>
        </w:rPr>
        <w:t xml:space="preserve"> </w:t>
      </w:r>
      <w:r>
        <w:t>alcanzable</w:t>
      </w:r>
      <w:r>
        <w:rPr>
          <w:spacing w:val="40"/>
        </w:rPr>
        <w:t xml:space="preserve"> </w:t>
      </w:r>
      <w:r>
        <w:t>mediante</w:t>
      </w:r>
      <w:r>
        <w:rPr>
          <w:spacing w:val="40"/>
        </w:rPr>
        <w:t xml:space="preserve"> </w:t>
      </w:r>
      <w:r>
        <w:t>una</w:t>
      </w:r>
      <w:r>
        <w:rPr>
          <w:spacing w:val="40"/>
        </w:rPr>
        <w:t xml:space="preserve"> </w:t>
      </w:r>
      <w:r>
        <w:t>red</w:t>
      </w:r>
      <w:r>
        <w:rPr>
          <w:spacing w:val="40"/>
        </w:rPr>
        <w:t xml:space="preserve"> </w:t>
      </w:r>
      <w:r>
        <w:t>de meliponicultores aliados.</w:t>
      </w:r>
    </w:p>
    <w:p w:rsidR="009B4BB4" w:rsidRDefault="00C44001">
      <w:pPr>
        <w:pStyle w:val="Ttulo1"/>
        <w:spacing w:before="240"/>
        <w:jc w:val="both"/>
      </w:pPr>
      <w:r>
        <w:rPr>
          <w:spacing w:val="-2"/>
        </w:rPr>
        <w:t>Tabla</w:t>
      </w:r>
      <w:r>
        <w:rPr>
          <w:spacing w:val="-11"/>
        </w:rPr>
        <w:t xml:space="preserve"> </w:t>
      </w:r>
      <w:r>
        <w:rPr>
          <w:spacing w:val="-5"/>
        </w:rPr>
        <w:t>7.7</w:t>
      </w:r>
    </w:p>
    <w:p w:rsidR="009B4BB4" w:rsidRDefault="00C44001">
      <w:pPr>
        <w:spacing w:before="127"/>
        <w:ind w:left="455"/>
        <w:jc w:val="both"/>
        <w:rPr>
          <w:rFonts w:ascii="Arial"/>
          <w:i/>
        </w:rPr>
      </w:pPr>
      <w:r>
        <w:rPr>
          <w:rFonts w:ascii="Arial"/>
          <w:i/>
        </w:rPr>
        <w:t>Escenarios</w:t>
      </w:r>
      <w:r>
        <w:rPr>
          <w:rFonts w:ascii="Arial"/>
          <w:i/>
          <w:spacing w:val="-8"/>
        </w:rPr>
        <w:t xml:space="preserve"> </w:t>
      </w:r>
      <w:r>
        <w:rPr>
          <w:rFonts w:ascii="Arial"/>
          <w:i/>
        </w:rPr>
        <w:t>de</w:t>
      </w:r>
      <w:r>
        <w:rPr>
          <w:rFonts w:ascii="Arial"/>
          <w:i/>
          <w:spacing w:val="-5"/>
        </w:rPr>
        <w:t xml:space="preserve"> </w:t>
      </w:r>
      <w:r>
        <w:rPr>
          <w:rFonts w:ascii="Arial"/>
          <w:i/>
        </w:rPr>
        <w:t>colonias</w:t>
      </w:r>
      <w:r>
        <w:rPr>
          <w:rFonts w:ascii="Arial"/>
          <w:i/>
          <w:spacing w:val="-5"/>
        </w:rPr>
        <w:t xml:space="preserve"> </w:t>
      </w:r>
      <w:r>
        <w:rPr>
          <w:rFonts w:ascii="Arial"/>
          <w:i/>
        </w:rPr>
        <w:t>requeridas</w:t>
      </w:r>
      <w:r>
        <w:rPr>
          <w:rFonts w:ascii="Arial"/>
          <w:i/>
          <w:spacing w:val="-6"/>
        </w:rPr>
        <w:t xml:space="preserve"> </w:t>
      </w:r>
      <w:r>
        <w:rPr>
          <w:rFonts w:ascii="Arial"/>
          <w:i/>
        </w:rPr>
        <w:t>para</w:t>
      </w:r>
      <w:r>
        <w:rPr>
          <w:rFonts w:ascii="Arial"/>
          <w:i/>
          <w:spacing w:val="-5"/>
        </w:rPr>
        <w:t xml:space="preserve"> </w:t>
      </w:r>
      <w:r>
        <w:rPr>
          <w:rFonts w:ascii="Arial"/>
          <w:i/>
        </w:rPr>
        <w:t>producir</w:t>
      </w:r>
      <w:r>
        <w:rPr>
          <w:rFonts w:ascii="Arial"/>
          <w:i/>
          <w:spacing w:val="-5"/>
        </w:rPr>
        <w:t xml:space="preserve"> </w:t>
      </w:r>
      <w:r>
        <w:rPr>
          <w:rFonts w:ascii="Arial"/>
          <w:i/>
        </w:rPr>
        <w:t>el</w:t>
      </w:r>
      <w:r>
        <w:rPr>
          <w:rFonts w:ascii="Arial"/>
          <w:i/>
          <w:spacing w:val="-5"/>
        </w:rPr>
        <w:t xml:space="preserve"> </w:t>
      </w:r>
      <w:r>
        <w:rPr>
          <w:rFonts w:ascii="Arial"/>
          <w:i/>
        </w:rPr>
        <w:t>lote</w:t>
      </w:r>
      <w:r>
        <w:rPr>
          <w:rFonts w:ascii="Arial"/>
          <w:i/>
          <w:spacing w:val="-6"/>
        </w:rPr>
        <w:t xml:space="preserve"> </w:t>
      </w:r>
      <w:r>
        <w:rPr>
          <w:rFonts w:ascii="Arial"/>
          <w:i/>
        </w:rPr>
        <w:t>piloto</w:t>
      </w:r>
      <w:r>
        <w:rPr>
          <w:rFonts w:ascii="Arial"/>
          <w:i/>
          <w:spacing w:val="-5"/>
        </w:rPr>
        <w:t xml:space="preserve"> </w:t>
      </w:r>
      <w:r>
        <w:rPr>
          <w:rFonts w:ascii="Arial"/>
          <w:i/>
        </w:rPr>
        <w:t>de</w:t>
      </w:r>
      <w:r>
        <w:rPr>
          <w:rFonts w:ascii="Arial"/>
          <w:i/>
          <w:spacing w:val="-5"/>
        </w:rPr>
        <w:t xml:space="preserve"> </w:t>
      </w:r>
      <w:r>
        <w:rPr>
          <w:rFonts w:ascii="Arial"/>
          <w:i/>
        </w:rPr>
        <w:t>28</w:t>
      </w:r>
      <w:r>
        <w:rPr>
          <w:rFonts w:ascii="Arial"/>
          <w:i/>
          <w:spacing w:val="-5"/>
        </w:rPr>
        <w:t xml:space="preserve"> </w:t>
      </w:r>
      <w:r>
        <w:rPr>
          <w:rFonts w:ascii="Arial"/>
          <w:i/>
          <w:spacing w:val="-2"/>
        </w:rPr>
        <w:t>litros</w:t>
      </w:r>
    </w:p>
    <w:p w:rsidR="009B4BB4" w:rsidRDefault="009B4BB4">
      <w:pPr>
        <w:pStyle w:val="Textoindependiente"/>
        <w:spacing w:before="7" w:after="1"/>
        <w:rPr>
          <w:rFonts w:ascii="Arial"/>
          <w:i/>
          <w:sz w:val="9"/>
        </w:rPr>
      </w:pPr>
    </w:p>
    <w:tbl>
      <w:tblPr>
        <w:tblStyle w:val="TableNormal"/>
        <w:tblW w:w="0" w:type="auto"/>
        <w:tblInd w:w="432" w:type="dxa"/>
        <w:tblLayout w:type="fixed"/>
        <w:tblLook w:val="01E0" w:firstRow="1" w:lastRow="1" w:firstColumn="1" w:lastColumn="1" w:noHBand="0" w:noVBand="0"/>
      </w:tblPr>
      <w:tblGrid>
        <w:gridCol w:w="3946"/>
        <w:gridCol w:w="2368"/>
        <w:gridCol w:w="2367"/>
      </w:tblGrid>
      <w:tr w:rsidR="009B4BB4">
        <w:trPr>
          <w:trHeight w:val="840"/>
        </w:trPr>
        <w:tc>
          <w:tcPr>
            <w:tcW w:w="3946" w:type="dxa"/>
            <w:tcBorders>
              <w:top w:val="single" w:sz="8" w:space="0" w:color="000000"/>
              <w:bottom w:val="single" w:sz="8" w:space="0" w:color="000000"/>
            </w:tcBorders>
          </w:tcPr>
          <w:p w:rsidR="009B4BB4" w:rsidRDefault="00C44001">
            <w:pPr>
              <w:pStyle w:val="TableParagraph"/>
              <w:spacing w:before="245"/>
              <w:ind w:left="105"/>
              <w:jc w:val="center"/>
              <w:rPr>
                <w:rFonts w:ascii="Arial"/>
                <w:b/>
              </w:rPr>
            </w:pPr>
            <w:r>
              <w:rPr>
                <w:rFonts w:ascii="Arial"/>
                <w:b/>
              </w:rPr>
              <w:t>Escenario</w:t>
            </w:r>
            <w:r>
              <w:rPr>
                <w:rFonts w:ascii="Arial"/>
                <w:b/>
                <w:spacing w:val="-6"/>
              </w:rPr>
              <w:t xml:space="preserve"> </w:t>
            </w:r>
            <w:r>
              <w:rPr>
                <w:rFonts w:ascii="Arial"/>
                <w:b/>
              </w:rPr>
              <w:t>de</w:t>
            </w:r>
            <w:r>
              <w:rPr>
                <w:rFonts w:ascii="Arial"/>
                <w:b/>
                <w:spacing w:val="-5"/>
              </w:rPr>
              <w:t xml:space="preserve"> </w:t>
            </w:r>
            <w:r>
              <w:rPr>
                <w:rFonts w:ascii="Arial"/>
                <w:b/>
                <w:spacing w:val="-2"/>
              </w:rPr>
              <w:t>Rendimiento</w:t>
            </w:r>
          </w:p>
        </w:tc>
        <w:tc>
          <w:tcPr>
            <w:tcW w:w="2368" w:type="dxa"/>
            <w:tcBorders>
              <w:top w:val="single" w:sz="8" w:space="0" w:color="000000"/>
              <w:bottom w:val="single" w:sz="8" w:space="0" w:color="000000"/>
            </w:tcBorders>
          </w:tcPr>
          <w:p w:rsidR="009B4BB4" w:rsidRDefault="00C44001">
            <w:pPr>
              <w:pStyle w:val="TableParagraph"/>
              <w:spacing w:before="55" w:line="360" w:lineRule="auto"/>
              <w:ind w:left="927" w:right="224" w:hanging="413"/>
              <w:rPr>
                <w:rFonts w:ascii="Arial" w:hAnsi="Arial"/>
                <w:b/>
              </w:rPr>
            </w:pPr>
            <w:r>
              <w:rPr>
                <w:rFonts w:ascii="Arial" w:hAnsi="Arial"/>
                <w:b/>
              </w:rPr>
              <w:t>Producción</w:t>
            </w:r>
            <w:r>
              <w:rPr>
                <w:rFonts w:ascii="Arial" w:hAnsi="Arial"/>
                <w:b/>
                <w:spacing w:val="-16"/>
              </w:rPr>
              <w:t xml:space="preserve"> </w:t>
            </w:r>
            <w:r>
              <w:rPr>
                <w:rFonts w:ascii="Arial" w:hAnsi="Arial"/>
                <w:b/>
              </w:rPr>
              <w:t xml:space="preserve">por </w:t>
            </w:r>
            <w:r>
              <w:rPr>
                <w:rFonts w:ascii="Arial" w:hAnsi="Arial"/>
                <w:b/>
                <w:spacing w:val="-2"/>
              </w:rPr>
              <w:t>colonia</w:t>
            </w:r>
          </w:p>
        </w:tc>
        <w:tc>
          <w:tcPr>
            <w:tcW w:w="2367" w:type="dxa"/>
            <w:tcBorders>
              <w:top w:val="single" w:sz="8" w:space="0" w:color="000000"/>
              <w:bottom w:val="single" w:sz="8" w:space="0" w:color="000000"/>
            </w:tcBorders>
          </w:tcPr>
          <w:p w:rsidR="009B4BB4" w:rsidRDefault="00C44001">
            <w:pPr>
              <w:pStyle w:val="TableParagraph"/>
              <w:spacing w:before="245"/>
              <w:ind w:left="201"/>
              <w:jc w:val="center"/>
              <w:rPr>
                <w:rFonts w:ascii="Arial"/>
                <w:b/>
              </w:rPr>
            </w:pPr>
            <w:r>
              <w:rPr>
                <w:rFonts w:ascii="Arial"/>
                <w:b/>
              </w:rPr>
              <w:t>Colonias</w:t>
            </w:r>
            <w:r>
              <w:rPr>
                <w:rFonts w:ascii="Arial"/>
                <w:b/>
                <w:spacing w:val="-8"/>
              </w:rPr>
              <w:t xml:space="preserve"> </w:t>
            </w:r>
            <w:r>
              <w:rPr>
                <w:rFonts w:ascii="Arial"/>
                <w:b/>
                <w:spacing w:val="-2"/>
              </w:rPr>
              <w:t>requeridas</w:t>
            </w:r>
          </w:p>
        </w:tc>
      </w:tr>
      <w:tr w:rsidR="009B4BB4">
        <w:trPr>
          <w:trHeight w:val="423"/>
        </w:trPr>
        <w:tc>
          <w:tcPr>
            <w:tcW w:w="3946" w:type="dxa"/>
            <w:tcBorders>
              <w:top w:val="single" w:sz="8" w:space="0" w:color="000000"/>
            </w:tcBorders>
          </w:tcPr>
          <w:p w:rsidR="009B4BB4" w:rsidRDefault="00C44001">
            <w:pPr>
              <w:pStyle w:val="TableParagraph"/>
              <w:spacing w:before="59"/>
              <w:ind w:left="105"/>
              <w:jc w:val="center"/>
            </w:pPr>
            <w:r>
              <w:t>Conservador</w:t>
            </w:r>
            <w:r>
              <w:rPr>
                <w:spacing w:val="-9"/>
              </w:rPr>
              <w:t xml:space="preserve"> </w:t>
            </w:r>
            <w:r>
              <w:t>(Riesgo</w:t>
            </w:r>
            <w:r>
              <w:rPr>
                <w:spacing w:val="-9"/>
              </w:rPr>
              <w:t xml:space="preserve"> </w:t>
            </w:r>
            <w:r>
              <w:rPr>
                <w:spacing w:val="-2"/>
              </w:rPr>
              <w:t>alto)</w:t>
            </w:r>
          </w:p>
        </w:tc>
        <w:tc>
          <w:tcPr>
            <w:tcW w:w="2368" w:type="dxa"/>
            <w:tcBorders>
              <w:top w:val="single" w:sz="8" w:space="0" w:color="000000"/>
            </w:tcBorders>
          </w:tcPr>
          <w:p w:rsidR="009B4BB4" w:rsidRDefault="00C44001">
            <w:pPr>
              <w:pStyle w:val="TableParagraph"/>
              <w:spacing w:before="59"/>
              <w:ind w:right="580"/>
              <w:jc w:val="right"/>
            </w:pPr>
            <w:r>
              <w:t>0.5</w:t>
            </w:r>
            <w:r>
              <w:rPr>
                <w:spacing w:val="-5"/>
              </w:rPr>
              <w:t xml:space="preserve"> </w:t>
            </w:r>
            <w:r>
              <w:rPr>
                <w:spacing w:val="-2"/>
              </w:rPr>
              <w:t>L/año</w:t>
            </w:r>
          </w:p>
        </w:tc>
        <w:tc>
          <w:tcPr>
            <w:tcW w:w="2367" w:type="dxa"/>
            <w:tcBorders>
              <w:top w:val="single" w:sz="8" w:space="0" w:color="000000"/>
            </w:tcBorders>
          </w:tcPr>
          <w:p w:rsidR="009B4BB4" w:rsidRDefault="00C44001">
            <w:pPr>
              <w:pStyle w:val="TableParagraph"/>
              <w:spacing w:before="59"/>
              <w:ind w:left="201"/>
              <w:jc w:val="center"/>
            </w:pPr>
            <w:r>
              <w:rPr>
                <w:spacing w:val="-5"/>
              </w:rPr>
              <w:t>56</w:t>
            </w:r>
          </w:p>
        </w:tc>
      </w:tr>
      <w:tr w:rsidR="009B4BB4">
        <w:trPr>
          <w:trHeight w:val="469"/>
        </w:trPr>
        <w:tc>
          <w:tcPr>
            <w:tcW w:w="3946" w:type="dxa"/>
          </w:tcPr>
          <w:p w:rsidR="009B4BB4" w:rsidRDefault="00C44001">
            <w:pPr>
              <w:pStyle w:val="TableParagraph"/>
              <w:spacing w:before="104"/>
              <w:ind w:left="105"/>
              <w:jc w:val="center"/>
            </w:pPr>
            <w:r>
              <w:t>Base</w:t>
            </w:r>
            <w:r>
              <w:rPr>
                <w:spacing w:val="-7"/>
              </w:rPr>
              <w:t xml:space="preserve"> </w:t>
            </w:r>
            <w:r>
              <w:t>(Escenario</w:t>
            </w:r>
            <w:r>
              <w:rPr>
                <w:spacing w:val="-7"/>
              </w:rPr>
              <w:t xml:space="preserve"> </w:t>
            </w:r>
            <w:r>
              <w:rPr>
                <w:spacing w:val="-2"/>
              </w:rPr>
              <w:t>Realista)</w:t>
            </w:r>
          </w:p>
        </w:tc>
        <w:tc>
          <w:tcPr>
            <w:tcW w:w="2368" w:type="dxa"/>
          </w:tcPr>
          <w:p w:rsidR="009B4BB4" w:rsidRDefault="00C44001">
            <w:pPr>
              <w:pStyle w:val="TableParagraph"/>
              <w:spacing w:before="104"/>
              <w:ind w:right="580"/>
              <w:jc w:val="right"/>
            </w:pPr>
            <w:r>
              <w:t>1.0</w:t>
            </w:r>
            <w:r>
              <w:rPr>
                <w:spacing w:val="-5"/>
              </w:rPr>
              <w:t xml:space="preserve"> </w:t>
            </w:r>
            <w:r>
              <w:rPr>
                <w:spacing w:val="-2"/>
              </w:rPr>
              <w:t>L/año</w:t>
            </w:r>
          </w:p>
        </w:tc>
        <w:tc>
          <w:tcPr>
            <w:tcW w:w="2367" w:type="dxa"/>
          </w:tcPr>
          <w:p w:rsidR="009B4BB4" w:rsidRDefault="00C44001">
            <w:pPr>
              <w:pStyle w:val="TableParagraph"/>
              <w:spacing w:before="104"/>
              <w:ind w:left="201"/>
              <w:jc w:val="center"/>
            </w:pPr>
            <w:r>
              <w:rPr>
                <w:spacing w:val="-5"/>
              </w:rPr>
              <w:t>28</w:t>
            </w:r>
          </w:p>
        </w:tc>
      </w:tr>
      <w:tr w:rsidR="009B4BB4">
        <w:trPr>
          <w:trHeight w:val="526"/>
        </w:trPr>
        <w:tc>
          <w:tcPr>
            <w:tcW w:w="3946" w:type="dxa"/>
            <w:tcBorders>
              <w:bottom w:val="single" w:sz="8" w:space="0" w:color="000000"/>
            </w:tcBorders>
          </w:tcPr>
          <w:p w:rsidR="009B4BB4" w:rsidRDefault="00C44001">
            <w:pPr>
              <w:pStyle w:val="TableParagraph"/>
              <w:spacing w:before="104"/>
              <w:ind w:left="105"/>
              <w:jc w:val="center"/>
            </w:pPr>
            <w:r>
              <w:t>Favorable</w:t>
            </w:r>
            <w:r>
              <w:rPr>
                <w:spacing w:val="-10"/>
              </w:rPr>
              <w:t xml:space="preserve"> </w:t>
            </w:r>
            <w:r>
              <w:t>(Floración</w:t>
            </w:r>
            <w:r>
              <w:rPr>
                <w:spacing w:val="-9"/>
              </w:rPr>
              <w:t xml:space="preserve"> </w:t>
            </w:r>
            <w:r>
              <w:rPr>
                <w:spacing w:val="-2"/>
              </w:rPr>
              <w:t>óptima)</w:t>
            </w:r>
          </w:p>
        </w:tc>
        <w:tc>
          <w:tcPr>
            <w:tcW w:w="2368" w:type="dxa"/>
            <w:tcBorders>
              <w:bottom w:val="single" w:sz="8" w:space="0" w:color="000000"/>
            </w:tcBorders>
          </w:tcPr>
          <w:p w:rsidR="009B4BB4" w:rsidRDefault="00C44001">
            <w:pPr>
              <w:pStyle w:val="TableParagraph"/>
              <w:spacing w:before="104"/>
              <w:ind w:right="580"/>
              <w:jc w:val="right"/>
            </w:pPr>
            <w:r>
              <w:t>2.0</w:t>
            </w:r>
            <w:r>
              <w:rPr>
                <w:spacing w:val="-5"/>
              </w:rPr>
              <w:t xml:space="preserve"> </w:t>
            </w:r>
            <w:r>
              <w:rPr>
                <w:spacing w:val="-2"/>
              </w:rPr>
              <w:t>L/año</w:t>
            </w:r>
          </w:p>
        </w:tc>
        <w:tc>
          <w:tcPr>
            <w:tcW w:w="2367" w:type="dxa"/>
            <w:tcBorders>
              <w:bottom w:val="single" w:sz="8" w:space="0" w:color="000000"/>
            </w:tcBorders>
          </w:tcPr>
          <w:p w:rsidR="009B4BB4" w:rsidRDefault="00C44001">
            <w:pPr>
              <w:pStyle w:val="TableParagraph"/>
              <w:spacing w:before="104"/>
              <w:ind w:left="201"/>
              <w:jc w:val="center"/>
            </w:pPr>
            <w:r>
              <w:rPr>
                <w:spacing w:val="-5"/>
              </w:rPr>
              <w:t>14</w:t>
            </w:r>
          </w:p>
        </w:tc>
      </w:tr>
    </w:tbl>
    <w:p w:rsidR="009B4BB4" w:rsidRDefault="00C44001">
      <w:pPr>
        <w:pStyle w:val="Textoindependiente"/>
        <w:spacing w:before="194" w:line="360" w:lineRule="auto"/>
        <w:ind w:left="425" w:right="606" w:firstLine="30"/>
        <w:jc w:val="both"/>
      </w:pPr>
      <w:r>
        <w:rPr>
          <w:rFonts w:ascii="Arial" w:hAnsi="Arial"/>
          <w:i/>
        </w:rPr>
        <w:t xml:space="preserve">Nota. </w:t>
      </w:r>
      <w:r>
        <w:t xml:space="preserve">Gestión de riesgo de suministro. El modelo financiero contempla la volatilidad productiva de la </w:t>
      </w:r>
      <w:r>
        <w:rPr>
          <w:rFonts w:ascii="Arial" w:hAnsi="Arial"/>
          <w:i/>
        </w:rPr>
        <w:t>Melipona beecheii</w:t>
      </w:r>
      <w:r>
        <w:t xml:space="preserve">, integrando márgenes de seguridad frente a factores climáticos para asegurar la continuidad operativa de Guardiana. Elaboración propia </w:t>
      </w:r>
      <w:r>
        <w:rPr>
          <w:spacing w:val="-2"/>
        </w:rPr>
        <w:t>(2025).</w:t>
      </w:r>
    </w:p>
    <w:p w:rsidR="009B4BB4" w:rsidRDefault="00C44001">
      <w:pPr>
        <w:pStyle w:val="Textoindependiente"/>
        <w:spacing w:line="360" w:lineRule="auto"/>
        <w:ind w:left="425" w:right="602" w:firstLine="720"/>
        <w:jc w:val="both"/>
      </w:pPr>
      <w:r>
        <w:t>Este análisis muestra que la viabilidad del piloto depende de operar bajo un modelo en red. Gestionar hasta 56 c</w:t>
      </w:r>
      <w:r>
        <w:t>olonias de forma individual sería ineficiente para un emprendimiento en etapa temprana; sin embargo, al distribuir la demanda entre una red de</w:t>
      </w:r>
      <w:r>
        <w:rPr>
          <w:spacing w:val="-3"/>
        </w:rPr>
        <w:t xml:space="preserve"> </w:t>
      </w:r>
      <w:r>
        <w:t>4</w:t>
      </w:r>
      <w:r>
        <w:rPr>
          <w:spacing w:val="-3"/>
        </w:rPr>
        <w:t xml:space="preserve"> </w:t>
      </w:r>
      <w:r>
        <w:t>a</w:t>
      </w:r>
      <w:r>
        <w:rPr>
          <w:spacing w:val="-3"/>
        </w:rPr>
        <w:t xml:space="preserve"> </w:t>
      </w:r>
      <w:r>
        <w:t>7</w:t>
      </w:r>
      <w:r>
        <w:rPr>
          <w:spacing w:val="-3"/>
        </w:rPr>
        <w:t xml:space="preserve"> </w:t>
      </w:r>
      <w:r>
        <w:t>familias</w:t>
      </w:r>
      <w:r>
        <w:rPr>
          <w:spacing w:val="-3"/>
        </w:rPr>
        <w:t xml:space="preserve"> </w:t>
      </w:r>
      <w:r>
        <w:t>de</w:t>
      </w:r>
      <w:r>
        <w:rPr>
          <w:spacing w:val="-3"/>
        </w:rPr>
        <w:t xml:space="preserve"> </w:t>
      </w:r>
      <w:r>
        <w:t>meliponicultores</w:t>
      </w:r>
      <w:r>
        <w:rPr>
          <w:spacing w:val="-3"/>
        </w:rPr>
        <w:t xml:space="preserve"> </w:t>
      </w:r>
      <w:r>
        <w:t>aliados,</w:t>
      </w:r>
      <w:r>
        <w:rPr>
          <w:spacing w:val="-3"/>
        </w:rPr>
        <w:t xml:space="preserve"> </w:t>
      </w:r>
      <w:r>
        <w:t>el</w:t>
      </w:r>
      <w:r>
        <w:rPr>
          <w:spacing w:val="-3"/>
        </w:rPr>
        <w:t xml:space="preserve"> </w:t>
      </w:r>
      <w:r>
        <w:t>volumen</w:t>
      </w:r>
      <w:r>
        <w:rPr>
          <w:spacing w:val="-3"/>
        </w:rPr>
        <w:t xml:space="preserve"> </w:t>
      </w:r>
      <w:r>
        <w:t>se</w:t>
      </w:r>
      <w:r>
        <w:rPr>
          <w:spacing w:val="-3"/>
        </w:rPr>
        <w:t xml:space="preserve"> </w:t>
      </w:r>
      <w:r>
        <w:t>vuelve</w:t>
      </w:r>
      <w:r>
        <w:rPr>
          <w:spacing w:val="-3"/>
        </w:rPr>
        <w:t xml:space="preserve"> </w:t>
      </w:r>
      <w:r>
        <w:t>manejable</w:t>
      </w:r>
      <w:r>
        <w:rPr>
          <w:spacing w:val="-3"/>
        </w:rPr>
        <w:t xml:space="preserve"> </w:t>
      </w:r>
      <w:r>
        <w:t>y</w:t>
      </w:r>
      <w:r>
        <w:rPr>
          <w:spacing w:val="-3"/>
        </w:rPr>
        <w:t xml:space="preserve"> </w:t>
      </w:r>
      <w:r>
        <w:t>se</w:t>
      </w:r>
      <w:r>
        <w:rPr>
          <w:spacing w:val="-3"/>
        </w:rPr>
        <w:t xml:space="preserve"> </w:t>
      </w:r>
      <w:r>
        <w:t>reduce el</w:t>
      </w:r>
      <w:r>
        <w:rPr>
          <w:spacing w:val="-4"/>
        </w:rPr>
        <w:t xml:space="preserve"> </w:t>
      </w:r>
      <w:r>
        <w:t>riesgo</w:t>
      </w:r>
      <w:r>
        <w:rPr>
          <w:spacing w:val="-4"/>
        </w:rPr>
        <w:t xml:space="preserve"> </w:t>
      </w:r>
      <w:r>
        <w:t>de</w:t>
      </w:r>
      <w:r>
        <w:rPr>
          <w:spacing w:val="-4"/>
        </w:rPr>
        <w:t xml:space="preserve"> </w:t>
      </w:r>
      <w:r>
        <w:t>desabasto</w:t>
      </w:r>
      <w:r>
        <w:rPr>
          <w:spacing w:val="-4"/>
        </w:rPr>
        <w:t xml:space="preserve"> </w:t>
      </w:r>
      <w:r>
        <w:t>aso</w:t>
      </w:r>
      <w:r>
        <w:t>ciado</w:t>
      </w:r>
      <w:r>
        <w:rPr>
          <w:spacing w:val="-4"/>
        </w:rPr>
        <w:t xml:space="preserve"> </w:t>
      </w:r>
      <w:r>
        <w:t>a</w:t>
      </w:r>
      <w:r>
        <w:rPr>
          <w:spacing w:val="-4"/>
        </w:rPr>
        <w:t xml:space="preserve"> </w:t>
      </w:r>
      <w:r>
        <w:t>factores</w:t>
      </w:r>
      <w:r>
        <w:rPr>
          <w:spacing w:val="-4"/>
        </w:rPr>
        <w:t xml:space="preserve"> </w:t>
      </w:r>
      <w:r>
        <w:t>climáticos</w:t>
      </w:r>
      <w:r>
        <w:rPr>
          <w:spacing w:val="-4"/>
        </w:rPr>
        <w:t xml:space="preserve"> </w:t>
      </w:r>
      <w:r>
        <w:t>locales,</w:t>
      </w:r>
      <w:r>
        <w:rPr>
          <w:spacing w:val="-4"/>
        </w:rPr>
        <w:t xml:space="preserve"> </w:t>
      </w:r>
      <w:r>
        <w:t>evitando</w:t>
      </w:r>
      <w:r>
        <w:rPr>
          <w:spacing w:val="-4"/>
        </w:rPr>
        <w:t xml:space="preserve"> </w:t>
      </w:r>
      <w:r>
        <w:t>la</w:t>
      </w:r>
      <w:r>
        <w:rPr>
          <w:spacing w:val="-4"/>
        </w:rPr>
        <w:t xml:space="preserve"> </w:t>
      </w:r>
      <w:r>
        <w:t>dependencia</w:t>
      </w:r>
      <w:r>
        <w:rPr>
          <w:spacing w:val="-4"/>
        </w:rPr>
        <w:t xml:space="preserve"> </w:t>
      </w:r>
      <w:r>
        <w:t>de un único punto de suministro.</w:t>
      </w:r>
    </w:p>
    <w:p w:rsidR="009B4BB4" w:rsidRDefault="00C44001">
      <w:pPr>
        <w:pStyle w:val="Textoindependiente"/>
        <w:spacing w:line="360" w:lineRule="auto"/>
        <w:ind w:left="425" w:right="602" w:firstLine="720"/>
        <w:jc w:val="both"/>
      </w:pPr>
      <w:r>
        <w:t>Asimismo, esta estructura operativa validó la tesis de impacto. Al dirigir capital directamente a la base de la cadena productiva, Guardiana asegurar su suministr</w:t>
      </w:r>
      <w:r>
        <w:t>o y refuerza su compromiso con la sostenibilidad social, integrando la lógica de Valor Compartido (Porter &amp; Kramer, 2011) desde la primera transacción, alineando el abastecimiento con el impacto social del modelo.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rsidP="00C44001">
      <w:pPr>
        <w:pStyle w:val="Ttulo2"/>
        <w:numPr>
          <w:ilvl w:val="2"/>
          <w:numId w:val="13"/>
        </w:numPr>
        <w:tabs>
          <w:tab w:val="left" w:pos="1000"/>
        </w:tabs>
        <w:spacing w:before="79"/>
        <w:ind w:left="1000" w:hanging="545"/>
      </w:pPr>
      <w:bookmarkStart w:id="241" w:name="7.2.3_Proyección_a_5_años__"/>
      <w:bookmarkStart w:id="242" w:name="h.jx7pew215um6"/>
      <w:bookmarkEnd w:id="241"/>
      <w:bookmarkEnd w:id="242"/>
      <w:r>
        <w:lastRenderedPageBreak/>
        <w:t>Proyección</w:t>
      </w:r>
      <w:r>
        <w:rPr>
          <w:spacing w:val="-4"/>
        </w:rPr>
        <w:t xml:space="preserve"> </w:t>
      </w:r>
      <w:r>
        <w:t>a</w:t>
      </w:r>
      <w:r>
        <w:rPr>
          <w:spacing w:val="-4"/>
        </w:rPr>
        <w:t xml:space="preserve"> </w:t>
      </w:r>
      <w:r>
        <w:t>5</w:t>
      </w:r>
      <w:r>
        <w:rPr>
          <w:spacing w:val="-4"/>
        </w:rPr>
        <w:t xml:space="preserve"> años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6" w:firstLine="720"/>
        <w:jc w:val="both"/>
      </w:pPr>
      <w:r>
        <w:t>El plan de escalamiento se apoya en el dinamismo del mercado turístico de Valladolid y</w:t>
      </w:r>
      <w:r>
        <w:rPr>
          <w:spacing w:val="-6"/>
        </w:rPr>
        <w:t xml:space="preserve"> </w:t>
      </w:r>
      <w:r>
        <w:t>la</w:t>
      </w:r>
      <w:r>
        <w:rPr>
          <w:spacing w:val="-6"/>
        </w:rPr>
        <w:t xml:space="preserve"> </w:t>
      </w:r>
      <w:r>
        <w:t>Riviera</w:t>
      </w:r>
      <w:r>
        <w:rPr>
          <w:spacing w:val="-6"/>
        </w:rPr>
        <w:t xml:space="preserve"> </w:t>
      </w:r>
      <w:r>
        <w:t>Maya.</w:t>
      </w:r>
      <w:r>
        <w:rPr>
          <w:spacing w:val="-6"/>
        </w:rPr>
        <w:t xml:space="preserve"> </w:t>
      </w:r>
      <w:r>
        <w:t>De</w:t>
      </w:r>
      <w:r>
        <w:rPr>
          <w:spacing w:val="-6"/>
        </w:rPr>
        <w:t xml:space="preserve"> </w:t>
      </w:r>
      <w:r>
        <w:t>acuerdo</w:t>
      </w:r>
      <w:r>
        <w:rPr>
          <w:spacing w:val="-6"/>
        </w:rPr>
        <w:t xml:space="preserve"> </w:t>
      </w:r>
      <w:r>
        <w:t>con</w:t>
      </w:r>
      <w:r>
        <w:rPr>
          <w:spacing w:val="-6"/>
        </w:rPr>
        <w:t xml:space="preserve"> </w:t>
      </w:r>
      <w:r>
        <w:t>datos</w:t>
      </w:r>
      <w:r>
        <w:rPr>
          <w:spacing w:val="-6"/>
        </w:rPr>
        <w:t xml:space="preserve"> </w:t>
      </w:r>
      <w:r>
        <w:t>de</w:t>
      </w:r>
      <w:r>
        <w:rPr>
          <w:spacing w:val="-6"/>
        </w:rPr>
        <w:t xml:space="preserve"> </w:t>
      </w:r>
      <w:r>
        <w:t>Datatur</w:t>
      </w:r>
      <w:r>
        <w:rPr>
          <w:spacing w:val="-6"/>
        </w:rPr>
        <w:t xml:space="preserve"> </w:t>
      </w:r>
      <w:r>
        <w:t>y</w:t>
      </w:r>
      <w:r>
        <w:rPr>
          <w:spacing w:val="-6"/>
        </w:rPr>
        <w:t xml:space="preserve"> </w:t>
      </w:r>
      <w:r>
        <w:t>Sefotur</w:t>
      </w:r>
      <w:r>
        <w:rPr>
          <w:spacing w:val="-6"/>
        </w:rPr>
        <w:t xml:space="preserve"> </w:t>
      </w:r>
      <w:r>
        <w:t>(2025),</w:t>
      </w:r>
      <w:r>
        <w:rPr>
          <w:spacing w:val="-6"/>
        </w:rPr>
        <w:t xml:space="preserve"> </w:t>
      </w:r>
      <w:r>
        <w:t>Valladolid recibió cerca de 280,000 visitantes con pernocta en 2024,</w:t>
      </w:r>
      <w:r>
        <w:rPr>
          <w:spacing w:val="-3"/>
        </w:rPr>
        <w:t xml:space="preserve"> </w:t>
      </w:r>
      <w:r>
        <w:t>con</w:t>
      </w:r>
      <w:r>
        <w:rPr>
          <w:spacing w:val="-3"/>
        </w:rPr>
        <w:t xml:space="preserve"> </w:t>
      </w:r>
      <w:r>
        <w:t>una</w:t>
      </w:r>
      <w:r>
        <w:rPr>
          <w:spacing w:val="-3"/>
        </w:rPr>
        <w:t xml:space="preserve"> </w:t>
      </w:r>
      <w:r>
        <w:t>proyección</w:t>
      </w:r>
      <w:r>
        <w:rPr>
          <w:spacing w:val="-3"/>
        </w:rPr>
        <w:t xml:space="preserve"> </w:t>
      </w:r>
      <w:r>
        <w:t>superior</w:t>
      </w:r>
      <w:r>
        <w:rPr>
          <w:spacing w:val="-3"/>
        </w:rPr>
        <w:t xml:space="preserve"> </w:t>
      </w:r>
      <w:r>
        <w:t>a los</w:t>
      </w:r>
      <w:r>
        <w:t xml:space="preserve"> 300,000 para 2025. A esta cifra se suma el flujo de excursionistas de un día (</w:t>
      </w:r>
      <w:r>
        <w:rPr>
          <w:rFonts w:ascii="Arial" w:hAnsi="Arial"/>
          <w:i/>
        </w:rPr>
        <w:t xml:space="preserve">daytrippers) </w:t>
      </w:r>
      <w:r>
        <w:t>provenientes de Cancún y Chichén Itzá, lo que eleva la exposición del destino a más de un millón de visitantes anuales.</w:t>
      </w:r>
    </w:p>
    <w:p w:rsidR="009B4BB4" w:rsidRDefault="00C44001">
      <w:pPr>
        <w:pStyle w:val="Textoindependiente"/>
        <w:spacing w:line="360" w:lineRule="auto"/>
        <w:ind w:left="425" w:right="605" w:firstLine="720"/>
        <w:jc w:val="both"/>
      </w:pPr>
      <w:r>
        <w:t>A diferencia de los modelos de consumo masiv</w:t>
      </w:r>
      <w:r>
        <w:t>o, Guardiana no busca capturar participación</w:t>
      </w:r>
      <w:r>
        <w:rPr>
          <w:spacing w:val="-5"/>
        </w:rPr>
        <w:t xml:space="preserve"> </w:t>
      </w:r>
      <w:r>
        <w:t>por</w:t>
      </w:r>
      <w:r>
        <w:rPr>
          <w:spacing w:val="-5"/>
        </w:rPr>
        <w:t xml:space="preserve"> </w:t>
      </w:r>
      <w:r>
        <w:t>volumen,</w:t>
      </w:r>
      <w:r>
        <w:rPr>
          <w:spacing w:val="-5"/>
        </w:rPr>
        <w:t xml:space="preserve"> </w:t>
      </w:r>
      <w:r>
        <w:t>sino</w:t>
      </w:r>
      <w:r>
        <w:rPr>
          <w:spacing w:val="-5"/>
        </w:rPr>
        <w:t xml:space="preserve"> </w:t>
      </w:r>
      <w:r>
        <w:t>por</w:t>
      </w:r>
      <w:r>
        <w:rPr>
          <w:spacing w:val="-5"/>
        </w:rPr>
        <w:t xml:space="preserve"> </w:t>
      </w:r>
      <w:r>
        <w:t>valor.</w:t>
      </w:r>
      <w:r>
        <w:rPr>
          <w:spacing w:val="-5"/>
        </w:rPr>
        <w:t xml:space="preserve"> </w:t>
      </w:r>
      <w:r>
        <w:t>Dado</w:t>
      </w:r>
      <w:r>
        <w:rPr>
          <w:spacing w:val="-5"/>
        </w:rPr>
        <w:t xml:space="preserve"> </w:t>
      </w:r>
      <w:r>
        <w:t>el</w:t>
      </w:r>
      <w:r>
        <w:rPr>
          <w:spacing w:val="-5"/>
        </w:rPr>
        <w:t xml:space="preserve"> </w:t>
      </w:r>
      <w:r>
        <w:t>límite</w:t>
      </w:r>
      <w:r>
        <w:rPr>
          <w:spacing w:val="-5"/>
        </w:rPr>
        <w:t xml:space="preserve"> </w:t>
      </w:r>
      <w:r>
        <w:t>biológico</w:t>
      </w:r>
      <w:r>
        <w:rPr>
          <w:spacing w:val="-5"/>
        </w:rPr>
        <w:t xml:space="preserve"> </w:t>
      </w:r>
      <w:r>
        <w:t>de</w:t>
      </w:r>
      <w:r>
        <w:rPr>
          <w:spacing w:val="-5"/>
        </w:rPr>
        <w:t xml:space="preserve"> </w:t>
      </w:r>
      <w:r>
        <w:t>la</w:t>
      </w:r>
      <w:r>
        <w:rPr>
          <w:spacing w:val="-5"/>
        </w:rPr>
        <w:t xml:space="preserve"> </w:t>
      </w:r>
      <w:r>
        <w:rPr>
          <w:rFonts w:ascii="Arial" w:hAnsi="Arial"/>
          <w:i/>
        </w:rPr>
        <w:t>Melipona</w:t>
      </w:r>
      <w:r>
        <w:rPr>
          <w:rFonts w:ascii="Arial" w:hAnsi="Arial"/>
          <w:i/>
          <w:spacing w:val="-5"/>
        </w:rPr>
        <w:t xml:space="preserve"> </w:t>
      </w:r>
      <w:r>
        <w:rPr>
          <w:rFonts w:ascii="Arial" w:hAnsi="Arial"/>
          <w:i/>
        </w:rPr>
        <w:t>beecheii</w:t>
      </w:r>
      <w:r>
        <w:t>, la estrategia comercial se plantea como de escasez programada; se proyecta atender a menos del 0.3% del mercado turístico ampliado e</w:t>
      </w:r>
      <w:r>
        <w:t>n su etapa de mayor madurez, priorizando margen sobre volumen.</w:t>
      </w:r>
    </w:p>
    <w:p w:rsidR="009B4BB4" w:rsidRDefault="00C44001">
      <w:pPr>
        <w:pStyle w:val="Textoindependiente"/>
        <w:spacing w:line="360" w:lineRule="auto"/>
        <w:ind w:left="425" w:right="605" w:firstLine="720"/>
        <w:jc w:val="both"/>
      </w:pPr>
      <w:r>
        <w:t>Esta restricción de oferta permite mantener la sostenibilidad operativa y</w:t>
      </w:r>
      <w:r>
        <w:rPr>
          <w:spacing w:val="-4"/>
        </w:rPr>
        <w:t xml:space="preserve"> </w:t>
      </w:r>
      <w:r>
        <w:t>biológica del modelo, y define un crecimiento proyectado en las siguientes etapas:</w:t>
      </w:r>
    </w:p>
    <w:p w:rsidR="009B4BB4" w:rsidRDefault="00C44001">
      <w:pPr>
        <w:pStyle w:val="Ttulo1"/>
        <w:spacing w:before="240"/>
      </w:pPr>
      <w:r>
        <w:rPr>
          <w:spacing w:val="-2"/>
        </w:rPr>
        <w:t>Tabla</w:t>
      </w:r>
      <w:r>
        <w:rPr>
          <w:spacing w:val="-11"/>
        </w:rPr>
        <w:t xml:space="preserve"> </w:t>
      </w:r>
      <w:r>
        <w:rPr>
          <w:spacing w:val="-5"/>
        </w:rPr>
        <w:t>7.8</w:t>
      </w:r>
    </w:p>
    <w:p w:rsidR="009B4BB4" w:rsidRDefault="00C44001">
      <w:pPr>
        <w:spacing w:before="126"/>
        <w:ind w:left="455"/>
        <w:rPr>
          <w:rFonts w:ascii="Arial" w:hAnsi="Arial"/>
          <w:i/>
        </w:rPr>
      </w:pPr>
      <w:r>
        <w:rPr>
          <w:rFonts w:ascii="Arial" w:hAnsi="Arial"/>
          <w:i/>
        </w:rPr>
        <w:t>Cronograma</w:t>
      </w:r>
      <w:r>
        <w:rPr>
          <w:rFonts w:ascii="Arial" w:hAnsi="Arial"/>
          <w:i/>
          <w:spacing w:val="-10"/>
        </w:rPr>
        <w:t xml:space="preserve"> </w:t>
      </w:r>
      <w:r>
        <w:rPr>
          <w:rFonts w:ascii="Arial" w:hAnsi="Arial"/>
          <w:i/>
        </w:rPr>
        <w:t>de</w:t>
      </w:r>
      <w:r>
        <w:rPr>
          <w:rFonts w:ascii="Arial" w:hAnsi="Arial"/>
          <w:i/>
          <w:spacing w:val="-8"/>
        </w:rPr>
        <w:t xml:space="preserve"> </w:t>
      </w:r>
      <w:r>
        <w:rPr>
          <w:rFonts w:ascii="Arial" w:hAnsi="Arial"/>
          <w:i/>
        </w:rPr>
        <w:t>escalamiento</w:t>
      </w:r>
      <w:r>
        <w:rPr>
          <w:rFonts w:ascii="Arial" w:hAnsi="Arial"/>
          <w:i/>
          <w:spacing w:val="-7"/>
        </w:rPr>
        <w:t xml:space="preserve"> </w:t>
      </w:r>
      <w:r>
        <w:rPr>
          <w:rFonts w:ascii="Arial" w:hAnsi="Arial"/>
          <w:i/>
        </w:rPr>
        <w:t>estratégico</w:t>
      </w:r>
      <w:r>
        <w:rPr>
          <w:rFonts w:ascii="Arial" w:hAnsi="Arial"/>
          <w:i/>
          <w:spacing w:val="-8"/>
        </w:rPr>
        <w:t xml:space="preserve"> </w:t>
      </w:r>
      <w:r>
        <w:rPr>
          <w:rFonts w:ascii="Arial" w:hAnsi="Arial"/>
          <w:i/>
        </w:rPr>
        <w:t>y</w:t>
      </w:r>
      <w:r>
        <w:rPr>
          <w:rFonts w:ascii="Arial" w:hAnsi="Arial"/>
          <w:i/>
          <w:spacing w:val="-8"/>
        </w:rPr>
        <w:t xml:space="preserve"> </w:t>
      </w:r>
      <w:r>
        <w:rPr>
          <w:rFonts w:ascii="Arial" w:hAnsi="Arial"/>
          <w:i/>
        </w:rPr>
        <w:t>etapas</w:t>
      </w:r>
      <w:r>
        <w:rPr>
          <w:rFonts w:ascii="Arial" w:hAnsi="Arial"/>
          <w:i/>
          <w:spacing w:val="-7"/>
        </w:rPr>
        <w:t xml:space="preserve"> </w:t>
      </w:r>
      <w:r>
        <w:rPr>
          <w:rFonts w:ascii="Arial" w:hAnsi="Arial"/>
          <w:i/>
        </w:rPr>
        <w:t>de</w:t>
      </w:r>
      <w:r>
        <w:rPr>
          <w:rFonts w:ascii="Arial" w:hAnsi="Arial"/>
          <w:i/>
          <w:spacing w:val="-8"/>
        </w:rPr>
        <w:t xml:space="preserve"> </w:t>
      </w:r>
      <w:r>
        <w:rPr>
          <w:rFonts w:ascii="Arial" w:hAnsi="Arial"/>
          <w:i/>
        </w:rPr>
        <w:t>crecimiento</w:t>
      </w:r>
      <w:r>
        <w:rPr>
          <w:rFonts w:ascii="Arial" w:hAnsi="Arial"/>
          <w:i/>
          <w:spacing w:val="-7"/>
        </w:rPr>
        <w:t xml:space="preserve"> </w:t>
      </w:r>
      <w:r>
        <w:rPr>
          <w:rFonts w:ascii="Arial" w:hAnsi="Arial"/>
          <w:i/>
        </w:rPr>
        <w:t>(2026-</w:t>
      </w:r>
      <w:r>
        <w:rPr>
          <w:rFonts w:ascii="Arial" w:hAnsi="Arial"/>
          <w:i/>
          <w:spacing w:val="-2"/>
        </w:rPr>
        <w:t>2030)</w:t>
      </w:r>
    </w:p>
    <w:p w:rsidR="009B4BB4" w:rsidRDefault="009B4BB4">
      <w:pPr>
        <w:pStyle w:val="Textoindependiente"/>
        <w:spacing w:before="145" w:after="1"/>
        <w:rPr>
          <w:rFonts w:ascii="Arial"/>
          <w:i/>
          <w:sz w:val="20"/>
        </w:rPr>
      </w:pPr>
    </w:p>
    <w:tbl>
      <w:tblPr>
        <w:tblStyle w:val="TableNormal"/>
        <w:tblW w:w="0" w:type="auto"/>
        <w:tblInd w:w="432" w:type="dxa"/>
        <w:tblLayout w:type="fixed"/>
        <w:tblLook w:val="01E0" w:firstRow="1" w:lastRow="1" w:firstColumn="1" w:lastColumn="1" w:noHBand="0" w:noVBand="0"/>
      </w:tblPr>
      <w:tblGrid>
        <w:gridCol w:w="1331"/>
        <w:gridCol w:w="1823"/>
        <w:gridCol w:w="1285"/>
        <w:gridCol w:w="4799"/>
      </w:tblGrid>
      <w:tr w:rsidR="009B4BB4">
        <w:trPr>
          <w:trHeight w:val="359"/>
        </w:trPr>
        <w:tc>
          <w:tcPr>
            <w:tcW w:w="1331" w:type="dxa"/>
            <w:tcBorders>
              <w:top w:val="single" w:sz="8" w:space="0" w:color="000000"/>
              <w:bottom w:val="single" w:sz="8" w:space="0" w:color="000000"/>
            </w:tcBorders>
          </w:tcPr>
          <w:p w:rsidR="009B4BB4" w:rsidRDefault="00C44001">
            <w:pPr>
              <w:pStyle w:val="TableParagraph"/>
              <w:spacing w:before="59"/>
              <w:ind w:left="50"/>
              <w:jc w:val="center"/>
              <w:rPr>
                <w:rFonts w:ascii="Arial"/>
                <w:b/>
              </w:rPr>
            </w:pPr>
            <w:r>
              <w:rPr>
                <w:rFonts w:ascii="Arial"/>
                <w:b/>
                <w:spacing w:val="-2"/>
              </w:rPr>
              <w:t>Tiempo</w:t>
            </w:r>
          </w:p>
        </w:tc>
        <w:tc>
          <w:tcPr>
            <w:tcW w:w="1823" w:type="dxa"/>
            <w:tcBorders>
              <w:top w:val="single" w:sz="8" w:space="0" w:color="000000"/>
              <w:bottom w:val="single" w:sz="8" w:space="0" w:color="000000"/>
            </w:tcBorders>
          </w:tcPr>
          <w:p w:rsidR="009B4BB4" w:rsidRDefault="00C44001">
            <w:pPr>
              <w:pStyle w:val="TableParagraph"/>
              <w:spacing w:before="59"/>
              <w:ind w:left="61"/>
              <w:jc w:val="center"/>
              <w:rPr>
                <w:rFonts w:ascii="Arial"/>
                <w:b/>
              </w:rPr>
            </w:pPr>
            <w:r>
              <w:rPr>
                <w:rFonts w:ascii="Arial"/>
                <w:b/>
                <w:spacing w:val="-2"/>
              </w:rPr>
              <w:t>Etapa</w:t>
            </w:r>
          </w:p>
        </w:tc>
        <w:tc>
          <w:tcPr>
            <w:tcW w:w="1285" w:type="dxa"/>
            <w:tcBorders>
              <w:top w:val="single" w:sz="8" w:space="0" w:color="000000"/>
              <w:bottom w:val="single" w:sz="8" w:space="0" w:color="000000"/>
            </w:tcBorders>
          </w:tcPr>
          <w:p w:rsidR="009B4BB4" w:rsidRDefault="00C44001">
            <w:pPr>
              <w:pStyle w:val="TableParagraph"/>
              <w:spacing w:before="59"/>
              <w:ind w:left="88"/>
              <w:jc w:val="center"/>
              <w:rPr>
                <w:rFonts w:ascii="Arial"/>
                <w:b/>
              </w:rPr>
            </w:pPr>
            <w:r>
              <w:rPr>
                <w:rFonts w:ascii="Arial"/>
                <w:b/>
                <w:spacing w:val="-2"/>
              </w:rPr>
              <w:t>Unidades</w:t>
            </w:r>
          </w:p>
        </w:tc>
        <w:tc>
          <w:tcPr>
            <w:tcW w:w="4799" w:type="dxa"/>
            <w:tcBorders>
              <w:top w:val="single" w:sz="8" w:space="0" w:color="000000"/>
              <w:bottom w:val="single" w:sz="8" w:space="0" w:color="000000"/>
            </w:tcBorders>
          </w:tcPr>
          <w:p w:rsidR="009B4BB4" w:rsidRDefault="00C44001">
            <w:pPr>
              <w:pStyle w:val="TableParagraph"/>
              <w:spacing w:before="59"/>
              <w:ind w:left="79"/>
              <w:jc w:val="center"/>
              <w:rPr>
                <w:rFonts w:ascii="Arial" w:hAnsi="Arial"/>
                <w:b/>
              </w:rPr>
            </w:pPr>
            <w:r>
              <w:rPr>
                <w:rFonts w:ascii="Arial" w:hAnsi="Arial"/>
                <w:b/>
                <w:spacing w:val="-2"/>
              </w:rPr>
              <w:t>Acción</w:t>
            </w:r>
          </w:p>
        </w:tc>
      </w:tr>
      <w:tr w:rsidR="009B4BB4">
        <w:trPr>
          <w:trHeight w:val="774"/>
        </w:trPr>
        <w:tc>
          <w:tcPr>
            <w:tcW w:w="1331" w:type="dxa"/>
            <w:tcBorders>
              <w:top w:val="single" w:sz="8" w:space="0" w:color="000000"/>
            </w:tcBorders>
          </w:tcPr>
          <w:p w:rsidR="009B4BB4" w:rsidRDefault="009B4BB4">
            <w:pPr>
              <w:pStyle w:val="TableParagraph"/>
              <w:spacing w:before="32"/>
              <w:rPr>
                <w:rFonts w:ascii="Arial"/>
                <w:i/>
              </w:rPr>
            </w:pPr>
          </w:p>
          <w:p w:rsidR="009B4BB4" w:rsidRDefault="00C44001">
            <w:pPr>
              <w:pStyle w:val="TableParagraph"/>
              <w:ind w:left="50"/>
              <w:jc w:val="center"/>
            </w:pPr>
            <w:r>
              <w:t>Año</w:t>
            </w:r>
            <w:r>
              <w:rPr>
                <w:spacing w:val="-5"/>
              </w:rPr>
              <w:t xml:space="preserve"> </w:t>
            </w:r>
            <w:r>
              <w:rPr>
                <w:spacing w:val="-10"/>
              </w:rPr>
              <w:t>1</w:t>
            </w:r>
          </w:p>
        </w:tc>
        <w:tc>
          <w:tcPr>
            <w:tcW w:w="1823" w:type="dxa"/>
            <w:tcBorders>
              <w:top w:val="single" w:sz="8" w:space="0" w:color="000000"/>
            </w:tcBorders>
          </w:tcPr>
          <w:p w:rsidR="009B4BB4" w:rsidRDefault="009B4BB4">
            <w:pPr>
              <w:pStyle w:val="TableParagraph"/>
              <w:spacing w:before="32"/>
              <w:rPr>
                <w:rFonts w:ascii="Arial"/>
                <w:i/>
              </w:rPr>
            </w:pPr>
          </w:p>
          <w:p w:rsidR="009B4BB4" w:rsidRDefault="00C44001">
            <w:pPr>
              <w:pStyle w:val="TableParagraph"/>
              <w:ind w:left="61"/>
              <w:jc w:val="center"/>
            </w:pPr>
            <w:r>
              <w:rPr>
                <w:spacing w:val="-2"/>
              </w:rPr>
              <w:t>Validación</w:t>
            </w:r>
          </w:p>
        </w:tc>
        <w:tc>
          <w:tcPr>
            <w:tcW w:w="1285" w:type="dxa"/>
            <w:tcBorders>
              <w:top w:val="single" w:sz="8" w:space="0" w:color="000000"/>
            </w:tcBorders>
          </w:tcPr>
          <w:p w:rsidR="009B4BB4" w:rsidRDefault="009B4BB4">
            <w:pPr>
              <w:pStyle w:val="TableParagraph"/>
              <w:spacing w:before="32"/>
              <w:rPr>
                <w:rFonts w:ascii="Arial"/>
                <w:i/>
              </w:rPr>
            </w:pPr>
          </w:p>
          <w:p w:rsidR="009B4BB4" w:rsidRDefault="00C44001">
            <w:pPr>
              <w:pStyle w:val="TableParagraph"/>
              <w:ind w:left="88"/>
              <w:jc w:val="center"/>
            </w:pPr>
            <w:r>
              <w:rPr>
                <w:spacing w:val="-5"/>
              </w:rPr>
              <w:t>500</w:t>
            </w:r>
          </w:p>
        </w:tc>
        <w:tc>
          <w:tcPr>
            <w:tcW w:w="4799" w:type="dxa"/>
            <w:tcBorders>
              <w:top w:val="single" w:sz="8" w:space="0" w:color="000000"/>
            </w:tcBorders>
          </w:tcPr>
          <w:p w:rsidR="009B4BB4" w:rsidRDefault="00C44001">
            <w:pPr>
              <w:pStyle w:val="TableParagraph"/>
              <w:spacing w:before="159"/>
              <w:ind w:left="106" w:right="101" w:firstLine="30"/>
              <w:rPr>
                <w:rFonts w:ascii="Arial"/>
                <w:i/>
              </w:rPr>
            </w:pPr>
            <w:r>
              <w:t>Venta</w:t>
            </w:r>
            <w:r>
              <w:rPr>
                <w:spacing w:val="-9"/>
              </w:rPr>
              <w:t xml:space="preserve"> </w:t>
            </w:r>
            <w:r>
              <w:t>exclusiva</w:t>
            </w:r>
            <w:r>
              <w:rPr>
                <w:spacing w:val="-9"/>
              </w:rPr>
              <w:t xml:space="preserve"> </w:t>
            </w:r>
            <w:r>
              <w:t>en</w:t>
            </w:r>
            <w:r>
              <w:rPr>
                <w:spacing w:val="-9"/>
              </w:rPr>
              <w:t xml:space="preserve"> </w:t>
            </w:r>
            <w:r>
              <w:t>canales</w:t>
            </w:r>
            <w:r>
              <w:rPr>
                <w:spacing w:val="-9"/>
              </w:rPr>
              <w:t xml:space="preserve"> </w:t>
            </w:r>
            <w:r>
              <w:t>directos</w:t>
            </w:r>
            <w:r>
              <w:rPr>
                <w:spacing w:val="-9"/>
              </w:rPr>
              <w:t xml:space="preserve"> </w:t>
            </w:r>
            <w:r>
              <w:t>y</w:t>
            </w:r>
            <w:r>
              <w:rPr>
                <w:spacing w:val="-9"/>
              </w:rPr>
              <w:t xml:space="preserve"> </w:t>
            </w:r>
            <w:r>
              <w:t xml:space="preserve">bazares locales para ajuste de </w:t>
            </w:r>
            <w:r>
              <w:rPr>
                <w:rFonts w:ascii="Arial"/>
                <w:i/>
              </w:rPr>
              <w:t>Product-Market Fit.</w:t>
            </w:r>
          </w:p>
        </w:tc>
      </w:tr>
      <w:tr w:rsidR="009B4BB4">
        <w:trPr>
          <w:trHeight w:val="672"/>
        </w:trPr>
        <w:tc>
          <w:tcPr>
            <w:tcW w:w="1331" w:type="dxa"/>
          </w:tcPr>
          <w:p w:rsidR="009B4BB4" w:rsidRDefault="00C44001">
            <w:pPr>
              <w:pStyle w:val="TableParagraph"/>
              <w:spacing w:before="229"/>
              <w:ind w:left="50"/>
              <w:jc w:val="center"/>
            </w:pPr>
            <w:r>
              <w:t>Año</w:t>
            </w:r>
            <w:r>
              <w:rPr>
                <w:spacing w:val="-5"/>
              </w:rPr>
              <w:t xml:space="preserve"> </w:t>
            </w:r>
            <w:r>
              <w:rPr>
                <w:spacing w:val="-10"/>
              </w:rPr>
              <w:t>2</w:t>
            </w:r>
          </w:p>
        </w:tc>
        <w:tc>
          <w:tcPr>
            <w:tcW w:w="1823" w:type="dxa"/>
          </w:tcPr>
          <w:p w:rsidR="009B4BB4" w:rsidRDefault="00C44001">
            <w:pPr>
              <w:pStyle w:val="TableParagraph"/>
              <w:spacing w:before="229"/>
              <w:ind w:left="61"/>
              <w:jc w:val="center"/>
            </w:pPr>
            <w:r>
              <w:rPr>
                <w:spacing w:val="-2"/>
              </w:rPr>
              <w:t>Tracción</w:t>
            </w:r>
          </w:p>
        </w:tc>
        <w:tc>
          <w:tcPr>
            <w:tcW w:w="1285" w:type="dxa"/>
          </w:tcPr>
          <w:p w:rsidR="009B4BB4" w:rsidRDefault="00C44001">
            <w:pPr>
              <w:pStyle w:val="TableParagraph"/>
              <w:spacing w:before="229"/>
              <w:ind w:left="88"/>
              <w:jc w:val="center"/>
            </w:pPr>
            <w:r>
              <w:rPr>
                <w:spacing w:val="-2"/>
              </w:rPr>
              <w:t>1,200</w:t>
            </w:r>
          </w:p>
        </w:tc>
        <w:tc>
          <w:tcPr>
            <w:tcW w:w="4799" w:type="dxa"/>
          </w:tcPr>
          <w:p w:rsidR="009B4BB4" w:rsidRDefault="00C44001">
            <w:pPr>
              <w:pStyle w:val="TableParagraph"/>
              <w:spacing w:before="102"/>
              <w:ind w:left="106" w:right="101" w:firstLine="30"/>
            </w:pPr>
            <w:r>
              <w:t>Entrada</w:t>
            </w:r>
            <w:r>
              <w:rPr>
                <w:spacing w:val="-6"/>
              </w:rPr>
              <w:t xml:space="preserve"> </w:t>
            </w:r>
            <w:r>
              <w:t>selectiva</w:t>
            </w:r>
            <w:r>
              <w:rPr>
                <w:spacing w:val="-6"/>
              </w:rPr>
              <w:t xml:space="preserve"> </w:t>
            </w:r>
            <w:r>
              <w:t>a</w:t>
            </w:r>
            <w:r>
              <w:rPr>
                <w:spacing w:val="-6"/>
              </w:rPr>
              <w:t xml:space="preserve"> </w:t>
            </w:r>
            <w:r>
              <w:rPr>
                <w:rFonts w:ascii="Arial"/>
                <w:i/>
              </w:rPr>
              <w:t>concept</w:t>
            </w:r>
            <w:r>
              <w:rPr>
                <w:rFonts w:ascii="Arial"/>
                <w:i/>
                <w:spacing w:val="-6"/>
              </w:rPr>
              <w:t xml:space="preserve"> </w:t>
            </w:r>
            <w:r>
              <w:rPr>
                <w:rFonts w:ascii="Arial"/>
                <w:i/>
              </w:rPr>
              <w:t>stores.</w:t>
            </w:r>
            <w:r>
              <w:rPr>
                <w:rFonts w:ascii="Arial"/>
                <w:i/>
                <w:spacing w:val="-6"/>
              </w:rPr>
              <w:t xml:space="preserve"> </w:t>
            </w:r>
            <w:r>
              <w:t>Se</w:t>
            </w:r>
            <w:r>
              <w:rPr>
                <w:spacing w:val="-6"/>
              </w:rPr>
              <w:t xml:space="preserve"> </w:t>
            </w:r>
            <w:r>
              <w:t>inicia</w:t>
            </w:r>
            <w:r>
              <w:rPr>
                <w:spacing w:val="-6"/>
              </w:rPr>
              <w:t xml:space="preserve"> </w:t>
            </w:r>
            <w:r>
              <w:t>la preventa de cosechas.</w:t>
            </w:r>
          </w:p>
        </w:tc>
      </w:tr>
      <w:tr w:rsidR="009B4BB4">
        <w:trPr>
          <w:trHeight w:val="752"/>
        </w:trPr>
        <w:tc>
          <w:tcPr>
            <w:tcW w:w="1331" w:type="dxa"/>
          </w:tcPr>
          <w:p w:rsidR="009B4BB4" w:rsidRDefault="009B4BB4">
            <w:pPr>
              <w:pStyle w:val="TableParagraph"/>
              <w:spacing w:before="56"/>
              <w:rPr>
                <w:rFonts w:ascii="Arial"/>
                <w:i/>
              </w:rPr>
            </w:pPr>
          </w:p>
          <w:p w:rsidR="009B4BB4" w:rsidRDefault="00C44001">
            <w:pPr>
              <w:pStyle w:val="TableParagraph"/>
              <w:ind w:left="50"/>
              <w:jc w:val="center"/>
            </w:pPr>
            <w:r>
              <w:t>Año</w:t>
            </w:r>
            <w:r>
              <w:rPr>
                <w:spacing w:val="-5"/>
              </w:rPr>
              <w:t xml:space="preserve"> </w:t>
            </w:r>
            <w:r>
              <w:rPr>
                <w:spacing w:val="-10"/>
              </w:rPr>
              <w:t>3</w:t>
            </w:r>
          </w:p>
        </w:tc>
        <w:tc>
          <w:tcPr>
            <w:tcW w:w="1823" w:type="dxa"/>
          </w:tcPr>
          <w:p w:rsidR="009B4BB4" w:rsidRDefault="009B4BB4">
            <w:pPr>
              <w:pStyle w:val="TableParagraph"/>
              <w:spacing w:before="56"/>
              <w:rPr>
                <w:rFonts w:ascii="Arial"/>
                <w:i/>
              </w:rPr>
            </w:pPr>
          </w:p>
          <w:p w:rsidR="009B4BB4" w:rsidRDefault="00C44001">
            <w:pPr>
              <w:pStyle w:val="TableParagraph"/>
              <w:ind w:left="61"/>
              <w:jc w:val="center"/>
            </w:pPr>
            <w:r>
              <w:rPr>
                <w:spacing w:val="-2"/>
              </w:rPr>
              <w:t>Expansión</w:t>
            </w:r>
          </w:p>
        </w:tc>
        <w:tc>
          <w:tcPr>
            <w:tcW w:w="1285" w:type="dxa"/>
          </w:tcPr>
          <w:p w:rsidR="009B4BB4" w:rsidRDefault="009B4BB4">
            <w:pPr>
              <w:pStyle w:val="TableParagraph"/>
              <w:spacing w:before="56"/>
              <w:rPr>
                <w:rFonts w:ascii="Arial"/>
                <w:i/>
              </w:rPr>
            </w:pPr>
          </w:p>
          <w:p w:rsidR="009B4BB4" w:rsidRDefault="00C44001">
            <w:pPr>
              <w:pStyle w:val="TableParagraph"/>
              <w:ind w:left="88"/>
              <w:jc w:val="center"/>
            </w:pPr>
            <w:r>
              <w:rPr>
                <w:spacing w:val="-2"/>
              </w:rPr>
              <w:t>2,000</w:t>
            </w:r>
          </w:p>
        </w:tc>
        <w:tc>
          <w:tcPr>
            <w:tcW w:w="4799" w:type="dxa"/>
          </w:tcPr>
          <w:p w:rsidR="009B4BB4" w:rsidRDefault="00C44001">
            <w:pPr>
              <w:pStyle w:val="TableParagraph"/>
              <w:spacing w:before="56"/>
              <w:ind w:left="106" w:right="101" w:firstLine="30"/>
            </w:pPr>
            <w:r>
              <w:t>Alianzas</w:t>
            </w:r>
            <w:r>
              <w:rPr>
                <w:spacing w:val="-7"/>
              </w:rPr>
              <w:t xml:space="preserve"> </w:t>
            </w:r>
            <w:r>
              <w:t>B2B</w:t>
            </w:r>
            <w:r>
              <w:rPr>
                <w:spacing w:val="-7"/>
              </w:rPr>
              <w:t xml:space="preserve"> </w:t>
            </w:r>
            <w:r>
              <w:t>con</w:t>
            </w:r>
            <w:r>
              <w:rPr>
                <w:spacing w:val="-7"/>
              </w:rPr>
              <w:t xml:space="preserve"> </w:t>
            </w:r>
            <w:r>
              <w:t>hoteles</w:t>
            </w:r>
            <w:r>
              <w:rPr>
                <w:spacing w:val="-7"/>
              </w:rPr>
              <w:t xml:space="preserve"> </w:t>
            </w:r>
            <w:r>
              <w:t>boutique</w:t>
            </w:r>
            <w:r>
              <w:rPr>
                <w:spacing w:val="-7"/>
              </w:rPr>
              <w:t xml:space="preserve"> </w:t>
            </w:r>
            <w:r>
              <w:t>de</w:t>
            </w:r>
            <w:r>
              <w:rPr>
                <w:spacing w:val="-7"/>
              </w:rPr>
              <w:t xml:space="preserve"> </w:t>
            </w:r>
            <w:r>
              <w:t xml:space="preserve">alto </w:t>
            </w:r>
            <w:r>
              <w:rPr>
                <w:spacing w:val="-2"/>
              </w:rPr>
              <w:t>nivel.</w:t>
            </w:r>
          </w:p>
        </w:tc>
      </w:tr>
      <w:tr w:rsidR="009B4BB4">
        <w:trPr>
          <w:trHeight w:val="941"/>
        </w:trPr>
        <w:tc>
          <w:tcPr>
            <w:tcW w:w="1331" w:type="dxa"/>
          </w:tcPr>
          <w:p w:rsidR="009B4BB4" w:rsidRDefault="009B4BB4">
            <w:pPr>
              <w:pStyle w:val="TableParagraph"/>
              <w:spacing w:before="182"/>
              <w:rPr>
                <w:rFonts w:ascii="Arial"/>
                <w:i/>
              </w:rPr>
            </w:pPr>
          </w:p>
          <w:p w:rsidR="009B4BB4" w:rsidRDefault="00C44001">
            <w:pPr>
              <w:pStyle w:val="TableParagraph"/>
              <w:ind w:left="50"/>
              <w:jc w:val="center"/>
            </w:pPr>
            <w:r>
              <w:t>Año</w:t>
            </w:r>
            <w:r>
              <w:rPr>
                <w:spacing w:val="-5"/>
              </w:rPr>
              <w:t xml:space="preserve"> </w:t>
            </w:r>
            <w:r>
              <w:rPr>
                <w:spacing w:val="-10"/>
              </w:rPr>
              <w:t>4</w:t>
            </w:r>
          </w:p>
        </w:tc>
        <w:tc>
          <w:tcPr>
            <w:tcW w:w="1823" w:type="dxa"/>
          </w:tcPr>
          <w:p w:rsidR="009B4BB4" w:rsidRDefault="009B4BB4">
            <w:pPr>
              <w:pStyle w:val="TableParagraph"/>
              <w:spacing w:before="182"/>
              <w:rPr>
                <w:rFonts w:ascii="Arial"/>
                <w:i/>
              </w:rPr>
            </w:pPr>
          </w:p>
          <w:p w:rsidR="009B4BB4" w:rsidRDefault="00C44001">
            <w:pPr>
              <w:pStyle w:val="TableParagraph"/>
              <w:ind w:left="61"/>
              <w:jc w:val="center"/>
            </w:pPr>
            <w:r>
              <w:rPr>
                <w:spacing w:val="-2"/>
              </w:rPr>
              <w:t>Consolidación</w:t>
            </w:r>
          </w:p>
        </w:tc>
        <w:tc>
          <w:tcPr>
            <w:tcW w:w="1285" w:type="dxa"/>
          </w:tcPr>
          <w:p w:rsidR="009B4BB4" w:rsidRDefault="009B4BB4">
            <w:pPr>
              <w:pStyle w:val="TableParagraph"/>
              <w:spacing w:before="182"/>
              <w:rPr>
                <w:rFonts w:ascii="Arial"/>
                <w:i/>
              </w:rPr>
            </w:pPr>
          </w:p>
          <w:p w:rsidR="009B4BB4" w:rsidRDefault="00C44001">
            <w:pPr>
              <w:pStyle w:val="TableParagraph"/>
              <w:ind w:left="88"/>
              <w:jc w:val="center"/>
            </w:pPr>
            <w:r>
              <w:rPr>
                <w:spacing w:val="-2"/>
              </w:rPr>
              <w:t>2,500</w:t>
            </w:r>
          </w:p>
        </w:tc>
        <w:tc>
          <w:tcPr>
            <w:tcW w:w="4799" w:type="dxa"/>
          </w:tcPr>
          <w:p w:rsidR="009B4BB4" w:rsidRDefault="00C44001">
            <w:pPr>
              <w:pStyle w:val="TableParagraph"/>
              <w:spacing w:before="162" w:line="250" w:lineRule="atLeast"/>
              <w:ind w:left="106" w:right="101" w:firstLine="30"/>
            </w:pPr>
            <w:r>
              <w:t>Consolidación del canal de e-commerce internacional</w:t>
            </w:r>
            <w:r>
              <w:rPr>
                <w:spacing w:val="-7"/>
              </w:rPr>
              <w:t xml:space="preserve"> </w:t>
            </w:r>
            <w:r>
              <w:t>para</w:t>
            </w:r>
            <w:r>
              <w:rPr>
                <w:spacing w:val="-7"/>
              </w:rPr>
              <w:t xml:space="preserve"> </w:t>
            </w:r>
            <w:r>
              <w:t>venta</w:t>
            </w:r>
            <w:r>
              <w:rPr>
                <w:spacing w:val="-7"/>
              </w:rPr>
              <w:t xml:space="preserve"> </w:t>
            </w:r>
            <w:r>
              <w:t>directa</w:t>
            </w:r>
            <w:r>
              <w:rPr>
                <w:spacing w:val="-7"/>
              </w:rPr>
              <w:t xml:space="preserve"> </w:t>
            </w:r>
            <w:r>
              <w:t>a</w:t>
            </w:r>
            <w:r>
              <w:rPr>
                <w:spacing w:val="-7"/>
              </w:rPr>
              <w:t xml:space="preserve"> </w:t>
            </w:r>
            <w:r>
              <w:t>turistas</w:t>
            </w:r>
            <w:r>
              <w:rPr>
                <w:spacing w:val="-7"/>
              </w:rPr>
              <w:t xml:space="preserve"> </w:t>
            </w:r>
            <w:r>
              <w:t>que regresaron a sus países (recompra).</w:t>
            </w:r>
          </w:p>
        </w:tc>
      </w:tr>
    </w:tbl>
    <w:p w:rsidR="009B4BB4" w:rsidRDefault="009B4BB4">
      <w:pPr>
        <w:pStyle w:val="TableParagraph"/>
        <w:spacing w:line="250" w:lineRule="atLeast"/>
        <w:sectPr w:rsidR="009B4BB4">
          <w:pgSz w:w="11920" w:h="16840"/>
          <w:pgMar w:top="1500" w:right="850" w:bottom="1940" w:left="1275" w:header="0" w:footer="1747" w:gutter="0"/>
          <w:cols w:space="720"/>
        </w:sectPr>
      </w:pPr>
    </w:p>
    <w:tbl>
      <w:tblPr>
        <w:tblStyle w:val="TableNormal"/>
        <w:tblW w:w="0" w:type="auto"/>
        <w:tblInd w:w="786" w:type="dxa"/>
        <w:tblLayout w:type="fixed"/>
        <w:tblLook w:val="01E0" w:firstRow="1" w:lastRow="1" w:firstColumn="1" w:lastColumn="1" w:noHBand="0" w:noVBand="0"/>
      </w:tblPr>
      <w:tblGrid>
        <w:gridCol w:w="1058"/>
        <w:gridCol w:w="1721"/>
        <w:gridCol w:w="1197"/>
        <w:gridCol w:w="4437"/>
      </w:tblGrid>
      <w:tr w:rsidR="009B4BB4">
        <w:trPr>
          <w:trHeight w:val="1257"/>
        </w:trPr>
        <w:tc>
          <w:tcPr>
            <w:tcW w:w="1058" w:type="dxa"/>
          </w:tcPr>
          <w:p w:rsidR="009B4BB4" w:rsidRDefault="009B4BB4">
            <w:pPr>
              <w:pStyle w:val="TableParagraph"/>
              <w:rPr>
                <w:rFonts w:ascii="Arial"/>
                <w:i/>
              </w:rPr>
            </w:pPr>
          </w:p>
          <w:p w:rsidR="009B4BB4" w:rsidRDefault="009B4BB4">
            <w:pPr>
              <w:pStyle w:val="TableParagraph"/>
              <w:spacing w:before="119"/>
              <w:rPr>
                <w:rFonts w:ascii="Arial"/>
                <w:i/>
              </w:rPr>
            </w:pPr>
          </w:p>
          <w:p w:rsidR="009B4BB4" w:rsidRDefault="00C44001">
            <w:pPr>
              <w:pStyle w:val="TableParagraph"/>
              <w:ind w:left="50"/>
            </w:pPr>
            <w:r>
              <w:t>Año</w:t>
            </w:r>
            <w:r>
              <w:rPr>
                <w:spacing w:val="-5"/>
              </w:rPr>
              <w:t xml:space="preserve"> </w:t>
            </w:r>
            <w:r>
              <w:rPr>
                <w:spacing w:val="-10"/>
              </w:rPr>
              <w:t>5</w:t>
            </w:r>
          </w:p>
        </w:tc>
        <w:tc>
          <w:tcPr>
            <w:tcW w:w="1721" w:type="dxa"/>
          </w:tcPr>
          <w:p w:rsidR="009B4BB4" w:rsidRDefault="009B4BB4">
            <w:pPr>
              <w:pStyle w:val="TableParagraph"/>
              <w:rPr>
                <w:rFonts w:ascii="Arial"/>
                <w:i/>
              </w:rPr>
            </w:pPr>
          </w:p>
          <w:p w:rsidR="009B4BB4" w:rsidRDefault="009B4BB4">
            <w:pPr>
              <w:pStyle w:val="TableParagraph"/>
              <w:spacing w:before="119"/>
              <w:rPr>
                <w:rFonts w:ascii="Arial"/>
                <w:i/>
              </w:rPr>
            </w:pPr>
          </w:p>
          <w:p w:rsidR="009B4BB4" w:rsidRDefault="00C44001">
            <w:pPr>
              <w:pStyle w:val="TableParagraph"/>
              <w:ind w:left="434"/>
            </w:pPr>
            <w:r>
              <w:rPr>
                <w:spacing w:val="-2"/>
              </w:rPr>
              <w:t>Madurez</w:t>
            </w:r>
          </w:p>
        </w:tc>
        <w:tc>
          <w:tcPr>
            <w:tcW w:w="1197" w:type="dxa"/>
          </w:tcPr>
          <w:p w:rsidR="009B4BB4" w:rsidRDefault="009B4BB4">
            <w:pPr>
              <w:pStyle w:val="TableParagraph"/>
              <w:rPr>
                <w:rFonts w:ascii="Arial"/>
                <w:i/>
              </w:rPr>
            </w:pPr>
          </w:p>
          <w:p w:rsidR="009B4BB4" w:rsidRDefault="009B4BB4">
            <w:pPr>
              <w:pStyle w:val="TableParagraph"/>
              <w:spacing w:before="119"/>
              <w:rPr>
                <w:rFonts w:ascii="Arial"/>
                <w:i/>
              </w:rPr>
            </w:pPr>
          </w:p>
          <w:p w:rsidR="009B4BB4" w:rsidRDefault="00C44001">
            <w:pPr>
              <w:pStyle w:val="TableParagraph"/>
              <w:ind w:left="433"/>
            </w:pPr>
            <w:r>
              <w:rPr>
                <w:spacing w:val="-2"/>
              </w:rPr>
              <w:t>3,000</w:t>
            </w:r>
          </w:p>
        </w:tc>
        <w:tc>
          <w:tcPr>
            <w:tcW w:w="4437" w:type="dxa"/>
          </w:tcPr>
          <w:p w:rsidR="009B4BB4" w:rsidRDefault="00C44001">
            <w:pPr>
              <w:pStyle w:val="TableParagraph"/>
              <w:ind w:left="216" w:firstLine="30"/>
            </w:pPr>
            <w:r>
              <w:t>Se</w:t>
            </w:r>
            <w:r>
              <w:rPr>
                <w:spacing w:val="-7"/>
              </w:rPr>
              <w:t xml:space="preserve"> </w:t>
            </w:r>
            <w:r>
              <w:t>alcanza</w:t>
            </w:r>
            <w:r>
              <w:rPr>
                <w:spacing w:val="-7"/>
              </w:rPr>
              <w:t xml:space="preserve"> </w:t>
            </w:r>
            <w:r>
              <w:t>el</w:t>
            </w:r>
            <w:r>
              <w:rPr>
                <w:spacing w:val="-7"/>
              </w:rPr>
              <w:t xml:space="preserve"> </w:t>
            </w:r>
            <w:r>
              <w:t>tope</w:t>
            </w:r>
            <w:r>
              <w:rPr>
                <w:spacing w:val="-7"/>
              </w:rPr>
              <w:t xml:space="preserve"> </w:t>
            </w:r>
            <w:r>
              <w:t>operativo</w:t>
            </w:r>
            <w:r>
              <w:rPr>
                <w:spacing w:val="-7"/>
              </w:rPr>
              <w:t xml:space="preserve"> </w:t>
            </w:r>
            <w:r>
              <w:t>sostenible.</w:t>
            </w:r>
            <w:r>
              <w:rPr>
                <w:spacing w:val="-7"/>
              </w:rPr>
              <w:t xml:space="preserve"> </w:t>
            </w:r>
            <w:r>
              <w:t>El crecimiento de ingresos proviene de la valorización de la marca, por ejemplo, ediciones especiales de mayor precio y la</w:t>
            </w:r>
          </w:p>
          <w:p w:rsidR="009B4BB4" w:rsidRDefault="00C44001">
            <w:pPr>
              <w:pStyle w:val="TableParagraph"/>
              <w:spacing w:line="233" w:lineRule="exact"/>
              <w:ind w:left="216"/>
            </w:pPr>
            <w:proofErr w:type="gramStart"/>
            <w:r>
              <w:t>optimización</w:t>
            </w:r>
            <w:proofErr w:type="gramEnd"/>
            <w:r>
              <w:rPr>
                <w:spacing w:val="-7"/>
              </w:rPr>
              <w:t xml:space="preserve"> </w:t>
            </w:r>
            <w:r>
              <w:t>de</w:t>
            </w:r>
            <w:r>
              <w:rPr>
                <w:spacing w:val="-7"/>
              </w:rPr>
              <w:t xml:space="preserve"> </w:t>
            </w:r>
            <w:r>
              <w:rPr>
                <w:spacing w:val="-2"/>
              </w:rPr>
              <w:t>márgenes.</w:t>
            </w:r>
          </w:p>
        </w:tc>
      </w:tr>
    </w:tbl>
    <w:p w:rsidR="009B4BB4" w:rsidRDefault="009B4BB4">
      <w:pPr>
        <w:pStyle w:val="Textoindependiente"/>
        <w:spacing w:before="0"/>
        <w:rPr>
          <w:rFonts w:ascii="Arial"/>
          <w:i/>
          <w:sz w:val="20"/>
        </w:rPr>
      </w:pPr>
    </w:p>
    <w:p w:rsidR="009B4BB4" w:rsidRDefault="00C44001">
      <w:pPr>
        <w:pStyle w:val="Textoindependiente"/>
        <w:spacing w:before="8"/>
        <w:rPr>
          <w:rFonts w:ascii="Arial"/>
          <w:i/>
          <w:sz w:val="20"/>
        </w:rPr>
      </w:pPr>
      <w:r>
        <w:rPr>
          <w:rFonts w:ascii="Arial"/>
          <w:i/>
          <w:noProof/>
          <w:sz w:val="20"/>
          <w:lang w:val="es-AR" w:eastAsia="es-AR"/>
        </w:rPr>
        <mc:AlternateContent>
          <mc:Choice Requires="wps">
            <w:drawing>
              <wp:anchor distT="0" distB="0" distL="0" distR="0" simplePos="0" relativeHeight="487603200" behindDoc="1" locked="0" layoutInCell="1" allowOverlap="1">
                <wp:simplePos x="0" y="0"/>
                <wp:positionH relativeFrom="page">
                  <wp:posOffset>1079500</wp:posOffset>
                </wp:positionH>
                <wp:positionV relativeFrom="paragraph">
                  <wp:posOffset>166958</wp:posOffset>
                </wp:positionV>
                <wp:extent cx="5867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5pt;margin-top:13.146341pt;width:462pt;height:.1pt;mso-position-horizontal-relative:page;mso-position-vertical-relative:paragraph;z-index:-15713280;mso-wrap-distance-left:0;mso-wrap-distance-right:0" id="docshape7" coordorigin="1700,263" coordsize="9240,0" path="m1700,263l10940,263e" filled="false" stroked="true" strokeweight="1.0pt" strokecolor="#000000">
                <v:path arrowok="t"/>
                <v:stroke dashstyle="solid"/>
                <w10:wrap type="topAndBottom"/>
              </v:shape>
            </w:pict>
          </mc:Fallback>
        </mc:AlternateContent>
      </w:r>
    </w:p>
    <w:p w:rsidR="009B4BB4" w:rsidRDefault="00C44001">
      <w:pPr>
        <w:pStyle w:val="Textoindependiente"/>
        <w:spacing w:before="209" w:line="360" w:lineRule="auto"/>
        <w:ind w:left="425" w:right="603"/>
        <w:jc w:val="both"/>
      </w:pPr>
      <w:r>
        <w:rPr>
          <w:rFonts w:ascii="Arial" w:hAnsi="Arial"/>
          <w:i/>
        </w:rPr>
        <w:t xml:space="preserve">Nota. </w:t>
      </w:r>
      <w:r>
        <w:t xml:space="preserve">Estrategia de escasez controlada. El escalamiento de Guardiana se vincula a la capacidad biológica de la </w:t>
      </w:r>
      <w:r>
        <w:rPr>
          <w:rFonts w:ascii="Arial" w:hAnsi="Arial"/>
          <w:i/>
        </w:rPr>
        <w:t>Melipona beecheii</w:t>
      </w:r>
      <w:r>
        <w:t xml:space="preserve">, asegurando un posicionamiento </w:t>
      </w:r>
      <w:r>
        <w:rPr>
          <w:rFonts w:ascii="Arial" w:hAnsi="Arial"/>
          <w:i/>
        </w:rPr>
        <w:t xml:space="preserve">premium </w:t>
      </w:r>
      <w:r>
        <w:t>mediante la gestión de oferta limitada y la sostenibilidad</w:t>
      </w:r>
      <w:r>
        <w:t xml:space="preserve"> del ecosistema. Elaboración propia (2025).</w:t>
      </w:r>
    </w:p>
    <w:p w:rsidR="009B4BB4" w:rsidRDefault="00C44001" w:rsidP="00C44001">
      <w:pPr>
        <w:pStyle w:val="Ttulo1"/>
        <w:numPr>
          <w:ilvl w:val="2"/>
          <w:numId w:val="13"/>
        </w:numPr>
        <w:tabs>
          <w:tab w:val="left" w:pos="1000"/>
        </w:tabs>
        <w:spacing w:before="240"/>
        <w:ind w:left="1000" w:hanging="545"/>
      </w:pPr>
      <w:r>
        <w:t>Supuestos</w:t>
      </w:r>
      <w:r>
        <w:rPr>
          <w:spacing w:val="-6"/>
        </w:rPr>
        <w:t xml:space="preserve"> </w:t>
      </w:r>
      <w:r>
        <w:t>financieros</w:t>
      </w:r>
      <w:r>
        <w:rPr>
          <w:spacing w:val="-6"/>
        </w:rPr>
        <w:t xml:space="preserve"> </w:t>
      </w:r>
      <w:r>
        <w:t>base</w:t>
      </w:r>
      <w:r>
        <w:rPr>
          <w:spacing w:val="-6"/>
        </w:rPr>
        <w:t xml:space="preserve"> </w:t>
      </w:r>
      <w:r>
        <w:t>para</w:t>
      </w:r>
      <w:r>
        <w:rPr>
          <w:spacing w:val="-6"/>
        </w:rPr>
        <w:t xml:space="preserve"> </w:t>
      </w:r>
      <w:r>
        <w:t>la</w:t>
      </w:r>
      <w:r>
        <w:rPr>
          <w:spacing w:val="-6"/>
        </w:rPr>
        <w:t xml:space="preserve"> </w:t>
      </w:r>
      <w:r>
        <w:rPr>
          <w:spacing w:val="-2"/>
        </w:rPr>
        <w:t>proyección</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8" w:firstLine="720"/>
        <w:jc w:val="both"/>
      </w:pPr>
      <w:r>
        <w:t>Para modelar los escenarios de rentabilidad a cinco años, se definen las siguientes premisas operativas, alineadas con la estructura de costos validada en</w:t>
      </w:r>
      <w:r>
        <w:rPr>
          <w:spacing w:val="-3"/>
        </w:rPr>
        <w:t xml:space="preserve"> </w:t>
      </w:r>
      <w:r>
        <w:t>el</w:t>
      </w:r>
      <w:r>
        <w:rPr>
          <w:spacing w:val="-3"/>
        </w:rPr>
        <w:t xml:space="preserve"> </w:t>
      </w:r>
      <w:r>
        <w:t xml:space="preserve">lote </w:t>
      </w:r>
      <w:r>
        <w:rPr>
          <w:spacing w:val="-2"/>
        </w:rPr>
        <w:t>piloto:</w:t>
      </w:r>
    </w:p>
    <w:p w:rsidR="009B4BB4" w:rsidRDefault="00C44001" w:rsidP="00C44001">
      <w:pPr>
        <w:pStyle w:val="Prrafodelista"/>
        <w:numPr>
          <w:ilvl w:val="3"/>
          <w:numId w:val="13"/>
        </w:numPr>
        <w:tabs>
          <w:tab w:val="left" w:pos="1143"/>
          <w:tab w:val="left" w:pos="1145"/>
        </w:tabs>
        <w:spacing w:line="360" w:lineRule="auto"/>
        <w:ind w:right="604"/>
        <w:jc w:val="both"/>
      </w:pPr>
      <w:r>
        <w:rPr>
          <w:rFonts w:ascii="Arial" w:hAnsi="Arial"/>
          <w:b/>
        </w:rPr>
        <w:t xml:space="preserve">Precios y mix de ventas: </w:t>
      </w:r>
      <w:r>
        <w:t>Los precios se mantienen constantes en términos reales, ajustados por inflación: $33 USD para el frasco de 100 g y</w:t>
      </w:r>
      <w:r>
        <w:rPr>
          <w:spacing w:val="-3"/>
        </w:rPr>
        <w:t xml:space="preserve"> </w:t>
      </w:r>
      <w:r>
        <w:t>$16</w:t>
      </w:r>
      <w:r>
        <w:rPr>
          <w:spacing w:val="-3"/>
        </w:rPr>
        <w:t xml:space="preserve"> </w:t>
      </w:r>
      <w:r>
        <w:t>USD</w:t>
      </w:r>
      <w:r>
        <w:rPr>
          <w:spacing w:val="-3"/>
        </w:rPr>
        <w:t xml:space="preserve"> </w:t>
      </w:r>
      <w:r>
        <w:t>para el gotero de 20 ml. La mezcla de ventas se proyecta en una proporción de 60% frascos y 40% goteros, reflejando la preferencia del mercado por la presentación de mayor valor y el rol del gotero como producto de entrada, lo que equilibra captación y ren</w:t>
      </w:r>
      <w:r>
        <w:t>tabilidad.</w:t>
      </w:r>
    </w:p>
    <w:p w:rsidR="009B4BB4" w:rsidRDefault="00C44001" w:rsidP="00C44001">
      <w:pPr>
        <w:pStyle w:val="Prrafodelista"/>
        <w:numPr>
          <w:ilvl w:val="3"/>
          <w:numId w:val="13"/>
        </w:numPr>
        <w:tabs>
          <w:tab w:val="left" w:pos="1143"/>
          <w:tab w:val="left" w:pos="1145"/>
        </w:tabs>
        <w:spacing w:line="360" w:lineRule="auto"/>
        <w:ind w:right="603"/>
        <w:jc w:val="both"/>
      </w:pPr>
      <w:r>
        <w:rPr>
          <w:rFonts w:ascii="Arial" w:hAnsi="Arial"/>
          <w:b/>
        </w:rPr>
        <w:t xml:space="preserve">Costos variables unitarios: </w:t>
      </w:r>
      <w:r>
        <w:t>Se considera un costo unitario de $12.00 USD por frasco y $5.50 USD por gotero, que incluye materia prima a precio</w:t>
      </w:r>
      <w:r>
        <w:rPr>
          <w:spacing w:val="-3"/>
        </w:rPr>
        <w:t xml:space="preserve"> </w:t>
      </w:r>
      <w:r>
        <w:t>justo,</w:t>
      </w:r>
      <w:r>
        <w:rPr>
          <w:spacing w:val="-3"/>
        </w:rPr>
        <w:t xml:space="preserve"> </w:t>
      </w:r>
      <w:r>
        <w:t>envase, etiquetado y empaque secundario. A partir del Año 3, se proyecta una reducción del 2% a</w:t>
      </w:r>
      <w:r>
        <w:t>nual en estos costos, derivada de economías de</w:t>
      </w:r>
      <w:r>
        <w:rPr>
          <w:spacing w:val="-3"/>
        </w:rPr>
        <w:t xml:space="preserve"> </w:t>
      </w:r>
      <w:r>
        <w:t>escala</w:t>
      </w:r>
      <w:r>
        <w:rPr>
          <w:spacing w:val="-3"/>
        </w:rPr>
        <w:t xml:space="preserve"> </w:t>
      </w:r>
      <w:r>
        <w:t>en</w:t>
      </w:r>
      <w:r>
        <w:rPr>
          <w:spacing w:val="-3"/>
        </w:rPr>
        <w:t xml:space="preserve"> </w:t>
      </w:r>
      <w:r>
        <w:t>la</w:t>
      </w:r>
      <w:r>
        <w:rPr>
          <w:spacing w:val="-3"/>
        </w:rPr>
        <w:t xml:space="preserve"> </w:t>
      </w:r>
      <w:r>
        <w:t>compra</w:t>
      </w:r>
      <w:r>
        <w:rPr>
          <w:spacing w:val="-3"/>
        </w:rPr>
        <w:t xml:space="preserve"> </w:t>
      </w:r>
      <w:r>
        <w:t>de insumos, conforme aumenta el volumen de producción.</w:t>
      </w:r>
    </w:p>
    <w:p w:rsidR="009B4BB4" w:rsidRDefault="00C44001" w:rsidP="00C44001">
      <w:pPr>
        <w:pStyle w:val="Prrafodelista"/>
        <w:numPr>
          <w:ilvl w:val="3"/>
          <w:numId w:val="13"/>
        </w:numPr>
        <w:tabs>
          <w:tab w:val="left" w:pos="1143"/>
          <w:tab w:val="left" w:pos="1145"/>
        </w:tabs>
        <w:spacing w:line="360" w:lineRule="auto"/>
        <w:ind w:right="602"/>
        <w:jc w:val="both"/>
      </w:pPr>
      <w:r>
        <w:rPr>
          <w:rFonts w:ascii="Arial" w:hAnsi="Arial"/>
          <w:b/>
        </w:rPr>
        <w:t xml:space="preserve">Costos fijos y operativos: </w:t>
      </w:r>
      <w:r>
        <w:t>Los costos fijos parten de una base de $3,622 USD anuales, según los resultados del piloto. Se estima un</w:t>
      </w:r>
      <w:r>
        <w:rPr>
          <w:spacing w:val="-3"/>
        </w:rPr>
        <w:t xml:space="preserve"> </w:t>
      </w:r>
      <w:r>
        <w:t>in</w:t>
      </w:r>
      <w:r>
        <w:t>cremento</w:t>
      </w:r>
      <w:r>
        <w:rPr>
          <w:spacing w:val="-3"/>
        </w:rPr>
        <w:t xml:space="preserve"> </w:t>
      </w:r>
      <w:r>
        <w:t>anual</w:t>
      </w:r>
      <w:r>
        <w:rPr>
          <w:spacing w:val="-3"/>
        </w:rPr>
        <w:t xml:space="preserve"> </w:t>
      </w:r>
      <w:r>
        <w:t>del</w:t>
      </w:r>
      <w:r>
        <w:rPr>
          <w:spacing w:val="-3"/>
        </w:rPr>
        <w:t xml:space="preserve"> </w:t>
      </w:r>
      <w:r>
        <w:t>10%, asociado a la inflación, la expansión de la pauta en marketing digital y el mantenimiento de plataformas de e-commerce, en línea con el crecimiento proyectado del negocio.</w:t>
      </w:r>
    </w:p>
    <w:p w:rsidR="009B4BB4" w:rsidRDefault="009B4BB4">
      <w:pPr>
        <w:pStyle w:val="Prrafodelista"/>
        <w:spacing w:line="360" w:lineRule="auto"/>
        <w:jc w:val="both"/>
        <w:sectPr w:rsidR="009B4BB4">
          <w:pgSz w:w="11920" w:h="16840"/>
          <w:pgMar w:top="1800" w:right="850" w:bottom="1940" w:left="1275" w:header="0" w:footer="1747" w:gutter="0"/>
          <w:cols w:space="720"/>
        </w:sectPr>
      </w:pPr>
    </w:p>
    <w:p w:rsidR="009B4BB4" w:rsidRDefault="00C44001">
      <w:pPr>
        <w:pStyle w:val="Ttulo1"/>
        <w:spacing w:before="79"/>
      </w:pPr>
      <w:r>
        <w:rPr>
          <w:spacing w:val="-2"/>
        </w:rPr>
        <w:lastRenderedPageBreak/>
        <w:t>Tabla</w:t>
      </w:r>
      <w:r>
        <w:rPr>
          <w:spacing w:val="-11"/>
        </w:rPr>
        <w:t xml:space="preserve"> </w:t>
      </w:r>
      <w:r>
        <w:rPr>
          <w:spacing w:val="-5"/>
        </w:rPr>
        <w:t>7.9</w:t>
      </w:r>
    </w:p>
    <w:p w:rsidR="009B4BB4" w:rsidRDefault="00C44001">
      <w:pPr>
        <w:spacing w:before="38"/>
        <w:ind w:left="455"/>
        <w:rPr>
          <w:rFonts w:ascii="Arial" w:hAnsi="Arial"/>
          <w:i/>
        </w:rPr>
      </w:pPr>
      <w:r>
        <w:rPr>
          <w:rFonts w:ascii="Arial" w:hAnsi="Arial"/>
          <w:i/>
        </w:rPr>
        <w:t>Proyección</w:t>
      </w:r>
      <w:r>
        <w:rPr>
          <w:rFonts w:ascii="Arial" w:hAnsi="Arial"/>
          <w:i/>
          <w:spacing w:val="-8"/>
        </w:rPr>
        <w:t xml:space="preserve"> </w:t>
      </w:r>
      <w:r>
        <w:rPr>
          <w:rFonts w:ascii="Arial" w:hAnsi="Arial"/>
          <w:i/>
        </w:rPr>
        <w:t>financiera</w:t>
      </w:r>
      <w:r>
        <w:rPr>
          <w:rFonts w:ascii="Arial" w:hAnsi="Arial"/>
          <w:i/>
          <w:spacing w:val="-8"/>
        </w:rPr>
        <w:t xml:space="preserve"> </w:t>
      </w:r>
      <w:r>
        <w:rPr>
          <w:rFonts w:ascii="Arial" w:hAnsi="Arial"/>
          <w:i/>
        </w:rPr>
        <w:t>estratégic</w:t>
      </w:r>
      <w:r>
        <w:rPr>
          <w:rFonts w:ascii="Arial" w:hAnsi="Arial"/>
          <w:i/>
        </w:rPr>
        <w:t>a</w:t>
      </w:r>
      <w:r>
        <w:rPr>
          <w:rFonts w:ascii="Arial" w:hAnsi="Arial"/>
          <w:i/>
          <w:spacing w:val="-8"/>
        </w:rPr>
        <w:t xml:space="preserve"> </w:t>
      </w:r>
      <w:r>
        <w:rPr>
          <w:rFonts w:ascii="Arial" w:hAnsi="Arial"/>
          <w:i/>
        </w:rPr>
        <w:t>a</w:t>
      </w:r>
      <w:r>
        <w:rPr>
          <w:rFonts w:ascii="Arial" w:hAnsi="Arial"/>
          <w:i/>
          <w:spacing w:val="-8"/>
        </w:rPr>
        <w:t xml:space="preserve"> </w:t>
      </w:r>
      <w:r>
        <w:rPr>
          <w:rFonts w:ascii="Arial" w:hAnsi="Arial"/>
          <w:i/>
        </w:rPr>
        <w:t>cinco</w:t>
      </w:r>
      <w:r>
        <w:rPr>
          <w:rFonts w:ascii="Arial" w:hAnsi="Arial"/>
          <w:i/>
          <w:spacing w:val="-8"/>
        </w:rPr>
        <w:t xml:space="preserve"> </w:t>
      </w:r>
      <w:r>
        <w:rPr>
          <w:rFonts w:ascii="Arial" w:hAnsi="Arial"/>
          <w:i/>
        </w:rPr>
        <w:t>años</w:t>
      </w:r>
      <w:r>
        <w:rPr>
          <w:rFonts w:ascii="Arial" w:hAnsi="Arial"/>
          <w:i/>
          <w:spacing w:val="-7"/>
        </w:rPr>
        <w:t xml:space="preserve"> </w:t>
      </w:r>
      <w:r>
        <w:rPr>
          <w:rFonts w:ascii="Arial" w:hAnsi="Arial"/>
          <w:i/>
        </w:rPr>
        <w:t>(2026-</w:t>
      </w:r>
      <w:r>
        <w:rPr>
          <w:rFonts w:ascii="Arial" w:hAnsi="Arial"/>
          <w:i/>
          <w:spacing w:val="-2"/>
        </w:rPr>
        <w:t>2030)</w:t>
      </w:r>
    </w:p>
    <w:p w:rsidR="009B4BB4" w:rsidRDefault="009B4BB4">
      <w:pPr>
        <w:pStyle w:val="Textoindependiente"/>
        <w:spacing w:before="87"/>
        <w:rPr>
          <w:rFonts w:ascii="Arial"/>
          <w:i/>
          <w:sz w:val="20"/>
        </w:rPr>
      </w:pPr>
    </w:p>
    <w:tbl>
      <w:tblPr>
        <w:tblStyle w:val="TableNormal"/>
        <w:tblW w:w="0" w:type="auto"/>
        <w:tblInd w:w="432" w:type="dxa"/>
        <w:tblLayout w:type="fixed"/>
        <w:tblLook w:val="01E0" w:firstRow="1" w:lastRow="1" w:firstColumn="1" w:lastColumn="1" w:noHBand="0" w:noVBand="0"/>
      </w:tblPr>
      <w:tblGrid>
        <w:gridCol w:w="835"/>
        <w:gridCol w:w="1479"/>
        <w:gridCol w:w="1622"/>
        <w:gridCol w:w="1572"/>
        <w:gridCol w:w="1925"/>
        <w:gridCol w:w="1610"/>
      </w:tblGrid>
      <w:tr w:rsidR="009B4BB4">
        <w:trPr>
          <w:trHeight w:val="840"/>
        </w:trPr>
        <w:tc>
          <w:tcPr>
            <w:tcW w:w="835" w:type="dxa"/>
            <w:tcBorders>
              <w:top w:val="single" w:sz="8" w:space="0" w:color="000000"/>
              <w:bottom w:val="single" w:sz="8" w:space="0" w:color="000000"/>
            </w:tcBorders>
          </w:tcPr>
          <w:p w:rsidR="009B4BB4" w:rsidRDefault="00C44001">
            <w:pPr>
              <w:pStyle w:val="TableParagraph"/>
              <w:spacing w:before="242"/>
              <w:ind w:left="36"/>
              <w:jc w:val="center"/>
              <w:rPr>
                <w:rFonts w:ascii="Arial" w:hAnsi="Arial"/>
                <w:b/>
              </w:rPr>
            </w:pPr>
            <w:r>
              <w:rPr>
                <w:rFonts w:ascii="Arial" w:hAnsi="Arial"/>
                <w:b/>
                <w:spacing w:val="-5"/>
              </w:rPr>
              <w:t>Año</w:t>
            </w:r>
          </w:p>
        </w:tc>
        <w:tc>
          <w:tcPr>
            <w:tcW w:w="1479" w:type="dxa"/>
            <w:tcBorders>
              <w:top w:val="single" w:sz="8" w:space="0" w:color="000000"/>
              <w:bottom w:val="single" w:sz="8" w:space="0" w:color="000000"/>
            </w:tcBorders>
          </w:tcPr>
          <w:p w:rsidR="009B4BB4" w:rsidRDefault="00C44001">
            <w:pPr>
              <w:pStyle w:val="TableParagraph"/>
              <w:spacing w:before="242"/>
              <w:ind w:right="115"/>
              <w:jc w:val="center"/>
              <w:rPr>
                <w:rFonts w:ascii="Arial"/>
                <w:b/>
              </w:rPr>
            </w:pPr>
            <w:r>
              <w:rPr>
                <w:rFonts w:ascii="Arial"/>
                <w:b/>
                <w:spacing w:val="-2"/>
              </w:rPr>
              <w:t>Unidades</w:t>
            </w:r>
          </w:p>
        </w:tc>
        <w:tc>
          <w:tcPr>
            <w:tcW w:w="1622" w:type="dxa"/>
            <w:tcBorders>
              <w:top w:val="single" w:sz="8" w:space="0" w:color="000000"/>
              <w:bottom w:val="single" w:sz="8" w:space="0" w:color="000000"/>
            </w:tcBorders>
          </w:tcPr>
          <w:p w:rsidR="009B4BB4" w:rsidRDefault="00C44001">
            <w:pPr>
              <w:pStyle w:val="TableParagraph"/>
              <w:spacing w:before="52" w:line="360" w:lineRule="auto"/>
              <w:ind w:left="370" w:right="398" w:hanging="67"/>
              <w:rPr>
                <w:rFonts w:ascii="Arial"/>
                <w:b/>
              </w:rPr>
            </w:pPr>
            <w:r>
              <w:rPr>
                <w:rFonts w:ascii="Arial"/>
                <w:b/>
                <w:spacing w:val="-2"/>
              </w:rPr>
              <w:t>Ingresos Totales</w:t>
            </w:r>
          </w:p>
        </w:tc>
        <w:tc>
          <w:tcPr>
            <w:tcW w:w="1572" w:type="dxa"/>
            <w:tcBorders>
              <w:top w:val="single" w:sz="8" w:space="0" w:color="000000"/>
              <w:bottom w:val="single" w:sz="8" w:space="0" w:color="000000"/>
            </w:tcBorders>
          </w:tcPr>
          <w:p w:rsidR="009B4BB4" w:rsidRDefault="00C44001">
            <w:pPr>
              <w:pStyle w:val="TableParagraph"/>
              <w:spacing w:before="52" w:line="360" w:lineRule="auto"/>
              <w:ind w:left="443" w:right="301" w:hanging="43"/>
              <w:rPr>
                <w:rFonts w:ascii="Arial"/>
                <w:b/>
              </w:rPr>
            </w:pPr>
            <w:r>
              <w:rPr>
                <w:rFonts w:ascii="Arial"/>
                <w:b/>
                <w:spacing w:val="-2"/>
              </w:rPr>
              <w:t>Egresos Totales</w:t>
            </w:r>
          </w:p>
        </w:tc>
        <w:tc>
          <w:tcPr>
            <w:tcW w:w="1925" w:type="dxa"/>
            <w:tcBorders>
              <w:top w:val="single" w:sz="8" w:space="0" w:color="000000"/>
              <w:bottom w:val="single" w:sz="8" w:space="0" w:color="000000"/>
            </w:tcBorders>
          </w:tcPr>
          <w:p w:rsidR="009B4BB4" w:rsidRDefault="00C44001">
            <w:pPr>
              <w:pStyle w:val="TableParagraph"/>
              <w:spacing w:before="242"/>
              <w:ind w:left="20"/>
              <w:jc w:val="center"/>
              <w:rPr>
                <w:rFonts w:ascii="Arial"/>
                <w:b/>
              </w:rPr>
            </w:pPr>
            <w:r>
              <w:rPr>
                <w:rFonts w:ascii="Arial"/>
                <w:b/>
              </w:rPr>
              <w:t>Utilidad</w:t>
            </w:r>
            <w:r>
              <w:rPr>
                <w:rFonts w:ascii="Arial"/>
                <w:b/>
                <w:spacing w:val="-8"/>
              </w:rPr>
              <w:t xml:space="preserve"> </w:t>
            </w:r>
            <w:r>
              <w:rPr>
                <w:rFonts w:ascii="Arial"/>
                <w:b/>
                <w:spacing w:val="-4"/>
              </w:rPr>
              <w:t>Neta</w:t>
            </w:r>
          </w:p>
        </w:tc>
        <w:tc>
          <w:tcPr>
            <w:tcW w:w="1610" w:type="dxa"/>
            <w:tcBorders>
              <w:top w:val="single" w:sz="8" w:space="0" w:color="000000"/>
              <w:bottom w:val="single" w:sz="8" w:space="0" w:color="000000"/>
            </w:tcBorders>
          </w:tcPr>
          <w:p w:rsidR="009B4BB4" w:rsidRDefault="00C44001">
            <w:pPr>
              <w:pStyle w:val="TableParagraph"/>
              <w:spacing w:before="52" w:line="360" w:lineRule="auto"/>
              <w:ind w:left="536" w:right="290" w:hanging="260"/>
              <w:rPr>
                <w:rFonts w:ascii="Arial"/>
                <w:b/>
              </w:rPr>
            </w:pPr>
            <w:r>
              <w:rPr>
                <w:rFonts w:ascii="Arial"/>
                <w:b/>
              </w:rPr>
              <w:t>%</w:t>
            </w:r>
            <w:r>
              <w:rPr>
                <w:rFonts w:ascii="Arial"/>
                <w:b/>
                <w:spacing w:val="-16"/>
              </w:rPr>
              <w:t xml:space="preserve"> </w:t>
            </w:r>
            <w:r>
              <w:rPr>
                <w:rFonts w:ascii="Arial"/>
                <w:b/>
              </w:rPr>
              <w:t xml:space="preserve">Margen </w:t>
            </w:r>
            <w:r>
              <w:rPr>
                <w:rFonts w:ascii="Arial"/>
                <w:b/>
                <w:spacing w:val="-4"/>
              </w:rPr>
              <w:t>Neto</w:t>
            </w:r>
          </w:p>
        </w:tc>
      </w:tr>
      <w:tr w:rsidR="009B4BB4">
        <w:trPr>
          <w:trHeight w:val="421"/>
        </w:trPr>
        <w:tc>
          <w:tcPr>
            <w:tcW w:w="835" w:type="dxa"/>
            <w:tcBorders>
              <w:top w:val="single" w:sz="8" w:space="0" w:color="000000"/>
            </w:tcBorders>
          </w:tcPr>
          <w:p w:rsidR="009B4BB4" w:rsidRDefault="00C44001">
            <w:pPr>
              <w:pStyle w:val="TableParagraph"/>
              <w:spacing w:before="56"/>
              <w:ind w:left="36"/>
              <w:jc w:val="center"/>
            </w:pPr>
            <w:r>
              <w:rPr>
                <w:spacing w:val="-10"/>
              </w:rPr>
              <w:t>1</w:t>
            </w:r>
          </w:p>
        </w:tc>
        <w:tc>
          <w:tcPr>
            <w:tcW w:w="1479" w:type="dxa"/>
            <w:tcBorders>
              <w:top w:val="single" w:sz="8" w:space="0" w:color="000000"/>
            </w:tcBorders>
          </w:tcPr>
          <w:p w:rsidR="009B4BB4" w:rsidRDefault="00C44001">
            <w:pPr>
              <w:pStyle w:val="TableParagraph"/>
              <w:spacing w:before="56"/>
              <w:ind w:right="115"/>
              <w:jc w:val="center"/>
            </w:pPr>
            <w:r>
              <w:rPr>
                <w:spacing w:val="-5"/>
              </w:rPr>
              <w:t>500</w:t>
            </w:r>
          </w:p>
        </w:tc>
        <w:tc>
          <w:tcPr>
            <w:tcW w:w="1622" w:type="dxa"/>
            <w:tcBorders>
              <w:top w:val="single" w:sz="8" w:space="0" w:color="000000"/>
            </w:tcBorders>
          </w:tcPr>
          <w:p w:rsidR="009B4BB4" w:rsidRDefault="00C44001">
            <w:pPr>
              <w:pStyle w:val="TableParagraph"/>
              <w:spacing w:before="56"/>
              <w:ind w:right="96"/>
              <w:jc w:val="center"/>
            </w:pPr>
            <w:r>
              <w:rPr>
                <w:spacing w:val="-2"/>
              </w:rPr>
              <w:t>$13,100</w:t>
            </w:r>
          </w:p>
        </w:tc>
        <w:tc>
          <w:tcPr>
            <w:tcW w:w="1572" w:type="dxa"/>
            <w:tcBorders>
              <w:top w:val="single" w:sz="8" w:space="0" w:color="000000"/>
            </w:tcBorders>
          </w:tcPr>
          <w:p w:rsidR="009B4BB4" w:rsidRDefault="00C44001">
            <w:pPr>
              <w:pStyle w:val="TableParagraph"/>
              <w:spacing w:before="56"/>
              <w:ind w:left="97"/>
              <w:jc w:val="center"/>
            </w:pPr>
            <w:r>
              <w:rPr>
                <w:spacing w:val="-2"/>
              </w:rPr>
              <w:t>$8,322</w:t>
            </w:r>
          </w:p>
        </w:tc>
        <w:tc>
          <w:tcPr>
            <w:tcW w:w="1925" w:type="dxa"/>
            <w:tcBorders>
              <w:top w:val="single" w:sz="8" w:space="0" w:color="000000"/>
            </w:tcBorders>
          </w:tcPr>
          <w:p w:rsidR="009B4BB4" w:rsidRDefault="00C44001">
            <w:pPr>
              <w:pStyle w:val="TableParagraph"/>
              <w:spacing w:before="56"/>
              <w:ind w:left="20"/>
              <w:jc w:val="center"/>
            </w:pPr>
            <w:r>
              <w:rPr>
                <w:spacing w:val="-2"/>
              </w:rPr>
              <w:t>$4,778</w:t>
            </w:r>
          </w:p>
        </w:tc>
        <w:tc>
          <w:tcPr>
            <w:tcW w:w="1610" w:type="dxa"/>
            <w:tcBorders>
              <w:top w:val="single" w:sz="8" w:space="0" w:color="000000"/>
            </w:tcBorders>
          </w:tcPr>
          <w:p w:rsidR="009B4BB4" w:rsidRDefault="00C44001">
            <w:pPr>
              <w:pStyle w:val="TableParagraph"/>
              <w:spacing w:before="56"/>
              <w:ind w:right="17"/>
              <w:jc w:val="center"/>
            </w:pPr>
            <w:r>
              <w:rPr>
                <w:spacing w:val="-5"/>
              </w:rPr>
              <w:t>36%</w:t>
            </w:r>
          </w:p>
        </w:tc>
      </w:tr>
      <w:tr w:rsidR="009B4BB4">
        <w:trPr>
          <w:trHeight w:val="469"/>
        </w:trPr>
        <w:tc>
          <w:tcPr>
            <w:tcW w:w="835" w:type="dxa"/>
          </w:tcPr>
          <w:p w:rsidR="009B4BB4" w:rsidRDefault="00C44001">
            <w:pPr>
              <w:pStyle w:val="TableParagraph"/>
              <w:spacing w:before="104"/>
              <w:ind w:left="36"/>
              <w:jc w:val="center"/>
            </w:pPr>
            <w:r>
              <w:rPr>
                <w:spacing w:val="-10"/>
              </w:rPr>
              <w:t>2</w:t>
            </w:r>
          </w:p>
        </w:tc>
        <w:tc>
          <w:tcPr>
            <w:tcW w:w="1479" w:type="dxa"/>
          </w:tcPr>
          <w:p w:rsidR="009B4BB4" w:rsidRDefault="00C44001">
            <w:pPr>
              <w:pStyle w:val="TableParagraph"/>
              <w:spacing w:before="104"/>
              <w:ind w:right="115"/>
              <w:jc w:val="center"/>
            </w:pPr>
            <w:r>
              <w:rPr>
                <w:spacing w:val="-2"/>
              </w:rPr>
              <w:t>1,200</w:t>
            </w:r>
          </w:p>
        </w:tc>
        <w:tc>
          <w:tcPr>
            <w:tcW w:w="1622" w:type="dxa"/>
          </w:tcPr>
          <w:p w:rsidR="009B4BB4" w:rsidRDefault="00C44001">
            <w:pPr>
              <w:pStyle w:val="TableParagraph"/>
              <w:spacing w:before="104"/>
              <w:ind w:right="96"/>
              <w:jc w:val="center"/>
            </w:pPr>
            <w:r>
              <w:rPr>
                <w:spacing w:val="-2"/>
              </w:rPr>
              <w:t>$31,440</w:t>
            </w:r>
          </w:p>
        </w:tc>
        <w:tc>
          <w:tcPr>
            <w:tcW w:w="1572" w:type="dxa"/>
          </w:tcPr>
          <w:p w:rsidR="009B4BB4" w:rsidRDefault="00C44001">
            <w:pPr>
              <w:pStyle w:val="TableParagraph"/>
              <w:spacing w:before="104"/>
              <w:ind w:left="97"/>
              <w:jc w:val="center"/>
            </w:pPr>
            <w:r>
              <w:rPr>
                <w:spacing w:val="-2"/>
              </w:rPr>
              <w:t>$20,436</w:t>
            </w:r>
          </w:p>
        </w:tc>
        <w:tc>
          <w:tcPr>
            <w:tcW w:w="1925" w:type="dxa"/>
          </w:tcPr>
          <w:p w:rsidR="009B4BB4" w:rsidRDefault="00C44001">
            <w:pPr>
              <w:pStyle w:val="TableParagraph"/>
              <w:spacing w:before="104"/>
              <w:ind w:left="20"/>
              <w:jc w:val="center"/>
            </w:pPr>
            <w:r>
              <w:rPr>
                <w:spacing w:val="-2"/>
              </w:rPr>
              <w:t>$11,004</w:t>
            </w:r>
          </w:p>
        </w:tc>
        <w:tc>
          <w:tcPr>
            <w:tcW w:w="1610" w:type="dxa"/>
          </w:tcPr>
          <w:p w:rsidR="009B4BB4" w:rsidRDefault="00C44001">
            <w:pPr>
              <w:pStyle w:val="TableParagraph"/>
              <w:spacing w:before="104"/>
              <w:ind w:right="17"/>
              <w:jc w:val="center"/>
            </w:pPr>
            <w:r>
              <w:rPr>
                <w:spacing w:val="-5"/>
              </w:rPr>
              <w:t>35%</w:t>
            </w:r>
          </w:p>
        </w:tc>
      </w:tr>
      <w:tr w:rsidR="009B4BB4">
        <w:trPr>
          <w:trHeight w:val="469"/>
        </w:trPr>
        <w:tc>
          <w:tcPr>
            <w:tcW w:w="835" w:type="dxa"/>
          </w:tcPr>
          <w:p w:rsidR="009B4BB4" w:rsidRDefault="00C44001">
            <w:pPr>
              <w:pStyle w:val="TableParagraph"/>
              <w:spacing w:before="104"/>
              <w:ind w:left="36"/>
              <w:jc w:val="center"/>
            </w:pPr>
            <w:r>
              <w:rPr>
                <w:spacing w:val="-10"/>
              </w:rPr>
              <w:t>3</w:t>
            </w:r>
          </w:p>
        </w:tc>
        <w:tc>
          <w:tcPr>
            <w:tcW w:w="1479" w:type="dxa"/>
          </w:tcPr>
          <w:p w:rsidR="009B4BB4" w:rsidRDefault="00C44001">
            <w:pPr>
              <w:pStyle w:val="TableParagraph"/>
              <w:spacing w:before="104"/>
              <w:ind w:right="115"/>
              <w:jc w:val="center"/>
            </w:pPr>
            <w:r>
              <w:rPr>
                <w:spacing w:val="-2"/>
              </w:rPr>
              <w:t>2,000</w:t>
            </w:r>
          </w:p>
        </w:tc>
        <w:tc>
          <w:tcPr>
            <w:tcW w:w="1622" w:type="dxa"/>
          </w:tcPr>
          <w:p w:rsidR="009B4BB4" w:rsidRDefault="00C44001">
            <w:pPr>
              <w:pStyle w:val="TableParagraph"/>
              <w:spacing w:before="104"/>
              <w:ind w:right="96"/>
              <w:jc w:val="center"/>
            </w:pPr>
            <w:r>
              <w:rPr>
                <w:spacing w:val="-2"/>
              </w:rPr>
              <w:t>$52,400</w:t>
            </w:r>
          </w:p>
        </w:tc>
        <w:tc>
          <w:tcPr>
            <w:tcW w:w="1572" w:type="dxa"/>
          </w:tcPr>
          <w:p w:rsidR="009B4BB4" w:rsidRDefault="00C44001">
            <w:pPr>
              <w:pStyle w:val="TableParagraph"/>
              <w:spacing w:before="104"/>
              <w:ind w:left="97"/>
              <w:jc w:val="center"/>
            </w:pPr>
            <w:r>
              <w:rPr>
                <w:spacing w:val="-2"/>
              </w:rPr>
              <w:t>$34,060</w:t>
            </w:r>
          </w:p>
        </w:tc>
        <w:tc>
          <w:tcPr>
            <w:tcW w:w="1925" w:type="dxa"/>
          </w:tcPr>
          <w:p w:rsidR="009B4BB4" w:rsidRDefault="00C44001">
            <w:pPr>
              <w:pStyle w:val="TableParagraph"/>
              <w:spacing w:before="104"/>
              <w:ind w:left="20"/>
              <w:jc w:val="center"/>
            </w:pPr>
            <w:r>
              <w:rPr>
                <w:spacing w:val="-2"/>
              </w:rPr>
              <w:t>$18,340</w:t>
            </w:r>
          </w:p>
        </w:tc>
        <w:tc>
          <w:tcPr>
            <w:tcW w:w="1610" w:type="dxa"/>
          </w:tcPr>
          <w:p w:rsidR="009B4BB4" w:rsidRDefault="00C44001">
            <w:pPr>
              <w:pStyle w:val="TableParagraph"/>
              <w:spacing w:before="104"/>
              <w:ind w:right="17"/>
              <w:jc w:val="center"/>
            </w:pPr>
            <w:r>
              <w:rPr>
                <w:spacing w:val="-5"/>
              </w:rPr>
              <w:t>35%</w:t>
            </w:r>
          </w:p>
        </w:tc>
      </w:tr>
      <w:tr w:rsidR="009B4BB4">
        <w:trPr>
          <w:trHeight w:val="487"/>
        </w:trPr>
        <w:tc>
          <w:tcPr>
            <w:tcW w:w="835" w:type="dxa"/>
          </w:tcPr>
          <w:p w:rsidR="009B4BB4" w:rsidRDefault="00C44001">
            <w:pPr>
              <w:pStyle w:val="TableParagraph"/>
              <w:spacing w:before="104"/>
              <w:ind w:left="36"/>
              <w:jc w:val="center"/>
            </w:pPr>
            <w:r>
              <w:rPr>
                <w:spacing w:val="-10"/>
              </w:rPr>
              <w:t>4</w:t>
            </w:r>
          </w:p>
        </w:tc>
        <w:tc>
          <w:tcPr>
            <w:tcW w:w="1479" w:type="dxa"/>
          </w:tcPr>
          <w:p w:rsidR="009B4BB4" w:rsidRDefault="00C44001">
            <w:pPr>
              <w:pStyle w:val="TableParagraph"/>
              <w:spacing w:before="104"/>
              <w:ind w:right="115"/>
              <w:jc w:val="center"/>
            </w:pPr>
            <w:r>
              <w:rPr>
                <w:spacing w:val="-2"/>
              </w:rPr>
              <w:t>2,500</w:t>
            </w:r>
          </w:p>
        </w:tc>
        <w:tc>
          <w:tcPr>
            <w:tcW w:w="1622" w:type="dxa"/>
          </w:tcPr>
          <w:p w:rsidR="009B4BB4" w:rsidRDefault="00C44001">
            <w:pPr>
              <w:pStyle w:val="TableParagraph"/>
              <w:spacing w:before="104"/>
              <w:ind w:right="96"/>
              <w:jc w:val="center"/>
            </w:pPr>
            <w:r>
              <w:rPr>
                <w:spacing w:val="-2"/>
              </w:rPr>
              <w:t>$65,500</w:t>
            </w:r>
          </w:p>
        </w:tc>
        <w:tc>
          <w:tcPr>
            <w:tcW w:w="1572" w:type="dxa"/>
          </w:tcPr>
          <w:p w:rsidR="009B4BB4" w:rsidRDefault="00C44001">
            <w:pPr>
              <w:pStyle w:val="TableParagraph"/>
              <w:spacing w:before="104"/>
              <w:ind w:left="97"/>
              <w:jc w:val="center"/>
            </w:pPr>
            <w:r>
              <w:rPr>
                <w:spacing w:val="-2"/>
              </w:rPr>
              <w:t>$42,575</w:t>
            </w:r>
          </w:p>
        </w:tc>
        <w:tc>
          <w:tcPr>
            <w:tcW w:w="1925" w:type="dxa"/>
          </w:tcPr>
          <w:p w:rsidR="009B4BB4" w:rsidRDefault="00C44001">
            <w:pPr>
              <w:pStyle w:val="TableParagraph"/>
              <w:spacing w:before="104"/>
              <w:ind w:left="20"/>
              <w:jc w:val="center"/>
            </w:pPr>
            <w:r>
              <w:rPr>
                <w:spacing w:val="-2"/>
              </w:rPr>
              <w:t>$22,925</w:t>
            </w:r>
          </w:p>
        </w:tc>
        <w:tc>
          <w:tcPr>
            <w:tcW w:w="1610" w:type="dxa"/>
          </w:tcPr>
          <w:p w:rsidR="009B4BB4" w:rsidRDefault="00C44001">
            <w:pPr>
              <w:pStyle w:val="TableParagraph"/>
              <w:spacing w:before="104"/>
              <w:ind w:right="17"/>
              <w:jc w:val="center"/>
            </w:pPr>
            <w:r>
              <w:rPr>
                <w:spacing w:val="-5"/>
              </w:rPr>
              <w:t>35%</w:t>
            </w:r>
          </w:p>
        </w:tc>
      </w:tr>
      <w:tr w:rsidR="009B4BB4">
        <w:trPr>
          <w:trHeight w:val="572"/>
        </w:trPr>
        <w:tc>
          <w:tcPr>
            <w:tcW w:w="835" w:type="dxa"/>
            <w:tcBorders>
              <w:bottom w:val="single" w:sz="8" w:space="0" w:color="000000"/>
            </w:tcBorders>
          </w:tcPr>
          <w:p w:rsidR="009B4BB4" w:rsidRDefault="00C44001">
            <w:pPr>
              <w:pStyle w:val="TableParagraph"/>
              <w:spacing w:before="122"/>
              <w:ind w:left="36"/>
              <w:jc w:val="center"/>
            </w:pPr>
            <w:r>
              <w:rPr>
                <w:spacing w:val="-10"/>
              </w:rPr>
              <w:t>5</w:t>
            </w:r>
          </w:p>
        </w:tc>
        <w:tc>
          <w:tcPr>
            <w:tcW w:w="1479" w:type="dxa"/>
            <w:tcBorders>
              <w:bottom w:val="single" w:sz="8" w:space="0" w:color="000000"/>
            </w:tcBorders>
          </w:tcPr>
          <w:p w:rsidR="009B4BB4" w:rsidRDefault="00C44001">
            <w:pPr>
              <w:pStyle w:val="TableParagraph"/>
              <w:spacing w:before="122"/>
              <w:ind w:right="115"/>
              <w:jc w:val="center"/>
            </w:pPr>
            <w:r>
              <w:rPr>
                <w:spacing w:val="-2"/>
              </w:rPr>
              <w:t>3,000</w:t>
            </w:r>
          </w:p>
        </w:tc>
        <w:tc>
          <w:tcPr>
            <w:tcW w:w="1622" w:type="dxa"/>
            <w:tcBorders>
              <w:bottom w:val="single" w:sz="8" w:space="0" w:color="000000"/>
            </w:tcBorders>
          </w:tcPr>
          <w:p w:rsidR="009B4BB4" w:rsidRDefault="00C44001">
            <w:pPr>
              <w:pStyle w:val="TableParagraph"/>
              <w:spacing w:before="122"/>
              <w:ind w:right="96"/>
              <w:jc w:val="center"/>
            </w:pPr>
            <w:r>
              <w:rPr>
                <w:spacing w:val="-2"/>
              </w:rPr>
              <w:t>$78,600</w:t>
            </w:r>
          </w:p>
        </w:tc>
        <w:tc>
          <w:tcPr>
            <w:tcW w:w="1572" w:type="dxa"/>
            <w:tcBorders>
              <w:bottom w:val="single" w:sz="8" w:space="0" w:color="000000"/>
            </w:tcBorders>
          </w:tcPr>
          <w:p w:rsidR="009B4BB4" w:rsidRDefault="00C44001">
            <w:pPr>
              <w:pStyle w:val="TableParagraph"/>
              <w:spacing w:before="122"/>
              <w:ind w:left="97"/>
              <w:jc w:val="center"/>
            </w:pPr>
            <w:r>
              <w:rPr>
                <w:spacing w:val="-2"/>
              </w:rPr>
              <w:t>$50,304</w:t>
            </w:r>
          </w:p>
        </w:tc>
        <w:tc>
          <w:tcPr>
            <w:tcW w:w="1925" w:type="dxa"/>
            <w:tcBorders>
              <w:bottom w:val="single" w:sz="8" w:space="0" w:color="000000"/>
            </w:tcBorders>
          </w:tcPr>
          <w:p w:rsidR="009B4BB4" w:rsidRDefault="00C44001">
            <w:pPr>
              <w:pStyle w:val="TableParagraph"/>
              <w:spacing w:before="122"/>
              <w:ind w:left="20"/>
              <w:jc w:val="center"/>
            </w:pPr>
            <w:r>
              <w:rPr>
                <w:spacing w:val="-2"/>
              </w:rPr>
              <w:t>$28,296</w:t>
            </w:r>
          </w:p>
        </w:tc>
        <w:tc>
          <w:tcPr>
            <w:tcW w:w="1610" w:type="dxa"/>
            <w:tcBorders>
              <w:bottom w:val="single" w:sz="8" w:space="0" w:color="000000"/>
            </w:tcBorders>
          </w:tcPr>
          <w:p w:rsidR="009B4BB4" w:rsidRDefault="00C44001">
            <w:pPr>
              <w:pStyle w:val="TableParagraph"/>
              <w:spacing w:before="122"/>
              <w:ind w:right="17"/>
              <w:jc w:val="center"/>
            </w:pPr>
            <w:r>
              <w:rPr>
                <w:spacing w:val="-5"/>
              </w:rPr>
              <w:t>36%</w:t>
            </w:r>
          </w:p>
        </w:tc>
      </w:tr>
    </w:tbl>
    <w:p w:rsidR="009B4BB4" w:rsidRDefault="00C44001">
      <w:pPr>
        <w:pStyle w:val="Textoindependiente"/>
        <w:spacing w:before="201" w:line="360" w:lineRule="auto"/>
        <w:ind w:left="425" w:right="602"/>
        <w:jc w:val="both"/>
      </w:pPr>
      <w:r>
        <w:rPr>
          <w:rFonts w:ascii="Arial" w:hAnsi="Arial"/>
          <w:i/>
        </w:rPr>
        <w:t xml:space="preserve">Nota. </w:t>
      </w:r>
      <w:r>
        <w:t>Los</w:t>
      </w:r>
      <w:r>
        <w:rPr>
          <w:spacing w:val="-4"/>
        </w:rPr>
        <w:t xml:space="preserve"> </w:t>
      </w:r>
      <w:r>
        <w:t>egresos</w:t>
      </w:r>
      <w:r>
        <w:rPr>
          <w:spacing w:val="-4"/>
        </w:rPr>
        <w:t xml:space="preserve"> </w:t>
      </w:r>
      <w:r>
        <w:t>incluyen</w:t>
      </w:r>
      <w:r>
        <w:rPr>
          <w:spacing w:val="-4"/>
        </w:rPr>
        <w:t xml:space="preserve"> </w:t>
      </w:r>
      <w:r>
        <w:t>el</w:t>
      </w:r>
      <w:r>
        <w:rPr>
          <w:spacing w:val="-4"/>
        </w:rPr>
        <w:t xml:space="preserve"> </w:t>
      </w:r>
      <w:r>
        <w:t>costo</w:t>
      </w:r>
      <w:r>
        <w:rPr>
          <w:spacing w:val="-4"/>
        </w:rPr>
        <w:t xml:space="preserve"> </w:t>
      </w:r>
      <w:r>
        <w:t>de</w:t>
      </w:r>
      <w:r>
        <w:rPr>
          <w:spacing w:val="-4"/>
        </w:rPr>
        <w:t xml:space="preserve"> </w:t>
      </w:r>
      <w:r>
        <w:t>ventas</w:t>
      </w:r>
      <w:r>
        <w:rPr>
          <w:spacing w:val="-4"/>
        </w:rPr>
        <w:t xml:space="preserve"> </w:t>
      </w:r>
      <w:r>
        <w:t>(COGS)</w:t>
      </w:r>
      <w:r>
        <w:rPr>
          <w:spacing w:val="-4"/>
        </w:rPr>
        <w:t xml:space="preserve"> </w:t>
      </w:r>
      <w:r>
        <w:t>ajustado</w:t>
      </w:r>
      <w:r>
        <w:rPr>
          <w:spacing w:val="-4"/>
        </w:rPr>
        <w:t xml:space="preserve"> </w:t>
      </w:r>
      <w:r>
        <w:t>por</w:t>
      </w:r>
      <w:r>
        <w:rPr>
          <w:spacing w:val="-4"/>
        </w:rPr>
        <w:t xml:space="preserve"> </w:t>
      </w:r>
      <w:r>
        <w:t>economías</w:t>
      </w:r>
      <w:r>
        <w:rPr>
          <w:spacing w:val="-4"/>
        </w:rPr>
        <w:t xml:space="preserve"> </w:t>
      </w:r>
      <w:r>
        <w:t>de</w:t>
      </w:r>
      <w:r>
        <w:rPr>
          <w:spacing w:val="-4"/>
        </w:rPr>
        <w:t xml:space="preserve"> </w:t>
      </w:r>
      <w:r>
        <w:t>escala a partir del año 3 y el incremento proyectado en gastos operativos (OPEX). Elaboración propia (2025).</w:t>
      </w:r>
    </w:p>
    <w:p w:rsidR="009B4BB4" w:rsidRDefault="00C44001">
      <w:pPr>
        <w:pStyle w:val="Textoindependiente"/>
        <w:spacing w:line="360" w:lineRule="auto"/>
        <w:ind w:left="425" w:right="603" w:firstLine="720"/>
        <w:jc w:val="both"/>
      </w:pPr>
      <w:r>
        <w:t>La proyección financiera confirma la viabilidad</w:t>
      </w:r>
      <w:r>
        <w:rPr>
          <w:spacing w:val="-4"/>
        </w:rPr>
        <w:t xml:space="preserve"> </w:t>
      </w:r>
      <w:r>
        <w:t>de</w:t>
      </w:r>
      <w:r>
        <w:rPr>
          <w:spacing w:val="-4"/>
        </w:rPr>
        <w:t xml:space="preserve"> </w:t>
      </w:r>
      <w:r>
        <w:t>un</w:t>
      </w:r>
      <w:r>
        <w:rPr>
          <w:spacing w:val="-4"/>
        </w:rPr>
        <w:t xml:space="preserve"> </w:t>
      </w:r>
      <w:r>
        <w:t>modelo</w:t>
      </w:r>
      <w:r>
        <w:rPr>
          <w:spacing w:val="-4"/>
        </w:rPr>
        <w:t xml:space="preserve"> </w:t>
      </w:r>
      <w:r>
        <w:t>de</w:t>
      </w:r>
      <w:r>
        <w:rPr>
          <w:spacing w:val="-4"/>
        </w:rPr>
        <w:t xml:space="preserve"> </w:t>
      </w:r>
      <w:r>
        <w:t>nicho</w:t>
      </w:r>
      <w:r>
        <w:rPr>
          <w:spacing w:val="-4"/>
        </w:rPr>
        <w:t xml:space="preserve"> </w:t>
      </w:r>
      <w:r>
        <w:rPr>
          <w:rFonts w:ascii="Arial" w:hAnsi="Arial"/>
          <w:i/>
        </w:rPr>
        <w:t>premium</w:t>
      </w:r>
      <w:r>
        <w:t>.</w:t>
      </w:r>
      <w:r>
        <w:rPr>
          <w:spacing w:val="-4"/>
        </w:rPr>
        <w:t xml:space="preserve"> </w:t>
      </w:r>
      <w:r>
        <w:t>A diferencia de los productos de consumo masivo, que dependen de</w:t>
      </w:r>
      <w:r>
        <w:rPr>
          <w:spacing w:val="-4"/>
        </w:rPr>
        <w:t xml:space="preserve"> </w:t>
      </w:r>
      <w:r>
        <w:t>altos</w:t>
      </w:r>
      <w:r>
        <w:rPr>
          <w:spacing w:val="-4"/>
        </w:rPr>
        <w:t xml:space="preserve"> </w:t>
      </w:r>
      <w:r>
        <w:t>volúmenes</w:t>
      </w:r>
      <w:r>
        <w:rPr>
          <w:spacing w:val="-4"/>
        </w:rPr>
        <w:t xml:space="preserve"> </w:t>
      </w:r>
      <w:r>
        <w:t>para alcanzar rentabilidad, Guardiana opera con un volumen acotado y alto valor agregado, priori</w:t>
      </w:r>
      <w:r>
        <w:t>zando margen sobre escala.</w:t>
      </w:r>
    </w:p>
    <w:p w:rsidR="009B4BB4" w:rsidRDefault="00C44001">
      <w:pPr>
        <w:pStyle w:val="Textoindependiente"/>
        <w:spacing w:line="360" w:lineRule="auto"/>
        <w:ind w:left="425" w:right="603" w:firstLine="720"/>
        <w:jc w:val="both"/>
      </w:pPr>
      <w:r>
        <w:t>Bajo este enfoque, el modelo mantiene</w:t>
      </w:r>
      <w:r>
        <w:rPr>
          <w:spacing w:val="-3"/>
        </w:rPr>
        <w:t xml:space="preserve"> </w:t>
      </w:r>
      <w:r>
        <w:t>un</w:t>
      </w:r>
      <w:r>
        <w:rPr>
          <w:spacing w:val="-3"/>
        </w:rPr>
        <w:t xml:space="preserve"> </w:t>
      </w:r>
      <w:r>
        <w:t>margen</w:t>
      </w:r>
      <w:r>
        <w:rPr>
          <w:spacing w:val="-3"/>
        </w:rPr>
        <w:t xml:space="preserve"> </w:t>
      </w:r>
      <w:r>
        <w:t>neto</w:t>
      </w:r>
      <w:r>
        <w:rPr>
          <w:spacing w:val="-3"/>
        </w:rPr>
        <w:t xml:space="preserve"> </w:t>
      </w:r>
      <w:r>
        <w:t>superior</w:t>
      </w:r>
      <w:r>
        <w:rPr>
          <w:spacing w:val="-3"/>
        </w:rPr>
        <w:t xml:space="preserve"> </w:t>
      </w:r>
      <w:r>
        <w:t>al</w:t>
      </w:r>
      <w:r>
        <w:rPr>
          <w:spacing w:val="-3"/>
        </w:rPr>
        <w:t xml:space="preserve"> </w:t>
      </w:r>
      <w:r>
        <w:t>35%</w:t>
      </w:r>
      <w:r>
        <w:rPr>
          <w:spacing w:val="-3"/>
        </w:rPr>
        <w:t xml:space="preserve"> </w:t>
      </w:r>
      <w:r>
        <w:t>a</w:t>
      </w:r>
      <w:r>
        <w:rPr>
          <w:spacing w:val="-3"/>
        </w:rPr>
        <w:t xml:space="preserve"> </w:t>
      </w:r>
      <w:r>
        <w:t>lo</w:t>
      </w:r>
      <w:r>
        <w:rPr>
          <w:spacing w:val="-3"/>
        </w:rPr>
        <w:t xml:space="preserve"> </w:t>
      </w:r>
      <w:r>
        <w:t>largo del</w:t>
      </w:r>
      <w:r>
        <w:rPr>
          <w:spacing w:val="40"/>
        </w:rPr>
        <w:t xml:space="preserve"> </w:t>
      </w:r>
      <w:r>
        <w:t>periodo</w:t>
      </w:r>
      <w:r>
        <w:rPr>
          <w:spacing w:val="40"/>
        </w:rPr>
        <w:t xml:space="preserve"> </w:t>
      </w:r>
      <w:r>
        <w:t>proyectado.</w:t>
      </w:r>
      <w:r>
        <w:rPr>
          <w:spacing w:val="27"/>
        </w:rPr>
        <w:t xml:space="preserve"> </w:t>
      </w:r>
      <w:r>
        <w:t>Para</w:t>
      </w:r>
      <w:r>
        <w:rPr>
          <w:spacing w:val="27"/>
        </w:rPr>
        <w:t xml:space="preserve"> </w:t>
      </w:r>
      <w:r>
        <w:t>el</w:t>
      </w:r>
      <w:r>
        <w:rPr>
          <w:spacing w:val="27"/>
        </w:rPr>
        <w:t xml:space="preserve"> </w:t>
      </w:r>
      <w:r>
        <w:t>año</w:t>
      </w:r>
      <w:r>
        <w:rPr>
          <w:spacing w:val="27"/>
        </w:rPr>
        <w:t xml:space="preserve"> </w:t>
      </w:r>
      <w:r>
        <w:t>5,</w:t>
      </w:r>
      <w:r>
        <w:rPr>
          <w:spacing w:val="27"/>
        </w:rPr>
        <w:t xml:space="preserve"> </w:t>
      </w:r>
      <w:r>
        <w:t>el</w:t>
      </w:r>
      <w:r>
        <w:rPr>
          <w:spacing w:val="27"/>
        </w:rPr>
        <w:t xml:space="preserve"> </w:t>
      </w:r>
      <w:r>
        <w:t>proyecto</w:t>
      </w:r>
      <w:r>
        <w:rPr>
          <w:spacing w:val="27"/>
        </w:rPr>
        <w:t xml:space="preserve"> </w:t>
      </w:r>
      <w:r>
        <w:t>genera</w:t>
      </w:r>
      <w:r>
        <w:rPr>
          <w:spacing w:val="27"/>
        </w:rPr>
        <w:t xml:space="preserve"> </w:t>
      </w:r>
      <w:r>
        <w:t>una</w:t>
      </w:r>
      <w:r>
        <w:rPr>
          <w:spacing w:val="27"/>
        </w:rPr>
        <w:t xml:space="preserve"> </w:t>
      </w:r>
      <w:r>
        <w:t>utilidad</w:t>
      </w:r>
      <w:r>
        <w:rPr>
          <w:spacing w:val="27"/>
        </w:rPr>
        <w:t xml:space="preserve"> </w:t>
      </w:r>
      <w:r>
        <w:t>libre</w:t>
      </w:r>
      <w:r>
        <w:rPr>
          <w:spacing w:val="27"/>
        </w:rPr>
        <w:t xml:space="preserve"> </w:t>
      </w:r>
      <w:r>
        <w:t>superior</w:t>
      </w:r>
      <w:r>
        <w:rPr>
          <w:spacing w:val="27"/>
        </w:rPr>
        <w:t xml:space="preserve"> </w:t>
      </w:r>
      <w:r>
        <w:t>a</w:t>
      </w:r>
    </w:p>
    <w:p w:rsidR="009B4BB4" w:rsidRDefault="00C44001">
      <w:pPr>
        <w:pStyle w:val="Textoindependiente"/>
        <w:spacing w:before="0" w:line="360" w:lineRule="auto"/>
        <w:ind w:left="425" w:right="602"/>
        <w:jc w:val="both"/>
      </w:pPr>
      <w:r>
        <w:t>$26,000 USD anuales, manteniendo una estructura operativa ligera. Este resultado muestra que es posible construir un negocio rentable y escalable en valor, sin comprometer la integridad biológica de la especie ni la calidad artesanal del producto, elemento</w:t>
      </w:r>
      <w:r>
        <w:t xml:space="preserve">s que sustentan su posicionamiento </w:t>
      </w:r>
      <w:r>
        <w:rPr>
          <w:rFonts w:ascii="Arial" w:hAnsi="Arial"/>
          <w:i/>
        </w:rPr>
        <w:t xml:space="preserve">premium </w:t>
      </w:r>
      <w:r>
        <w:t>en el mercado.</w:t>
      </w:r>
    </w:p>
    <w:p w:rsidR="009B4BB4" w:rsidRDefault="00C44001" w:rsidP="00C44001">
      <w:pPr>
        <w:pStyle w:val="Ttulo1"/>
        <w:numPr>
          <w:ilvl w:val="2"/>
          <w:numId w:val="13"/>
        </w:numPr>
        <w:tabs>
          <w:tab w:val="left" w:pos="1000"/>
        </w:tabs>
        <w:spacing w:before="240"/>
        <w:ind w:left="1000" w:hanging="545"/>
        <w:jc w:val="both"/>
      </w:pPr>
      <w:r>
        <w:t>Plan</w:t>
      </w:r>
      <w:r>
        <w:rPr>
          <w:spacing w:val="-7"/>
        </w:rPr>
        <w:t xml:space="preserve"> </w:t>
      </w:r>
      <w:r>
        <w:t>de</w:t>
      </w:r>
      <w:r>
        <w:rPr>
          <w:spacing w:val="-4"/>
        </w:rPr>
        <w:t xml:space="preserve"> </w:t>
      </w:r>
      <w:r>
        <w:t>inversión</w:t>
      </w:r>
      <w:r>
        <w:rPr>
          <w:spacing w:val="-4"/>
        </w:rPr>
        <w:t xml:space="preserve"> </w:t>
      </w:r>
      <w:r>
        <w:t>en</w:t>
      </w:r>
      <w:r>
        <w:rPr>
          <w:spacing w:val="-5"/>
        </w:rPr>
        <w:t xml:space="preserve"> </w:t>
      </w:r>
      <w:r>
        <w:t>la</w:t>
      </w:r>
      <w:r>
        <w:rPr>
          <w:spacing w:val="-4"/>
        </w:rPr>
        <w:t xml:space="preserve"> </w:t>
      </w:r>
      <w:r>
        <w:t>gestión</w:t>
      </w:r>
      <w:r>
        <w:rPr>
          <w:spacing w:val="-4"/>
        </w:rPr>
        <w:t xml:space="preserve"> </w:t>
      </w:r>
      <w:r>
        <w:t>de</w:t>
      </w:r>
      <w:r>
        <w:rPr>
          <w:spacing w:val="-5"/>
        </w:rPr>
        <w:t xml:space="preserve"> </w:t>
      </w:r>
      <w:r>
        <w:t>la</w:t>
      </w:r>
      <w:r>
        <w:rPr>
          <w:spacing w:val="-4"/>
        </w:rPr>
        <w:t xml:space="preserve"> </w:t>
      </w:r>
      <w:r>
        <w:t>capacidad</w:t>
      </w:r>
      <w:r>
        <w:rPr>
          <w:spacing w:val="-4"/>
        </w:rPr>
        <w:t xml:space="preserve"> </w:t>
      </w:r>
      <w:r>
        <w:rPr>
          <w:spacing w:val="-2"/>
        </w:rPr>
        <w:t>productiva</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10" w:firstLine="720"/>
        <w:jc w:val="both"/>
      </w:pPr>
      <w:r>
        <w:t>El crecimiento proyectado de Guardiana, con</w:t>
      </w:r>
      <w:r>
        <w:rPr>
          <w:spacing w:val="-3"/>
        </w:rPr>
        <w:t xml:space="preserve"> </w:t>
      </w:r>
      <w:r>
        <w:t>un</w:t>
      </w:r>
      <w:r>
        <w:rPr>
          <w:spacing w:val="-3"/>
        </w:rPr>
        <w:t xml:space="preserve"> </w:t>
      </w:r>
      <w:r>
        <w:t>tope</w:t>
      </w:r>
      <w:r>
        <w:rPr>
          <w:spacing w:val="-3"/>
        </w:rPr>
        <w:t xml:space="preserve"> </w:t>
      </w:r>
      <w:r>
        <w:t>de</w:t>
      </w:r>
      <w:r>
        <w:rPr>
          <w:spacing w:val="-3"/>
        </w:rPr>
        <w:t xml:space="preserve"> </w:t>
      </w:r>
      <w:r>
        <w:t>3,000</w:t>
      </w:r>
      <w:r>
        <w:rPr>
          <w:spacing w:val="-3"/>
        </w:rPr>
        <w:t xml:space="preserve"> </w:t>
      </w:r>
      <w:r>
        <w:t>unidades</w:t>
      </w:r>
      <w:r>
        <w:rPr>
          <w:spacing w:val="-3"/>
        </w:rPr>
        <w:t xml:space="preserve"> </w:t>
      </w:r>
      <w:r>
        <w:t>al</w:t>
      </w:r>
      <w:r>
        <w:rPr>
          <w:spacing w:val="-3"/>
        </w:rPr>
        <w:t xml:space="preserve"> </w:t>
      </w:r>
      <w:r>
        <w:t>quinto año, exige una gestión de la capacidad productiva que prio</w:t>
      </w:r>
      <w:r>
        <w:t>rice la calidad sobre el volumen,</w:t>
      </w:r>
      <w:r>
        <w:rPr>
          <w:spacing w:val="21"/>
        </w:rPr>
        <w:t xml:space="preserve"> </w:t>
      </w:r>
      <w:r>
        <w:t>considerando</w:t>
      </w:r>
      <w:r>
        <w:rPr>
          <w:spacing w:val="23"/>
        </w:rPr>
        <w:t xml:space="preserve"> </w:t>
      </w:r>
      <w:r>
        <w:t>que</w:t>
      </w:r>
      <w:r>
        <w:rPr>
          <w:spacing w:val="23"/>
        </w:rPr>
        <w:t xml:space="preserve"> </w:t>
      </w:r>
      <w:r>
        <w:t>la</w:t>
      </w:r>
      <w:r>
        <w:rPr>
          <w:spacing w:val="23"/>
        </w:rPr>
        <w:t xml:space="preserve"> </w:t>
      </w:r>
      <w:r>
        <w:t>producción</w:t>
      </w:r>
      <w:r>
        <w:rPr>
          <w:spacing w:val="9"/>
        </w:rPr>
        <w:t xml:space="preserve"> </w:t>
      </w:r>
      <w:r>
        <w:t>por</w:t>
      </w:r>
      <w:r>
        <w:rPr>
          <w:spacing w:val="9"/>
        </w:rPr>
        <w:t xml:space="preserve"> </w:t>
      </w:r>
      <w:r>
        <w:t>colonia</w:t>
      </w:r>
      <w:r>
        <w:rPr>
          <w:spacing w:val="9"/>
        </w:rPr>
        <w:t xml:space="preserve"> </w:t>
      </w:r>
      <w:r>
        <w:t>de</w:t>
      </w:r>
      <w:r>
        <w:rPr>
          <w:spacing w:val="9"/>
        </w:rPr>
        <w:t xml:space="preserve"> </w:t>
      </w:r>
      <w:r>
        <w:rPr>
          <w:rFonts w:ascii="Arial" w:hAnsi="Arial"/>
          <w:i/>
        </w:rPr>
        <w:t>Melipona</w:t>
      </w:r>
      <w:r>
        <w:rPr>
          <w:rFonts w:ascii="Arial" w:hAnsi="Arial"/>
          <w:i/>
          <w:spacing w:val="9"/>
        </w:rPr>
        <w:t xml:space="preserve"> </w:t>
      </w:r>
      <w:r>
        <w:rPr>
          <w:rFonts w:ascii="Arial" w:hAnsi="Arial"/>
          <w:i/>
        </w:rPr>
        <w:t>beecheii</w:t>
      </w:r>
      <w:r>
        <w:rPr>
          <w:rFonts w:ascii="Arial" w:hAnsi="Arial"/>
          <w:i/>
          <w:spacing w:val="9"/>
        </w:rPr>
        <w:t xml:space="preserve"> </w:t>
      </w:r>
      <w:r>
        <w:t>oscila</w:t>
      </w:r>
      <w:r>
        <w:rPr>
          <w:spacing w:val="10"/>
        </w:rPr>
        <w:t xml:space="preserve"> </w:t>
      </w:r>
      <w:r>
        <w:rPr>
          <w:spacing w:val="-2"/>
        </w:rPr>
        <w:t>entre</w:t>
      </w:r>
    </w:p>
    <w:p w:rsidR="009B4BB4" w:rsidRDefault="00C44001">
      <w:pPr>
        <w:pStyle w:val="Textoindependiente"/>
        <w:spacing w:before="0"/>
        <w:ind w:left="425"/>
        <w:jc w:val="both"/>
      </w:pPr>
      <w:r>
        <w:t>0.5</w:t>
      </w:r>
      <w:r>
        <w:rPr>
          <w:spacing w:val="23"/>
        </w:rPr>
        <w:t xml:space="preserve"> </w:t>
      </w:r>
      <w:r>
        <w:t>y</w:t>
      </w:r>
      <w:r>
        <w:rPr>
          <w:spacing w:val="26"/>
        </w:rPr>
        <w:t xml:space="preserve"> </w:t>
      </w:r>
      <w:r>
        <w:t>2</w:t>
      </w:r>
      <w:r>
        <w:rPr>
          <w:spacing w:val="26"/>
        </w:rPr>
        <w:t xml:space="preserve"> </w:t>
      </w:r>
      <w:r>
        <w:t>litros</w:t>
      </w:r>
      <w:r>
        <w:rPr>
          <w:spacing w:val="26"/>
        </w:rPr>
        <w:t xml:space="preserve"> </w:t>
      </w:r>
      <w:r>
        <w:t>anuales.</w:t>
      </w:r>
      <w:r>
        <w:rPr>
          <w:spacing w:val="26"/>
        </w:rPr>
        <w:t xml:space="preserve"> </w:t>
      </w:r>
      <w:r>
        <w:t>El</w:t>
      </w:r>
      <w:r>
        <w:rPr>
          <w:spacing w:val="25"/>
        </w:rPr>
        <w:t xml:space="preserve"> </w:t>
      </w:r>
      <w:r>
        <w:t>plan</w:t>
      </w:r>
      <w:r>
        <w:rPr>
          <w:spacing w:val="26"/>
        </w:rPr>
        <w:t xml:space="preserve"> </w:t>
      </w:r>
      <w:r>
        <w:t>de</w:t>
      </w:r>
      <w:r>
        <w:rPr>
          <w:spacing w:val="26"/>
        </w:rPr>
        <w:t xml:space="preserve"> </w:t>
      </w:r>
      <w:r>
        <w:t>expansión</w:t>
      </w:r>
      <w:r>
        <w:rPr>
          <w:spacing w:val="26"/>
        </w:rPr>
        <w:t xml:space="preserve"> </w:t>
      </w:r>
      <w:r>
        <w:t>se</w:t>
      </w:r>
      <w:r>
        <w:rPr>
          <w:spacing w:val="11"/>
        </w:rPr>
        <w:t xml:space="preserve"> </w:t>
      </w:r>
      <w:r>
        <w:t>basa</w:t>
      </w:r>
      <w:r>
        <w:rPr>
          <w:spacing w:val="11"/>
        </w:rPr>
        <w:t xml:space="preserve"> </w:t>
      </w:r>
      <w:r>
        <w:t>en</w:t>
      </w:r>
      <w:r>
        <w:rPr>
          <w:spacing w:val="12"/>
        </w:rPr>
        <w:t xml:space="preserve"> </w:t>
      </w:r>
      <w:r>
        <w:t>la</w:t>
      </w:r>
      <w:r>
        <w:rPr>
          <w:spacing w:val="11"/>
        </w:rPr>
        <w:t xml:space="preserve"> </w:t>
      </w:r>
      <w:r>
        <w:t>consolidación</w:t>
      </w:r>
      <w:r>
        <w:rPr>
          <w:spacing w:val="11"/>
        </w:rPr>
        <w:t xml:space="preserve"> </w:t>
      </w:r>
      <w:r>
        <w:t>de</w:t>
      </w:r>
      <w:r>
        <w:rPr>
          <w:spacing w:val="12"/>
        </w:rPr>
        <w:t xml:space="preserve"> </w:t>
      </w:r>
      <w:r>
        <w:t>una</w:t>
      </w:r>
      <w:r>
        <w:rPr>
          <w:spacing w:val="11"/>
        </w:rPr>
        <w:t xml:space="preserve"> </w:t>
      </w:r>
      <w:r>
        <w:t>red</w:t>
      </w:r>
      <w:r>
        <w:rPr>
          <w:spacing w:val="12"/>
        </w:rPr>
        <w:t xml:space="preserve"> </w:t>
      </w:r>
      <w:r>
        <w:rPr>
          <w:spacing w:val="-5"/>
        </w:rPr>
        <w:t>de</w:t>
      </w:r>
    </w:p>
    <w:p w:rsidR="009B4BB4" w:rsidRDefault="009B4BB4">
      <w:pPr>
        <w:pStyle w:val="Textoindependiente"/>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33"/>
      </w:pPr>
      <w:proofErr w:type="gramStart"/>
      <w:r>
        <w:lastRenderedPageBreak/>
        <w:t>meliponicultores</w:t>
      </w:r>
      <w:proofErr w:type="gramEnd"/>
      <w:r>
        <w:rPr>
          <w:spacing w:val="80"/>
        </w:rPr>
        <w:t xml:space="preserve"> </w:t>
      </w:r>
      <w:r>
        <w:t>aliados</w:t>
      </w:r>
      <w:r>
        <w:rPr>
          <w:spacing w:val="80"/>
        </w:rPr>
        <w:t xml:space="preserve"> </w:t>
      </w:r>
      <w:r>
        <w:t>en</w:t>
      </w:r>
      <w:r>
        <w:rPr>
          <w:spacing w:val="80"/>
        </w:rPr>
        <w:t xml:space="preserve"> </w:t>
      </w:r>
      <w:r>
        <w:t>el</w:t>
      </w:r>
      <w:r>
        <w:rPr>
          <w:spacing w:val="80"/>
        </w:rPr>
        <w:t xml:space="preserve"> </w:t>
      </w:r>
      <w:r>
        <w:t>oriente</w:t>
      </w:r>
      <w:r>
        <w:rPr>
          <w:spacing w:val="70"/>
        </w:rPr>
        <w:t xml:space="preserve"> </w:t>
      </w:r>
      <w:r>
        <w:t>de</w:t>
      </w:r>
      <w:r>
        <w:rPr>
          <w:spacing w:val="70"/>
        </w:rPr>
        <w:t xml:space="preserve"> </w:t>
      </w:r>
      <w:r>
        <w:t>Yucatán,</w:t>
      </w:r>
      <w:r>
        <w:rPr>
          <w:spacing w:val="70"/>
        </w:rPr>
        <w:t xml:space="preserve"> </w:t>
      </w:r>
      <w:r>
        <w:t>bajo</w:t>
      </w:r>
      <w:r>
        <w:rPr>
          <w:spacing w:val="70"/>
        </w:rPr>
        <w:t xml:space="preserve"> </w:t>
      </w:r>
      <w:r>
        <w:t>un</w:t>
      </w:r>
      <w:r>
        <w:rPr>
          <w:spacing w:val="70"/>
        </w:rPr>
        <w:t xml:space="preserve"> </w:t>
      </w:r>
      <w:r>
        <w:t>modelo</w:t>
      </w:r>
      <w:r>
        <w:rPr>
          <w:spacing w:val="70"/>
        </w:rPr>
        <w:t xml:space="preserve"> </w:t>
      </w:r>
      <w:r>
        <w:t>de</w:t>
      </w:r>
      <w:r>
        <w:rPr>
          <w:spacing w:val="70"/>
        </w:rPr>
        <w:t xml:space="preserve"> </w:t>
      </w:r>
      <w:r>
        <w:t>cadena</w:t>
      </w:r>
      <w:r>
        <w:rPr>
          <w:spacing w:val="70"/>
        </w:rPr>
        <w:t xml:space="preserve"> </w:t>
      </w:r>
      <w:r>
        <w:t>de suministro corta y trazable, que facilita el control de calidad y el seguimiento del origen.</w:t>
      </w:r>
    </w:p>
    <w:p w:rsidR="009B4BB4" w:rsidRDefault="00C44001">
      <w:pPr>
        <w:pStyle w:val="Textoindependiente"/>
        <w:spacing w:line="360" w:lineRule="auto"/>
        <w:ind w:left="425" w:right="604" w:firstLine="720"/>
        <w:jc w:val="both"/>
      </w:pPr>
      <w:r>
        <w:t>En la primera fase de validación (año 1), la producción requerida es de 28 litros, volumen que</w:t>
      </w:r>
      <w:r>
        <w:rPr>
          <w:spacing w:val="-3"/>
        </w:rPr>
        <w:t xml:space="preserve"> </w:t>
      </w:r>
      <w:r>
        <w:t>puede</w:t>
      </w:r>
      <w:r>
        <w:rPr>
          <w:spacing w:val="-3"/>
        </w:rPr>
        <w:t xml:space="preserve"> </w:t>
      </w:r>
      <w:r>
        <w:t>sostenerse</w:t>
      </w:r>
      <w:r>
        <w:rPr>
          <w:spacing w:val="-3"/>
        </w:rPr>
        <w:t xml:space="preserve"> </w:t>
      </w:r>
      <w:r>
        <w:t>con</w:t>
      </w:r>
      <w:r>
        <w:rPr>
          <w:spacing w:val="-3"/>
        </w:rPr>
        <w:t xml:space="preserve"> </w:t>
      </w:r>
      <w:r>
        <w:t>aproxim</w:t>
      </w:r>
      <w:r>
        <w:t>adamente</w:t>
      </w:r>
      <w:r>
        <w:rPr>
          <w:spacing w:val="-3"/>
        </w:rPr>
        <w:t xml:space="preserve"> </w:t>
      </w:r>
      <w:r>
        <w:t>30</w:t>
      </w:r>
      <w:r>
        <w:rPr>
          <w:spacing w:val="-3"/>
        </w:rPr>
        <w:t xml:space="preserve"> </w:t>
      </w:r>
      <w:r>
        <w:t>a</w:t>
      </w:r>
      <w:r>
        <w:rPr>
          <w:spacing w:val="-3"/>
        </w:rPr>
        <w:t xml:space="preserve"> </w:t>
      </w:r>
      <w:r>
        <w:t>40</w:t>
      </w:r>
      <w:r>
        <w:rPr>
          <w:spacing w:val="-3"/>
        </w:rPr>
        <w:t xml:space="preserve"> </w:t>
      </w:r>
      <w:r>
        <w:t>colonias.</w:t>
      </w:r>
      <w:r>
        <w:rPr>
          <w:spacing w:val="-3"/>
        </w:rPr>
        <w:t xml:space="preserve"> </w:t>
      </w:r>
      <w:r>
        <w:t>En</w:t>
      </w:r>
      <w:r>
        <w:rPr>
          <w:spacing w:val="-3"/>
        </w:rPr>
        <w:t xml:space="preserve"> </w:t>
      </w:r>
      <w:r>
        <w:t>esta</w:t>
      </w:r>
      <w:r>
        <w:rPr>
          <w:spacing w:val="-3"/>
        </w:rPr>
        <w:t xml:space="preserve"> </w:t>
      </w:r>
      <w:r>
        <w:t>etapa,</w:t>
      </w:r>
      <w:r>
        <w:rPr>
          <w:spacing w:val="-3"/>
        </w:rPr>
        <w:t xml:space="preserve"> </w:t>
      </w:r>
      <w:r>
        <w:t>la inversión se concentra en la selección de 3 a 5 productores iniciales, fortaleciendo su operación mediante la provisión de insumos clave, envases de acopio adecuados y un esquema de compra garantizada que asegur</w:t>
      </w:r>
      <w:r>
        <w:t>a el pago inmediato a precio justo, lo que reduce la incertidumbre financiera para el productor y asegura estabilidad en el abastecimiento inicial.</w:t>
      </w:r>
    </w:p>
    <w:p w:rsidR="009B4BB4" w:rsidRDefault="00C44001">
      <w:pPr>
        <w:pStyle w:val="Textoindependiente"/>
        <w:spacing w:line="360" w:lineRule="auto"/>
        <w:ind w:left="425" w:right="604" w:firstLine="720"/>
        <w:jc w:val="both"/>
      </w:pPr>
      <w:r>
        <w:t>En la segunda fase, hacia el quinto año, se plantea un escalamiento sostenible, donde se espera una demanda</w:t>
      </w:r>
      <w:r>
        <w:rPr>
          <w:spacing w:val="-3"/>
        </w:rPr>
        <w:t xml:space="preserve"> </w:t>
      </w:r>
      <w:r>
        <w:t>estabilizada</w:t>
      </w:r>
      <w:r>
        <w:rPr>
          <w:spacing w:val="-3"/>
        </w:rPr>
        <w:t xml:space="preserve"> </w:t>
      </w:r>
      <w:r>
        <w:t>de</w:t>
      </w:r>
      <w:r>
        <w:rPr>
          <w:spacing w:val="-3"/>
        </w:rPr>
        <w:t xml:space="preserve"> </w:t>
      </w:r>
      <w:r>
        <w:t>3,000</w:t>
      </w:r>
      <w:r>
        <w:rPr>
          <w:spacing w:val="-3"/>
        </w:rPr>
        <w:t xml:space="preserve"> </w:t>
      </w:r>
      <w:r>
        <w:t>unidades</w:t>
      </w:r>
      <w:r>
        <w:rPr>
          <w:spacing w:val="-3"/>
        </w:rPr>
        <w:t xml:space="preserve"> </w:t>
      </w:r>
      <w:r>
        <w:t>al</w:t>
      </w:r>
      <w:r>
        <w:rPr>
          <w:spacing w:val="-3"/>
        </w:rPr>
        <w:t xml:space="preserve"> </w:t>
      </w:r>
      <w:r>
        <w:t>final</w:t>
      </w:r>
      <w:r>
        <w:rPr>
          <w:spacing w:val="-3"/>
        </w:rPr>
        <w:t xml:space="preserve"> </w:t>
      </w:r>
      <w:r>
        <w:t>del</w:t>
      </w:r>
      <w:r>
        <w:rPr>
          <w:spacing w:val="-3"/>
        </w:rPr>
        <w:t xml:space="preserve"> </w:t>
      </w:r>
      <w:r>
        <w:t>periodo</w:t>
      </w:r>
      <w:r>
        <w:rPr>
          <w:spacing w:val="-3"/>
        </w:rPr>
        <w:t xml:space="preserve"> </w:t>
      </w:r>
      <w:r>
        <w:t>con</w:t>
      </w:r>
      <w:r>
        <w:rPr>
          <w:spacing w:val="-3"/>
        </w:rPr>
        <w:t xml:space="preserve"> </w:t>
      </w:r>
      <w:r>
        <w:t>un requerimiento de suministro anual aproximado</w:t>
      </w:r>
      <w:r>
        <w:rPr>
          <w:spacing w:val="-4"/>
        </w:rPr>
        <w:t xml:space="preserve"> </w:t>
      </w:r>
      <w:r>
        <w:t>de</w:t>
      </w:r>
      <w:r>
        <w:rPr>
          <w:spacing w:val="-4"/>
        </w:rPr>
        <w:t xml:space="preserve"> </w:t>
      </w:r>
      <w:r>
        <w:t>170</w:t>
      </w:r>
      <w:r>
        <w:rPr>
          <w:spacing w:val="-4"/>
        </w:rPr>
        <w:t xml:space="preserve"> </w:t>
      </w:r>
      <w:r>
        <w:t>a</w:t>
      </w:r>
      <w:r>
        <w:rPr>
          <w:spacing w:val="-4"/>
        </w:rPr>
        <w:t xml:space="preserve"> </w:t>
      </w:r>
      <w:r>
        <w:t>200</w:t>
      </w:r>
      <w:r>
        <w:rPr>
          <w:spacing w:val="-4"/>
        </w:rPr>
        <w:t xml:space="preserve"> </w:t>
      </w:r>
      <w:r>
        <w:t>litros</w:t>
      </w:r>
      <w:r>
        <w:rPr>
          <w:spacing w:val="-4"/>
        </w:rPr>
        <w:t xml:space="preserve"> </w:t>
      </w:r>
      <w:r>
        <w:t>de</w:t>
      </w:r>
      <w:r>
        <w:rPr>
          <w:spacing w:val="-4"/>
        </w:rPr>
        <w:t xml:space="preserve"> </w:t>
      </w:r>
      <w:r>
        <w:t>miel</w:t>
      </w:r>
      <w:r>
        <w:rPr>
          <w:spacing w:val="-4"/>
        </w:rPr>
        <w:t xml:space="preserve"> </w:t>
      </w:r>
      <w:r>
        <w:t>melipona.</w:t>
      </w:r>
      <w:r>
        <w:rPr>
          <w:spacing w:val="-4"/>
        </w:rPr>
        <w:t xml:space="preserve"> </w:t>
      </w:r>
      <w:r>
        <w:t>Para cubrir esta demanda sin sobreexplotar las colmenas, la estrategia evoluciona hacia la ampliación controlada de la red:</w:t>
      </w:r>
    </w:p>
    <w:p w:rsidR="009B4BB4" w:rsidRDefault="00C44001" w:rsidP="00C44001">
      <w:pPr>
        <w:pStyle w:val="Prrafodelista"/>
        <w:numPr>
          <w:ilvl w:val="0"/>
          <w:numId w:val="12"/>
        </w:numPr>
        <w:tabs>
          <w:tab w:val="left" w:pos="1145"/>
        </w:tabs>
        <w:spacing w:line="360" w:lineRule="auto"/>
        <w:ind w:right="604"/>
        <w:jc w:val="both"/>
      </w:pPr>
      <w:r>
        <w:rPr>
          <w:rFonts w:ascii="Arial" w:hAnsi="Arial"/>
          <w:b/>
        </w:rPr>
        <w:t xml:space="preserve">Crecimiento de la red: </w:t>
      </w:r>
      <w:r>
        <w:t xml:space="preserve">Se proyecta alcanzar una base de 20 a 25 familias </w:t>
      </w:r>
      <w:r>
        <w:rPr>
          <w:spacing w:val="-2"/>
        </w:rPr>
        <w:t>productoras.</w:t>
      </w:r>
    </w:p>
    <w:p w:rsidR="009B4BB4" w:rsidRDefault="00C44001" w:rsidP="00C44001">
      <w:pPr>
        <w:pStyle w:val="Prrafodelista"/>
        <w:numPr>
          <w:ilvl w:val="0"/>
          <w:numId w:val="12"/>
        </w:numPr>
        <w:tabs>
          <w:tab w:val="left" w:pos="1145"/>
        </w:tabs>
      </w:pPr>
      <w:r>
        <w:rPr>
          <w:rFonts w:ascii="Arial" w:hAnsi="Arial"/>
          <w:b/>
        </w:rPr>
        <w:t>Parque</w:t>
      </w:r>
      <w:r>
        <w:rPr>
          <w:rFonts w:ascii="Arial" w:hAnsi="Arial"/>
          <w:b/>
          <w:spacing w:val="-7"/>
        </w:rPr>
        <w:t xml:space="preserve"> </w:t>
      </w:r>
      <w:r>
        <w:rPr>
          <w:rFonts w:ascii="Arial" w:hAnsi="Arial"/>
          <w:b/>
        </w:rPr>
        <w:t>productivo</w:t>
      </w:r>
      <w:r>
        <w:t>:</w:t>
      </w:r>
      <w:r>
        <w:rPr>
          <w:spacing w:val="-5"/>
        </w:rPr>
        <w:t xml:space="preserve"> </w:t>
      </w:r>
      <w:r>
        <w:t>Se</w:t>
      </w:r>
      <w:r>
        <w:rPr>
          <w:spacing w:val="-5"/>
        </w:rPr>
        <w:t xml:space="preserve"> </w:t>
      </w:r>
      <w:r>
        <w:t>requiere</w:t>
      </w:r>
      <w:r>
        <w:rPr>
          <w:spacing w:val="-5"/>
        </w:rPr>
        <w:t xml:space="preserve"> </w:t>
      </w:r>
      <w:r>
        <w:t>gestionar</w:t>
      </w:r>
      <w:r>
        <w:rPr>
          <w:spacing w:val="-5"/>
        </w:rPr>
        <w:t xml:space="preserve"> </w:t>
      </w:r>
      <w:r>
        <w:t>un</w:t>
      </w:r>
      <w:r>
        <w:rPr>
          <w:spacing w:val="-5"/>
        </w:rPr>
        <w:t xml:space="preserve"> </w:t>
      </w:r>
      <w:r>
        <w:t>to</w:t>
      </w:r>
      <w:r>
        <w:t>tal</w:t>
      </w:r>
      <w:r>
        <w:rPr>
          <w:spacing w:val="-5"/>
        </w:rPr>
        <w:t xml:space="preserve"> </w:t>
      </w:r>
      <w:r>
        <w:t>de</w:t>
      </w:r>
      <w:r>
        <w:rPr>
          <w:spacing w:val="-5"/>
        </w:rPr>
        <w:t xml:space="preserve"> </w:t>
      </w:r>
      <w:r>
        <w:t>250</w:t>
      </w:r>
      <w:r>
        <w:rPr>
          <w:spacing w:val="-5"/>
        </w:rPr>
        <w:t xml:space="preserve"> </w:t>
      </w:r>
      <w:r>
        <w:t>a</w:t>
      </w:r>
      <w:r>
        <w:rPr>
          <w:spacing w:val="-5"/>
        </w:rPr>
        <w:t xml:space="preserve"> </w:t>
      </w:r>
      <w:r>
        <w:t>300</w:t>
      </w:r>
      <w:r>
        <w:rPr>
          <w:spacing w:val="-5"/>
        </w:rPr>
        <w:t xml:space="preserve"> </w:t>
      </w:r>
      <w:r>
        <w:t>colonias</w:t>
      </w:r>
      <w:r>
        <w:rPr>
          <w:spacing w:val="-5"/>
        </w:rPr>
        <w:t xml:space="preserve"> </w:t>
      </w:r>
      <w:r>
        <w:rPr>
          <w:spacing w:val="-2"/>
        </w:rPr>
        <w:t>activas.</w:t>
      </w:r>
    </w:p>
    <w:p w:rsidR="009B4BB4" w:rsidRDefault="009B4BB4">
      <w:pPr>
        <w:pStyle w:val="Textoindependiente"/>
        <w:spacing w:before="113"/>
      </w:pPr>
    </w:p>
    <w:p w:rsidR="009B4BB4" w:rsidRDefault="00C44001" w:rsidP="00C44001">
      <w:pPr>
        <w:pStyle w:val="Prrafodelista"/>
        <w:numPr>
          <w:ilvl w:val="0"/>
          <w:numId w:val="12"/>
        </w:numPr>
        <w:tabs>
          <w:tab w:val="left" w:pos="1145"/>
        </w:tabs>
        <w:spacing w:before="1" w:line="360" w:lineRule="auto"/>
        <w:ind w:right="603"/>
        <w:jc w:val="both"/>
      </w:pPr>
      <w:r>
        <w:rPr>
          <w:rFonts w:ascii="Arial" w:hAnsi="Arial"/>
          <w:b/>
        </w:rPr>
        <w:t>Transferencia tecnológica:</w:t>
      </w:r>
      <w:r>
        <w:rPr>
          <w:rFonts w:ascii="Arial" w:hAnsi="Arial"/>
          <w:b/>
          <w:spacing w:val="-8"/>
        </w:rPr>
        <w:t xml:space="preserve"> </w:t>
      </w:r>
      <w:r>
        <w:t>Se</w:t>
      </w:r>
      <w:r>
        <w:rPr>
          <w:spacing w:val="-8"/>
        </w:rPr>
        <w:t xml:space="preserve"> </w:t>
      </w:r>
      <w:r>
        <w:t>implementan</w:t>
      </w:r>
      <w:r>
        <w:rPr>
          <w:spacing w:val="-8"/>
        </w:rPr>
        <w:t xml:space="preserve"> </w:t>
      </w:r>
      <w:r>
        <w:t>esquemas</w:t>
      </w:r>
      <w:r>
        <w:rPr>
          <w:spacing w:val="-8"/>
        </w:rPr>
        <w:t xml:space="preserve"> </w:t>
      </w:r>
      <w:r>
        <w:t>de</w:t>
      </w:r>
      <w:r>
        <w:rPr>
          <w:spacing w:val="-8"/>
        </w:rPr>
        <w:t xml:space="preserve"> </w:t>
      </w:r>
      <w:r>
        <w:t>cofinanciamiento</w:t>
      </w:r>
      <w:r>
        <w:rPr>
          <w:spacing w:val="-8"/>
        </w:rPr>
        <w:t xml:space="preserve"> </w:t>
      </w:r>
      <w:r>
        <w:t>para la adquisición de cajas racionales y asistencia técnica para la división de colmenas, lo que permite un crecimiento orgánico del inventario biológico, manteniendo el equilibrio entre expansión comercial y sostenibilidad del recurso.</w:t>
      </w:r>
    </w:p>
    <w:p w:rsidR="009B4BB4" w:rsidRDefault="00C44001">
      <w:pPr>
        <w:pStyle w:val="Ttulo1"/>
        <w:spacing w:before="240"/>
        <w:ind w:left="425"/>
      </w:pPr>
      <w:r>
        <w:rPr>
          <w:spacing w:val="-2"/>
        </w:rPr>
        <w:t>Tabla</w:t>
      </w:r>
      <w:r>
        <w:rPr>
          <w:spacing w:val="-13"/>
        </w:rPr>
        <w:t xml:space="preserve"> </w:t>
      </w:r>
      <w:r>
        <w:rPr>
          <w:spacing w:val="-4"/>
        </w:rPr>
        <w:t>7.10</w:t>
      </w:r>
    </w:p>
    <w:p w:rsidR="009B4BB4" w:rsidRDefault="00C44001">
      <w:pPr>
        <w:spacing w:before="38"/>
        <w:ind w:left="455"/>
        <w:rPr>
          <w:rFonts w:ascii="Arial" w:hAnsi="Arial"/>
          <w:i/>
        </w:rPr>
      </w:pPr>
      <w:r>
        <w:rPr>
          <w:rFonts w:ascii="Arial" w:hAnsi="Arial"/>
          <w:i/>
        </w:rPr>
        <w:t>Proyección</w:t>
      </w:r>
      <w:r>
        <w:rPr>
          <w:rFonts w:ascii="Arial" w:hAnsi="Arial"/>
          <w:i/>
          <w:spacing w:val="-8"/>
        </w:rPr>
        <w:t xml:space="preserve"> </w:t>
      </w:r>
      <w:r>
        <w:rPr>
          <w:rFonts w:ascii="Arial" w:hAnsi="Arial"/>
          <w:i/>
        </w:rPr>
        <w:t>de</w:t>
      </w:r>
      <w:r>
        <w:rPr>
          <w:rFonts w:ascii="Arial" w:hAnsi="Arial"/>
          <w:i/>
          <w:spacing w:val="-5"/>
        </w:rPr>
        <w:t xml:space="preserve"> </w:t>
      </w:r>
      <w:r>
        <w:rPr>
          <w:rFonts w:ascii="Arial" w:hAnsi="Arial"/>
          <w:i/>
        </w:rPr>
        <w:t>escalamiento</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la</w:t>
      </w:r>
      <w:r>
        <w:rPr>
          <w:rFonts w:ascii="Arial" w:hAnsi="Arial"/>
          <w:i/>
          <w:spacing w:val="-5"/>
        </w:rPr>
        <w:t xml:space="preserve"> </w:t>
      </w:r>
      <w:r>
        <w:rPr>
          <w:rFonts w:ascii="Arial" w:hAnsi="Arial"/>
          <w:i/>
        </w:rPr>
        <w:t>capacidad</w:t>
      </w:r>
      <w:r>
        <w:rPr>
          <w:rFonts w:ascii="Arial" w:hAnsi="Arial"/>
          <w:i/>
          <w:spacing w:val="-5"/>
        </w:rPr>
        <w:t xml:space="preserve"> </w:t>
      </w:r>
      <w:r>
        <w:rPr>
          <w:rFonts w:ascii="Arial" w:hAnsi="Arial"/>
          <w:i/>
        </w:rPr>
        <w:t>productiva</w:t>
      </w:r>
      <w:r>
        <w:rPr>
          <w:rFonts w:ascii="Arial" w:hAnsi="Arial"/>
          <w:i/>
          <w:spacing w:val="-6"/>
        </w:rPr>
        <w:t xml:space="preserve"> </w:t>
      </w:r>
      <w:r>
        <w:rPr>
          <w:rFonts w:ascii="Arial" w:hAnsi="Arial"/>
          <w:i/>
        </w:rPr>
        <w:t>y</w:t>
      </w:r>
      <w:r>
        <w:rPr>
          <w:rFonts w:ascii="Arial" w:hAnsi="Arial"/>
          <w:i/>
          <w:spacing w:val="-5"/>
        </w:rPr>
        <w:t xml:space="preserve"> </w:t>
      </w:r>
      <w:r>
        <w:rPr>
          <w:rFonts w:ascii="Arial" w:hAnsi="Arial"/>
          <w:i/>
        </w:rPr>
        <w:t>red</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spacing w:val="-2"/>
        </w:rPr>
        <w:t>proveedores</w:t>
      </w:r>
    </w:p>
    <w:p w:rsidR="009B4BB4" w:rsidRDefault="009B4BB4">
      <w:pPr>
        <w:pStyle w:val="Textoindependiente"/>
        <w:spacing w:before="97"/>
        <w:rPr>
          <w:rFonts w:ascii="Arial"/>
          <w:i/>
          <w:sz w:val="20"/>
        </w:rPr>
      </w:pPr>
    </w:p>
    <w:tbl>
      <w:tblPr>
        <w:tblStyle w:val="TableNormal"/>
        <w:tblW w:w="0" w:type="auto"/>
        <w:tblInd w:w="432" w:type="dxa"/>
        <w:tblLayout w:type="fixed"/>
        <w:tblLook w:val="01E0" w:firstRow="1" w:lastRow="1" w:firstColumn="1" w:lastColumn="1" w:noHBand="0" w:noVBand="0"/>
      </w:tblPr>
      <w:tblGrid>
        <w:gridCol w:w="3234"/>
        <w:gridCol w:w="3260"/>
        <w:gridCol w:w="2486"/>
      </w:tblGrid>
      <w:tr w:rsidR="009B4BB4">
        <w:trPr>
          <w:trHeight w:val="840"/>
        </w:trPr>
        <w:tc>
          <w:tcPr>
            <w:tcW w:w="3234" w:type="dxa"/>
            <w:tcBorders>
              <w:top w:val="single" w:sz="8" w:space="0" w:color="000000"/>
              <w:bottom w:val="single" w:sz="8" w:space="0" w:color="000000"/>
            </w:tcBorders>
          </w:tcPr>
          <w:p w:rsidR="009B4BB4" w:rsidRDefault="00C44001">
            <w:pPr>
              <w:pStyle w:val="TableParagraph"/>
              <w:spacing w:before="231"/>
              <w:ind w:left="75"/>
              <w:rPr>
                <w:rFonts w:ascii="Arial"/>
                <w:b/>
              </w:rPr>
            </w:pPr>
            <w:r>
              <w:rPr>
                <w:rFonts w:ascii="Arial"/>
                <w:b/>
                <w:spacing w:val="-2"/>
              </w:rPr>
              <w:t>Indicador</w:t>
            </w:r>
          </w:p>
        </w:tc>
        <w:tc>
          <w:tcPr>
            <w:tcW w:w="3260" w:type="dxa"/>
            <w:tcBorders>
              <w:top w:val="single" w:sz="8" w:space="0" w:color="000000"/>
              <w:bottom w:val="single" w:sz="8" w:space="0" w:color="000000"/>
            </w:tcBorders>
          </w:tcPr>
          <w:p w:rsidR="009B4BB4" w:rsidRDefault="00C44001">
            <w:pPr>
              <w:pStyle w:val="TableParagraph"/>
              <w:spacing w:before="231"/>
              <w:ind w:right="154"/>
              <w:jc w:val="center"/>
              <w:rPr>
                <w:rFonts w:ascii="Arial" w:hAnsi="Arial"/>
                <w:b/>
              </w:rPr>
            </w:pPr>
            <w:r>
              <w:rPr>
                <w:rFonts w:ascii="Arial" w:hAnsi="Arial"/>
                <w:b/>
              </w:rPr>
              <w:t>Fase</w:t>
            </w:r>
            <w:r>
              <w:rPr>
                <w:rFonts w:ascii="Arial" w:hAnsi="Arial"/>
                <w:b/>
                <w:spacing w:val="-8"/>
              </w:rPr>
              <w:t xml:space="preserve"> </w:t>
            </w:r>
            <w:r>
              <w:rPr>
                <w:rFonts w:ascii="Arial" w:hAnsi="Arial"/>
                <w:b/>
              </w:rPr>
              <w:t>1:</w:t>
            </w:r>
            <w:r>
              <w:rPr>
                <w:rFonts w:ascii="Arial" w:hAnsi="Arial"/>
                <w:b/>
                <w:spacing w:val="-8"/>
              </w:rPr>
              <w:t xml:space="preserve"> </w:t>
            </w:r>
            <w:r>
              <w:rPr>
                <w:rFonts w:ascii="Arial" w:hAnsi="Arial"/>
                <w:b/>
              </w:rPr>
              <w:t>Validación</w:t>
            </w:r>
            <w:r>
              <w:rPr>
                <w:rFonts w:ascii="Arial" w:hAnsi="Arial"/>
                <w:b/>
                <w:spacing w:val="-8"/>
              </w:rPr>
              <w:t xml:space="preserve"> </w:t>
            </w:r>
            <w:r>
              <w:rPr>
                <w:rFonts w:ascii="Arial" w:hAnsi="Arial"/>
                <w:b/>
              </w:rPr>
              <w:t>(Año</w:t>
            </w:r>
            <w:r>
              <w:rPr>
                <w:rFonts w:ascii="Arial" w:hAnsi="Arial"/>
                <w:b/>
                <w:spacing w:val="-8"/>
              </w:rPr>
              <w:t xml:space="preserve"> </w:t>
            </w:r>
            <w:r>
              <w:rPr>
                <w:rFonts w:ascii="Arial" w:hAnsi="Arial"/>
                <w:b/>
                <w:spacing w:val="-5"/>
              </w:rPr>
              <w:t>1)</w:t>
            </w:r>
          </w:p>
        </w:tc>
        <w:tc>
          <w:tcPr>
            <w:tcW w:w="2486" w:type="dxa"/>
            <w:tcBorders>
              <w:top w:val="single" w:sz="8" w:space="0" w:color="000000"/>
              <w:bottom w:val="single" w:sz="8" w:space="0" w:color="000000"/>
            </w:tcBorders>
          </w:tcPr>
          <w:p w:rsidR="009B4BB4" w:rsidRDefault="00C44001">
            <w:pPr>
              <w:pStyle w:val="TableParagraph"/>
              <w:spacing w:before="41"/>
              <w:ind w:right="80"/>
              <w:jc w:val="center"/>
              <w:rPr>
                <w:rFonts w:ascii="Arial"/>
                <w:b/>
              </w:rPr>
            </w:pPr>
            <w:r>
              <w:rPr>
                <w:rFonts w:ascii="Arial"/>
                <w:b/>
              </w:rPr>
              <w:t>Fase</w:t>
            </w:r>
            <w:r>
              <w:rPr>
                <w:rFonts w:ascii="Arial"/>
                <w:b/>
                <w:spacing w:val="-3"/>
              </w:rPr>
              <w:t xml:space="preserve"> </w:t>
            </w:r>
            <w:r>
              <w:rPr>
                <w:rFonts w:ascii="Arial"/>
                <w:b/>
              </w:rPr>
              <w:t>2:</w:t>
            </w:r>
            <w:r>
              <w:rPr>
                <w:rFonts w:ascii="Arial"/>
                <w:b/>
                <w:spacing w:val="-3"/>
              </w:rPr>
              <w:t xml:space="preserve"> </w:t>
            </w:r>
            <w:r>
              <w:rPr>
                <w:rFonts w:ascii="Arial"/>
                <w:b/>
                <w:spacing w:val="-2"/>
              </w:rPr>
              <w:t>Madurez</w:t>
            </w:r>
          </w:p>
          <w:p w:rsidR="009B4BB4" w:rsidRDefault="00C44001">
            <w:pPr>
              <w:pStyle w:val="TableParagraph"/>
              <w:spacing w:before="126"/>
              <w:ind w:right="80"/>
              <w:jc w:val="center"/>
              <w:rPr>
                <w:rFonts w:ascii="Arial" w:hAnsi="Arial"/>
                <w:b/>
              </w:rPr>
            </w:pPr>
            <w:r>
              <w:rPr>
                <w:rFonts w:ascii="Arial" w:hAnsi="Arial"/>
                <w:b/>
              </w:rPr>
              <w:t>(Año</w:t>
            </w:r>
            <w:r>
              <w:rPr>
                <w:rFonts w:ascii="Arial" w:hAnsi="Arial"/>
                <w:b/>
                <w:spacing w:val="-4"/>
              </w:rPr>
              <w:t xml:space="preserve"> </w:t>
            </w:r>
            <w:r>
              <w:rPr>
                <w:rFonts w:ascii="Arial" w:hAnsi="Arial"/>
                <w:b/>
                <w:spacing w:val="-5"/>
              </w:rPr>
              <w:t>5)</w:t>
            </w:r>
          </w:p>
        </w:tc>
      </w:tr>
      <w:tr w:rsidR="009B4BB4">
        <w:trPr>
          <w:trHeight w:val="476"/>
        </w:trPr>
        <w:tc>
          <w:tcPr>
            <w:tcW w:w="3234" w:type="dxa"/>
            <w:tcBorders>
              <w:top w:val="single" w:sz="8" w:space="0" w:color="000000"/>
            </w:tcBorders>
          </w:tcPr>
          <w:p w:rsidR="009B4BB4" w:rsidRDefault="00C44001">
            <w:pPr>
              <w:pStyle w:val="TableParagraph"/>
              <w:spacing w:before="80"/>
              <w:ind w:left="75"/>
            </w:pPr>
            <w:r>
              <w:t>Volumen</w:t>
            </w:r>
            <w:r>
              <w:rPr>
                <w:spacing w:val="-9"/>
              </w:rPr>
              <w:t xml:space="preserve"> </w:t>
            </w:r>
            <w:r>
              <w:t>de</w:t>
            </w:r>
            <w:r>
              <w:rPr>
                <w:spacing w:val="-8"/>
              </w:rPr>
              <w:t xml:space="preserve"> </w:t>
            </w:r>
            <w:r>
              <w:t>miel</w:t>
            </w:r>
            <w:r>
              <w:rPr>
                <w:spacing w:val="-8"/>
              </w:rPr>
              <w:t xml:space="preserve"> </w:t>
            </w:r>
            <w:r>
              <w:rPr>
                <w:spacing w:val="-2"/>
              </w:rPr>
              <w:t>requerido</w:t>
            </w:r>
          </w:p>
        </w:tc>
        <w:tc>
          <w:tcPr>
            <w:tcW w:w="3260" w:type="dxa"/>
            <w:tcBorders>
              <w:top w:val="single" w:sz="8" w:space="0" w:color="000000"/>
            </w:tcBorders>
          </w:tcPr>
          <w:p w:rsidR="009B4BB4" w:rsidRDefault="00C44001">
            <w:pPr>
              <w:pStyle w:val="TableParagraph"/>
              <w:spacing w:before="80"/>
              <w:ind w:right="154"/>
              <w:jc w:val="center"/>
            </w:pPr>
            <w:r>
              <w:t>28</w:t>
            </w:r>
            <w:r>
              <w:rPr>
                <w:spacing w:val="-4"/>
              </w:rPr>
              <w:t xml:space="preserve"> </w:t>
            </w:r>
            <w:r>
              <w:rPr>
                <w:spacing w:val="-2"/>
              </w:rPr>
              <w:t>Litros</w:t>
            </w:r>
          </w:p>
        </w:tc>
        <w:tc>
          <w:tcPr>
            <w:tcW w:w="2486" w:type="dxa"/>
            <w:tcBorders>
              <w:top w:val="single" w:sz="8" w:space="0" w:color="000000"/>
            </w:tcBorders>
          </w:tcPr>
          <w:p w:rsidR="009B4BB4" w:rsidRDefault="00C44001">
            <w:pPr>
              <w:pStyle w:val="TableParagraph"/>
              <w:spacing w:before="80"/>
              <w:ind w:right="80"/>
              <w:jc w:val="center"/>
            </w:pPr>
            <w:r>
              <w:t>170</w:t>
            </w:r>
            <w:r>
              <w:rPr>
                <w:spacing w:val="-3"/>
              </w:rPr>
              <w:t xml:space="preserve"> </w:t>
            </w:r>
            <w:r>
              <w:t>-</w:t>
            </w:r>
            <w:r>
              <w:rPr>
                <w:spacing w:val="-2"/>
              </w:rPr>
              <w:t xml:space="preserve"> </w:t>
            </w:r>
            <w:r>
              <w:t>200</w:t>
            </w:r>
            <w:r>
              <w:rPr>
                <w:spacing w:val="-2"/>
              </w:rPr>
              <w:t xml:space="preserve"> Litros</w:t>
            </w:r>
          </w:p>
        </w:tc>
      </w:tr>
      <w:tr w:rsidR="009B4BB4">
        <w:trPr>
          <w:trHeight w:val="389"/>
        </w:trPr>
        <w:tc>
          <w:tcPr>
            <w:tcW w:w="3234" w:type="dxa"/>
          </w:tcPr>
          <w:p w:rsidR="009B4BB4" w:rsidRDefault="00C44001">
            <w:pPr>
              <w:pStyle w:val="TableParagraph"/>
              <w:spacing w:before="136" w:line="233" w:lineRule="exact"/>
              <w:ind w:left="75"/>
            </w:pPr>
            <w:r>
              <w:t>Familias</w:t>
            </w:r>
            <w:r>
              <w:rPr>
                <w:spacing w:val="-7"/>
              </w:rPr>
              <w:t xml:space="preserve"> </w:t>
            </w:r>
            <w:r>
              <w:t>/</w:t>
            </w:r>
            <w:r>
              <w:rPr>
                <w:spacing w:val="-7"/>
              </w:rPr>
              <w:t xml:space="preserve"> </w:t>
            </w:r>
            <w:r>
              <w:t>Productores</w:t>
            </w:r>
            <w:r>
              <w:rPr>
                <w:spacing w:val="-6"/>
              </w:rPr>
              <w:t xml:space="preserve"> </w:t>
            </w:r>
            <w:r>
              <w:rPr>
                <w:spacing w:val="-2"/>
              </w:rPr>
              <w:t>Semilla</w:t>
            </w:r>
          </w:p>
        </w:tc>
        <w:tc>
          <w:tcPr>
            <w:tcW w:w="3260" w:type="dxa"/>
          </w:tcPr>
          <w:p w:rsidR="009B4BB4" w:rsidRDefault="00C44001">
            <w:pPr>
              <w:pStyle w:val="TableParagraph"/>
              <w:spacing w:before="136" w:line="233" w:lineRule="exact"/>
              <w:ind w:right="154"/>
              <w:jc w:val="center"/>
            </w:pPr>
            <w:r>
              <w:t>3</w:t>
            </w:r>
            <w:r>
              <w:rPr>
                <w:spacing w:val="-3"/>
              </w:rPr>
              <w:t xml:space="preserve"> </w:t>
            </w:r>
            <w:r>
              <w:t>-</w:t>
            </w:r>
            <w:r>
              <w:rPr>
                <w:spacing w:val="-1"/>
              </w:rPr>
              <w:t xml:space="preserve"> </w:t>
            </w:r>
            <w:r>
              <w:t>5</w:t>
            </w:r>
            <w:r>
              <w:rPr>
                <w:spacing w:val="-1"/>
              </w:rPr>
              <w:t xml:space="preserve"> </w:t>
            </w:r>
            <w:r>
              <w:rPr>
                <w:spacing w:val="-2"/>
              </w:rPr>
              <w:t>familias</w:t>
            </w:r>
          </w:p>
        </w:tc>
        <w:tc>
          <w:tcPr>
            <w:tcW w:w="2486" w:type="dxa"/>
          </w:tcPr>
          <w:p w:rsidR="009B4BB4" w:rsidRDefault="00C44001">
            <w:pPr>
              <w:pStyle w:val="TableParagraph"/>
              <w:spacing w:before="136" w:line="233" w:lineRule="exact"/>
              <w:ind w:right="80"/>
              <w:jc w:val="center"/>
            </w:pPr>
            <w:r>
              <w:t>20</w:t>
            </w:r>
            <w:r>
              <w:rPr>
                <w:spacing w:val="-2"/>
              </w:rPr>
              <w:t xml:space="preserve"> </w:t>
            </w:r>
            <w:r>
              <w:t>-</w:t>
            </w:r>
            <w:r>
              <w:rPr>
                <w:spacing w:val="-2"/>
              </w:rPr>
              <w:t xml:space="preserve"> </w:t>
            </w:r>
            <w:r>
              <w:t>25</w:t>
            </w:r>
            <w:r>
              <w:rPr>
                <w:spacing w:val="-1"/>
              </w:rPr>
              <w:t xml:space="preserve"> </w:t>
            </w:r>
            <w:r>
              <w:rPr>
                <w:spacing w:val="-2"/>
              </w:rPr>
              <w:t>familias</w:t>
            </w:r>
          </w:p>
        </w:tc>
      </w:tr>
    </w:tbl>
    <w:p w:rsidR="009B4BB4" w:rsidRDefault="009B4BB4">
      <w:pPr>
        <w:pStyle w:val="TableParagraph"/>
        <w:spacing w:line="233" w:lineRule="exact"/>
        <w:jc w:val="center"/>
        <w:sectPr w:rsidR="009B4BB4">
          <w:pgSz w:w="11920" w:h="16840"/>
          <w:pgMar w:top="1500" w:right="850" w:bottom="2867" w:left="1275" w:header="0" w:footer="1747" w:gutter="0"/>
          <w:cols w:space="720"/>
        </w:sectPr>
      </w:pPr>
    </w:p>
    <w:tbl>
      <w:tblPr>
        <w:tblStyle w:val="TableNormal"/>
        <w:tblW w:w="0" w:type="auto"/>
        <w:tblInd w:w="432" w:type="dxa"/>
        <w:tblLayout w:type="fixed"/>
        <w:tblLook w:val="01E0" w:firstRow="1" w:lastRow="1" w:firstColumn="1" w:lastColumn="1" w:noHBand="0" w:noVBand="0"/>
      </w:tblPr>
      <w:tblGrid>
        <w:gridCol w:w="2947"/>
        <w:gridCol w:w="3422"/>
        <w:gridCol w:w="2611"/>
      </w:tblGrid>
      <w:tr w:rsidR="009B4BB4">
        <w:trPr>
          <w:trHeight w:val="737"/>
        </w:trPr>
        <w:tc>
          <w:tcPr>
            <w:tcW w:w="2947" w:type="dxa"/>
          </w:tcPr>
          <w:p w:rsidR="009B4BB4" w:rsidRDefault="00C44001">
            <w:pPr>
              <w:pStyle w:val="TableParagraph"/>
              <w:spacing w:line="246" w:lineRule="exact"/>
              <w:ind w:left="75"/>
            </w:pPr>
            <w:r>
              <w:lastRenderedPageBreak/>
              <w:t>Ecosistema</w:t>
            </w:r>
            <w:r>
              <w:rPr>
                <w:spacing w:val="-6"/>
              </w:rPr>
              <w:t xml:space="preserve"> </w:t>
            </w:r>
            <w:r>
              <w:t>de</w:t>
            </w:r>
            <w:r>
              <w:rPr>
                <w:spacing w:val="-6"/>
              </w:rPr>
              <w:t xml:space="preserve"> </w:t>
            </w:r>
            <w:r>
              <w:rPr>
                <w:spacing w:val="-2"/>
              </w:rPr>
              <w:t>colonias</w:t>
            </w:r>
          </w:p>
          <w:p w:rsidR="009B4BB4" w:rsidRDefault="00C44001">
            <w:pPr>
              <w:pStyle w:val="TableParagraph"/>
              <w:spacing w:before="126"/>
              <w:ind w:left="75"/>
            </w:pPr>
            <w:r>
              <w:t>(</w:t>
            </w:r>
            <w:r>
              <w:rPr>
                <w:rFonts w:ascii="Arial"/>
                <w:i/>
              </w:rPr>
              <w:t>Melipona</w:t>
            </w:r>
            <w:r>
              <w:rPr>
                <w:rFonts w:ascii="Arial"/>
                <w:i/>
                <w:spacing w:val="-9"/>
              </w:rPr>
              <w:t xml:space="preserve"> </w:t>
            </w:r>
            <w:r>
              <w:rPr>
                <w:rFonts w:ascii="Arial"/>
                <w:i/>
                <w:spacing w:val="-2"/>
              </w:rPr>
              <w:t>beechei</w:t>
            </w:r>
            <w:r>
              <w:rPr>
                <w:spacing w:val="-2"/>
              </w:rPr>
              <w:t>i)</w:t>
            </w:r>
          </w:p>
        </w:tc>
        <w:tc>
          <w:tcPr>
            <w:tcW w:w="3422" w:type="dxa"/>
          </w:tcPr>
          <w:p w:rsidR="009B4BB4" w:rsidRDefault="00C44001">
            <w:pPr>
              <w:pStyle w:val="TableParagraph"/>
              <w:spacing w:before="183"/>
              <w:ind w:left="255"/>
              <w:jc w:val="center"/>
            </w:pPr>
            <w:r>
              <w:t>30</w:t>
            </w:r>
            <w:r>
              <w:rPr>
                <w:spacing w:val="-2"/>
              </w:rPr>
              <w:t xml:space="preserve"> </w:t>
            </w:r>
            <w:r>
              <w:t>-</w:t>
            </w:r>
            <w:r>
              <w:rPr>
                <w:spacing w:val="-2"/>
              </w:rPr>
              <w:t xml:space="preserve"> </w:t>
            </w:r>
            <w:r>
              <w:t>40</w:t>
            </w:r>
            <w:r>
              <w:rPr>
                <w:spacing w:val="-1"/>
              </w:rPr>
              <w:t xml:space="preserve"> </w:t>
            </w:r>
            <w:r>
              <w:rPr>
                <w:spacing w:val="-2"/>
              </w:rPr>
              <w:t>colonias</w:t>
            </w:r>
          </w:p>
        </w:tc>
        <w:tc>
          <w:tcPr>
            <w:tcW w:w="2611" w:type="dxa"/>
          </w:tcPr>
          <w:p w:rsidR="009B4BB4" w:rsidRDefault="00C44001">
            <w:pPr>
              <w:pStyle w:val="TableParagraph"/>
              <w:spacing w:before="183"/>
              <w:ind w:left="428"/>
            </w:pPr>
            <w:r>
              <w:t>250</w:t>
            </w:r>
            <w:r>
              <w:rPr>
                <w:spacing w:val="-3"/>
              </w:rPr>
              <w:t xml:space="preserve"> </w:t>
            </w:r>
            <w:r>
              <w:t>-</w:t>
            </w:r>
            <w:r>
              <w:rPr>
                <w:spacing w:val="-2"/>
              </w:rPr>
              <w:t xml:space="preserve"> </w:t>
            </w:r>
            <w:r>
              <w:t>300</w:t>
            </w:r>
            <w:r>
              <w:rPr>
                <w:spacing w:val="-2"/>
              </w:rPr>
              <w:t xml:space="preserve"> colonias</w:t>
            </w:r>
          </w:p>
        </w:tc>
      </w:tr>
      <w:tr w:rsidR="009B4BB4">
        <w:trPr>
          <w:trHeight w:val="891"/>
        </w:trPr>
        <w:tc>
          <w:tcPr>
            <w:tcW w:w="2947"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75"/>
            </w:pPr>
            <w:r>
              <w:t>Inversión</w:t>
            </w:r>
            <w:r>
              <w:rPr>
                <w:spacing w:val="-6"/>
              </w:rPr>
              <w:t xml:space="preserve"> </w:t>
            </w:r>
            <w:r>
              <w:t>en</w:t>
            </w:r>
            <w:r>
              <w:rPr>
                <w:spacing w:val="-5"/>
              </w:rPr>
              <w:t xml:space="preserve"> </w:t>
            </w:r>
            <w:r>
              <w:rPr>
                <w:spacing w:val="-2"/>
              </w:rPr>
              <w:t>Capacidad</w:t>
            </w:r>
          </w:p>
        </w:tc>
        <w:tc>
          <w:tcPr>
            <w:tcW w:w="3422"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255"/>
              <w:jc w:val="center"/>
            </w:pPr>
            <w:r>
              <w:t>Fondos</w:t>
            </w:r>
            <w:r>
              <w:rPr>
                <w:spacing w:val="-5"/>
              </w:rPr>
              <w:t xml:space="preserve"> </w:t>
            </w:r>
            <w:r>
              <w:t>de</w:t>
            </w:r>
            <w:r>
              <w:rPr>
                <w:spacing w:val="-5"/>
              </w:rPr>
              <w:t xml:space="preserve"> </w:t>
            </w:r>
            <w:r>
              <w:t>compra</w:t>
            </w:r>
            <w:r>
              <w:rPr>
                <w:spacing w:val="-4"/>
              </w:rPr>
              <w:t xml:space="preserve"> </w:t>
            </w:r>
            <w:r>
              <w:rPr>
                <w:spacing w:val="-2"/>
              </w:rPr>
              <w:t>directa</w:t>
            </w:r>
          </w:p>
        </w:tc>
        <w:tc>
          <w:tcPr>
            <w:tcW w:w="2611" w:type="dxa"/>
            <w:tcBorders>
              <w:bottom w:val="single" w:sz="8" w:space="0" w:color="000000"/>
            </w:tcBorders>
          </w:tcPr>
          <w:p w:rsidR="009B4BB4" w:rsidRDefault="00C44001">
            <w:pPr>
              <w:pStyle w:val="TableParagraph"/>
              <w:spacing w:before="104" w:line="360" w:lineRule="auto"/>
              <w:ind w:left="810" w:hanging="505"/>
            </w:pPr>
            <w:r>
              <w:t>Reinversión</w:t>
            </w:r>
            <w:r>
              <w:rPr>
                <w:spacing w:val="-16"/>
              </w:rPr>
              <w:t xml:space="preserve"> </w:t>
            </w:r>
            <w:r>
              <w:t>en</w:t>
            </w:r>
            <w:r>
              <w:rPr>
                <w:spacing w:val="-15"/>
              </w:rPr>
              <w:t xml:space="preserve"> </w:t>
            </w:r>
            <w:r>
              <w:t xml:space="preserve">cajas </w:t>
            </w:r>
            <w:r>
              <w:rPr>
                <w:spacing w:val="-2"/>
              </w:rPr>
              <w:t>racionales</w:t>
            </w:r>
          </w:p>
        </w:tc>
      </w:tr>
    </w:tbl>
    <w:p w:rsidR="009B4BB4" w:rsidRDefault="00C44001">
      <w:pPr>
        <w:pStyle w:val="Textoindependiente"/>
        <w:spacing w:before="239" w:line="360" w:lineRule="auto"/>
        <w:ind w:left="425" w:right="613" w:firstLine="30"/>
        <w:jc w:val="both"/>
      </w:pPr>
      <w:r>
        <w:rPr>
          <w:rFonts w:ascii="Arial" w:hAnsi="Arial"/>
          <w:i/>
        </w:rPr>
        <w:t xml:space="preserve">Nota. </w:t>
      </w:r>
      <w:r>
        <w:t>El crecimiento del parque productivo se basa en la transferencia tecnológica y el cofinanciamiento de cajas racionales para la división técnica de colmenas. Elaboración propia (2025).</w:t>
      </w:r>
    </w:p>
    <w:p w:rsidR="009B4BB4" w:rsidRDefault="00C44001">
      <w:pPr>
        <w:pStyle w:val="Textoindependiente"/>
        <w:spacing w:line="360" w:lineRule="auto"/>
        <w:ind w:left="425" w:right="610" w:firstLine="720"/>
        <w:jc w:val="both"/>
      </w:pPr>
      <w:r>
        <w:t>Como eje transversal, Guardiana destina recursos del flujo operativo a l</w:t>
      </w:r>
      <w:r>
        <w:t>a trazabilidad y al cumplimiento de la NOM-004-SAG/GAN-2018 (producción de miel). Estas acciones, en alianza con universidades locales, fortalecen la formalización del sector meliponicultor, facilitando</w:t>
      </w:r>
      <w:r>
        <w:rPr>
          <w:spacing w:val="-4"/>
        </w:rPr>
        <w:t xml:space="preserve"> </w:t>
      </w:r>
      <w:r>
        <w:t>el</w:t>
      </w:r>
      <w:r>
        <w:rPr>
          <w:spacing w:val="-4"/>
        </w:rPr>
        <w:t xml:space="preserve"> </w:t>
      </w:r>
      <w:r>
        <w:t>acceso</w:t>
      </w:r>
      <w:r>
        <w:rPr>
          <w:spacing w:val="-4"/>
        </w:rPr>
        <w:t xml:space="preserve"> </w:t>
      </w:r>
      <w:r>
        <w:t>a</w:t>
      </w:r>
      <w:r>
        <w:rPr>
          <w:spacing w:val="-4"/>
        </w:rPr>
        <w:t xml:space="preserve"> </w:t>
      </w:r>
      <w:r>
        <w:t>nichos</w:t>
      </w:r>
      <w:r>
        <w:rPr>
          <w:spacing w:val="-4"/>
        </w:rPr>
        <w:t xml:space="preserve"> </w:t>
      </w:r>
      <w:r>
        <w:t>de</w:t>
      </w:r>
      <w:r>
        <w:rPr>
          <w:spacing w:val="-4"/>
        </w:rPr>
        <w:t xml:space="preserve"> </w:t>
      </w:r>
      <w:r>
        <w:t>alto</w:t>
      </w:r>
      <w:r>
        <w:rPr>
          <w:spacing w:val="-4"/>
        </w:rPr>
        <w:t xml:space="preserve"> </w:t>
      </w:r>
      <w:r>
        <w:t>valor</w:t>
      </w:r>
      <w:r>
        <w:rPr>
          <w:spacing w:val="-4"/>
        </w:rPr>
        <w:t xml:space="preserve"> </w:t>
      </w:r>
      <w:r>
        <w:t>sin</w:t>
      </w:r>
      <w:r>
        <w:rPr>
          <w:spacing w:val="-4"/>
        </w:rPr>
        <w:t xml:space="preserve"> </w:t>
      </w:r>
      <w:r>
        <w:t>modificar</w:t>
      </w:r>
      <w:r>
        <w:rPr>
          <w:spacing w:val="-4"/>
        </w:rPr>
        <w:t xml:space="preserve"> </w:t>
      </w:r>
      <w:r>
        <w:t>los</w:t>
      </w:r>
      <w:r>
        <w:rPr>
          <w:spacing w:val="-4"/>
        </w:rPr>
        <w:t xml:space="preserve"> </w:t>
      </w:r>
      <w:r>
        <w:t>sa</w:t>
      </w:r>
      <w:r>
        <w:t>beres tradicionales, manteniendo el equilibrio entre formalización y autenticidad.</w:t>
      </w:r>
    </w:p>
    <w:p w:rsidR="009B4BB4" w:rsidRDefault="00C44001">
      <w:pPr>
        <w:pStyle w:val="Textoindependiente"/>
        <w:spacing w:line="360" w:lineRule="auto"/>
        <w:ind w:left="425" w:right="603" w:firstLine="720"/>
        <w:jc w:val="both"/>
      </w:pPr>
      <w:r>
        <w:t>Desde el punto de vista financiero, la expansión de la capacidad productiva no depende de nuevas inyecciones de capital externo, sino de la reinversión de utilidades. Se con</w:t>
      </w:r>
      <w:r>
        <w:t>templa destinar un porcentaje del flujo de caja libre anual a financiar el acopio anticipado y la tecnificación de los aliados. Esta estrategia permite sostener el</w:t>
      </w:r>
      <w:r>
        <w:rPr>
          <w:spacing w:val="40"/>
        </w:rPr>
        <w:t xml:space="preserve"> </w:t>
      </w:r>
      <w:r>
        <w:t xml:space="preserve">crecimiento sin comprometer la liquidez y consolida un esquema de valor compartido donde la </w:t>
      </w:r>
      <w:r>
        <w:t>rentabilidad de Guardiana se traduce en capitalización para las comunidades</w:t>
      </w:r>
      <w:r>
        <w:rPr>
          <w:spacing w:val="-3"/>
        </w:rPr>
        <w:t xml:space="preserve"> </w:t>
      </w:r>
      <w:r>
        <w:t>y familias mayas, reforzando la sostenibilidad del modelo en el tiempo.</w:t>
      </w:r>
    </w:p>
    <w:p w:rsidR="009B4BB4" w:rsidRDefault="009B4BB4">
      <w:pPr>
        <w:pStyle w:val="Textoindependiente"/>
        <w:spacing w:before="27"/>
      </w:pPr>
    </w:p>
    <w:p w:rsidR="009B4BB4" w:rsidRDefault="00C44001" w:rsidP="00C44001">
      <w:pPr>
        <w:pStyle w:val="Ttulo2"/>
        <w:numPr>
          <w:ilvl w:val="1"/>
          <w:numId w:val="14"/>
        </w:numPr>
        <w:tabs>
          <w:tab w:val="left" w:pos="818"/>
        </w:tabs>
        <w:spacing w:before="0"/>
        <w:ind w:left="818" w:hanging="363"/>
      </w:pPr>
      <w:bookmarkStart w:id="243" w:name="7.3_Flujos_de_fondos_"/>
      <w:bookmarkStart w:id="244" w:name="h.40x6kpwfowqp"/>
      <w:bookmarkEnd w:id="243"/>
      <w:bookmarkEnd w:id="244"/>
      <w:r>
        <w:t>Flujos</w:t>
      </w:r>
      <w:r>
        <w:rPr>
          <w:spacing w:val="-4"/>
        </w:rPr>
        <w:t xml:space="preserve"> </w:t>
      </w:r>
      <w:r>
        <w:t>de</w:t>
      </w:r>
      <w:r>
        <w:rPr>
          <w:spacing w:val="-4"/>
        </w:rPr>
        <w:t xml:space="preserve"> </w:t>
      </w:r>
      <w:r>
        <w:rPr>
          <w:spacing w:val="-2"/>
        </w:rPr>
        <w:t>fondos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5" w:firstLine="720"/>
        <w:jc w:val="both"/>
      </w:pPr>
      <w:r>
        <w:t>El</w:t>
      </w:r>
      <w:r>
        <w:rPr>
          <w:spacing w:val="-4"/>
        </w:rPr>
        <w:t xml:space="preserve"> </w:t>
      </w:r>
      <w:r>
        <w:t>flujo</w:t>
      </w:r>
      <w:r>
        <w:rPr>
          <w:spacing w:val="-4"/>
        </w:rPr>
        <w:t xml:space="preserve"> </w:t>
      </w:r>
      <w:r>
        <w:t>de</w:t>
      </w:r>
      <w:r>
        <w:rPr>
          <w:spacing w:val="-4"/>
        </w:rPr>
        <w:t xml:space="preserve"> </w:t>
      </w:r>
      <w:r>
        <w:t>caja</w:t>
      </w:r>
      <w:r>
        <w:rPr>
          <w:spacing w:val="-4"/>
        </w:rPr>
        <w:t xml:space="preserve"> </w:t>
      </w:r>
      <w:r>
        <w:t>proyectado</w:t>
      </w:r>
      <w:r>
        <w:rPr>
          <w:spacing w:val="-4"/>
        </w:rPr>
        <w:t xml:space="preserve"> </w:t>
      </w:r>
      <w:r>
        <w:t>constituye</w:t>
      </w:r>
      <w:r>
        <w:rPr>
          <w:spacing w:val="-4"/>
        </w:rPr>
        <w:t xml:space="preserve"> </w:t>
      </w:r>
      <w:r>
        <w:t>el</w:t>
      </w:r>
      <w:r>
        <w:rPr>
          <w:spacing w:val="-4"/>
        </w:rPr>
        <w:t xml:space="preserve"> </w:t>
      </w:r>
      <w:r>
        <w:t>elemento</w:t>
      </w:r>
      <w:r>
        <w:rPr>
          <w:spacing w:val="-4"/>
        </w:rPr>
        <w:t xml:space="preserve"> </w:t>
      </w:r>
      <w:r>
        <w:t>central</w:t>
      </w:r>
      <w:r>
        <w:rPr>
          <w:spacing w:val="-4"/>
        </w:rPr>
        <w:t xml:space="preserve"> </w:t>
      </w:r>
      <w:r>
        <w:t>para</w:t>
      </w:r>
      <w:r>
        <w:rPr>
          <w:spacing w:val="-4"/>
        </w:rPr>
        <w:t xml:space="preserve"> </w:t>
      </w:r>
      <w:r>
        <w:t>evaluar</w:t>
      </w:r>
      <w:r>
        <w:rPr>
          <w:spacing w:val="-4"/>
        </w:rPr>
        <w:t xml:space="preserve"> </w:t>
      </w:r>
      <w:r>
        <w:t>la</w:t>
      </w:r>
      <w:r>
        <w:rPr>
          <w:spacing w:val="-4"/>
        </w:rPr>
        <w:t xml:space="preserve"> </w:t>
      </w:r>
      <w:r>
        <w:t>viabilidad y</w:t>
      </w:r>
      <w:r>
        <w:rPr>
          <w:spacing w:val="40"/>
        </w:rPr>
        <w:t xml:space="preserve"> </w:t>
      </w:r>
      <w:r>
        <w:t>sostenibilidad</w:t>
      </w:r>
      <w:r>
        <w:rPr>
          <w:spacing w:val="40"/>
        </w:rPr>
        <w:t xml:space="preserve"> </w:t>
      </w:r>
      <w:r>
        <w:t>del</w:t>
      </w:r>
      <w:r>
        <w:rPr>
          <w:spacing w:val="40"/>
        </w:rPr>
        <w:t xml:space="preserve"> </w:t>
      </w:r>
      <w:r>
        <w:t>proyecto.</w:t>
      </w:r>
      <w:r>
        <w:rPr>
          <w:spacing w:val="40"/>
        </w:rPr>
        <w:t xml:space="preserve"> </w:t>
      </w:r>
      <w:r>
        <w:t>El</w:t>
      </w:r>
      <w:r>
        <w:rPr>
          <w:spacing w:val="40"/>
        </w:rPr>
        <w:t xml:space="preserve"> </w:t>
      </w:r>
      <w:r>
        <w:t>modelo</w:t>
      </w:r>
      <w:r>
        <w:rPr>
          <w:spacing w:val="40"/>
        </w:rPr>
        <w:t xml:space="preserve"> </w:t>
      </w:r>
      <w:r>
        <w:t>financiero</w:t>
      </w:r>
      <w:r>
        <w:rPr>
          <w:spacing w:val="40"/>
        </w:rPr>
        <w:t xml:space="preserve"> </w:t>
      </w:r>
      <w:r>
        <w:t>de</w:t>
      </w:r>
      <w:r>
        <w:rPr>
          <w:spacing w:val="40"/>
        </w:rPr>
        <w:t xml:space="preserve"> </w:t>
      </w:r>
      <w:r>
        <w:t>Guardiana</w:t>
      </w:r>
      <w:r>
        <w:rPr>
          <w:spacing w:val="40"/>
        </w:rPr>
        <w:t xml:space="preserve"> </w:t>
      </w:r>
      <w:r>
        <w:t>sigue</w:t>
      </w:r>
      <w:r>
        <w:rPr>
          <w:spacing w:val="40"/>
        </w:rPr>
        <w:t xml:space="preserve"> </w:t>
      </w:r>
      <w:r>
        <w:t>una</w:t>
      </w:r>
      <w:r>
        <w:rPr>
          <w:spacing w:val="40"/>
        </w:rPr>
        <w:t xml:space="preserve"> </w:t>
      </w:r>
      <w:r>
        <w:t>lógica asset-light, en la que la inversión inicial se destina principalmente al capital de trabajo (inventario y construcción de marca), minimizando la inversión en activos fijos. Est</w:t>
      </w:r>
      <w:r>
        <w:t xml:space="preserve">a estructura permite que los flujos operativos se </w:t>
      </w:r>
      <w:proofErr w:type="gramStart"/>
      <w:r>
        <w:t>traducen</w:t>
      </w:r>
      <w:proofErr w:type="gramEnd"/>
      <w:r>
        <w:t xml:space="preserve"> rápidamente en liquidez disponible, facilitando la reinversión y la continuidad operativa.</w:t>
      </w:r>
    </w:p>
    <w:p w:rsidR="009B4BB4" w:rsidRDefault="00C44001">
      <w:pPr>
        <w:pStyle w:val="Textoindependiente"/>
        <w:spacing w:before="241" w:line="360" w:lineRule="auto"/>
        <w:ind w:left="425" w:right="607" w:firstLine="720"/>
        <w:jc w:val="both"/>
      </w:pPr>
      <w:r>
        <w:t>El horizonte de cinco años refleja una progresión controlada de las ventas, pasando</w:t>
      </w:r>
      <w:r>
        <w:rPr>
          <w:spacing w:val="40"/>
        </w:rPr>
        <w:t xml:space="preserve"> </w:t>
      </w:r>
      <w:r>
        <w:t>de</w:t>
      </w:r>
      <w:r>
        <w:rPr>
          <w:spacing w:val="40"/>
        </w:rPr>
        <w:t xml:space="preserve"> </w:t>
      </w:r>
      <w:r>
        <w:t>500</w:t>
      </w:r>
      <w:r>
        <w:rPr>
          <w:spacing w:val="40"/>
        </w:rPr>
        <w:t xml:space="preserve"> </w:t>
      </w:r>
      <w:r>
        <w:t>unidades</w:t>
      </w:r>
      <w:r>
        <w:rPr>
          <w:spacing w:val="40"/>
        </w:rPr>
        <w:t xml:space="preserve"> </w:t>
      </w:r>
      <w:r>
        <w:t>a</w:t>
      </w:r>
      <w:r>
        <w:rPr>
          <w:spacing w:val="40"/>
        </w:rPr>
        <w:t xml:space="preserve"> </w:t>
      </w:r>
      <w:r>
        <w:t>un</w:t>
      </w:r>
      <w:r>
        <w:rPr>
          <w:spacing w:val="40"/>
        </w:rPr>
        <w:t xml:space="preserve"> </w:t>
      </w:r>
      <w:r>
        <w:t>m</w:t>
      </w:r>
      <w:r>
        <w:t>áximo</w:t>
      </w:r>
      <w:r>
        <w:rPr>
          <w:spacing w:val="40"/>
        </w:rPr>
        <w:t xml:space="preserve"> </w:t>
      </w:r>
      <w:r>
        <w:t>de</w:t>
      </w:r>
      <w:r>
        <w:rPr>
          <w:spacing w:val="40"/>
        </w:rPr>
        <w:t xml:space="preserve"> </w:t>
      </w:r>
      <w:r>
        <w:t>3,000</w:t>
      </w:r>
      <w:r>
        <w:rPr>
          <w:spacing w:val="26"/>
        </w:rPr>
        <w:t xml:space="preserve"> </w:t>
      </w:r>
      <w:r>
        <w:t>unidades.</w:t>
      </w:r>
      <w:r>
        <w:rPr>
          <w:spacing w:val="26"/>
        </w:rPr>
        <w:t xml:space="preserve"> </w:t>
      </w:r>
      <w:r>
        <w:t>Este</w:t>
      </w:r>
      <w:r>
        <w:rPr>
          <w:spacing w:val="26"/>
        </w:rPr>
        <w:t xml:space="preserve"> </w:t>
      </w:r>
      <w:r>
        <w:t>control</w:t>
      </w:r>
      <w:r>
        <w:rPr>
          <w:spacing w:val="26"/>
        </w:rPr>
        <w:t xml:space="preserve"> </w:t>
      </w:r>
      <w:r>
        <w:t>del</w:t>
      </w:r>
      <w:r>
        <w:rPr>
          <w:spacing w:val="26"/>
        </w:rPr>
        <w:t xml:space="preserve"> </w:t>
      </w:r>
      <w:r>
        <w:t>volumen</w:t>
      </w:r>
    </w:p>
    <w:p w:rsidR="009B4BB4" w:rsidRDefault="009B4BB4">
      <w:pPr>
        <w:pStyle w:val="Textoindependiente"/>
        <w:spacing w:line="360" w:lineRule="auto"/>
        <w:jc w:val="both"/>
        <w:sectPr w:rsidR="009B4BB4">
          <w:type w:val="continuous"/>
          <w:pgSz w:w="11920" w:h="16840"/>
          <w:pgMar w:top="1600" w:right="850" w:bottom="1940" w:left="1275" w:header="0" w:footer="1747" w:gutter="0"/>
          <w:cols w:space="720"/>
        </w:sectPr>
      </w:pPr>
    </w:p>
    <w:p w:rsidR="009B4BB4" w:rsidRDefault="00C44001">
      <w:pPr>
        <w:pStyle w:val="Textoindependiente"/>
        <w:spacing w:before="79" w:line="360" w:lineRule="auto"/>
        <w:ind w:left="425" w:right="614"/>
        <w:jc w:val="both"/>
      </w:pPr>
      <w:proofErr w:type="gramStart"/>
      <w:r>
        <w:lastRenderedPageBreak/>
        <w:t>permite</w:t>
      </w:r>
      <w:proofErr w:type="gramEnd"/>
      <w:r>
        <w:t xml:space="preserve"> sostener un margen bruto superior al 60%. Este margen es necesario para absorber el sobreprecio del pago justo a los meliponicultores y financiar la estrategia de marketing, sin </w:t>
      </w:r>
      <w:r>
        <w:t>comprometer la rentabilidad neta del modelo.</w:t>
      </w:r>
    </w:p>
    <w:p w:rsidR="009B4BB4" w:rsidRDefault="00C44001">
      <w:pPr>
        <w:pStyle w:val="Ttulo1"/>
        <w:spacing w:before="240"/>
        <w:jc w:val="both"/>
      </w:pPr>
      <w:r>
        <w:rPr>
          <w:spacing w:val="-2"/>
        </w:rPr>
        <w:t>Tabla</w:t>
      </w:r>
      <w:r>
        <w:rPr>
          <w:spacing w:val="-13"/>
        </w:rPr>
        <w:t xml:space="preserve"> </w:t>
      </w:r>
      <w:r>
        <w:rPr>
          <w:spacing w:val="-4"/>
        </w:rPr>
        <w:t>7.11</w:t>
      </w:r>
    </w:p>
    <w:p w:rsidR="009B4BB4" w:rsidRDefault="00C44001">
      <w:pPr>
        <w:spacing w:before="127"/>
        <w:ind w:left="455"/>
        <w:jc w:val="both"/>
        <w:rPr>
          <w:rFonts w:ascii="Arial" w:hAnsi="Arial"/>
          <w:i/>
        </w:rPr>
      </w:pPr>
      <w:r>
        <w:rPr>
          <w:rFonts w:ascii="Arial" w:hAnsi="Arial"/>
          <w:i/>
        </w:rPr>
        <w:t>Estrategias</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rPr>
        <w:t>gestión</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efectivo</w:t>
      </w:r>
      <w:r>
        <w:rPr>
          <w:rFonts w:ascii="Arial" w:hAnsi="Arial"/>
          <w:i/>
          <w:spacing w:val="-5"/>
        </w:rPr>
        <w:t xml:space="preserve"> </w:t>
      </w:r>
      <w:r>
        <w:rPr>
          <w:rFonts w:ascii="Arial" w:hAnsi="Arial"/>
          <w:i/>
        </w:rPr>
        <w:t>y</w:t>
      </w:r>
      <w:r>
        <w:rPr>
          <w:rFonts w:ascii="Arial" w:hAnsi="Arial"/>
          <w:i/>
          <w:spacing w:val="-5"/>
        </w:rPr>
        <w:t xml:space="preserve"> </w:t>
      </w:r>
      <w:r>
        <w:rPr>
          <w:rFonts w:ascii="Arial" w:hAnsi="Arial"/>
          <w:i/>
        </w:rPr>
        <w:t>flujo</w:t>
      </w:r>
      <w:r>
        <w:rPr>
          <w:rFonts w:ascii="Arial" w:hAnsi="Arial"/>
          <w:i/>
          <w:spacing w:val="-5"/>
        </w:rPr>
        <w:t xml:space="preserve"> </w:t>
      </w:r>
      <w:r>
        <w:rPr>
          <w:rFonts w:ascii="Arial" w:hAnsi="Arial"/>
          <w:i/>
          <w:spacing w:val="-2"/>
        </w:rPr>
        <w:t>operativo</w:t>
      </w:r>
    </w:p>
    <w:p w:rsidR="009B4BB4" w:rsidRDefault="009B4BB4">
      <w:pPr>
        <w:pStyle w:val="Textoindependiente"/>
        <w:spacing w:before="0"/>
        <w:rPr>
          <w:rFonts w:ascii="Arial"/>
          <w:i/>
          <w:sz w:val="20"/>
        </w:rPr>
      </w:pPr>
    </w:p>
    <w:p w:rsidR="009B4BB4" w:rsidRDefault="009B4BB4">
      <w:pPr>
        <w:pStyle w:val="Textoindependiente"/>
        <w:spacing w:before="29"/>
        <w:rPr>
          <w:rFonts w:ascii="Arial"/>
          <w:i/>
          <w:sz w:val="20"/>
        </w:rPr>
      </w:pPr>
    </w:p>
    <w:tbl>
      <w:tblPr>
        <w:tblStyle w:val="TableNormal"/>
        <w:tblW w:w="0" w:type="auto"/>
        <w:tblInd w:w="432" w:type="dxa"/>
        <w:tblLayout w:type="fixed"/>
        <w:tblLook w:val="01E0" w:firstRow="1" w:lastRow="1" w:firstColumn="1" w:lastColumn="1" w:noHBand="0" w:noVBand="0"/>
      </w:tblPr>
      <w:tblGrid>
        <w:gridCol w:w="3223"/>
        <w:gridCol w:w="2585"/>
        <w:gridCol w:w="3471"/>
      </w:tblGrid>
      <w:tr w:rsidR="009B4BB4">
        <w:trPr>
          <w:trHeight w:val="479"/>
        </w:trPr>
        <w:tc>
          <w:tcPr>
            <w:tcW w:w="3223" w:type="dxa"/>
            <w:tcBorders>
              <w:top w:val="single" w:sz="8" w:space="0" w:color="000000"/>
              <w:bottom w:val="single" w:sz="8" w:space="0" w:color="000000"/>
            </w:tcBorders>
          </w:tcPr>
          <w:p w:rsidR="009B4BB4" w:rsidRDefault="00C44001">
            <w:pPr>
              <w:pStyle w:val="TableParagraph"/>
              <w:spacing w:before="56"/>
              <w:ind w:left="75"/>
              <w:rPr>
                <w:rFonts w:ascii="Arial" w:hAnsi="Arial"/>
                <w:b/>
              </w:rPr>
            </w:pPr>
            <w:r>
              <w:rPr>
                <w:rFonts w:ascii="Arial" w:hAnsi="Arial"/>
                <w:b/>
              </w:rPr>
              <w:t>Decisión</w:t>
            </w:r>
            <w:r>
              <w:rPr>
                <w:rFonts w:ascii="Arial" w:hAnsi="Arial"/>
                <w:b/>
                <w:spacing w:val="-8"/>
              </w:rPr>
              <w:t xml:space="preserve"> </w:t>
            </w:r>
            <w:r>
              <w:rPr>
                <w:rFonts w:ascii="Arial" w:hAnsi="Arial"/>
                <w:b/>
                <w:spacing w:val="-2"/>
              </w:rPr>
              <w:t>Clave</w:t>
            </w:r>
          </w:p>
        </w:tc>
        <w:tc>
          <w:tcPr>
            <w:tcW w:w="2585" w:type="dxa"/>
            <w:tcBorders>
              <w:top w:val="single" w:sz="8" w:space="0" w:color="000000"/>
              <w:bottom w:val="single" w:sz="8" w:space="0" w:color="000000"/>
            </w:tcBorders>
          </w:tcPr>
          <w:p w:rsidR="009B4BB4" w:rsidRDefault="00C44001">
            <w:pPr>
              <w:pStyle w:val="TableParagraph"/>
              <w:spacing w:before="56"/>
              <w:ind w:left="452"/>
              <w:rPr>
                <w:rFonts w:ascii="Arial"/>
                <w:b/>
              </w:rPr>
            </w:pPr>
            <w:r>
              <w:rPr>
                <w:rFonts w:ascii="Arial"/>
                <w:b/>
              </w:rPr>
              <w:t>Impacto</w:t>
            </w:r>
            <w:r>
              <w:rPr>
                <w:rFonts w:ascii="Arial"/>
                <w:b/>
                <w:spacing w:val="-7"/>
              </w:rPr>
              <w:t xml:space="preserve"> </w:t>
            </w:r>
            <w:r>
              <w:rPr>
                <w:rFonts w:ascii="Arial"/>
                <w:b/>
                <w:spacing w:val="-2"/>
              </w:rPr>
              <w:t>Financiero</w:t>
            </w:r>
          </w:p>
        </w:tc>
        <w:tc>
          <w:tcPr>
            <w:tcW w:w="3471" w:type="dxa"/>
            <w:tcBorders>
              <w:top w:val="single" w:sz="8" w:space="0" w:color="000000"/>
              <w:bottom w:val="single" w:sz="8" w:space="0" w:color="000000"/>
            </w:tcBorders>
          </w:tcPr>
          <w:p w:rsidR="009B4BB4" w:rsidRDefault="00C44001">
            <w:pPr>
              <w:pStyle w:val="TableParagraph"/>
              <w:spacing w:before="56"/>
              <w:ind w:left="147"/>
              <w:rPr>
                <w:rFonts w:ascii="Arial" w:hAnsi="Arial"/>
                <w:b/>
              </w:rPr>
            </w:pPr>
            <w:r>
              <w:rPr>
                <w:rFonts w:ascii="Arial" w:hAnsi="Arial"/>
                <w:b/>
              </w:rPr>
              <w:t>Justificación</w:t>
            </w:r>
            <w:r>
              <w:rPr>
                <w:rFonts w:ascii="Arial" w:hAnsi="Arial"/>
                <w:b/>
                <w:spacing w:val="-13"/>
              </w:rPr>
              <w:t xml:space="preserve"> </w:t>
            </w:r>
            <w:r>
              <w:rPr>
                <w:rFonts w:ascii="Arial" w:hAnsi="Arial"/>
                <w:b/>
                <w:spacing w:val="-2"/>
              </w:rPr>
              <w:t>Estratégica</w:t>
            </w:r>
          </w:p>
        </w:tc>
      </w:tr>
      <w:tr w:rsidR="009B4BB4">
        <w:trPr>
          <w:trHeight w:val="785"/>
        </w:trPr>
        <w:tc>
          <w:tcPr>
            <w:tcW w:w="3223" w:type="dxa"/>
            <w:tcBorders>
              <w:top w:val="single" w:sz="8" w:space="0" w:color="000000"/>
            </w:tcBorders>
          </w:tcPr>
          <w:p w:rsidR="009B4BB4" w:rsidRDefault="00C44001">
            <w:pPr>
              <w:pStyle w:val="TableParagraph"/>
              <w:spacing w:before="230"/>
              <w:ind w:left="75"/>
            </w:pPr>
            <w:r>
              <w:t>Inversión</w:t>
            </w:r>
            <w:r>
              <w:rPr>
                <w:spacing w:val="-6"/>
              </w:rPr>
              <w:t xml:space="preserve"> </w:t>
            </w:r>
            <w:r>
              <w:t>mínima</w:t>
            </w:r>
            <w:r>
              <w:rPr>
                <w:spacing w:val="-6"/>
              </w:rPr>
              <w:t xml:space="preserve"> </w:t>
            </w:r>
            <w:r>
              <w:t>en</w:t>
            </w:r>
            <w:r>
              <w:rPr>
                <w:spacing w:val="-5"/>
              </w:rPr>
              <w:t xml:space="preserve"> </w:t>
            </w:r>
            <w:r>
              <w:rPr>
                <w:spacing w:val="-2"/>
              </w:rPr>
              <w:t>activos</w:t>
            </w:r>
          </w:p>
        </w:tc>
        <w:tc>
          <w:tcPr>
            <w:tcW w:w="2585" w:type="dxa"/>
            <w:tcBorders>
              <w:top w:val="single" w:sz="8" w:space="0" w:color="000000"/>
            </w:tcBorders>
          </w:tcPr>
          <w:p w:rsidR="009B4BB4" w:rsidRDefault="00C44001">
            <w:pPr>
              <w:pStyle w:val="TableParagraph"/>
              <w:spacing w:before="40"/>
              <w:ind w:left="452"/>
            </w:pPr>
            <w:r>
              <w:t>Baja</w:t>
            </w:r>
            <w:r>
              <w:rPr>
                <w:spacing w:val="-4"/>
              </w:rPr>
              <w:t xml:space="preserve"> </w:t>
            </w:r>
            <w:r>
              <w:rPr>
                <w:spacing w:val="-2"/>
              </w:rPr>
              <w:t>depreciación</w:t>
            </w:r>
          </w:p>
          <w:p w:rsidR="009B4BB4" w:rsidRDefault="00C44001">
            <w:pPr>
              <w:pStyle w:val="TableParagraph"/>
              <w:spacing w:before="127"/>
              <w:ind w:left="422"/>
            </w:pPr>
            <w:proofErr w:type="gramStart"/>
            <w:r>
              <w:rPr>
                <w:spacing w:val="-2"/>
              </w:rPr>
              <w:t>contable</w:t>
            </w:r>
            <w:proofErr w:type="gramEnd"/>
            <w:r>
              <w:rPr>
                <w:spacing w:val="-2"/>
              </w:rPr>
              <w:t>.</w:t>
            </w:r>
          </w:p>
        </w:tc>
        <w:tc>
          <w:tcPr>
            <w:tcW w:w="3471" w:type="dxa"/>
            <w:tcBorders>
              <w:top w:val="single" w:sz="8" w:space="0" w:color="000000"/>
            </w:tcBorders>
          </w:tcPr>
          <w:p w:rsidR="009B4BB4" w:rsidRDefault="00C44001">
            <w:pPr>
              <w:pStyle w:val="TableParagraph"/>
              <w:spacing w:before="40"/>
              <w:ind w:left="147"/>
            </w:pPr>
            <w:r>
              <w:t>Mejora</w:t>
            </w:r>
            <w:r>
              <w:rPr>
                <w:spacing w:val="-4"/>
              </w:rPr>
              <w:t xml:space="preserve"> </w:t>
            </w:r>
            <w:r>
              <w:t>el</w:t>
            </w:r>
            <w:r>
              <w:rPr>
                <w:spacing w:val="-4"/>
              </w:rPr>
              <w:t xml:space="preserve"> </w:t>
            </w:r>
            <w:r>
              <w:t>flujo</w:t>
            </w:r>
            <w:r>
              <w:rPr>
                <w:spacing w:val="-4"/>
              </w:rPr>
              <w:t xml:space="preserve"> </w:t>
            </w:r>
            <w:r>
              <w:t>de</w:t>
            </w:r>
            <w:r>
              <w:rPr>
                <w:spacing w:val="-4"/>
              </w:rPr>
              <w:t xml:space="preserve"> </w:t>
            </w:r>
            <w:r>
              <w:t>caja</w:t>
            </w:r>
            <w:r>
              <w:rPr>
                <w:spacing w:val="-3"/>
              </w:rPr>
              <w:t xml:space="preserve"> </w:t>
            </w:r>
            <w:r>
              <w:rPr>
                <w:spacing w:val="-4"/>
              </w:rPr>
              <w:t>neto</w:t>
            </w:r>
          </w:p>
          <w:p w:rsidR="009B4BB4" w:rsidRDefault="00C44001">
            <w:pPr>
              <w:pStyle w:val="TableParagraph"/>
              <w:spacing w:before="127"/>
              <w:ind w:left="117"/>
            </w:pPr>
            <w:proofErr w:type="gramStart"/>
            <w:r>
              <w:rPr>
                <w:spacing w:val="-2"/>
              </w:rPr>
              <w:t>disponible</w:t>
            </w:r>
            <w:proofErr w:type="gramEnd"/>
            <w:r>
              <w:rPr>
                <w:spacing w:val="-2"/>
              </w:rPr>
              <w:t>.</w:t>
            </w:r>
          </w:p>
        </w:tc>
      </w:tr>
      <w:tr w:rsidR="009B4BB4">
        <w:trPr>
          <w:trHeight w:val="848"/>
        </w:trPr>
        <w:tc>
          <w:tcPr>
            <w:tcW w:w="3223" w:type="dxa"/>
          </w:tcPr>
          <w:p w:rsidR="009B4BB4" w:rsidRDefault="009B4BB4">
            <w:pPr>
              <w:pStyle w:val="TableParagraph"/>
              <w:spacing w:before="41"/>
              <w:rPr>
                <w:rFonts w:ascii="Arial"/>
                <w:i/>
              </w:rPr>
            </w:pPr>
          </w:p>
          <w:p w:rsidR="009B4BB4" w:rsidRDefault="00C44001">
            <w:pPr>
              <w:pStyle w:val="TableParagraph"/>
              <w:ind w:left="75"/>
            </w:pPr>
            <w:r>
              <w:t>Pago</w:t>
            </w:r>
            <w:r>
              <w:rPr>
                <w:spacing w:val="-5"/>
              </w:rPr>
              <w:t xml:space="preserve"> </w:t>
            </w:r>
            <w:r>
              <w:t>inmediato</w:t>
            </w:r>
            <w:r>
              <w:rPr>
                <w:spacing w:val="-5"/>
              </w:rPr>
              <w:t xml:space="preserve"> </w:t>
            </w:r>
            <w:r>
              <w:t>a</w:t>
            </w:r>
            <w:r>
              <w:rPr>
                <w:spacing w:val="-4"/>
              </w:rPr>
              <w:t xml:space="preserve"> </w:t>
            </w:r>
            <w:r>
              <w:rPr>
                <w:spacing w:val="-2"/>
              </w:rPr>
              <w:t>aliados</w:t>
            </w:r>
          </w:p>
        </w:tc>
        <w:tc>
          <w:tcPr>
            <w:tcW w:w="2585" w:type="dxa"/>
          </w:tcPr>
          <w:p w:rsidR="009B4BB4" w:rsidRDefault="00C44001">
            <w:pPr>
              <w:pStyle w:val="TableParagraph"/>
              <w:spacing w:before="7" w:line="380" w:lineRule="exact"/>
              <w:ind w:left="422" w:firstLine="30"/>
            </w:pPr>
            <w:r>
              <w:t>Ciclo</w:t>
            </w:r>
            <w:r>
              <w:rPr>
                <w:spacing w:val="-16"/>
              </w:rPr>
              <w:t xml:space="preserve"> </w:t>
            </w:r>
            <w:r>
              <w:t>de</w:t>
            </w:r>
            <w:r>
              <w:rPr>
                <w:spacing w:val="-15"/>
              </w:rPr>
              <w:t xml:space="preserve"> </w:t>
            </w:r>
            <w:r>
              <w:t xml:space="preserve">efectivo </w:t>
            </w:r>
            <w:r>
              <w:rPr>
                <w:spacing w:val="-2"/>
              </w:rPr>
              <w:t>intensivo.</w:t>
            </w:r>
          </w:p>
        </w:tc>
        <w:tc>
          <w:tcPr>
            <w:tcW w:w="3471" w:type="dxa"/>
          </w:tcPr>
          <w:p w:rsidR="009B4BB4" w:rsidRDefault="00C44001">
            <w:pPr>
              <w:pStyle w:val="TableParagraph"/>
              <w:spacing w:before="7" w:line="380" w:lineRule="exact"/>
              <w:ind w:left="117" w:firstLine="30"/>
            </w:pPr>
            <w:r>
              <w:t>Garantiza</w:t>
            </w:r>
            <w:r>
              <w:rPr>
                <w:spacing w:val="-10"/>
              </w:rPr>
              <w:t xml:space="preserve"> </w:t>
            </w:r>
            <w:r>
              <w:t>impacto</w:t>
            </w:r>
            <w:r>
              <w:rPr>
                <w:spacing w:val="-10"/>
              </w:rPr>
              <w:t xml:space="preserve"> </w:t>
            </w:r>
            <w:r>
              <w:t>social</w:t>
            </w:r>
            <w:r>
              <w:rPr>
                <w:spacing w:val="-10"/>
              </w:rPr>
              <w:t xml:space="preserve"> </w:t>
            </w:r>
            <w:r>
              <w:t>y</w:t>
            </w:r>
            <w:r>
              <w:rPr>
                <w:spacing w:val="-10"/>
              </w:rPr>
              <w:t xml:space="preserve"> </w:t>
            </w:r>
            <w:r>
              <w:t>lealtad de la red.</w:t>
            </w:r>
          </w:p>
        </w:tc>
      </w:tr>
      <w:tr w:rsidR="009B4BB4">
        <w:trPr>
          <w:trHeight w:val="905"/>
        </w:trPr>
        <w:tc>
          <w:tcPr>
            <w:tcW w:w="3223"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75"/>
            </w:pPr>
            <w:r>
              <w:rPr>
                <w:spacing w:val="-2"/>
              </w:rPr>
              <w:t>Autofinanciamiento</w:t>
            </w:r>
          </w:p>
        </w:tc>
        <w:tc>
          <w:tcPr>
            <w:tcW w:w="2585" w:type="dxa"/>
            <w:tcBorders>
              <w:bottom w:val="single" w:sz="8" w:space="0" w:color="000000"/>
            </w:tcBorders>
          </w:tcPr>
          <w:p w:rsidR="009B4BB4" w:rsidRDefault="00C44001">
            <w:pPr>
              <w:pStyle w:val="TableParagraph"/>
              <w:spacing w:before="104" w:line="360" w:lineRule="auto"/>
              <w:ind w:left="422" w:firstLine="30"/>
            </w:pPr>
            <w:r>
              <w:t>Reducción</w:t>
            </w:r>
            <w:r>
              <w:rPr>
                <w:spacing w:val="-16"/>
              </w:rPr>
              <w:t xml:space="preserve"> </w:t>
            </w:r>
            <w:r>
              <w:t>de</w:t>
            </w:r>
            <w:r>
              <w:rPr>
                <w:spacing w:val="-15"/>
              </w:rPr>
              <w:t xml:space="preserve"> </w:t>
            </w:r>
            <w:r>
              <w:t>la deuda</w:t>
            </w:r>
            <w:r>
              <w:rPr>
                <w:spacing w:val="-5"/>
              </w:rPr>
              <w:t xml:space="preserve"> </w:t>
            </w:r>
            <w:r>
              <w:rPr>
                <w:spacing w:val="-2"/>
              </w:rPr>
              <w:t>bancaria.</w:t>
            </w:r>
          </w:p>
        </w:tc>
        <w:tc>
          <w:tcPr>
            <w:tcW w:w="3471" w:type="dxa"/>
            <w:tcBorders>
              <w:bottom w:val="single" w:sz="8" w:space="0" w:color="000000"/>
            </w:tcBorders>
          </w:tcPr>
          <w:p w:rsidR="009B4BB4" w:rsidRDefault="00C44001">
            <w:pPr>
              <w:pStyle w:val="TableParagraph"/>
              <w:spacing w:before="104" w:line="360" w:lineRule="auto"/>
              <w:ind w:left="117" w:right="31" w:firstLine="30"/>
            </w:pPr>
            <w:r>
              <w:t>La</w:t>
            </w:r>
            <w:r>
              <w:rPr>
                <w:spacing w:val="-13"/>
              </w:rPr>
              <w:t xml:space="preserve"> </w:t>
            </w:r>
            <w:r>
              <w:t>reinversión</w:t>
            </w:r>
            <w:r>
              <w:rPr>
                <w:spacing w:val="-13"/>
              </w:rPr>
              <w:t xml:space="preserve"> </w:t>
            </w:r>
            <w:r>
              <w:t>de</w:t>
            </w:r>
            <w:r>
              <w:rPr>
                <w:spacing w:val="-13"/>
              </w:rPr>
              <w:t xml:space="preserve"> </w:t>
            </w:r>
            <w:r>
              <w:t>utilidades fondea el crecimiento.</w:t>
            </w:r>
          </w:p>
        </w:tc>
      </w:tr>
    </w:tbl>
    <w:p w:rsidR="009B4BB4" w:rsidRDefault="00C44001">
      <w:pPr>
        <w:pStyle w:val="Textoindependiente"/>
        <w:spacing w:line="360" w:lineRule="auto"/>
        <w:ind w:left="425" w:right="633" w:firstLine="30"/>
      </w:pPr>
      <w:r>
        <w:rPr>
          <w:rFonts w:ascii="Arial" w:hAnsi="Arial"/>
          <w:i/>
        </w:rPr>
        <w:t>Nota.</w:t>
      </w:r>
      <w:r>
        <w:rPr>
          <w:rFonts w:ascii="Arial" w:hAnsi="Arial"/>
          <w:i/>
          <w:spacing w:val="40"/>
        </w:rPr>
        <w:t xml:space="preserve"> </w:t>
      </w:r>
      <w:r>
        <w:t>El</w:t>
      </w:r>
      <w:r>
        <w:rPr>
          <w:spacing w:val="40"/>
        </w:rPr>
        <w:t xml:space="preserve"> </w:t>
      </w:r>
      <w:r>
        <w:t>modelo</w:t>
      </w:r>
      <w:r>
        <w:rPr>
          <w:spacing w:val="40"/>
        </w:rPr>
        <w:t xml:space="preserve"> </w:t>
      </w:r>
      <w:r>
        <w:t>prioriza</w:t>
      </w:r>
      <w:r>
        <w:rPr>
          <w:spacing w:val="40"/>
        </w:rPr>
        <w:t xml:space="preserve"> </w:t>
      </w:r>
      <w:r>
        <w:t>la</w:t>
      </w:r>
      <w:r>
        <w:rPr>
          <w:spacing w:val="40"/>
        </w:rPr>
        <w:t xml:space="preserve"> </w:t>
      </w:r>
      <w:r>
        <w:t>solvencia</w:t>
      </w:r>
      <w:r>
        <w:rPr>
          <w:spacing w:val="40"/>
        </w:rPr>
        <w:t xml:space="preserve"> </w:t>
      </w:r>
      <w:r>
        <w:t>ética</w:t>
      </w:r>
      <w:r>
        <w:rPr>
          <w:spacing w:val="40"/>
        </w:rPr>
        <w:t xml:space="preserve"> </w:t>
      </w:r>
      <w:r>
        <w:t>y</w:t>
      </w:r>
      <w:r>
        <w:rPr>
          <w:spacing w:val="40"/>
        </w:rPr>
        <w:t xml:space="preserve"> </w:t>
      </w:r>
      <w:r>
        <w:t>operativa</w:t>
      </w:r>
      <w:r>
        <w:rPr>
          <w:spacing w:val="40"/>
        </w:rPr>
        <w:t xml:space="preserve"> </w:t>
      </w:r>
      <w:r>
        <w:t>sobre</w:t>
      </w:r>
      <w:r>
        <w:rPr>
          <w:spacing w:val="40"/>
        </w:rPr>
        <w:t xml:space="preserve"> </w:t>
      </w:r>
      <w:r>
        <w:t>la</w:t>
      </w:r>
      <w:r>
        <w:rPr>
          <w:spacing w:val="40"/>
        </w:rPr>
        <w:t xml:space="preserve"> </w:t>
      </w:r>
      <w:r>
        <w:t>eficiencia</w:t>
      </w:r>
      <w:r>
        <w:rPr>
          <w:spacing w:val="40"/>
        </w:rPr>
        <w:t xml:space="preserve"> </w:t>
      </w:r>
      <w:r>
        <w:t>financiera tradicional de pago tardío a proveedores. Elaboración propia (2025).</w:t>
      </w:r>
    </w:p>
    <w:p w:rsidR="009B4BB4" w:rsidRDefault="009B4BB4">
      <w:pPr>
        <w:pStyle w:val="Textoindependiente"/>
        <w:spacing w:before="27"/>
      </w:pPr>
    </w:p>
    <w:p w:rsidR="009B4BB4" w:rsidRDefault="00C44001" w:rsidP="00C44001">
      <w:pPr>
        <w:pStyle w:val="Ttulo1"/>
        <w:numPr>
          <w:ilvl w:val="2"/>
          <w:numId w:val="11"/>
        </w:numPr>
        <w:tabs>
          <w:tab w:val="left" w:pos="1000"/>
        </w:tabs>
        <w:ind w:left="1000" w:hanging="545"/>
      </w:pPr>
      <w:r>
        <w:t>EBIT</w:t>
      </w:r>
      <w:r>
        <w:rPr>
          <w:spacing w:val="-4"/>
        </w:rPr>
        <w:t xml:space="preserve"> </w:t>
      </w:r>
      <w:r>
        <w:t>y</w:t>
      </w:r>
      <w:r>
        <w:rPr>
          <w:spacing w:val="-3"/>
        </w:rPr>
        <w:t xml:space="preserve"> </w:t>
      </w:r>
      <w:r>
        <w:t>su</w:t>
      </w:r>
      <w:r>
        <w:rPr>
          <w:spacing w:val="-3"/>
        </w:rPr>
        <w:t xml:space="preserve"> </w:t>
      </w:r>
      <w:r>
        <w:t>relación</w:t>
      </w:r>
      <w:r>
        <w:rPr>
          <w:spacing w:val="-4"/>
        </w:rPr>
        <w:t xml:space="preserve"> </w:t>
      </w:r>
      <w:r>
        <w:t>con</w:t>
      </w:r>
      <w:r>
        <w:rPr>
          <w:spacing w:val="-3"/>
        </w:rPr>
        <w:t xml:space="preserve"> </w:t>
      </w:r>
      <w:r>
        <w:t>el</w:t>
      </w:r>
      <w:r>
        <w:rPr>
          <w:spacing w:val="-3"/>
        </w:rPr>
        <w:t xml:space="preserve"> </w:t>
      </w:r>
      <w:r>
        <w:rPr>
          <w:spacing w:val="-2"/>
        </w:rPr>
        <w:t>financiamiento</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9" w:firstLine="720"/>
        <w:jc w:val="both"/>
      </w:pPr>
      <w:r>
        <w:t>El EBIT (Earnings Before Interest and Taxes) se proyecta en $5,240</w:t>
      </w:r>
      <w:r>
        <w:rPr>
          <w:spacing w:val="-5"/>
        </w:rPr>
        <w:t xml:space="preserve"> </w:t>
      </w:r>
      <w:r>
        <w:t>USD</w:t>
      </w:r>
      <w:r>
        <w:rPr>
          <w:spacing w:val="-5"/>
        </w:rPr>
        <w:t xml:space="preserve"> </w:t>
      </w:r>
      <w:r>
        <w:t>para</w:t>
      </w:r>
      <w:r>
        <w:rPr>
          <w:spacing w:val="-5"/>
        </w:rPr>
        <w:t xml:space="preserve"> </w:t>
      </w:r>
      <w:r>
        <w:t xml:space="preserve">el primer año y crece hasta $31,440 USD en el quinto, reflejando la rentabilidad operativa del negocio. Su cálculo parte de la utilidad bruta, restando los gastos operativos y la </w:t>
      </w:r>
      <w:r>
        <w:rPr>
          <w:spacing w:val="-2"/>
        </w:rPr>
        <w:t>depreciación.</w:t>
      </w:r>
    </w:p>
    <w:p w:rsidR="009B4BB4" w:rsidRDefault="00C44001">
      <w:pPr>
        <w:pStyle w:val="Textoindependiente"/>
        <w:spacing w:line="360" w:lineRule="auto"/>
        <w:ind w:left="425" w:right="604" w:firstLine="720"/>
        <w:jc w:val="both"/>
      </w:pPr>
      <w:r>
        <w:t>Este indicador es clave, ya que permite evaluar la capacidad de Guardiana para cubrir su costo financiero. Aunque la estructura de capital incluye un 30% de deuda fintech con tasas de entre 35% y 40% anual, el margen operativo del modelo permite absorber e</w:t>
      </w:r>
      <w:r>
        <w:t>stos costos sin presionar la rentabilidad. Adicionalmente, el pago</w:t>
      </w:r>
      <w:r>
        <w:rPr>
          <w:spacing w:val="-4"/>
        </w:rPr>
        <w:t xml:space="preserve"> </w:t>
      </w:r>
      <w:r>
        <w:t>de</w:t>
      </w:r>
      <w:r>
        <w:rPr>
          <w:spacing w:val="-4"/>
        </w:rPr>
        <w:t xml:space="preserve"> </w:t>
      </w:r>
      <w:r>
        <w:t>intereses genera un escudo fiscal que reduce la base gravable del ISR, mejorando el flujo de efectivo neto disponible para los accionistas y la reinversión, fortaleciendo la sostenibilid</w:t>
      </w:r>
      <w:r>
        <w:t>ad financiera del modelo.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0"/>
      </w:pPr>
    </w:p>
    <w:p w:rsidR="009B4BB4" w:rsidRDefault="009B4BB4">
      <w:pPr>
        <w:pStyle w:val="Textoindependiente"/>
        <w:spacing w:before="195"/>
      </w:pPr>
    </w:p>
    <w:p w:rsidR="009B4BB4" w:rsidRDefault="00C44001">
      <w:pPr>
        <w:pStyle w:val="Ttulo1"/>
      </w:pPr>
      <w:r>
        <w:rPr>
          <w:spacing w:val="-2"/>
        </w:rPr>
        <w:t>Tabla</w:t>
      </w:r>
      <w:r>
        <w:rPr>
          <w:spacing w:val="-13"/>
        </w:rPr>
        <w:t xml:space="preserve"> </w:t>
      </w:r>
      <w:r>
        <w:rPr>
          <w:spacing w:val="-4"/>
        </w:rPr>
        <w:t>7.12</w:t>
      </w:r>
    </w:p>
    <w:p w:rsidR="009B4BB4" w:rsidRDefault="00C44001">
      <w:pPr>
        <w:spacing w:before="38"/>
        <w:ind w:left="455"/>
        <w:rPr>
          <w:rFonts w:ascii="Arial" w:hAnsi="Arial"/>
          <w:i/>
        </w:rPr>
      </w:pPr>
      <w:r>
        <w:rPr>
          <w:rFonts w:ascii="Arial" w:hAnsi="Arial"/>
          <w:i/>
        </w:rPr>
        <w:t>Flujo</w:t>
      </w:r>
      <w:r>
        <w:rPr>
          <w:rFonts w:ascii="Arial" w:hAnsi="Arial"/>
          <w:i/>
          <w:spacing w:val="-8"/>
        </w:rPr>
        <w:t xml:space="preserve"> </w:t>
      </w:r>
      <w:r>
        <w:rPr>
          <w:rFonts w:ascii="Arial" w:hAnsi="Arial"/>
          <w:i/>
        </w:rPr>
        <w:t>de</w:t>
      </w:r>
      <w:r>
        <w:rPr>
          <w:rFonts w:ascii="Arial" w:hAnsi="Arial"/>
          <w:i/>
          <w:spacing w:val="-6"/>
        </w:rPr>
        <w:t xml:space="preserve"> </w:t>
      </w:r>
      <w:r>
        <w:rPr>
          <w:rFonts w:ascii="Arial" w:hAnsi="Arial"/>
          <w:i/>
        </w:rPr>
        <w:t>caja</w:t>
      </w:r>
      <w:r>
        <w:rPr>
          <w:rFonts w:ascii="Arial" w:hAnsi="Arial"/>
          <w:i/>
          <w:spacing w:val="-6"/>
        </w:rPr>
        <w:t xml:space="preserve"> </w:t>
      </w:r>
      <w:r>
        <w:rPr>
          <w:rFonts w:ascii="Arial" w:hAnsi="Arial"/>
          <w:i/>
        </w:rPr>
        <w:t>libre</w:t>
      </w:r>
      <w:r>
        <w:rPr>
          <w:rFonts w:ascii="Arial" w:hAnsi="Arial"/>
          <w:i/>
          <w:spacing w:val="-6"/>
        </w:rPr>
        <w:t xml:space="preserve"> </w:t>
      </w:r>
      <w:proofErr w:type="gramStart"/>
      <w:r>
        <w:rPr>
          <w:rFonts w:ascii="Arial" w:hAnsi="Arial"/>
          <w:i/>
        </w:rPr>
        <w:t>proyectado</w:t>
      </w:r>
      <w:proofErr w:type="gramEnd"/>
      <w:r>
        <w:rPr>
          <w:rFonts w:ascii="Arial" w:hAnsi="Arial"/>
          <w:i/>
          <w:spacing w:val="-5"/>
        </w:rPr>
        <w:t xml:space="preserve"> </w:t>
      </w:r>
      <w:r>
        <w:rPr>
          <w:rFonts w:ascii="Arial" w:hAnsi="Arial"/>
          <w:i/>
        </w:rPr>
        <w:t>y</w:t>
      </w:r>
      <w:r>
        <w:rPr>
          <w:rFonts w:ascii="Arial" w:hAnsi="Arial"/>
          <w:i/>
          <w:spacing w:val="-6"/>
        </w:rPr>
        <w:t xml:space="preserve"> </w:t>
      </w:r>
      <w:r>
        <w:rPr>
          <w:rFonts w:ascii="Arial" w:hAnsi="Arial"/>
          <w:i/>
        </w:rPr>
        <w:t>recuperación</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la</w:t>
      </w:r>
      <w:r>
        <w:rPr>
          <w:rFonts w:ascii="Arial" w:hAnsi="Arial"/>
          <w:i/>
          <w:spacing w:val="-6"/>
        </w:rPr>
        <w:t xml:space="preserve"> </w:t>
      </w:r>
      <w:r>
        <w:rPr>
          <w:rFonts w:ascii="Arial" w:hAnsi="Arial"/>
          <w:i/>
        </w:rPr>
        <w:t>inversión</w:t>
      </w:r>
      <w:r>
        <w:rPr>
          <w:rFonts w:ascii="Arial" w:hAnsi="Arial"/>
          <w:i/>
          <w:spacing w:val="-5"/>
        </w:rPr>
        <w:t xml:space="preserve"> </w:t>
      </w:r>
      <w:r>
        <w:rPr>
          <w:rFonts w:ascii="Arial" w:hAnsi="Arial"/>
          <w:i/>
        </w:rPr>
        <w:t>(2026-</w:t>
      </w:r>
      <w:r>
        <w:rPr>
          <w:rFonts w:ascii="Arial" w:hAnsi="Arial"/>
          <w:i/>
          <w:spacing w:val="-2"/>
        </w:rPr>
        <w:t>2030)</w:t>
      </w:r>
    </w:p>
    <w:p w:rsidR="009B4BB4" w:rsidRDefault="009B4BB4">
      <w:pPr>
        <w:pStyle w:val="Textoindependiente"/>
        <w:spacing w:before="85"/>
        <w:rPr>
          <w:rFonts w:ascii="Arial"/>
          <w:i/>
          <w:sz w:val="20"/>
        </w:rPr>
      </w:pPr>
    </w:p>
    <w:tbl>
      <w:tblPr>
        <w:tblStyle w:val="TableNormal"/>
        <w:tblW w:w="0" w:type="auto"/>
        <w:tblInd w:w="432" w:type="dxa"/>
        <w:tblLayout w:type="fixed"/>
        <w:tblLook w:val="01E0" w:firstRow="1" w:lastRow="1" w:firstColumn="1" w:lastColumn="1" w:noHBand="0" w:noVBand="0"/>
      </w:tblPr>
      <w:tblGrid>
        <w:gridCol w:w="2898"/>
        <w:gridCol w:w="1044"/>
        <w:gridCol w:w="1093"/>
        <w:gridCol w:w="1028"/>
        <w:gridCol w:w="1006"/>
        <w:gridCol w:w="1006"/>
        <w:gridCol w:w="990"/>
      </w:tblGrid>
      <w:tr w:rsidR="009B4BB4">
        <w:trPr>
          <w:trHeight w:val="379"/>
        </w:trPr>
        <w:tc>
          <w:tcPr>
            <w:tcW w:w="2898" w:type="dxa"/>
            <w:tcBorders>
              <w:top w:val="single" w:sz="8" w:space="0" w:color="000000"/>
              <w:bottom w:val="single" w:sz="8" w:space="0" w:color="000000"/>
            </w:tcBorders>
          </w:tcPr>
          <w:p w:rsidR="009B4BB4" w:rsidRDefault="00C44001">
            <w:pPr>
              <w:pStyle w:val="TableParagraph"/>
              <w:spacing w:before="54"/>
              <w:ind w:left="75"/>
              <w:rPr>
                <w:rFonts w:ascii="Arial"/>
                <w:b/>
              </w:rPr>
            </w:pPr>
            <w:r>
              <w:rPr>
                <w:rFonts w:ascii="Arial"/>
                <w:b/>
                <w:spacing w:val="-2"/>
              </w:rPr>
              <w:t>Concepto</w:t>
            </w:r>
          </w:p>
        </w:tc>
        <w:tc>
          <w:tcPr>
            <w:tcW w:w="1044" w:type="dxa"/>
            <w:tcBorders>
              <w:top w:val="single" w:sz="8" w:space="0" w:color="000000"/>
              <w:bottom w:val="single" w:sz="8" w:space="0" w:color="000000"/>
            </w:tcBorders>
          </w:tcPr>
          <w:p w:rsidR="009B4BB4" w:rsidRDefault="00C44001">
            <w:pPr>
              <w:pStyle w:val="TableParagraph"/>
              <w:spacing w:before="54"/>
              <w:ind w:right="41"/>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0</w:t>
            </w:r>
          </w:p>
        </w:tc>
        <w:tc>
          <w:tcPr>
            <w:tcW w:w="1093" w:type="dxa"/>
            <w:tcBorders>
              <w:top w:val="single" w:sz="8" w:space="0" w:color="000000"/>
              <w:bottom w:val="single" w:sz="8" w:space="0" w:color="000000"/>
            </w:tcBorders>
          </w:tcPr>
          <w:p w:rsidR="009B4BB4" w:rsidRDefault="00C44001">
            <w:pPr>
              <w:pStyle w:val="TableParagraph"/>
              <w:spacing w:before="54"/>
              <w:ind w:left="39"/>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1</w:t>
            </w:r>
          </w:p>
        </w:tc>
        <w:tc>
          <w:tcPr>
            <w:tcW w:w="1028" w:type="dxa"/>
            <w:tcBorders>
              <w:top w:val="single" w:sz="8" w:space="0" w:color="000000"/>
              <w:bottom w:val="single" w:sz="8" w:space="0" w:color="000000"/>
            </w:tcBorders>
          </w:tcPr>
          <w:p w:rsidR="009B4BB4" w:rsidRDefault="00C44001">
            <w:pPr>
              <w:pStyle w:val="TableParagraph"/>
              <w:spacing w:before="54"/>
              <w:ind w:left="18"/>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2</w:t>
            </w:r>
          </w:p>
        </w:tc>
        <w:tc>
          <w:tcPr>
            <w:tcW w:w="1006" w:type="dxa"/>
            <w:tcBorders>
              <w:top w:val="single" w:sz="8" w:space="0" w:color="000000"/>
              <w:bottom w:val="single" w:sz="8" w:space="0" w:color="000000"/>
            </w:tcBorders>
          </w:tcPr>
          <w:p w:rsidR="009B4BB4" w:rsidRDefault="00C44001">
            <w:pPr>
              <w:pStyle w:val="TableParagraph"/>
              <w:spacing w:before="54"/>
              <w:ind w:right="3"/>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3</w:t>
            </w:r>
          </w:p>
        </w:tc>
        <w:tc>
          <w:tcPr>
            <w:tcW w:w="1006" w:type="dxa"/>
            <w:tcBorders>
              <w:top w:val="single" w:sz="8" w:space="0" w:color="000000"/>
              <w:bottom w:val="single" w:sz="8" w:space="0" w:color="000000"/>
            </w:tcBorders>
          </w:tcPr>
          <w:p w:rsidR="009B4BB4" w:rsidRDefault="00C44001">
            <w:pPr>
              <w:pStyle w:val="TableParagraph"/>
              <w:spacing w:before="54"/>
              <w:ind w:right="5"/>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4</w:t>
            </w:r>
          </w:p>
        </w:tc>
        <w:tc>
          <w:tcPr>
            <w:tcW w:w="990" w:type="dxa"/>
            <w:tcBorders>
              <w:top w:val="single" w:sz="8" w:space="0" w:color="000000"/>
              <w:bottom w:val="single" w:sz="8" w:space="0" w:color="000000"/>
            </w:tcBorders>
          </w:tcPr>
          <w:p w:rsidR="009B4BB4" w:rsidRDefault="00C44001">
            <w:pPr>
              <w:pStyle w:val="TableParagraph"/>
              <w:spacing w:before="54"/>
              <w:ind w:left="6"/>
              <w:jc w:val="center"/>
              <w:rPr>
                <w:rFonts w:ascii="Arial" w:hAnsi="Arial"/>
                <w:b/>
              </w:rPr>
            </w:pPr>
            <w:r>
              <w:rPr>
                <w:rFonts w:ascii="Arial" w:hAnsi="Arial"/>
                <w:b/>
              </w:rPr>
              <w:t>Año</w:t>
            </w:r>
            <w:r>
              <w:rPr>
                <w:rFonts w:ascii="Arial" w:hAnsi="Arial"/>
                <w:b/>
                <w:spacing w:val="-5"/>
              </w:rPr>
              <w:t xml:space="preserve"> </w:t>
            </w:r>
            <w:r>
              <w:rPr>
                <w:rFonts w:ascii="Arial" w:hAnsi="Arial"/>
                <w:b/>
                <w:spacing w:val="-10"/>
              </w:rPr>
              <w:t>5</w:t>
            </w:r>
          </w:p>
        </w:tc>
      </w:tr>
      <w:tr w:rsidR="009B4BB4">
        <w:trPr>
          <w:trHeight w:val="370"/>
        </w:trPr>
        <w:tc>
          <w:tcPr>
            <w:tcW w:w="2898" w:type="dxa"/>
            <w:tcBorders>
              <w:top w:val="single" w:sz="8" w:space="0" w:color="000000"/>
            </w:tcBorders>
          </w:tcPr>
          <w:p w:rsidR="009B4BB4" w:rsidRDefault="00C44001">
            <w:pPr>
              <w:pStyle w:val="TableParagraph"/>
              <w:spacing w:before="50"/>
              <w:ind w:left="75"/>
            </w:pPr>
            <w:r>
              <w:t>Ingresos</w:t>
            </w:r>
            <w:r>
              <w:rPr>
                <w:spacing w:val="-8"/>
              </w:rPr>
              <w:t xml:space="preserve"> </w:t>
            </w:r>
            <w:r>
              <w:rPr>
                <w:spacing w:val="-2"/>
              </w:rPr>
              <w:t>Totales</w:t>
            </w:r>
          </w:p>
        </w:tc>
        <w:tc>
          <w:tcPr>
            <w:tcW w:w="1044" w:type="dxa"/>
            <w:tcBorders>
              <w:top w:val="single" w:sz="8" w:space="0" w:color="000000"/>
            </w:tcBorders>
          </w:tcPr>
          <w:p w:rsidR="009B4BB4" w:rsidRDefault="00C44001">
            <w:pPr>
              <w:pStyle w:val="TableParagraph"/>
              <w:spacing w:before="50"/>
              <w:ind w:right="41"/>
              <w:jc w:val="center"/>
            </w:pPr>
            <w:r>
              <w:t>–</w:t>
            </w:r>
          </w:p>
        </w:tc>
        <w:tc>
          <w:tcPr>
            <w:tcW w:w="1093" w:type="dxa"/>
            <w:tcBorders>
              <w:top w:val="single" w:sz="8" w:space="0" w:color="000000"/>
            </w:tcBorders>
          </w:tcPr>
          <w:p w:rsidR="009B4BB4" w:rsidRDefault="00C44001">
            <w:pPr>
              <w:pStyle w:val="TableParagraph"/>
              <w:spacing w:before="50"/>
              <w:ind w:left="39"/>
              <w:jc w:val="center"/>
            </w:pPr>
            <w:r>
              <w:rPr>
                <w:spacing w:val="-2"/>
              </w:rPr>
              <w:t>$13,100</w:t>
            </w:r>
          </w:p>
        </w:tc>
        <w:tc>
          <w:tcPr>
            <w:tcW w:w="1028" w:type="dxa"/>
            <w:tcBorders>
              <w:top w:val="single" w:sz="8" w:space="0" w:color="000000"/>
            </w:tcBorders>
          </w:tcPr>
          <w:p w:rsidR="009B4BB4" w:rsidRDefault="00C44001">
            <w:pPr>
              <w:pStyle w:val="TableParagraph"/>
              <w:spacing w:before="50"/>
              <w:ind w:left="18"/>
              <w:jc w:val="center"/>
            </w:pPr>
            <w:r>
              <w:rPr>
                <w:spacing w:val="-2"/>
              </w:rPr>
              <w:t>$31,440</w:t>
            </w:r>
          </w:p>
        </w:tc>
        <w:tc>
          <w:tcPr>
            <w:tcW w:w="1006" w:type="dxa"/>
            <w:tcBorders>
              <w:top w:val="single" w:sz="8" w:space="0" w:color="000000"/>
            </w:tcBorders>
          </w:tcPr>
          <w:p w:rsidR="009B4BB4" w:rsidRDefault="00C44001">
            <w:pPr>
              <w:pStyle w:val="TableParagraph"/>
              <w:spacing w:before="50"/>
              <w:ind w:right="3"/>
              <w:jc w:val="center"/>
            </w:pPr>
            <w:r>
              <w:rPr>
                <w:spacing w:val="-2"/>
              </w:rPr>
              <w:t>$52,400</w:t>
            </w:r>
          </w:p>
        </w:tc>
        <w:tc>
          <w:tcPr>
            <w:tcW w:w="1006" w:type="dxa"/>
            <w:tcBorders>
              <w:top w:val="single" w:sz="8" w:space="0" w:color="000000"/>
            </w:tcBorders>
          </w:tcPr>
          <w:p w:rsidR="009B4BB4" w:rsidRDefault="00C44001">
            <w:pPr>
              <w:pStyle w:val="TableParagraph"/>
              <w:spacing w:before="50"/>
              <w:ind w:right="5"/>
              <w:jc w:val="center"/>
            </w:pPr>
            <w:r>
              <w:rPr>
                <w:spacing w:val="-2"/>
              </w:rPr>
              <w:t>$65,500</w:t>
            </w:r>
          </w:p>
        </w:tc>
        <w:tc>
          <w:tcPr>
            <w:tcW w:w="990" w:type="dxa"/>
            <w:tcBorders>
              <w:top w:val="single" w:sz="8" w:space="0" w:color="000000"/>
            </w:tcBorders>
          </w:tcPr>
          <w:p w:rsidR="009B4BB4" w:rsidRDefault="00C44001">
            <w:pPr>
              <w:pStyle w:val="TableParagraph"/>
              <w:spacing w:before="50"/>
              <w:ind w:left="6"/>
              <w:jc w:val="center"/>
            </w:pPr>
            <w:r>
              <w:rPr>
                <w:spacing w:val="-2"/>
              </w:rPr>
              <w:t>$78,600</w:t>
            </w:r>
          </w:p>
        </w:tc>
      </w:tr>
      <w:tr w:rsidR="009B4BB4">
        <w:trPr>
          <w:trHeight w:val="380"/>
        </w:trPr>
        <w:tc>
          <w:tcPr>
            <w:tcW w:w="2898" w:type="dxa"/>
          </w:tcPr>
          <w:p w:rsidR="009B4BB4" w:rsidRDefault="00C44001">
            <w:pPr>
              <w:pStyle w:val="TableParagraph"/>
              <w:spacing w:before="60"/>
              <w:ind w:left="75"/>
            </w:pPr>
            <w:r>
              <w:t>EBIT</w:t>
            </w:r>
            <w:r>
              <w:rPr>
                <w:spacing w:val="-4"/>
              </w:rPr>
              <w:t xml:space="preserve"> </w:t>
            </w:r>
            <w:r>
              <w:rPr>
                <w:spacing w:val="-2"/>
              </w:rPr>
              <w:t>(Operativo)</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$5,240</w:t>
            </w:r>
          </w:p>
        </w:tc>
        <w:tc>
          <w:tcPr>
            <w:tcW w:w="1028" w:type="dxa"/>
          </w:tcPr>
          <w:p w:rsidR="009B4BB4" w:rsidRDefault="00C44001">
            <w:pPr>
              <w:pStyle w:val="TableParagraph"/>
              <w:spacing w:before="60"/>
              <w:ind w:left="18"/>
              <w:jc w:val="center"/>
            </w:pPr>
            <w:r>
              <w:rPr>
                <w:spacing w:val="-2"/>
              </w:rPr>
              <w:t>$12,576</w:t>
            </w:r>
          </w:p>
        </w:tc>
        <w:tc>
          <w:tcPr>
            <w:tcW w:w="1006" w:type="dxa"/>
          </w:tcPr>
          <w:p w:rsidR="009B4BB4" w:rsidRDefault="00C44001">
            <w:pPr>
              <w:pStyle w:val="TableParagraph"/>
              <w:spacing w:before="60"/>
              <w:ind w:right="3"/>
              <w:jc w:val="center"/>
            </w:pPr>
            <w:r>
              <w:rPr>
                <w:spacing w:val="-2"/>
              </w:rPr>
              <w:t>$20,960</w:t>
            </w:r>
          </w:p>
        </w:tc>
        <w:tc>
          <w:tcPr>
            <w:tcW w:w="1006" w:type="dxa"/>
          </w:tcPr>
          <w:p w:rsidR="009B4BB4" w:rsidRDefault="00C44001">
            <w:pPr>
              <w:pStyle w:val="TableParagraph"/>
              <w:spacing w:before="60"/>
              <w:ind w:right="5"/>
              <w:jc w:val="center"/>
            </w:pPr>
            <w:r>
              <w:rPr>
                <w:spacing w:val="-2"/>
              </w:rPr>
              <w:t>$26,200</w:t>
            </w:r>
          </w:p>
        </w:tc>
        <w:tc>
          <w:tcPr>
            <w:tcW w:w="990" w:type="dxa"/>
          </w:tcPr>
          <w:p w:rsidR="009B4BB4" w:rsidRDefault="00C44001">
            <w:pPr>
              <w:pStyle w:val="TableParagraph"/>
              <w:spacing w:before="60"/>
              <w:ind w:left="6"/>
              <w:jc w:val="center"/>
            </w:pPr>
            <w:r>
              <w:rPr>
                <w:spacing w:val="-2"/>
              </w:rPr>
              <w:t>$31,440</w:t>
            </w:r>
          </w:p>
        </w:tc>
      </w:tr>
      <w:tr w:rsidR="009B4BB4">
        <w:trPr>
          <w:trHeight w:val="671"/>
        </w:trPr>
        <w:tc>
          <w:tcPr>
            <w:tcW w:w="2898" w:type="dxa"/>
          </w:tcPr>
          <w:p w:rsidR="009B4BB4" w:rsidRDefault="00C44001">
            <w:pPr>
              <w:pStyle w:val="TableParagraph"/>
              <w:spacing w:before="60" w:line="276" w:lineRule="auto"/>
              <w:ind w:left="45" w:firstLine="30"/>
            </w:pPr>
            <w:r>
              <w:t>(-)</w:t>
            </w:r>
            <w:r>
              <w:rPr>
                <w:spacing w:val="-16"/>
              </w:rPr>
              <w:t xml:space="preserve"> </w:t>
            </w:r>
            <w:r>
              <w:t>Gastos</w:t>
            </w:r>
            <w:r>
              <w:rPr>
                <w:spacing w:val="-15"/>
              </w:rPr>
              <w:t xml:space="preserve"> </w:t>
            </w:r>
            <w:r>
              <w:t xml:space="preserve">Financieros </w:t>
            </w:r>
            <w:r>
              <w:rPr>
                <w:spacing w:val="-2"/>
              </w:rPr>
              <w:t>(Intereses)*</w:t>
            </w:r>
          </w:p>
        </w:tc>
        <w:tc>
          <w:tcPr>
            <w:tcW w:w="1044" w:type="dxa"/>
          </w:tcPr>
          <w:p w:rsidR="009B4BB4" w:rsidRDefault="00C44001">
            <w:pPr>
              <w:pStyle w:val="TableParagraph"/>
              <w:spacing w:before="206"/>
              <w:ind w:right="41"/>
              <w:jc w:val="center"/>
            </w:pPr>
            <w:r>
              <w:t>–</w:t>
            </w:r>
          </w:p>
        </w:tc>
        <w:tc>
          <w:tcPr>
            <w:tcW w:w="1093" w:type="dxa"/>
          </w:tcPr>
          <w:p w:rsidR="009B4BB4" w:rsidRDefault="00C44001">
            <w:pPr>
              <w:pStyle w:val="TableParagraph"/>
              <w:spacing w:before="206"/>
              <w:ind w:left="39"/>
              <w:jc w:val="center"/>
            </w:pPr>
            <w:r>
              <w:rPr>
                <w:spacing w:val="-2"/>
              </w:rPr>
              <w:t>-</w:t>
            </w:r>
            <w:r>
              <w:rPr>
                <w:spacing w:val="-5"/>
              </w:rPr>
              <w:t>803</w:t>
            </w:r>
          </w:p>
        </w:tc>
        <w:tc>
          <w:tcPr>
            <w:tcW w:w="1028" w:type="dxa"/>
          </w:tcPr>
          <w:p w:rsidR="009B4BB4" w:rsidRDefault="00C44001">
            <w:pPr>
              <w:pStyle w:val="TableParagraph"/>
              <w:spacing w:before="206"/>
              <w:ind w:left="18"/>
              <w:jc w:val="center"/>
            </w:pPr>
            <w:r>
              <w:rPr>
                <w:spacing w:val="-2"/>
              </w:rPr>
              <w:t>-</w:t>
            </w:r>
            <w:r>
              <w:rPr>
                <w:spacing w:val="-5"/>
              </w:rPr>
              <w:t>640</w:t>
            </w:r>
          </w:p>
        </w:tc>
        <w:tc>
          <w:tcPr>
            <w:tcW w:w="1006" w:type="dxa"/>
          </w:tcPr>
          <w:p w:rsidR="009B4BB4" w:rsidRDefault="00C44001">
            <w:pPr>
              <w:pStyle w:val="TableParagraph"/>
              <w:spacing w:before="206"/>
              <w:ind w:right="3"/>
              <w:jc w:val="center"/>
            </w:pPr>
            <w:r>
              <w:rPr>
                <w:spacing w:val="-2"/>
              </w:rPr>
              <w:t>-</w:t>
            </w:r>
            <w:r>
              <w:rPr>
                <w:spacing w:val="-5"/>
              </w:rPr>
              <w:t>450</w:t>
            </w:r>
          </w:p>
        </w:tc>
        <w:tc>
          <w:tcPr>
            <w:tcW w:w="1006" w:type="dxa"/>
          </w:tcPr>
          <w:p w:rsidR="009B4BB4" w:rsidRDefault="00C44001">
            <w:pPr>
              <w:pStyle w:val="TableParagraph"/>
              <w:spacing w:before="206"/>
              <w:ind w:right="5"/>
              <w:jc w:val="center"/>
            </w:pPr>
            <w:r>
              <w:rPr>
                <w:spacing w:val="-2"/>
              </w:rPr>
              <w:t>-</w:t>
            </w:r>
            <w:r>
              <w:rPr>
                <w:spacing w:val="-5"/>
              </w:rPr>
              <w:t>210</w:t>
            </w:r>
          </w:p>
        </w:tc>
        <w:tc>
          <w:tcPr>
            <w:tcW w:w="990" w:type="dxa"/>
          </w:tcPr>
          <w:p w:rsidR="009B4BB4" w:rsidRDefault="00C44001">
            <w:pPr>
              <w:pStyle w:val="TableParagraph"/>
              <w:spacing w:before="206"/>
              <w:ind w:left="6"/>
              <w:jc w:val="center"/>
            </w:pPr>
            <w:r>
              <w:rPr>
                <w:spacing w:val="-10"/>
              </w:rPr>
              <w:t>0</w:t>
            </w:r>
          </w:p>
        </w:tc>
      </w:tr>
      <w:tr w:rsidR="009B4BB4">
        <w:trPr>
          <w:trHeight w:val="380"/>
        </w:trPr>
        <w:tc>
          <w:tcPr>
            <w:tcW w:w="2898" w:type="dxa"/>
          </w:tcPr>
          <w:p w:rsidR="009B4BB4" w:rsidRDefault="00C44001">
            <w:pPr>
              <w:pStyle w:val="TableParagraph"/>
              <w:spacing w:before="60"/>
              <w:ind w:left="75"/>
            </w:pPr>
            <w:r>
              <w:t>(=)</w:t>
            </w:r>
            <w:r>
              <w:rPr>
                <w:spacing w:val="-4"/>
              </w:rPr>
              <w:t xml:space="preserve"> </w:t>
            </w:r>
            <w:r>
              <w:t>EBT</w:t>
            </w:r>
            <w:r>
              <w:rPr>
                <w:spacing w:val="-4"/>
              </w:rPr>
              <w:t xml:space="preserve"> </w:t>
            </w:r>
            <w:r>
              <w:t>(Base</w:t>
            </w:r>
            <w:r>
              <w:rPr>
                <w:spacing w:val="-3"/>
              </w:rPr>
              <w:t xml:space="preserve"> </w:t>
            </w:r>
            <w:r>
              <w:rPr>
                <w:spacing w:val="-2"/>
              </w:rPr>
              <w:t>Gravable)</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$4,437</w:t>
            </w:r>
          </w:p>
        </w:tc>
        <w:tc>
          <w:tcPr>
            <w:tcW w:w="1028" w:type="dxa"/>
          </w:tcPr>
          <w:p w:rsidR="009B4BB4" w:rsidRDefault="00C44001">
            <w:pPr>
              <w:pStyle w:val="TableParagraph"/>
              <w:spacing w:before="60"/>
              <w:ind w:left="18"/>
              <w:jc w:val="center"/>
            </w:pPr>
            <w:r>
              <w:rPr>
                <w:spacing w:val="-2"/>
              </w:rPr>
              <w:t>$11,936</w:t>
            </w:r>
          </w:p>
        </w:tc>
        <w:tc>
          <w:tcPr>
            <w:tcW w:w="1006" w:type="dxa"/>
          </w:tcPr>
          <w:p w:rsidR="009B4BB4" w:rsidRDefault="00C44001">
            <w:pPr>
              <w:pStyle w:val="TableParagraph"/>
              <w:spacing w:before="60"/>
              <w:ind w:right="3"/>
              <w:jc w:val="center"/>
            </w:pPr>
            <w:r>
              <w:rPr>
                <w:spacing w:val="-2"/>
              </w:rPr>
              <w:t>$20,510</w:t>
            </w:r>
          </w:p>
        </w:tc>
        <w:tc>
          <w:tcPr>
            <w:tcW w:w="1006" w:type="dxa"/>
          </w:tcPr>
          <w:p w:rsidR="009B4BB4" w:rsidRDefault="00C44001">
            <w:pPr>
              <w:pStyle w:val="TableParagraph"/>
              <w:spacing w:before="60"/>
              <w:ind w:right="5"/>
              <w:jc w:val="center"/>
            </w:pPr>
            <w:r>
              <w:rPr>
                <w:spacing w:val="-2"/>
              </w:rPr>
              <w:t>$25,990</w:t>
            </w:r>
          </w:p>
        </w:tc>
        <w:tc>
          <w:tcPr>
            <w:tcW w:w="990" w:type="dxa"/>
          </w:tcPr>
          <w:p w:rsidR="009B4BB4" w:rsidRDefault="00C44001">
            <w:pPr>
              <w:pStyle w:val="TableParagraph"/>
              <w:spacing w:before="60"/>
              <w:ind w:left="6"/>
              <w:jc w:val="center"/>
            </w:pPr>
            <w:r>
              <w:rPr>
                <w:spacing w:val="-2"/>
              </w:rPr>
              <w:t>$31,440</w:t>
            </w:r>
          </w:p>
        </w:tc>
      </w:tr>
      <w:tr w:rsidR="009B4BB4">
        <w:trPr>
          <w:trHeight w:val="380"/>
        </w:trPr>
        <w:tc>
          <w:tcPr>
            <w:tcW w:w="2898" w:type="dxa"/>
          </w:tcPr>
          <w:p w:rsidR="009B4BB4" w:rsidRDefault="00C44001">
            <w:pPr>
              <w:pStyle w:val="TableParagraph"/>
              <w:spacing w:before="60"/>
              <w:ind w:left="75"/>
            </w:pPr>
            <w:r>
              <w:t>(-)</w:t>
            </w:r>
            <w:r>
              <w:rPr>
                <w:spacing w:val="-6"/>
              </w:rPr>
              <w:t xml:space="preserve"> </w:t>
            </w:r>
            <w:r>
              <w:t>Impuestos</w:t>
            </w:r>
            <w:r>
              <w:rPr>
                <w:spacing w:val="-5"/>
              </w:rPr>
              <w:t xml:space="preserve"> </w:t>
            </w:r>
            <w:r>
              <w:t>(30%</w:t>
            </w:r>
            <w:r>
              <w:rPr>
                <w:spacing w:val="-5"/>
              </w:rPr>
              <w:t xml:space="preserve"> </w:t>
            </w:r>
            <w:r>
              <w:rPr>
                <w:spacing w:val="-2"/>
              </w:rPr>
              <w:t>est.)</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-1,331</w:t>
            </w:r>
          </w:p>
        </w:tc>
        <w:tc>
          <w:tcPr>
            <w:tcW w:w="1028" w:type="dxa"/>
          </w:tcPr>
          <w:p w:rsidR="009B4BB4" w:rsidRDefault="00C44001">
            <w:pPr>
              <w:pStyle w:val="TableParagraph"/>
              <w:spacing w:before="60"/>
              <w:ind w:left="18"/>
              <w:jc w:val="center"/>
            </w:pPr>
            <w:r>
              <w:rPr>
                <w:spacing w:val="-2"/>
              </w:rPr>
              <w:t>-3,581</w:t>
            </w:r>
          </w:p>
        </w:tc>
        <w:tc>
          <w:tcPr>
            <w:tcW w:w="1006" w:type="dxa"/>
          </w:tcPr>
          <w:p w:rsidR="009B4BB4" w:rsidRDefault="00C44001">
            <w:pPr>
              <w:pStyle w:val="TableParagraph"/>
              <w:spacing w:before="60"/>
              <w:ind w:right="3"/>
              <w:jc w:val="center"/>
            </w:pPr>
            <w:r>
              <w:rPr>
                <w:spacing w:val="-2"/>
              </w:rPr>
              <w:t>-6,153</w:t>
            </w:r>
          </w:p>
        </w:tc>
        <w:tc>
          <w:tcPr>
            <w:tcW w:w="1006" w:type="dxa"/>
          </w:tcPr>
          <w:p w:rsidR="009B4BB4" w:rsidRDefault="00C44001">
            <w:pPr>
              <w:pStyle w:val="TableParagraph"/>
              <w:spacing w:before="60"/>
              <w:ind w:right="5"/>
              <w:jc w:val="center"/>
            </w:pPr>
            <w:r>
              <w:rPr>
                <w:spacing w:val="-2"/>
              </w:rPr>
              <w:t>-7,797</w:t>
            </w:r>
          </w:p>
        </w:tc>
        <w:tc>
          <w:tcPr>
            <w:tcW w:w="990" w:type="dxa"/>
          </w:tcPr>
          <w:p w:rsidR="009B4BB4" w:rsidRDefault="00C44001">
            <w:pPr>
              <w:pStyle w:val="TableParagraph"/>
              <w:spacing w:before="60"/>
              <w:ind w:left="6"/>
              <w:jc w:val="center"/>
            </w:pPr>
            <w:r>
              <w:rPr>
                <w:spacing w:val="-2"/>
              </w:rPr>
              <w:t>-9,432</w:t>
            </w:r>
          </w:p>
        </w:tc>
      </w:tr>
      <w:tr w:rsidR="009B4BB4">
        <w:trPr>
          <w:trHeight w:val="380"/>
        </w:trPr>
        <w:tc>
          <w:tcPr>
            <w:tcW w:w="2898" w:type="dxa"/>
          </w:tcPr>
          <w:p w:rsidR="009B4BB4" w:rsidRDefault="00C44001">
            <w:pPr>
              <w:pStyle w:val="TableParagraph"/>
              <w:spacing w:before="60"/>
              <w:ind w:left="75"/>
            </w:pPr>
            <w:r>
              <w:t>(=)</w:t>
            </w:r>
            <w:r>
              <w:rPr>
                <w:spacing w:val="-12"/>
              </w:rPr>
              <w:t xml:space="preserve"> </w:t>
            </w:r>
            <w:r>
              <w:t>Utilidad</w:t>
            </w:r>
            <w:r>
              <w:rPr>
                <w:spacing w:val="-11"/>
              </w:rPr>
              <w:t xml:space="preserve"> </w:t>
            </w:r>
            <w:r>
              <w:t>Neta</w:t>
            </w:r>
            <w:r>
              <w:rPr>
                <w:spacing w:val="-11"/>
              </w:rPr>
              <w:t xml:space="preserve"> </w:t>
            </w:r>
            <w:r>
              <w:t>(Tabla</w:t>
            </w:r>
            <w:r>
              <w:rPr>
                <w:spacing w:val="-11"/>
              </w:rPr>
              <w:t xml:space="preserve"> </w:t>
            </w:r>
            <w:r>
              <w:rPr>
                <w:spacing w:val="-4"/>
              </w:rPr>
              <w:t>7.9)</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$3,106</w:t>
            </w:r>
          </w:p>
        </w:tc>
        <w:tc>
          <w:tcPr>
            <w:tcW w:w="1028" w:type="dxa"/>
          </w:tcPr>
          <w:p w:rsidR="009B4BB4" w:rsidRDefault="00C44001">
            <w:pPr>
              <w:pStyle w:val="TableParagraph"/>
              <w:spacing w:before="60"/>
              <w:ind w:left="18"/>
              <w:jc w:val="center"/>
            </w:pPr>
            <w:r>
              <w:rPr>
                <w:spacing w:val="-2"/>
              </w:rPr>
              <w:t>8,355</w:t>
            </w:r>
          </w:p>
        </w:tc>
        <w:tc>
          <w:tcPr>
            <w:tcW w:w="1006" w:type="dxa"/>
          </w:tcPr>
          <w:p w:rsidR="009B4BB4" w:rsidRDefault="00C44001">
            <w:pPr>
              <w:pStyle w:val="TableParagraph"/>
              <w:spacing w:before="60"/>
              <w:ind w:right="3"/>
              <w:jc w:val="center"/>
            </w:pPr>
            <w:r>
              <w:rPr>
                <w:spacing w:val="-2"/>
              </w:rPr>
              <w:t>14,357</w:t>
            </w:r>
          </w:p>
        </w:tc>
        <w:tc>
          <w:tcPr>
            <w:tcW w:w="1006" w:type="dxa"/>
          </w:tcPr>
          <w:p w:rsidR="009B4BB4" w:rsidRDefault="00C44001">
            <w:pPr>
              <w:pStyle w:val="TableParagraph"/>
              <w:spacing w:before="60"/>
              <w:ind w:right="5"/>
              <w:jc w:val="center"/>
            </w:pPr>
            <w:r>
              <w:rPr>
                <w:spacing w:val="-2"/>
              </w:rPr>
              <w:t>$18,193</w:t>
            </w:r>
          </w:p>
        </w:tc>
        <w:tc>
          <w:tcPr>
            <w:tcW w:w="990" w:type="dxa"/>
          </w:tcPr>
          <w:p w:rsidR="009B4BB4" w:rsidRDefault="00C44001">
            <w:pPr>
              <w:pStyle w:val="TableParagraph"/>
              <w:spacing w:before="60"/>
              <w:ind w:left="6"/>
              <w:jc w:val="center"/>
            </w:pPr>
            <w:r>
              <w:rPr>
                <w:spacing w:val="-2"/>
              </w:rPr>
              <w:t>$22,008</w:t>
            </w:r>
          </w:p>
        </w:tc>
      </w:tr>
      <w:tr w:rsidR="009B4BB4">
        <w:trPr>
          <w:trHeight w:val="381"/>
        </w:trPr>
        <w:tc>
          <w:tcPr>
            <w:tcW w:w="2898" w:type="dxa"/>
          </w:tcPr>
          <w:p w:rsidR="009B4BB4" w:rsidRDefault="00C44001">
            <w:pPr>
              <w:pStyle w:val="TableParagraph"/>
              <w:spacing w:before="60"/>
              <w:ind w:left="75"/>
            </w:pPr>
            <w:r>
              <w:t>(+)</w:t>
            </w:r>
            <w:r>
              <w:rPr>
                <w:spacing w:val="-3"/>
              </w:rPr>
              <w:t xml:space="preserve"> </w:t>
            </w:r>
            <w:r>
              <w:rPr>
                <w:spacing w:val="-2"/>
              </w:rPr>
              <w:t>Depreciación</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4"/>
              </w:rPr>
              <w:t>$300</w:t>
            </w:r>
          </w:p>
        </w:tc>
        <w:tc>
          <w:tcPr>
            <w:tcW w:w="1028" w:type="dxa"/>
          </w:tcPr>
          <w:p w:rsidR="009B4BB4" w:rsidRDefault="00C44001">
            <w:pPr>
              <w:pStyle w:val="TableParagraph"/>
              <w:spacing w:before="60"/>
              <w:ind w:left="18"/>
              <w:jc w:val="center"/>
            </w:pPr>
            <w:r>
              <w:rPr>
                <w:spacing w:val="-4"/>
              </w:rPr>
              <w:t>$300</w:t>
            </w:r>
          </w:p>
        </w:tc>
        <w:tc>
          <w:tcPr>
            <w:tcW w:w="1006" w:type="dxa"/>
          </w:tcPr>
          <w:p w:rsidR="009B4BB4" w:rsidRDefault="00C44001">
            <w:pPr>
              <w:pStyle w:val="TableParagraph"/>
              <w:spacing w:before="60"/>
              <w:ind w:right="3"/>
              <w:jc w:val="center"/>
            </w:pPr>
            <w:r>
              <w:rPr>
                <w:spacing w:val="-4"/>
              </w:rPr>
              <w:t>$300</w:t>
            </w:r>
          </w:p>
        </w:tc>
        <w:tc>
          <w:tcPr>
            <w:tcW w:w="1006" w:type="dxa"/>
          </w:tcPr>
          <w:p w:rsidR="009B4BB4" w:rsidRDefault="00C44001">
            <w:pPr>
              <w:pStyle w:val="TableParagraph"/>
              <w:spacing w:before="60"/>
              <w:ind w:right="5"/>
              <w:jc w:val="center"/>
            </w:pPr>
            <w:r>
              <w:rPr>
                <w:spacing w:val="-4"/>
              </w:rPr>
              <w:t>$300</w:t>
            </w:r>
          </w:p>
        </w:tc>
        <w:tc>
          <w:tcPr>
            <w:tcW w:w="990" w:type="dxa"/>
          </w:tcPr>
          <w:p w:rsidR="009B4BB4" w:rsidRDefault="00C44001">
            <w:pPr>
              <w:pStyle w:val="TableParagraph"/>
              <w:spacing w:before="60"/>
              <w:ind w:left="6"/>
              <w:jc w:val="center"/>
            </w:pPr>
            <w:r>
              <w:rPr>
                <w:spacing w:val="-4"/>
              </w:rPr>
              <w:t>$300</w:t>
            </w:r>
          </w:p>
        </w:tc>
      </w:tr>
      <w:tr w:rsidR="009B4BB4">
        <w:trPr>
          <w:trHeight w:val="380"/>
        </w:trPr>
        <w:tc>
          <w:tcPr>
            <w:tcW w:w="2898" w:type="dxa"/>
          </w:tcPr>
          <w:p w:rsidR="009B4BB4" w:rsidRDefault="00C44001">
            <w:pPr>
              <w:pStyle w:val="TableParagraph"/>
              <w:spacing w:before="60"/>
              <w:ind w:left="75"/>
            </w:pPr>
            <w:r>
              <w:t>Flujo</w:t>
            </w:r>
            <w:r>
              <w:rPr>
                <w:spacing w:val="-9"/>
              </w:rPr>
              <w:t xml:space="preserve"> </w:t>
            </w:r>
            <w:r>
              <w:t>Operativo</w:t>
            </w:r>
            <w:r>
              <w:rPr>
                <w:spacing w:val="-7"/>
              </w:rPr>
              <w:t xml:space="preserve"> </w:t>
            </w:r>
            <w:r>
              <w:rPr>
                <w:spacing w:val="-2"/>
              </w:rPr>
              <w:t>Bruto</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3,406</w:t>
            </w:r>
          </w:p>
        </w:tc>
        <w:tc>
          <w:tcPr>
            <w:tcW w:w="1028" w:type="dxa"/>
          </w:tcPr>
          <w:p w:rsidR="009B4BB4" w:rsidRDefault="00C44001">
            <w:pPr>
              <w:pStyle w:val="TableParagraph"/>
              <w:spacing w:before="60"/>
              <w:ind w:left="18"/>
              <w:jc w:val="center"/>
            </w:pPr>
            <w:r>
              <w:rPr>
                <w:spacing w:val="-2"/>
              </w:rPr>
              <w:t>8,655</w:t>
            </w:r>
          </w:p>
        </w:tc>
        <w:tc>
          <w:tcPr>
            <w:tcW w:w="1006" w:type="dxa"/>
          </w:tcPr>
          <w:p w:rsidR="009B4BB4" w:rsidRDefault="00C44001">
            <w:pPr>
              <w:pStyle w:val="TableParagraph"/>
              <w:spacing w:before="60"/>
              <w:ind w:right="3"/>
              <w:jc w:val="center"/>
            </w:pPr>
            <w:r>
              <w:rPr>
                <w:spacing w:val="-2"/>
              </w:rPr>
              <w:t>14,657</w:t>
            </w:r>
          </w:p>
        </w:tc>
        <w:tc>
          <w:tcPr>
            <w:tcW w:w="1006" w:type="dxa"/>
          </w:tcPr>
          <w:p w:rsidR="009B4BB4" w:rsidRDefault="00C44001">
            <w:pPr>
              <w:pStyle w:val="TableParagraph"/>
              <w:spacing w:before="60"/>
              <w:ind w:right="5"/>
              <w:jc w:val="center"/>
            </w:pPr>
            <w:r>
              <w:rPr>
                <w:spacing w:val="-2"/>
              </w:rPr>
              <w:t>18,493</w:t>
            </w:r>
          </w:p>
        </w:tc>
        <w:tc>
          <w:tcPr>
            <w:tcW w:w="990" w:type="dxa"/>
          </w:tcPr>
          <w:p w:rsidR="009B4BB4" w:rsidRDefault="00C44001">
            <w:pPr>
              <w:pStyle w:val="TableParagraph"/>
              <w:spacing w:before="60"/>
              <w:ind w:left="6"/>
              <w:jc w:val="center"/>
            </w:pPr>
            <w:r>
              <w:rPr>
                <w:spacing w:val="-2"/>
              </w:rPr>
              <w:t>22,308</w:t>
            </w:r>
          </w:p>
        </w:tc>
      </w:tr>
      <w:tr w:rsidR="009B4BB4">
        <w:trPr>
          <w:trHeight w:val="380"/>
        </w:trPr>
        <w:tc>
          <w:tcPr>
            <w:tcW w:w="2898" w:type="dxa"/>
          </w:tcPr>
          <w:p w:rsidR="009B4BB4" w:rsidRDefault="00C44001">
            <w:pPr>
              <w:pStyle w:val="TableParagraph"/>
              <w:spacing w:before="60"/>
              <w:ind w:left="75"/>
            </w:pPr>
            <w:r>
              <w:rPr>
                <w:spacing w:val="-6"/>
              </w:rPr>
              <w:t>(Δ)</w:t>
            </w:r>
            <w:r>
              <w:rPr>
                <w:spacing w:val="-5"/>
              </w:rPr>
              <w:t xml:space="preserve"> </w:t>
            </w:r>
            <w:r>
              <w:rPr>
                <w:spacing w:val="-6"/>
              </w:rPr>
              <w:t>Capital</w:t>
            </w:r>
            <w:r>
              <w:rPr>
                <w:spacing w:val="-5"/>
              </w:rPr>
              <w:t xml:space="preserve"> </w:t>
            </w:r>
            <w:r>
              <w:rPr>
                <w:spacing w:val="-6"/>
              </w:rPr>
              <w:t>de</w:t>
            </w:r>
            <w:r>
              <w:rPr>
                <w:spacing w:val="-5"/>
              </w:rPr>
              <w:t xml:space="preserve"> </w:t>
            </w:r>
            <w:r>
              <w:rPr>
                <w:spacing w:val="-6"/>
              </w:rPr>
              <w:t>Trabajo</w:t>
            </w:r>
          </w:p>
        </w:tc>
        <w:tc>
          <w:tcPr>
            <w:tcW w:w="1044" w:type="dxa"/>
          </w:tcPr>
          <w:p w:rsidR="009B4BB4" w:rsidRDefault="00C44001">
            <w:pPr>
              <w:pStyle w:val="TableParagraph"/>
              <w:spacing w:before="60"/>
              <w:ind w:right="41"/>
              <w:jc w:val="center"/>
            </w:pPr>
            <w:r>
              <w:t>–</w:t>
            </w:r>
          </w:p>
        </w:tc>
        <w:tc>
          <w:tcPr>
            <w:tcW w:w="1093" w:type="dxa"/>
          </w:tcPr>
          <w:p w:rsidR="009B4BB4" w:rsidRDefault="00C44001">
            <w:pPr>
              <w:pStyle w:val="TableParagraph"/>
              <w:spacing w:before="60"/>
              <w:ind w:left="39"/>
              <w:jc w:val="center"/>
            </w:pPr>
            <w:r>
              <w:rPr>
                <w:spacing w:val="-2"/>
              </w:rPr>
              <w:t>-</w:t>
            </w:r>
            <w:r>
              <w:rPr>
                <w:spacing w:val="-5"/>
              </w:rPr>
              <w:t>800</w:t>
            </w:r>
          </w:p>
        </w:tc>
        <w:tc>
          <w:tcPr>
            <w:tcW w:w="1028" w:type="dxa"/>
          </w:tcPr>
          <w:p w:rsidR="009B4BB4" w:rsidRDefault="00C44001">
            <w:pPr>
              <w:pStyle w:val="TableParagraph"/>
              <w:spacing w:before="60"/>
              <w:ind w:left="18"/>
              <w:jc w:val="center"/>
            </w:pPr>
            <w:r>
              <w:rPr>
                <w:spacing w:val="-2"/>
              </w:rPr>
              <w:t>-1,200</w:t>
            </w:r>
          </w:p>
        </w:tc>
        <w:tc>
          <w:tcPr>
            <w:tcW w:w="1006" w:type="dxa"/>
          </w:tcPr>
          <w:p w:rsidR="009B4BB4" w:rsidRDefault="00C44001">
            <w:pPr>
              <w:pStyle w:val="TableParagraph"/>
              <w:spacing w:before="60"/>
              <w:ind w:right="3"/>
              <w:jc w:val="center"/>
            </w:pPr>
            <w:r>
              <w:rPr>
                <w:spacing w:val="-2"/>
              </w:rPr>
              <w:t>-1,500</w:t>
            </w:r>
          </w:p>
        </w:tc>
        <w:tc>
          <w:tcPr>
            <w:tcW w:w="1006" w:type="dxa"/>
          </w:tcPr>
          <w:p w:rsidR="009B4BB4" w:rsidRDefault="00C44001">
            <w:pPr>
              <w:pStyle w:val="TableParagraph"/>
              <w:spacing w:before="60"/>
              <w:ind w:right="5"/>
              <w:jc w:val="center"/>
            </w:pPr>
            <w:r>
              <w:rPr>
                <w:spacing w:val="-2"/>
              </w:rPr>
              <w:t>-</w:t>
            </w:r>
            <w:r>
              <w:rPr>
                <w:spacing w:val="-5"/>
              </w:rPr>
              <w:t>800</w:t>
            </w:r>
          </w:p>
        </w:tc>
        <w:tc>
          <w:tcPr>
            <w:tcW w:w="990" w:type="dxa"/>
          </w:tcPr>
          <w:p w:rsidR="009B4BB4" w:rsidRDefault="00C44001">
            <w:pPr>
              <w:pStyle w:val="TableParagraph"/>
              <w:spacing w:before="60"/>
              <w:ind w:left="6"/>
              <w:jc w:val="center"/>
            </w:pPr>
            <w:r>
              <w:rPr>
                <w:spacing w:val="-2"/>
              </w:rPr>
              <w:t>-</w:t>
            </w:r>
            <w:r>
              <w:rPr>
                <w:spacing w:val="-5"/>
              </w:rPr>
              <w:t>500</w:t>
            </w:r>
          </w:p>
        </w:tc>
      </w:tr>
      <w:tr w:rsidR="009B4BB4">
        <w:trPr>
          <w:trHeight w:val="381"/>
        </w:trPr>
        <w:tc>
          <w:tcPr>
            <w:tcW w:w="2898" w:type="dxa"/>
          </w:tcPr>
          <w:p w:rsidR="009B4BB4" w:rsidRDefault="00C44001">
            <w:pPr>
              <w:pStyle w:val="TableParagraph"/>
              <w:spacing w:before="60"/>
              <w:ind w:left="75"/>
            </w:pPr>
            <w:r>
              <w:t>(-)</w:t>
            </w:r>
            <w:r>
              <w:rPr>
                <w:spacing w:val="-4"/>
              </w:rPr>
              <w:t xml:space="preserve"> </w:t>
            </w:r>
            <w:r>
              <w:t>CAPEX</w:t>
            </w:r>
            <w:r>
              <w:rPr>
                <w:spacing w:val="-4"/>
              </w:rPr>
              <w:t xml:space="preserve"> </w:t>
            </w:r>
            <w:r>
              <w:rPr>
                <w:spacing w:val="-2"/>
              </w:rPr>
              <w:t>(Inversión)</w:t>
            </w:r>
          </w:p>
        </w:tc>
        <w:tc>
          <w:tcPr>
            <w:tcW w:w="1044" w:type="dxa"/>
          </w:tcPr>
          <w:p w:rsidR="009B4BB4" w:rsidRDefault="00C44001">
            <w:pPr>
              <w:pStyle w:val="TableParagraph"/>
              <w:spacing w:before="60"/>
              <w:ind w:right="41"/>
              <w:jc w:val="center"/>
            </w:pPr>
            <w:r>
              <w:rPr>
                <w:spacing w:val="-2"/>
              </w:rPr>
              <w:t>-$7,650</w:t>
            </w:r>
          </w:p>
        </w:tc>
        <w:tc>
          <w:tcPr>
            <w:tcW w:w="1093" w:type="dxa"/>
          </w:tcPr>
          <w:p w:rsidR="009B4BB4" w:rsidRDefault="00C44001">
            <w:pPr>
              <w:pStyle w:val="TableParagraph"/>
              <w:spacing w:before="60"/>
              <w:ind w:left="39"/>
              <w:jc w:val="center"/>
            </w:pPr>
            <w:r>
              <w:rPr>
                <w:spacing w:val="-5"/>
              </w:rPr>
              <w:t>$0</w:t>
            </w:r>
          </w:p>
        </w:tc>
        <w:tc>
          <w:tcPr>
            <w:tcW w:w="1028" w:type="dxa"/>
          </w:tcPr>
          <w:p w:rsidR="009B4BB4" w:rsidRDefault="00C44001">
            <w:pPr>
              <w:pStyle w:val="TableParagraph"/>
              <w:spacing w:before="60"/>
              <w:ind w:left="18"/>
              <w:jc w:val="center"/>
            </w:pPr>
            <w:r>
              <w:rPr>
                <w:spacing w:val="-2"/>
              </w:rPr>
              <w:t>-</w:t>
            </w:r>
            <w:r>
              <w:rPr>
                <w:spacing w:val="-4"/>
              </w:rPr>
              <w:t>$500</w:t>
            </w:r>
          </w:p>
        </w:tc>
        <w:tc>
          <w:tcPr>
            <w:tcW w:w="1006" w:type="dxa"/>
          </w:tcPr>
          <w:p w:rsidR="009B4BB4" w:rsidRDefault="00C44001">
            <w:pPr>
              <w:pStyle w:val="TableParagraph"/>
              <w:spacing w:before="60"/>
              <w:ind w:right="3"/>
              <w:jc w:val="center"/>
            </w:pPr>
            <w:r>
              <w:rPr>
                <w:spacing w:val="-2"/>
              </w:rPr>
              <w:t>-</w:t>
            </w:r>
            <w:r>
              <w:rPr>
                <w:spacing w:val="-4"/>
              </w:rPr>
              <w:t>$500</w:t>
            </w:r>
          </w:p>
        </w:tc>
        <w:tc>
          <w:tcPr>
            <w:tcW w:w="1006" w:type="dxa"/>
          </w:tcPr>
          <w:p w:rsidR="009B4BB4" w:rsidRDefault="00C44001">
            <w:pPr>
              <w:pStyle w:val="TableParagraph"/>
              <w:spacing w:before="60"/>
              <w:ind w:right="5"/>
              <w:jc w:val="center"/>
            </w:pPr>
            <w:r>
              <w:rPr>
                <w:spacing w:val="-2"/>
              </w:rPr>
              <w:t>-</w:t>
            </w:r>
            <w:r>
              <w:rPr>
                <w:spacing w:val="-4"/>
              </w:rPr>
              <w:t>$500</w:t>
            </w:r>
          </w:p>
        </w:tc>
        <w:tc>
          <w:tcPr>
            <w:tcW w:w="990" w:type="dxa"/>
          </w:tcPr>
          <w:p w:rsidR="009B4BB4" w:rsidRDefault="00C44001">
            <w:pPr>
              <w:pStyle w:val="TableParagraph"/>
              <w:spacing w:before="60"/>
              <w:ind w:left="6"/>
              <w:jc w:val="center"/>
            </w:pPr>
            <w:r>
              <w:rPr>
                <w:spacing w:val="-2"/>
              </w:rPr>
              <w:t>-</w:t>
            </w:r>
            <w:r>
              <w:rPr>
                <w:spacing w:val="-4"/>
              </w:rPr>
              <w:t>$500</w:t>
            </w:r>
          </w:p>
        </w:tc>
      </w:tr>
      <w:tr w:rsidR="009B4BB4">
        <w:trPr>
          <w:trHeight w:val="390"/>
        </w:trPr>
        <w:tc>
          <w:tcPr>
            <w:tcW w:w="2898" w:type="dxa"/>
            <w:tcBorders>
              <w:bottom w:val="single" w:sz="8" w:space="0" w:color="000000"/>
            </w:tcBorders>
          </w:tcPr>
          <w:p w:rsidR="009B4BB4" w:rsidRDefault="00C44001">
            <w:pPr>
              <w:pStyle w:val="TableParagraph"/>
              <w:spacing w:before="60"/>
              <w:ind w:left="75"/>
            </w:pPr>
            <w:r>
              <w:t>Free</w:t>
            </w:r>
            <w:r>
              <w:rPr>
                <w:spacing w:val="-4"/>
              </w:rPr>
              <w:t xml:space="preserve"> </w:t>
            </w:r>
            <w:r>
              <w:t>Cash</w:t>
            </w:r>
            <w:r>
              <w:rPr>
                <w:spacing w:val="-4"/>
              </w:rPr>
              <w:t xml:space="preserve"> </w:t>
            </w:r>
            <w:r>
              <w:t>Flow</w:t>
            </w:r>
            <w:r>
              <w:rPr>
                <w:spacing w:val="-4"/>
              </w:rPr>
              <w:t xml:space="preserve"> </w:t>
            </w:r>
            <w:r>
              <w:rPr>
                <w:spacing w:val="-2"/>
              </w:rPr>
              <w:t>(FCF)</w:t>
            </w:r>
          </w:p>
        </w:tc>
        <w:tc>
          <w:tcPr>
            <w:tcW w:w="1044" w:type="dxa"/>
            <w:tcBorders>
              <w:bottom w:val="single" w:sz="8" w:space="0" w:color="000000"/>
            </w:tcBorders>
          </w:tcPr>
          <w:p w:rsidR="009B4BB4" w:rsidRDefault="00C44001">
            <w:pPr>
              <w:pStyle w:val="TableParagraph"/>
              <w:spacing w:before="60"/>
              <w:ind w:right="41"/>
              <w:jc w:val="center"/>
            </w:pPr>
            <w:r>
              <w:rPr>
                <w:spacing w:val="-2"/>
              </w:rPr>
              <w:t>-$7,650</w:t>
            </w:r>
          </w:p>
        </w:tc>
        <w:tc>
          <w:tcPr>
            <w:tcW w:w="1093" w:type="dxa"/>
            <w:tcBorders>
              <w:bottom w:val="single" w:sz="8" w:space="0" w:color="000000"/>
            </w:tcBorders>
          </w:tcPr>
          <w:p w:rsidR="009B4BB4" w:rsidRDefault="00C44001">
            <w:pPr>
              <w:pStyle w:val="TableParagraph"/>
              <w:spacing w:before="60"/>
              <w:ind w:left="39"/>
              <w:jc w:val="center"/>
            </w:pPr>
            <w:r>
              <w:rPr>
                <w:spacing w:val="-2"/>
              </w:rPr>
              <w:t>$2,606</w:t>
            </w:r>
          </w:p>
        </w:tc>
        <w:tc>
          <w:tcPr>
            <w:tcW w:w="1028" w:type="dxa"/>
            <w:tcBorders>
              <w:bottom w:val="single" w:sz="8" w:space="0" w:color="000000"/>
            </w:tcBorders>
          </w:tcPr>
          <w:p w:rsidR="009B4BB4" w:rsidRDefault="00C44001">
            <w:pPr>
              <w:pStyle w:val="TableParagraph"/>
              <w:spacing w:before="60"/>
              <w:ind w:left="18"/>
              <w:jc w:val="center"/>
            </w:pPr>
            <w:r>
              <w:rPr>
                <w:spacing w:val="-2"/>
              </w:rPr>
              <w:t>$6,955</w:t>
            </w:r>
          </w:p>
        </w:tc>
        <w:tc>
          <w:tcPr>
            <w:tcW w:w="1006" w:type="dxa"/>
            <w:tcBorders>
              <w:bottom w:val="single" w:sz="8" w:space="0" w:color="000000"/>
            </w:tcBorders>
          </w:tcPr>
          <w:p w:rsidR="009B4BB4" w:rsidRDefault="00C44001">
            <w:pPr>
              <w:pStyle w:val="TableParagraph"/>
              <w:spacing w:before="60"/>
              <w:ind w:right="3"/>
              <w:jc w:val="center"/>
            </w:pPr>
            <w:r>
              <w:rPr>
                <w:spacing w:val="-2"/>
              </w:rPr>
              <w:t>$12,657</w:t>
            </w:r>
          </w:p>
        </w:tc>
        <w:tc>
          <w:tcPr>
            <w:tcW w:w="1006" w:type="dxa"/>
            <w:tcBorders>
              <w:bottom w:val="single" w:sz="8" w:space="0" w:color="000000"/>
            </w:tcBorders>
          </w:tcPr>
          <w:p w:rsidR="009B4BB4" w:rsidRDefault="00C44001">
            <w:pPr>
              <w:pStyle w:val="TableParagraph"/>
              <w:spacing w:before="60"/>
              <w:ind w:right="5"/>
              <w:jc w:val="center"/>
            </w:pPr>
            <w:r>
              <w:rPr>
                <w:spacing w:val="-2"/>
              </w:rPr>
              <w:t>$17,193</w:t>
            </w:r>
          </w:p>
        </w:tc>
        <w:tc>
          <w:tcPr>
            <w:tcW w:w="990" w:type="dxa"/>
            <w:tcBorders>
              <w:bottom w:val="single" w:sz="8" w:space="0" w:color="000000"/>
            </w:tcBorders>
          </w:tcPr>
          <w:p w:rsidR="009B4BB4" w:rsidRDefault="00C44001">
            <w:pPr>
              <w:pStyle w:val="TableParagraph"/>
              <w:spacing w:before="60"/>
              <w:ind w:left="6"/>
              <w:jc w:val="center"/>
            </w:pPr>
            <w:r>
              <w:rPr>
                <w:spacing w:val="-2"/>
              </w:rPr>
              <w:t>$21,308</w:t>
            </w:r>
          </w:p>
        </w:tc>
      </w:tr>
      <w:tr w:rsidR="009B4BB4">
        <w:trPr>
          <w:trHeight w:val="380"/>
        </w:trPr>
        <w:tc>
          <w:tcPr>
            <w:tcW w:w="2898" w:type="dxa"/>
            <w:tcBorders>
              <w:top w:val="single" w:sz="8" w:space="0" w:color="000000"/>
              <w:bottom w:val="single" w:sz="8" w:space="0" w:color="000000"/>
            </w:tcBorders>
          </w:tcPr>
          <w:p w:rsidR="009B4BB4" w:rsidRDefault="00C44001">
            <w:pPr>
              <w:pStyle w:val="TableParagraph"/>
              <w:spacing w:before="46"/>
              <w:ind w:left="75"/>
            </w:pPr>
            <w:r>
              <w:t>Flujo</w:t>
            </w:r>
            <w:r>
              <w:rPr>
                <w:spacing w:val="-5"/>
              </w:rPr>
              <w:t xml:space="preserve"> </w:t>
            </w:r>
            <w:r>
              <w:rPr>
                <w:spacing w:val="-2"/>
              </w:rPr>
              <w:t>Acumulado</w:t>
            </w:r>
          </w:p>
        </w:tc>
        <w:tc>
          <w:tcPr>
            <w:tcW w:w="1044" w:type="dxa"/>
            <w:tcBorders>
              <w:top w:val="single" w:sz="8" w:space="0" w:color="000000"/>
              <w:bottom w:val="single" w:sz="8" w:space="0" w:color="000000"/>
            </w:tcBorders>
          </w:tcPr>
          <w:p w:rsidR="009B4BB4" w:rsidRDefault="00C44001">
            <w:pPr>
              <w:pStyle w:val="TableParagraph"/>
              <w:spacing w:before="46"/>
              <w:ind w:right="41"/>
              <w:jc w:val="center"/>
            </w:pPr>
            <w:r>
              <w:rPr>
                <w:spacing w:val="-2"/>
              </w:rPr>
              <w:t>-$7,650</w:t>
            </w:r>
          </w:p>
        </w:tc>
        <w:tc>
          <w:tcPr>
            <w:tcW w:w="1093" w:type="dxa"/>
            <w:tcBorders>
              <w:top w:val="single" w:sz="8" w:space="0" w:color="000000"/>
              <w:bottom w:val="single" w:sz="8" w:space="0" w:color="000000"/>
            </w:tcBorders>
          </w:tcPr>
          <w:p w:rsidR="009B4BB4" w:rsidRDefault="00C44001">
            <w:pPr>
              <w:pStyle w:val="TableParagraph"/>
              <w:spacing w:before="46"/>
              <w:ind w:left="39"/>
              <w:jc w:val="center"/>
            </w:pPr>
            <w:r>
              <w:rPr>
                <w:spacing w:val="-2"/>
              </w:rPr>
              <w:t>-$5,044</w:t>
            </w:r>
          </w:p>
        </w:tc>
        <w:tc>
          <w:tcPr>
            <w:tcW w:w="1028" w:type="dxa"/>
            <w:tcBorders>
              <w:top w:val="single" w:sz="8" w:space="0" w:color="000000"/>
              <w:bottom w:val="single" w:sz="8" w:space="0" w:color="000000"/>
            </w:tcBorders>
          </w:tcPr>
          <w:p w:rsidR="009B4BB4" w:rsidRDefault="00C44001">
            <w:pPr>
              <w:pStyle w:val="TableParagraph"/>
              <w:spacing w:before="46"/>
              <w:ind w:left="18"/>
              <w:jc w:val="center"/>
            </w:pPr>
            <w:r>
              <w:rPr>
                <w:spacing w:val="-2"/>
              </w:rPr>
              <w:t>$1,911</w:t>
            </w:r>
          </w:p>
        </w:tc>
        <w:tc>
          <w:tcPr>
            <w:tcW w:w="1006" w:type="dxa"/>
            <w:tcBorders>
              <w:top w:val="single" w:sz="8" w:space="0" w:color="000000"/>
              <w:bottom w:val="single" w:sz="8" w:space="0" w:color="000000"/>
            </w:tcBorders>
          </w:tcPr>
          <w:p w:rsidR="009B4BB4" w:rsidRDefault="00C44001">
            <w:pPr>
              <w:pStyle w:val="TableParagraph"/>
              <w:spacing w:before="46"/>
              <w:ind w:right="3"/>
              <w:jc w:val="center"/>
            </w:pPr>
            <w:r>
              <w:rPr>
                <w:spacing w:val="-2"/>
              </w:rPr>
              <w:t>$14,568</w:t>
            </w:r>
          </w:p>
        </w:tc>
        <w:tc>
          <w:tcPr>
            <w:tcW w:w="1006" w:type="dxa"/>
            <w:tcBorders>
              <w:top w:val="single" w:sz="8" w:space="0" w:color="000000"/>
              <w:bottom w:val="single" w:sz="8" w:space="0" w:color="000000"/>
            </w:tcBorders>
          </w:tcPr>
          <w:p w:rsidR="009B4BB4" w:rsidRDefault="00C44001">
            <w:pPr>
              <w:pStyle w:val="TableParagraph"/>
              <w:spacing w:before="46"/>
              <w:ind w:right="5"/>
              <w:jc w:val="center"/>
            </w:pPr>
            <w:r>
              <w:rPr>
                <w:spacing w:val="-2"/>
              </w:rPr>
              <w:t>$31,761</w:t>
            </w:r>
          </w:p>
        </w:tc>
        <w:tc>
          <w:tcPr>
            <w:tcW w:w="990" w:type="dxa"/>
            <w:tcBorders>
              <w:top w:val="single" w:sz="8" w:space="0" w:color="000000"/>
              <w:bottom w:val="single" w:sz="8" w:space="0" w:color="000000"/>
            </w:tcBorders>
          </w:tcPr>
          <w:p w:rsidR="009B4BB4" w:rsidRDefault="00C44001">
            <w:pPr>
              <w:pStyle w:val="TableParagraph"/>
              <w:spacing w:before="46"/>
              <w:ind w:left="6"/>
              <w:jc w:val="center"/>
            </w:pPr>
            <w:r>
              <w:rPr>
                <w:spacing w:val="-2"/>
              </w:rPr>
              <w:t>$53,069</w:t>
            </w:r>
          </w:p>
        </w:tc>
      </w:tr>
    </w:tbl>
    <w:p w:rsidR="009B4BB4" w:rsidRDefault="00C44001">
      <w:pPr>
        <w:pStyle w:val="Textoindependiente"/>
        <w:spacing w:before="245" w:line="360" w:lineRule="auto"/>
        <w:ind w:left="425" w:right="603"/>
        <w:jc w:val="both"/>
      </w:pPr>
      <w:r>
        <w:rPr>
          <w:rFonts w:ascii="Arial" w:hAnsi="Arial"/>
          <w:i/>
        </w:rPr>
        <w:t xml:space="preserve">Nota. </w:t>
      </w:r>
      <w:r>
        <w:t>El Flujo Acumulado se vuelve positivo durante el segundo año operativo ($1,911 USD), confirmando un periodo de recuperación (</w:t>
      </w:r>
      <w:r>
        <w:rPr>
          <w:rFonts w:ascii="Arial" w:hAnsi="Arial"/>
          <w:i/>
        </w:rPr>
        <w:t>payback</w:t>
      </w:r>
      <w:r>
        <w:t>) acelerado de 0.9 años</w:t>
      </w:r>
      <w:r>
        <w:rPr>
          <w:spacing w:val="-3"/>
        </w:rPr>
        <w:t xml:space="preserve"> </w:t>
      </w:r>
      <w:r>
        <w:t>para</w:t>
      </w:r>
      <w:r>
        <w:rPr>
          <w:spacing w:val="-3"/>
        </w:rPr>
        <w:t xml:space="preserve"> </w:t>
      </w:r>
      <w:r>
        <w:t>el socio. Elaboración propia (2025).</w:t>
      </w:r>
    </w:p>
    <w:p w:rsidR="009B4BB4" w:rsidRDefault="00C44001">
      <w:pPr>
        <w:pStyle w:val="Textoindependiente"/>
        <w:spacing w:line="360" w:lineRule="auto"/>
        <w:ind w:left="425" w:right="605" w:firstLine="720"/>
        <w:jc w:val="both"/>
      </w:pPr>
      <w:r>
        <w:t>El</w:t>
      </w:r>
      <w:r>
        <w:rPr>
          <w:spacing w:val="-4"/>
        </w:rPr>
        <w:t xml:space="preserve"> </w:t>
      </w:r>
      <w:r>
        <w:t>flujo</w:t>
      </w:r>
      <w:r>
        <w:rPr>
          <w:spacing w:val="-4"/>
        </w:rPr>
        <w:t xml:space="preserve"> </w:t>
      </w:r>
      <w:r>
        <w:t>de</w:t>
      </w:r>
      <w:r>
        <w:rPr>
          <w:spacing w:val="-4"/>
        </w:rPr>
        <w:t xml:space="preserve"> </w:t>
      </w:r>
      <w:r>
        <w:t>caja</w:t>
      </w:r>
      <w:r>
        <w:rPr>
          <w:spacing w:val="-4"/>
        </w:rPr>
        <w:t xml:space="preserve"> </w:t>
      </w:r>
      <w:r>
        <w:t>proyectado</w:t>
      </w:r>
      <w:r>
        <w:rPr>
          <w:spacing w:val="-4"/>
        </w:rPr>
        <w:t xml:space="preserve"> </w:t>
      </w:r>
      <w:r>
        <w:t>muestra</w:t>
      </w:r>
      <w:r>
        <w:rPr>
          <w:spacing w:val="-4"/>
        </w:rPr>
        <w:t xml:space="preserve"> </w:t>
      </w:r>
      <w:r>
        <w:t>la</w:t>
      </w:r>
      <w:r>
        <w:rPr>
          <w:spacing w:val="-4"/>
        </w:rPr>
        <w:t xml:space="preserve"> </w:t>
      </w:r>
      <w:r>
        <w:t>eficiencia</w:t>
      </w:r>
      <w:r>
        <w:rPr>
          <w:spacing w:val="-4"/>
        </w:rPr>
        <w:t xml:space="preserve"> </w:t>
      </w:r>
      <w:r>
        <w:t>del</w:t>
      </w:r>
      <w:r>
        <w:rPr>
          <w:spacing w:val="-4"/>
        </w:rPr>
        <w:t xml:space="preserve"> </w:t>
      </w:r>
      <w:r>
        <w:t>capi</w:t>
      </w:r>
      <w:r>
        <w:t>tal</w:t>
      </w:r>
      <w:r>
        <w:rPr>
          <w:spacing w:val="-4"/>
        </w:rPr>
        <w:t xml:space="preserve"> </w:t>
      </w:r>
      <w:r>
        <w:t>en</w:t>
      </w:r>
      <w:r>
        <w:rPr>
          <w:spacing w:val="-4"/>
        </w:rPr>
        <w:t xml:space="preserve"> </w:t>
      </w:r>
      <w:r>
        <w:t>un</w:t>
      </w:r>
      <w:r>
        <w:rPr>
          <w:spacing w:val="-4"/>
        </w:rPr>
        <w:t xml:space="preserve"> </w:t>
      </w:r>
      <w:r>
        <w:t>modelo</w:t>
      </w:r>
      <w:r>
        <w:rPr>
          <w:spacing w:val="-4"/>
        </w:rPr>
        <w:t xml:space="preserve"> </w:t>
      </w:r>
      <w:r>
        <w:t>de</w:t>
      </w:r>
      <w:r>
        <w:rPr>
          <w:spacing w:val="-4"/>
        </w:rPr>
        <w:t xml:space="preserve"> </w:t>
      </w:r>
      <w:r>
        <w:t>nicho. A pesar de operar con un volumen limitado, el proyecto genera flujos de efectivo libres positivos desde el primer año operativo ($2,606 USD) y recupera la inversión inicial durante el segundo año, reflejando un periodo de recuper</w:t>
      </w:r>
      <w:r>
        <w:t>ación eficiente.</w:t>
      </w:r>
    </w:p>
    <w:p w:rsidR="009B4BB4" w:rsidRDefault="00C44001">
      <w:pPr>
        <w:pStyle w:val="Textoindependiente"/>
        <w:spacing w:line="360" w:lineRule="auto"/>
        <w:ind w:left="425" w:right="603" w:firstLine="720"/>
        <w:jc w:val="both"/>
      </w:pPr>
      <w:r>
        <w:t>El valor residual al año 5 se estima en $205,630</w:t>
      </w:r>
      <w:r>
        <w:rPr>
          <w:spacing w:val="-2"/>
        </w:rPr>
        <w:t xml:space="preserve"> </w:t>
      </w:r>
      <w:r>
        <w:t>USD,</w:t>
      </w:r>
      <w:r>
        <w:rPr>
          <w:spacing w:val="-2"/>
        </w:rPr>
        <w:t xml:space="preserve"> </w:t>
      </w:r>
      <w:r>
        <w:t>calculado</w:t>
      </w:r>
      <w:r>
        <w:rPr>
          <w:spacing w:val="-2"/>
        </w:rPr>
        <w:t xml:space="preserve"> </w:t>
      </w:r>
      <w:r>
        <w:t>con</w:t>
      </w:r>
      <w:r>
        <w:rPr>
          <w:spacing w:val="-2"/>
        </w:rPr>
        <w:t xml:space="preserve"> </w:t>
      </w:r>
      <w:r>
        <w:t>una</w:t>
      </w:r>
      <w:r>
        <w:rPr>
          <w:spacing w:val="-2"/>
        </w:rPr>
        <w:t xml:space="preserve"> </w:t>
      </w:r>
      <w:r>
        <w:t>tasa</w:t>
      </w:r>
      <w:r>
        <w:rPr>
          <w:spacing w:val="-2"/>
        </w:rPr>
        <w:t xml:space="preserve"> </w:t>
      </w:r>
      <w:r>
        <w:t>de crecimiento del 2% y una tasa de descuento del 12%. Este valor, sumado a los flujos acumulados</w:t>
      </w:r>
      <w:r>
        <w:rPr>
          <w:spacing w:val="-4"/>
        </w:rPr>
        <w:t xml:space="preserve"> </w:t>
      </w:r>
      <w:r>
        <w:t>de</w:t>
      </w:r>
      <w:r>
        <w:rPr>
          <w:spacing w:val="-4"/>
        </w:rPr>
        <w:t xml:space="preserve"> </w:t>
      </w:r>
      <w:r>
        <w:t>$53,069</w:t>
      </w:r>
      <w:r>
        <w:rPr>
          <w:spacing w:val="-4"/>
        </w:rPr>
        <w:t xml:space="preserve"> </w:t>
      </w:r>
      <w:r>
        <w:t>USD,</w:t>
      </w:r>
      <w:r>
        <w:rPr>
          <w:spacing w:val="-4"/>
        </w:rPr>
        <w:t xml:space="preserve"> </w:t>
      </w:r>
      <w:r>
        <w:t>refuerza</w:t>
      </w:r>
      <w:r>
        <w:rPr>
          <w:spacing w:val="-4"/>
        </w:rPr>
        <w:t xml:space="preserve"> </w:t>
      </w:r>
      <w:r>
        <w:t>que</w:t>
      </w:r>
      <w:r>
        <w:rPr>
          <w:spacing w:val="-4"/>
        </w:rPr>
        <w:t xml:space="preserve"> </w:t>
      </w:r>
      <w:r>
        <w:t>la</w:t>
      </w:r>
      <w:r>
        <w:rPr>
          <w:spacing w:val="-4"/>
        </w:rPr>
        <w:t xml:space="preserve"> </w:t>
      </w:r>
      <w:r>
        <w:t>generación</w:t>
      </w:r>
      <w:r>
        <w:rPr>
          <w:spacing w:val="-4"/>
        </w:rPr>
        <w:t xml:space="preserve"> </w:t>
      </w:r>
      <w:r>
        <w:t>de</w:t>
      </w:r>
      <w:r>
        <w:rPr>
          <w:spacing w:val="-4"/>
        </w:rPr>
        <w:t xml:space="preserve"> </w:t>
      </w:r>
      <w:r>
        <w:t>valor</w:t>
      </w:r>
      <w:r>
        <w:rPr>
          <w:spacing w:val="-4"/>
        </w:rPr>
        <w:t xml:space="preserve"> </w:t>
      </w:r>
      <w:r>
        <w:t>en</w:t>
      </w:r>
      <w:r>
        <w:rPr>
          <w:spacing w:val="-4"/>
        </w:rPr>
        <w:t xml:space="preserve"> </w:t>
      </w:r>
      <w:r>
        <w:t>Guardiana</w:t>
      </w:r>
      <w:r>
        <w:rPr>
          <w:spacing w:val="-4"/>
        </w:rPr>
        <w:t xml:space="preserve"> </w:t>
      </w:r>
      <w:r>
        <w:t>depende de la disciplina en el margen y la fidelización del cliente, por encima de una estrategia basada en volumen, como principal motor de creación de valor en el modelo.</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rsidP="00C44001">
      <w:pPr>
        <w:pStyle w:val="Ttulo2"/>
        <w:numPr>
          <w:ilvl w:val="2"/>
          <w:numId w:val="11"/>
        </w:numPr>
        <w:tabs>
          <w:tab w:val="left" w:pos="1000"/>
        </w:tabs>
        <w:spacing w:before="79"/>
        <w:ind w:left="1000" w:hanging="545"/>
      </w:pPr>
      <w:bookmarkStart w:id="245" w:name="7.3.2_Resultados_anuales_y_acumulados_"/>
      <w:bookmarkStart w:id="246" w:name="h.3k0j9sko0dd8"/>
      <w:bookmarkEnd w:id="245"/>
      <w:bookmarkEnd w:id="246"/>
      <w:r>
        <w:lastRenderedPageBreak/>
        <w:t>Resultados</w:t>
      </w:r>
      <w:r>
        <w:rPr>
          <w:spacing w:val="-6"/>
        </w:rPr>
        <w:t xml:space="preserve"> </w:t>
      </w:r>
      <w:r>
        <w:t>anuales</w:t>
      </w:r>
      <w:r>
        <w:rPr>
          <w:spacing w:val="-6"/>
        </w:rPr>
        <w:t xml:space="preserve"> </w:t>
      </w:r>
      <w:r>
        <w:t>y</w:t>
      </w:r>
      <w:r>
        <w:rPr>
          <w:spacing w:val="-6"/>
        </w:rPr>
        <w:t xml:space="preserve"> </w:t>
      </w:r>
      <w:r>
        <w:rPr>
          <w:spacing w:val="-2"/>
        </w:rPr>
        <w:t>acumulados</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4" w:firstLine="720"/>
        <w:jc w:val="both"/>
      </w:pPr>
      <w:r>
        <w:t>El análisis de los flujos proye</w:t>
      </w:r>
      <w:r>
        <w:t>ctados muestra una</w:t>
      </w:r>
      <w:r>
        <w:rPr>
          <w:spacing w:val="-3"/>
        </w:rPr>
        <w:t xml:space="preserve"> </w:t>
      </w:r>
      <w:r>
        <w:t>posición</w:t>
      </w:r>
      <w:r>
        <w:rPr>
          <w:spacing w:val="-3"/>
        </w:rPr>
        <w:t xml:space="preserve"> </w:t>
      </w:r>
      <w:r>
        <w:t>financiera</w:t>
      </w:r>
      <w:r>
        <w:rPr>
          <w:spacing w:val="-3"/>
        </w:rPr>
        <w:t xml:space="preserve"> </w:t>
      </w:r>
      <w:r>
        <w:t>sólida</w:t>
      </w:r>
      <w:r>
        <w:rPr>
          <w:spacing w:val="-3"/>
        </w:rPr>
        <w:t xml:space="preserve"> </w:t>
      </w:r>
      <w:r>
        <w:t>desde el inicio de las operaciones. A pesar de tratarse de un año de validación, el primer ejercicio genera un flujo de caja libre positivo de</w:t>
      </w:r>
      <w:r>
        <w:rPr>
          <w:spacing w:val="-3"/>
        </w:rPr>
        <w:t xml:space="preserve"> </w:t>
      </w:r>
      <w:r>
        <w:t>$2,606</w:t>
      </w:r>
      <w:r>
        <w:rPr>
          <w:spacing w:val="-3"/>
        </w:rPr>
        <w:t xml:space="preserve"> </w:t>
      </w:r>
      <w:r>
        <w:t>USD</w:t>
      </w:r>
      <w:r>
        <w:rPr>
          <w:spacing w:val="-3"/>
        </w:rPr>
        <w:t xml:space="preserve"> </w:t>
      </w:r>
      <w:r>
        <w:t>y</w:t>
      </w:r>
      <w:r>
        <w:rPr>
          <w:spacing w:val="-3"/>
        </w:rPr>
        <w:t xml:space="preserve"> </w:t>
      </w:r>
      <w:r>
        <w:t>permite</w:t>
      </w:r>
      <w:r>
        <w:rPr>
          <w:spacing w:val="-3"/>
        </w:rPr>
        <w:t xml:space="preserve"> </w:t>
      </w:r>
      <w:r>
        <w:t>alcanzar</w:t>
      </w:r>
      <w:r>
        <w:rPr>
          <w:spacing w:val="-3"/>
        </w:rPr>
        <w:t xml:space="preserve"> </w:t>
      </w:r>
      <w:r>
        <w:t>el</w:t>
      </w:r>
      <w:r>
        <w:rPr>
          <w:spacing w:val="-3"/>
        </w:rPr>
        <w:t xml:space="preserve"> </w:t>
      </w:r>
      <w:r>
        <w:t>punto de equilibrio de la inversió</w:t>
      </w:r>
      <w:r>
        <w:t>n durante el segundo año, específicamente en el segundo semestre, al acumular un flujo positivo de</w:t>
      </w:r>
      <w:r>
        <w:rPr>
          <w:spacing w:val="-5"/>
        </w:rPr>
        <w:t xml:space="preserve"> </w:t>
      </w:r>
      <w:r>
        <w:t>$1,911</w:t>
      </w:r>
      <w:r>
        <w:rPr>
          <w:spacing w:val="-5"/>
        </w:rPr>
        <w:t xml:space="preserve"> </w:t>
      </w:r>
      <w:r>
        <w:t>USD,</w:t>
      </w:r>
      <w:r>
        <w:rPr>
          <w:spacing w:val="-5"/>
        </w:rPr>
        <w:t xml:space="preserve"> </w:t>
      </w:r>
      <w:r>
        <w:t>lo</w:t>
      </w:r>
      <w:r>
        <w:rPr>
          <w:spacing w:val="-5"/>
        </w:rPr>
        <w:t xml:space="preserve"> </w:t>
      </w:r>
      <w:r>
        <w:t>que</w:t>
      </w:r>
      <w:r>
        <w:rPr>
          <w:spacing w:val="-5"/>
        </w:rPr>
        <w:t xml:space="preserve"> </w:t>
      </w:r>
      <w:r>
        <w:t>confirma</w:t>
      </w:r>
      <w:r>
        <w:rPr>
          <w:spacing w:val="-5"/>
        </w:rPr>
        <w:t xml:space="preserve"> </w:t>
      </w:r>
      <w:r>
        <w:t>una</w:t>
      </w:r>
      <w:r>
        <w:rPr>
          <w:spacing w:val="-5"/>
        </w:rPr>
        <w:t xml:space="preserve"> </w:t>
      </w:r>
      <w:r>
        <w:t>recuperación temprana del capital invertido.</w:t>
      </w:r>
    </w:p>
    <w:p w:rsidR="009B4BB4" w:rsidRDefault="00C44001">
      <w:pPr>
        <w:pStyle w:val="Textoindependiente"/>
        <w:spacing w:line="360" w:lineRule="auto"/>
        <w:ind w:left="425" w:right="603" w:firstLine="720"/>
        <w:jc w:val="both"/>
      </w:pPr>
      <w:r>
        <w:t>A partir del tercer año, la consolidación de la marca y la entrada a canales B2B impulsan un crecimiento sostenido de los flujos, alcanzando una generación de flujo de caja libre anual de $21,308 USD en el quinto año, en línea con la etapa de madurez opera</w:t>
      </w:r>
      <w:r>
        <w:t>tiva y el límite biológico de producción.</w:t>
      </w:r>
    </w:p>
    <w:p w:rsidR="009B4BB4" w:rsidRDefault="00C44001">
      <w:pPr>
        <w:pStyle w:val="Textoindependiente"/>
        <w:ind w:left="1145"/>
      </w:pPr>
      <w:r>
        <w:t>Los</w:t>
      </w:r>
      <w:r>
        <w:rPr>
          <w:spacing w:val="-6"/>
        </w:rPr>
        <w:t xml:space="preserve"> </w:t>
      </w:r>
      <w:r>
        <w:t>indicadores</w:t>
      </w:r>
      <w:r>
        <w:rPr>
          <w:spacing w:val="-6"/>
        </w:rPr>
        <w:t xml:space="preserve"> </w:t>
      </w:r>
      <w:r>
        <w:t>de</w:t>
      </w:r>
      <w:r>
        <w:rPr>
          <w:spacing w:val="-5"/>
        </w:rPr>
        <w:t xml:space="preserve"> </w:t>
      </w:r>
      <w:r>
        <w:t>rentabilidad</w:t>
      </w:r>
      <w:r>
        <w:rPr>
          <w:spacing w:val="-6"/>
        </w:rPr>
        <w:t xml:space="preserve"> </w:t>
      </w:r>
      <w:r>
        <w:t>del</w:t>
      </w:r>
      <w:r>
        <w:rPr>
          <w:spacing w:val="-5"/>
        </w:rPr>
        <w:t xml:space="preserve"> </w:t>
      </w:r>
      <w:r>
        <w:t>escenario</w:t>
      </w:r>
      <w:r>
        <w:rPr>
          <w:spacing w:val="-6"/>
        </w:rPr>
        <w:t xml:space="preserve"> </w:t>
      </w:r>
      <w:r>
        <w:t>base</w:t>
      </w:r>
      <w:r>
        <w:rPr>
          <w:spacing w:val="-5"/>
        </w:rPr>
        <w:t xml:space="preserve"> </w:t>
      </w:r>
      <w:r>
        <w:t>son</w:t>
      </w:r>
      <w:r>
        <w:rPr>
          <w:spacing w:val="-6"/>
        </w:rPr>
        <w:t xml:space="preserve"> </w:t>
      </w:r>
      <w:r>
        <w:t>los</w:t>
      </w:r>
      <w:r>
        <w:rPr>
          <w:spacing w:val="-5"/>
        </w:rPr>
        <w:t xml:space="preserve"> </w:t>
      </w:r>
      <w:r>
        <w:rPr>
          <w:spacing w:val="-2"/>
        </w:rPr>
        <w:t>siguientes:</w:t>
      </w:r>
    </w:p>
    <w:p w:rsidR="009B4BB4" w:rsidRDefault="009B4BB4">
      <w:pPr>
        <w:pStyle w:val="Textoindependiente"/>
        <w:spacing w:before="113"/>
      </w:pPr>
    </w:p>
    <w:p w:rsidR="009B4BB4" w:rsidRDefault="00C44001" w:rsidP="00C44001">
      <w:pPr>
        <w:pStyle w:val="Prrafodelista"/>
        <w:numPr>
          <w:ilvl w:val="3"/>
          <w:numId w:val="11"/>
        </w:numPr>
        <w:tabs>
          <w:tab w:val="left" w:pos="1145"/>
        </w:tabs>
        <w:spacing w:before="0" w:line="360" w:lineRule="auto"/>
        <w:ind w:right="612"/>
        <w:jc w:val="both"/>
      </w:pPr>
      <w:r>
        <w:rPr>
          <w:rFonts w:ascii="Arial" w:hAnsi="Arial"/>
          <w:b/>
        </w:rPr>
        <w:t>Valor Actual Neto (VAN): $</w:t>
      </w:r>
      <w:r>
        <w:t>145,800 USD. El proyecto no solo recupera la inversión inicial, sino que genera un valor adicional superior a $145,000 USD en un horizonte de cinco años.</w:t>
      </w:r>
    </w:p>
    <w:p w:rsidR="009B4BB4" w:rsidRDefault="00C44001" w:rsidP="00C44001">
      <w:pPr>
        <w:pStyle w:val="Prrafodelista"/>
        <w:numPr>
          <w:ilvl w:val="3"/>
          <w:numId w:val="11"/>
        </w:numPr>
        <w:tabs>
          <w:tab w:val="left" w:pos="1145"/>
        </w:tabs>
        <w:spacing w:line="360" w:lineRule="auto"/>
        <w:ind w:right="606"/>
        <w:jc w:val="both"/>
      </w:pPr>
      <w:r>
        <w:rPr>
          <w:rFonts w:ascii="Arial" w:hAnsi="Arial"/>
          <w:b/>
        </w:rPr>
        <w:t xml:space="preserve">Tasa Interna de Retorno (TIR): </w:t>
      </w:r>
      <w:r>
        <w:t>92%. Esta tasa refleja la eficiencia del modelo asset-light,</w:t>
      </w:r>
      <w:r>
        <w:rPr>
          <w:spacing w:val="-4"/>
        </w:rPr>
        <w:t xml:space="preserve"> </w:t>
      </w:r>
      <w:r>
        <w:t>donde</w:t>
      </w:r>
      <w:r>
        <w:rPr>
          <w:spacing w:val="-4"/>
        </w:rPr>
        <w:t xml:space="preserve"> </w:t>
      </w:r>
      <w:r>
        <w:t>la</w:t>
      </w:r>
      <w:r>
        <w:rPr>
          <w:spacing w:val="-4"/>
        </w:rPr>
        <w:t xml:space="preserve"> </w:t>
      </w:r>
      <w:r>
        <w:t>b</w:t>
      </w:r>
      <w:r>
        <w:t>aja</w:t>
      </w:r>
      <w:r>
        <w:rPr>
          <w:spacing w:val="-4"/>
        </w:rPr>
        <w:t xml:space="preserve"> </w:t>
      </w:r>
      <w:r>
        <w:t>inversión</w:t>
      </w:r>
      <w:r>
        <w:rPr>
          <w:spacing w:val="-4"/>
        </w:rPr>
        <w:t xml:space="preserve"> </w:t>
      </w:r>
      <w:r>
        <w:t>inicial</w:t>
      </w:r>
      <w:r>
        <w:rPr>
          <w:spacing w:val="-4"/>
        </w:rPr>
        <w:t xml:space="preserve"> </w:t>
      </w:r>
      <w:r>
        <w:t>($7,650</w:t>
      </w:r>
      <w:r>
        <w:rPr>
          <w:spacing w:val="-4"/>
        </w:rPr>
        <w:t xml:space="preserve"> </w:t>
      </w:r>
      <w:r>
        <w:t>USD)</w:t>
      </w:r>
      <w:r>
        <w:rPr>
          <w:spacing w:val="-4"/>
        </w:rPr>
        <w:t xml:space="preserve"> </w:t>
      </w:r>
      <w:r>
        <w:t>se</w:t>
      </w:r>
      <w:r>
        <w:rPr>
          <w:spacing w:val="-4"/>
        </w:rPr>
        <w:t xml:space="preserve"> </w:t>
      </w:r>
      <w:r>
        <w:t>combina</w:t>
      </w:r>
      <w:r>
        <w:rPr>
          <w:spacing w:val="-4"/>
        </w:rPr>
        <w:t xml:space="preserve"> </w:t>
      </w:r>
      <w:r>
        <w:t>con</w:t>
      </w:r>
      <w:r>
        <w:rPr>
          <w:spacing w:val="-4"/>
        </w:rPr>
        <w:t xml:space="preserve"> </w:t>
      </w:r>
      <w:r>
        <w:t>márgenes brutos superiores al 60%.</w:t>
      </w:r>
    </w:p>
    <w:p w:rsidR="009B4BB4" w:rsidRDefault="00C44001" w:rsidP="00C44001">
      <w:pPr>
        <w:pStyle w:val="Prrafodelista"/>
        <w:numPr>
          <w:ilvl w:val="3"/>
          <w:numId w:val="11"/>
        </w:numPr>
        <w:tabs>
          <w:tab w:val="left" w:pos="1145"/>
        </w:tabs>
        <w:spacing w:line="360" w:lineRule="auto"/>
        <w:ind w:right="612"/>
        <w:jc w:val="both"/>
      </w:pPr>
      <w:r>
        <w:rPr>
          <w:rFonts w:ascii="Arial" w:hAnsi="Arial"/>
          <w:b/>
        </w:rPr>
        <w:t xml:space="preserve">Periodo de Recuperación (Payback): </w:t>
      </w:r>
      <w:r>
        <w:t>1.8 años. El periodo de recuperación indica un nivel de riesgo de capital contenido, ya que la inversión inicial se recupera en menos de</w:t>
      </w:r>
      <w:r>
        <w:t xml:space="preserve"> 24 meses, lo que mejora la liquidez del</w:t>
      </w:r>
      <w:r>
        <w:rPr>
          <w:spacing w:val="-3"/>
        </w:rPr>
        <w:t xml:space="preserve"> </w:t>
      </w:r>
      <w:r>
        <w:t>proyecto</w:t>
      </w:r>
      <w:r>
        <w:rPr>
          <w:spacing w:val="-3"/>
        </w:rPr>
        <w:t xml:space="preserve"> </w:t>
      </w:r>
      <w:r>
        <w:t>y</w:t>
      </w:r>
      <w:r>
        <w:rPr>
          <w:spacing w:val="-3"/>
        </w:rPr>
        <w:t xml:space="preserve"> </w:t>
      </w:r>
      <w:r>
        <w:t>reduce la exposición al riesgo en etapas tempranas.</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rPr>
          <w:spacing w:val="-2"/>
        </w:rPr>
        <w:lastRenderedPageBreak/>
        <w:t>Tabla</w:t>
      </w:r>
      <w:r>
        <w:rPr>
          <w:spacing w:val="-13"/>
        </w:rPr>
        <w:t xml:space="preserve"> </w:t>
      </w:r>
      <w:r>
        <w:rPr>
          <w:spacing w:val="-4"/>
        </w:rPr>
        <w:t>7.13</w:t>
      </w:r>
    </w:p>
    <w:p w:rsidR="009B4BB4" w:rsidRDefault="00C44001">
      <w:pPr>
        <w:ind w:left="516"/>
        <w:rPr>
          <w:rFonts w:ascii="Arial" w:hAnsi="Arial"/>
          <w:i/>
        </w:rPr>
      </w:pPr>
      <w:r>
        <w:rPr>
          <w:rFonts w:ascii="Arial" w:hAnsi="Arial"/>
          <w:i/>
        </w:rPr>
        <w:t>Resumen</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indicadores</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rentabilidad</w:t>
      </w:r>
      <w:r>
        <w:rPr>
          <w:rFonts w:ascii="Arial" w:hAnsi="Arial"/>
          <w:i/>
          <w:spacing w:val="-6"/>
        </w:rPr>
        <w:t xml:space="preserve"> </w:t>
      </w:r>
      <w:r>
        <w:rPr>
          <w:rFonts w:ascii="Arial" w:hAnsi="Arial"/>
          <w:i/>
        </w:rPr>
        <w:t>y</w:t>
      </w:r>
      <w:r>
        <w:rPr>
          <w:rFonts w:ascii="Arial" w:hAnsi="Arial"/>
          <w:i/>
          <w:spacing w:val="-5"/>
        </w:rPr>
        <w:t xml:space="preserve"> </w:t>
      </w:r>
      <w:r>
        <w:rPr>
          <w:rFonts w:ascii="Arial" w:hAnsi="Arial"/>
          <w:i/>
        </w:rPr>
        <w:t>creación</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spacing w:val="-2"/>
        </w:rPr>
        <w:t>valor</w:t>
      </w:r>
    </w:p>
    <w:p w:rsidR="009B4BB4" w:rsidRDefault="009B4BB4">
      <w:pPr>
        <w:pStyle w:val="Textoindependiente"/>
        <w:spacing w:before="5"/>
        <w:rPr>
          <w:rFonts w:ascii="Arial"/>
          <w:i/>
          <w:sz w:val="20"/>
        </w:rPr>
      </w:pPr>
    </w:p>
    <w:tbl>
      <w:tblPr>
        <w:tblStyle w:val="TableNormal"/>
        <w:tblW w:w="0" w:type="auto"/>
        <w:tblInd w:w="432" w:type="dxa"/>
        <w:tblLayout w:type="fixed"/>
        <w:tblLook w:val="01E0" w:firstRow="1" w:lastRow="1" w:firstColumn="1" w:lastColumn="1" w:noHBand="0" w:noVBand="0"/>
      </w:tblPr>
      <w:tblGrid>
        <w:gridCol w:w="1697"/>
        <w:gridCol w:w="2323"/>
        <w:gridCol w:w="5180"/>
      </w:tblGrid>
      <w:tr w:rsidR="009B4BB4">
        <w:trPr>
          <w:trHeight w:val="859"/>
        </w:trPr>
        <w:tc>
          <w:tcPr>
            <w:tcW w:w="1697" w:type="dxa"/>
            <w:tcBorders>
              <w:top w:val="single" w:sz="8" w:space="0" w:color="000000"/>
              <w:bottom w:val="single" w:sz="8" w:space="0" w:color="000000"/>
            </w:tcBorders>
          </w:tcPr>
          <w:p w:rsidR="009B4BB4" w:rsidRDefault="00C44001">
            <w:pPr>
              <w:pStyle w:val="TableParagraph"/>
              <w:spacing w:before="58" w:line="360" w:lineRule="auto"/>
              <w:ind w:left="75"/>
              <w:rPr>
                <w:rFonts w:ascii="Arial"/>
                <w:b/>
              </w:rPr>
            </w:pPr>
            <w:r>
              <w:rPr>
                <w:rFonts w:ascii="Arial"/>
                <w:b/>
                <w:spacing w:val="-2"/>
              </w:rPr>
              <w:t>Indicador Financiero</w:t>
            </w:r>
          </w:p>
        </w:tc>
        <w:tc>
          <w:tcPr>
            <w:tcW w:w="2323" w:type="dxa"/>
            <w:tcBorders>
              <w:top w:val="single" w:sz="8" w:space="0" w:color="000000"/>
              <w:bottom w:val="single" w:sz="8" w:space="0" w:color="000000"/>
            </w:tcBorders>
          </w:tcPr>
          <w:p w:rsidR="009B4BB4" w:rsidRDefault="00C44001">
            <w:pPr>
              <w:pStyle w:val="TableParagraph"/>
              <w:spacing w:before="248"/>
              <w:ind w:right="89"/>
              <w:jc w:val="right"/>
              <w:rPr>
                <w:rFonts w:ascii="Arial"/>
                <w:b/>
              </w:rPr>
            </w:pPr>
            <w:r>
              <w:rPr>
                <w:rFonts w:ascii="Arial"/>
                <w:b/>
                <w:spacing w:val="-2"/>
              </w:rPr>
              <w:t>Valor</w:t>
            </w:r>
            <w:r>
              <w:rPr>
                <w:rFonts w:ascii="Arial"/>
                <w:b/>
                <w:spacing w:val="-7"/>
              </w:rPr>
              <w:t xml:space="preserve"> </w:t>
            </w:r>
            <w:r>
              <w:rPr>
                <w:rFonts w:ascii="Arial"/>
                <w:b/>
                <w:spacing w:val="-2"/>
              </w:rPr>
              <w:t>Resultante</w:t>
            </w:r>
          </w:p>
        </w:tc>
        <w:tc>
          <w:tcPr>
            <w:tcW w:w="5180" w:type="dxa"/>
            <w:tcBorders>
              <w:top w:val="single" w:sz="8" w:space="0" w:color="000000"/>
              <w:bottom w:val="single" w:sz="8" w:space="0" w:color="000000"/>
            </w:tcBorders>
          </w:tcPr>
          <w:p w:rsidR="009B4BB4" w:rsidRDefault="00C44001">
            <w:pPr>
              <w:pStyle w:val="TableParagraph"/>
              <w:spacing w:before="248"/>
              <w:ind w:left="120"/>
              <w:rPr>
                <w:rFonts w:ascii="Arial" w:hAnsi="Arial"/>
                <w:b/>
              </w:rPr>
            </w:pPr>
            <w:r>
              <w:rPr>
                <w:rFonts w:ascii="Arial" w:hAnsi="Arial"/>
                <w:b/>
              </w:rPr>
              <w:t>Interpretación</w:t>
            </w:r>
            <w:r>
              <w:rPr>
                <w:rFonts w:ascii="Arial" w:hAnsi="Arial"/>
                <w:b/>
                <w:spacing w:val="-14"/>
              </w:rPr>
              <w:t xml:space="preserve"> </w:t>
            </w:r>
            <w:r>
              <w:rPr>
                <w:rFonts w:ascii="Arial" w:hAnsi="Arial"/>
                <w:b/>
                <w:spacing w:val="-2"/>
              </w:rPr>
              <w:t>Estratégica</w:t>
            </w:r>
          </w:p>
        </w:tc>
      </w:tr>
      <w:tr w:rsidR="009B4BB4">
        <w:trPr>
          <w:trHeight w:val="786"/>
        </w:trPr>
        <w:tc>
          <w:tcPr>
            <w:tcW w:w="1697" w:type="dxa"/>
            <w:tcBorders>
              <w:top w:val="single" w:sz="8" w:space="0" w:color="000000"/>
            </w:tcBorders>
          </w:tcPr>
          <w:p w:rsidR="009B4BB4" w:rsidRDefault="00C44001">
            <w:pPr>
              <w:pStyle w:val="TableParagraph"/>
              <w:spacing w:before="232"/>
              <w:ind w:left="75"/>
              <w:rPr>
                <w:rFonts w:ascii="Arial"/>
                <w:b/>
              </w:rPr>
            </w:pPr>
            <w:r>
              <w:rPr>
                <w:rFonts w:ascii="Arial"/>
                <w:b/>
                <w:spacing w:val="-5"/>
              </w:rPr>
              <w:t>VAN</w:t>
            </w:r>
          </w:p>
        </w:tc>
        <w:tc>
          <w:tcPr>
            <w:tcW w:w="2323" w:type="dxa"/>
            <w:tcBorders>
              <w:top w:val="single" w:sz="8" w:space="0" w:color="000000"/>
            </w:tcBorders>
          </w:tcPr>
          <w:p w:rsidR="009B4BB4" w:rsidRDefault="00C44001">
            <w:pPr>
              <w:pStyle w:val="TableParagraph"/>
              <w:spacing w:before="232"/>
              <w:ind w:right="161"/>
              <w:jc w:val="right"/>
            </w:pPr>
            <w:r>
              <w:t>$145,800</w:t>
            </w:r>
            <w:r>
              <w:rPr>
                <w:spacing w:val="-8"/>
              </w:rPr>
              <w:t xml:space="preserve"> </w:t>
            </w:r>
            <w:r>
              <w:rPr>
                <w:spacing w:val="-5"/>
              </w:rPr>
              <w:t>USD</w:t>
            </w:r>
          </w:p>
        </w:tc>
        <w:tc>
          <w:tcPr>
            <w:tcW w:w="5180" w:type="dxa"/>
            <w:tcBorders>
              <w:top w:val="single" w:sz="8" w:space="0" w:color="000000"/>
            </w:tcBorders>
          </w:tcPr>
          <w:p w:rsidR="009B4BB4" w:rsidRDefault="00C44001">
            <w:pPr>
              <w:pStyle w:val="TableParagraph"/>
              <w:spacing w:before="42"/>
              <w:ind w:left="120"/>
            </w:pPr>
            <w:r>
              <w:t>Creación</w:t>
            </w:r>
            <w:r>
              <w:rPr>
                <w:spacing w:val="22"/>
              </w:rPr>
              <w:t xml:space="preserve"> </w:t>
            </w:r>
            <w:r>
              <w:t>de</w:t>
            </w:r>
            <w:r>
              <w:rPr>
                <w:spacing w:val="25"/>
              </w:rPr>
              <w:t xml:space="preserve"> </w:t>
            </w:r>
            <w:r>
              <w:t>valor</w:t>
            </w:r>
            <w:r>
              <w:rPr>
                <w:spacing w:val="25"/>
              </w:rPr>
              <w:t xml:space="preserve"> </w:t>
            </w:r>
            <w:r>
              <w:t>neta</w:t>
            </w:r>
            <w:r>
              <w:rPr>
                <w:spacing w:val="10"/>
              </w:rPr>
              <w:t xml:space="preserve"> </w:t>
            </w:r>
            <w:r>
              <w:t>positiva</w:t>
            </w:r>
            <w:r>
              <w:rPr>
                <w:spacing w:val="10"/>
              </w:rPr>
              <w:t xml:space="preserve"> </w:t>
            </w:r>
            <w:r>
              <w:t>tras</w:t>
            </w:r>
            <w:r>
              <w:rPr>
                <w:spacing w:val="11"/>
              </w:rPr>
              <w:t xml:space="preserve"> </w:t>
            </w:r>
            <w:r>
              <w:t>cubrir</w:t>
            </w:r>
            <w:r>
              <w:rPr>
                <w:spacing w:val="10"/>
              </w:rPr>
              <w:t xml:space="preserve"> </w:t>
            </w:r>
            <w:r>
              <w:t>el</w:t>
            </w:r>
            <w:r>
              <w:rPr>
                <w:spacing w:val="11"/>
              </w:rPr>
              <w:t xml:space="preserve"> </w:t>
            </w:r>
            <w:r>
              <w:rPr>
                <w:spacing w:val="-2"/>
              </w:rPr>
              <w:t>costo</w:t>
            </w:r>
          </w:p>
          <w:p w:rsidR="009B4BB4" w:rsidRDefault="00C44001">
            <w:pPr>
              <w:pStyle w:val="TableParagraph"/>
              <w:spacing w:before="126"/>
              <w:ind w:left="90"/>
            </w:pPr>
            <w:proofErr w:type="gramStart"/>
            <w:r>
              <w:t>de</w:t>
            </w:r>
            <w:proofErr w:type="gramEnd"/>
            <w:r>
              <w:rPr>
                <w:spacing w:val="-2"/>
              </w:rPr>
              <w:t xml:space="preserve"> capital.</w:t>
            </w:r>
          </w:p>
        </w:tc>
      </w:tr>
      <w:tr w:rsidR="009B4BB4">
        <w:trPr>
          <w:trHeight w:val="469"/>
        </w:trPr>
        <w:tc>
          <w:tcPr>
            <w:tcW w:w="1697" w:type="dxa"/>
          </w:tcPr>
          <w:p w:rsidR="009B4BB4" w:rsidRDefault="00C44001">
            <w:pPr>
              <w:pStyle w:val="TableParagraph"/>
              <w:spacing w:before="104"/>
              <w:ind w:left="75"/>
              <w:rPr>
                <w:rFonts w:ascii="Arial"/>
                <w:b/>
              </w:rPr>
            </w:pPr>
            <w:r>
              <w:rPr>
                <w:rFonts w:ascii="Arial"/>
                <w:b/>
                <w:spacing w:val="-5"/>
              </w:rPr>
              <w:t>TIR</w:t>
            </w:r>
          </w:p>
        </w:tc>
        <w:tc>
          <w:tcPr>
            <w:tcW w:w="2323" w:type="dxa"/>
          </w:tcPr>
          <w:p w:rsidR="009B4BB4" w:rsidRDefault="00C44001">
            <w:pPr>
              <w:pStyle w:val="TableParagraph"/>
              <w:spacing w:before="104"/>
              <w:ind w:left="1218"/>
            </w:pPr>
            <w:r>
              <w:rPr>
                <w:spacing w:val="-5"/>
              </w:rPr>
              <w:t>92%</w:t>
            </w:r>
          </w:p>
        </w:tc>
        <w:tc>
          <w:tcPr>
            <w:tcW w:w="5180" w:type="dxa"/>
          </w:tcPr>
          <w:p w:rsidR="009B4BB4" w:rsidRDefault="00C44001">
            <w:pPr>
              <w:pStyle w:val="TableParagraph"/>
              <w:spacing w:before="104"/>
              <w:ind w:left="120"/>
            </w:pPr>
            <w:r>
              <w:t>Eficiencia</w:t>
            </w:r>
            <w:r>
              <w:rPr>
                <w:spacing w:val="-7"/>
              </w:rPr>
              <w:t xml:space="preserve"> </w:t>
            </w:r>
            <w:r>
              <w:t>máxima</w:t>
            </w:r>
            <w:r>
              <w:rPr>
                <w:spacing w:val="-5"/>
              </w:rPr>
              <w:t xml:space="preserve"> </w:t>
            </w:r>
            <w:r>
              <w:t>en</w:t>
            </w:r>
            <w:r>
              <w:rPr>
                <w:spacing w:val="-5"/>
              </w:rPr>
              <w:t xml:space="preserve"> </w:t>
            </w:r>
            <w:r>
              <w:t>el</w:t>
            </w:r>
            <w:r>
              <w:rPr>
                <w:spacing w:val="-4"/>
              </w:rPr>
              <w:t xml:space="preserve"> </w:t>
            </w:r>
            <w:r>
              <w:t>uso</w:t>
            </w:r>
            <w:r>
              <w:rPr>
                <w:spacing w:val="-5"/>
              </w:rPr>
              <w:t xml:space="preserve"> </w:t>
            </w:r>
            <w:r>
              <w:t>del</w:t>
            </w:r>
            <w:r>
              <w:rPr>
                <w:spacing w:val="-5"/>
              </w:rPr>
              <w:t xml:space="preserve"> </w:t>
            </w:r>
            <w:r>
              <w:t>capital</w:t>
            </w:r>
            <w:r>
              <w:rPr>
                <w:spacing w:val="-4"/>
              </w:rPr>
              <w:t xml:space="preserve"> </w:t>
            </w:r>
            <w:r>
              <w:rPr>
                <w:spacing w:val="-2"/>
              </w:rPr>
              <w:t>invertido.</w:t>
            </w:r>
          </w:p>
        </w:tc>
      </w:tr>
      <w:tr w:rsidR="009B4BB4">
        <w:trPr>
          <w:trHeight w:val="524"/>
        </w:trPr>
        <w:tc>
          <w:tcPr>
            <w:tcW w:w="1697" w:type="dxa"/>
            <w:tcBorders>
              <w:bottom w:val="single" w:sz="8" w:space="0" w:color="000000"/>
            </w:tcBorders>
          </w:tcPr>
          <w:p w:rsidR="009B4BB4" w:rsidRDefault="00C44001">
            <w:pPr>
              <w:pStyle w:val="TableParagraph"/>
              <w:spacing w:before="104"/>
              <w:ind w:left="75"/>
              <w:rPr>
                <w:rFonts w:ascii="Arial"/>
                <w:b/>
              </w:rPr>
            </w:pPr>
            <w:r>
              <w:rPr>
                <w:rFonts w:ascii="Arial"/>
                <w:b/>
                <w:spacing w:val="-2"/>
              </w:rPr>
              <w:t>Payback</w:t>
            </w:r>
          </w:p>
        </w:tc>
        <w:tc>
          <w:tcPr>
            <w:tcW w:w="2323" w:type="dxa"/>
            <w:tcBorders>
              <w:bottom w:val="single" w:sz="8" w:space="0" w:color="000000"/>
            </w:tcBorders>
          </w:tcPr>
          <w:p w:rsidR="009B4BB4" w:rsidRDefault="00C44001">
            <w:pPr>
              <w:pStyle w:val="TableParagraph"/>
              <w:spacing w:before="104"/>
              <w:ind w:left="1017"/>
            </w:pPr>
            <w:r>
              <w:t>1.8</w:t>
            </w:r>
            <w:r>
              <w:rPr>
                <w:spacing w:val="-3"/>
              </w:rPr>
              <w:t xml:space="preserve"> </w:t>
            </w:r>
            <w:r>
              <w:rPr>
                <w:spacing w:val="-4"/>
              </w:rPr>
              <w:t>años</w:t>
            </w:r>
          </w:p>
        </w:tc>
        <w:tc>
          <w:tcPr>
            <w:tcW w:w="5180" w:type="dxa"/>
            <w:tcBorders>
              <w:bottom w:val="single" w:sz="8" w:space="0" w:color="000000"/>
            </w:tcBorders>
          </w:tcPr>
          <w:p w:rsidR="009B4BB4" w:rsidRDefault="00C44001">
            <w:pPr>
              <w:pStyle w:val="TableParagraph"/>
              <w:spacing w:before="104"/>
              <w:ind w:left="120"/>
            </w:pPr>
            <w:r>
              <w:t>Retorno</w:t>
            </w:r>
            <w:r>
              <w:rPr>
                <w:spacing w:val="-8"/>
              </w:rPr>
              <w:t xml:space="preserve"> </w:t>
            </w:r>
            <w:r>
              <w:t>de</w:t>
            </w:r>
            <w:r>
              <w:rPr>
                <w:spacing w:val="-5"/>
              </w:rPr>
              <w:t xml:space="preserve"> </w:t>
            </w:r>
            <w:r>
              <w:t>inversión</w:t>
            </w:r>
            <w:r>
              <w:rPr>
                <w:spacing w:val="-5"/>
              </w:rPr>
              <w:t xml:space="preserve"> </w:t>
            </w:r>
            <w:r>
              <w:t>acelerado</w:t>
            </w:r>
            <w:r>
              <w:rPr>
                <w:spacing w:val="-5"/>
              </w:rPr>
              <w:t xml:space="preserve"> </w:t>
            </w:r>
            <w:r>
              <w:t>(menos</w:t>
            </w:r>
            <w:r>
              <w:rPr>
                <w:spacing w:val="-5"/>
              </w:rPr>
              <w:t xml:space="preserve"> </w:t>
            </w:r>
            <w:r>
              <w:t>de</w:t>
            </w:r>
            <w:r>
              <w:rPr>
                <w:spacing w:val="-5"/>
              </w:rPr>
              <w:t xml:space="preserve"> </w:t>
            </w:r>
            <w:r>
              <w:t>2</w:t>
            </w:r>
            <w:r>
              <w:rPr>
                <w:spacing w:val="-5"/>
              </w:rPr>
              <w:t xml:space="preserve"> </w:t>
            </w:r>
            <w:r>
              <w:rPr>
                <w:spacing w:val="-2"/>
              </w:rPr>
              <w:t>años).</w:t>
            </w:r>
          </w:p>
        </w:tc>
      </w:tr>
    </w:tbl>
    <w:p w:rsidR="009B4BB4" w:rsidRDefault="00C44001">
      <w:pPr>
        <w:pStyle w:val="Textoindependiente"/>
        <w:spacing w:before="242" w:line="360" w:lineRule="auto"/>
        <w:ind w:left="425" w:right="633" w:firstLine="30"/>
      </w:pPr>
      <w:r>
        <w:rPr>
          <w:rFonts w:ascii="Arial" w:hAnsi="Arial"/>
          <w:i/>
        </w:rPr>
        <w:t>Nota.</w:t>
      </w:r>
      <w:r>
        <w:rPr>
          <w:rFonts w:ascii="Arial" w:hAnsi="Arial"/>
          <w:i/>
          <w:spacing w:val="40"/>
        </w:rPr>
        <w:t xml:space="preserve"> </w:t>
      </w:r>
      <w:r>
        <w:t>Los</w:t>
      </w:r>
      <w:r>
        <w:rPr>
          <w:spacing w:val="40"/>
        </w:rPr>
        <w:t xml:space="preserve"> </w:t>
      </w:r>
      <w:r>
        <w:t>cálculos</w:t>
      </w:r>
      <w:r>
        <w:rPr>
          <w:spacing w:val="40"/>
        </w:rPr>
        <w:t xml:space="preserve"> </w:t>
      </w:r>
      <w:r>
        <w:t>consideran</w:t>
      </w:r>
      <w:r>
        <w:rPr>
          <w:spacing w:val="40"/>
        </w:rPr>
        <w:t xml:space="preserve"> </w:t>
      </w:r>
      <w:r>
        <w:t>un</w:t>
      </w:r>
      <w:r>
        <w:rPr>
          <w:spacing w:val="40"/>
        </w:rPr>
        <w:t xml:space="preserve"> </w:t>
      </w:r>
      <w:r>
        <w:t>valor</w:t>
      </w:r>
      <w:r>
        <w:rPr>
          <w:spacing w:val="40"/>
        </w:rPr>
        <w:t xml:space="preserve"> </w:t>
      </w:r>
      <w:r>
        <w:t>residual</w:t>
      </w:r>
      <w:r>
        <w:rPr>
          <w:spacing w:val="40"/>
        </w:rPr>
        <w:t xml:space="preserve"> </w:t>
      </w:r>
      <w:r>
        <w:t>al</w:t>
      </w:r>
      <w:r>
        <w:rPr>
          <w:spacing w:val="40"/>
        </w:rPr>
        <w:t xml:space="preserve"> </w:t>
      </w:r>
      <w:r>
        <w:t>año</w:t>
      </w:r>
      <w:r>
        <w:rPr>
          <w:spacing w:val="40"/>
        </w:rPr>
        <w:t xml:space="preserve"> </w:t>
      </w:r>
      <w:r>
        <w:t>5</w:t>
      </w:r>
      <w:r>
        <w:rPr>
          <w:spacing w:val="40"/>
        </w:rPr>
        <w:t xml:space="preserve"> </w:t>
      </w:r>
      <w:r>
        <w:t>basado</w:t>
      </w:r>
      <w:r>
        <w:rPr>
          <w:spacing w:val="40"/>
        </w:rPr>
        <w:t xml:space="preserve"> </w:t>
      </w:r>
      <w:r>
        <w:t>en</w:t>
      </w:r>
      <w:r>
        <w:rPr>
          <w:spacing w:val="40"/>
        </w:rPr>
        <w:t xml:space="preserve"> </w:t>
      </w:r>
      <w:r>
        <w:t>un</w:t>
      </w:r>
      <w:r>
        <w:rPr>
          <w:spacing w:val="40"/>
        </w:rPr>
        <w:t xml:space="preserve"> </w:t>
      </w:r>
      <w:r>
        <w:t>crecimiento perpetuo conservador del 2%. Elaboración propia (2025).</w:t>
      </w:r>
    </w:p>
    <w:p w:rsidR="009B4BB4" w:rsidRDefault="00C44001">
      <w:pPr>
        <w:pStyle w:val="Textoindependiente"/>
        <w:spacing w:line="360" w:lineRule="auto"/>
        <w:ind w:left="425" w:right="602" w:firstLine="720"/>
        <w:jc w:val="both"/>
      </w:pPr>
      <w:r>
        <w:t>Estos resultados financieros indican que Guardiana cuenta con la solvencia necesaria para financiar su crecimiento orgánico y maximizar su valor de me</w:t>
      </w:r>
      <w:r>
        <w:t>rcado sin comprometer su integridad ética. La rentabilidad</w:t>
      </w:r>
      <w:r>
        <w:rPr>
          <w:spacing w:val="-4"/>
        </w:rPr>
        <w:t xml:space="preserve"> </w:t>
      </w:r>
      <w:r>
        <w:t>del</w:t>
      </w:r>
      <w:r>
        <w:rPr>
          <w:spacing w:val="-4"/>
        </w:rPr>
        <w:t xml:space="preserve"> </w:t>
      </w:r>
      <w:r>
        <w:t>modelo</w:t>
      </w:r>
      <w:r>
        <w:rPr>
          <w:spacing w:val="-4"/>
        </w:rPr>
        <w:t xml:space="preserve"> </w:t>
      </w:r>
      <w:r>
        <w:t>no</w:t>
      </w:r>
      <w:r>
        <w:rPr>
          <w:spacing w:val="-4"/>
        </w:rPr>
        <w:t xml:space="preserve"> </w:t>
      </w:r>
      <w:r>
        <w:t>se</w:t>
      </w:r>
      <w:r>
        <w:rPr>
          <w:spacing w:val="-4"/>
        </w:rPr>
        <w:t xml:space="preserve"> </w:t>
      </w:r>
      <w:r>
        <w:t>basa</w:t>
      </w:r>
      <w:r>
        <w:rPr>
          <w:spacing w:val="-4"/>
        </w:rPr>
        <w:t xml:space="preserve"> </w:t>
      </w:r>
      <w:r>
        <w:t>en</w:t>
      </w:r>
      <w:r>
        <w:rPr>
          <w:spacing w:val="-4"/>
        </w:rPr>
        <w:t xml:space="preserve"> </w:t>
      </w:r>
      <w:r>
        <w:t>la</w:t>
      </w:r>
      <w:r>
        <w:rPr>
          <w:spacing w:val="-4"/>
        </w:rPr>
        <w:t xml:space="preserve"> </w:t>
      </w:r>
      <w:r>
        <w:t>explotación de grandes volúmenes, sino en</w:t>
      </w:r>
      <w:r>
        <w:rPr>
          <w:spacing w:val="-3"/>
        </w:rPr>
        <w:t xml:space="preserve"> </w:t>
      </w:r>
      <w:r>
        <w:t>la</w:t>
      </w:r>
      <w:r>
        <w:rPr>
          <w:spacing w:val="-3"/>
        </w:rPr>
        <w:t xml:space="preserve"> </w:t>
      </w:r>
      <w:r>
        <w:t>eficiencia</w:t>
      </w:r>
      <w:r>
        <w:rPr>
          <w:spacing w:val="-3"/>
        </w:rPr>
        <w:t xml:space="preserve"> </w:t>
      </w:r>
      <w:r>
        <w:t>en</w:t>
      </w:r>
      <w:r>
        <w:rPr>
          <w:spacing w:val="-3"/>
        </w:rPr>
        <w:t xml:space="preserve"> </w:t>
      </w:r>
      <w:r>
        <w:t>el</w:t>
      </w:r>
      <w:r>
        <w:rPr>
          <w:spacing w:val="-3"/>
        </w:rPr>
        <w:t xml:space="preserve"> </w:t>
      </w:r>
      <w:r>
        <w:t>uso</w:t>
      </w:r>
      <w:r>
        <w:rPr>
          <w:spacing w:val="-3"/>
        </w:rPr>
        <w:t xml:space="preserve"> </w:t>
      </w:r>
      <w:r>
        <w:t>del</w:t>
      </w:r>
      <w:r>
        <w:rPr>
          <w:spacing w:val="-3"/>
        </w:rPr>
        <w:t xml:space="preserve"> </w:t>
      </w:r>
      <w:r>
        <w:t>capital</w:t>
      </w:r>
      <w:r>
        <w:rPr>
          <w:spacing w:val="-3"/>
        </w:rPr>
        <w:t xml:space="preserve"> </w:t>
      </w:r>
      <w:r>
        <w:t>y</w:t>
      </w:r>
      <w:r>
        <w:rPr>
          <w:spacing w:val="-3"/>
        </w:rPr>
        <w:t xml:space="preserve"> </w:t>
      </w:r>
      <w:r>
        <w:t>en</w:t>
      </w:r>
      <w:r>
        <w:rPr>
          <w:spacing w:val="-3"/>
        </w:rPr>
        <w:t xml:space="preserve"> </w:t>
      </w:r>
      <w:r>
        <w:t>un</w:t>
      </w:r>
      <w:r>
        <w:rPr>
          <w:spacing w:val="-3"/>
        </w:rPr>
        <w:t xml:space="preserve"> </w:t>
      </w:r>
      <w:r>
        <w:t>posicionamiento de marca sólido dentro de un segmento dispuesto a pagar por la sostenibilidad y la autenticidad, consolidando un modelo rentable alineado con su propósito.</w:t>
      </w:r>
    </w:p>
    <w:p w:rsidR="009B4BB4" w:rsidRDefault="00C44001" w:rsidP="00C44001">
      <w:pPr>
        <w:pStyle w:val="Ttulo1"/>
        <w:numPr>
          <w:ilvl w:val="1"/>
          <w:numId w:val="14"/>
        </w:numPr>
        <w:tabs>
          <w:tab w:val="left" w:pos="818"/>
        </w:tabs>
        <w:spacing w:before="240"/>
        <w:ind w:left="818" w:hanging="363"/>
      </w:pPr>
      <w:r>
        <w:t>Punto</w:t>
      </w:r>
      <w:r>
        <w:rPr>
          <w:spacing w:val="-4"/>
        </w:rPr>
        <w:t xml:space="preserve"> </w:t>
      </w:r>
      <w:r>
        <w:t>de</w:t>
      </w:r>
      <w:r>
        <w:rPr>
          <w:spacing w:val="-3"/>
        </w:rPr>
        <w:t xml:space="preserve"> </w:t>
      </w:r>
      <w:r>
        <w:rPr>
          <w:spacing w:val="-2"/>
        </w:rPr>
        <w:t>Equilibrio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5" w:firstLine="720"/>
        <w:jc w:val="both"/>
      </w:pPr>
      <w:r>
        <w:t>El cálculo del punto de equilibrio (</w:t>
      </w:r>
      <w:r>
        <w:rPr>
          <w:rFonts w:ascii="Arial" w:hAnsi="Arial"/>
          <w:i/>
        </w:rPr>
        <w:t xml:space="preserve">break-even point) </w:t>
      </w:r>
      <w:r>
        <w:t>permite</w:t>
      </w:r>
      <w:r>
        <w:rPr>
          <w:spacing w:val="-4"/>
        </w:rPr>
        <w:t xml:space="preserve"> </w:t>
      </w:r>
      <w:r>
        <w:t>i</w:t>
      </w:r>
      <w:r>
        <w:t>dentificar</w:t>
      </w:r>
      <w:r>
        <w:rPr>
          <w:spacing w:val="-4"/>
        </w:rPr>
        <w:t xml:space="preserve"> </w:t>
      </w:r>
      <w:r>
        <w:t>el</w:t>
      </w:r>
      <w:r>
        <w:rPr>
          <w:spacing w:val="-4"/>
        </w:rPr>
        <w:t xml:space="preserve"> </w:t>
      </w:r>
      <w:r>
        <w:t>volumen mínimo de ventas necesario para cubrir los costos fijos y variables, asegurando la sostenibilidad operativa sin depender de financiamiento externo. En el caso de Guardiana, el análisis considera el mix de ventas ponderado (60% frascos</w:t>
      </w:r>
      <w:r>
        <w:t xml:space="preserve"> y 40%</w:t>
      </w:r>
      <w:r>
        <w:rPr>
          <w:spacing w:val="40"/>
        </w:rPr>
        <w:t xml:space="preserve"> </w:t>
      </w:r>
      <w:r>
        <w:t xml:space="preserve">goteros) y la estructura de costos </w:t>
      </w:r>
      <w:r>
        <w:rPr>
          <w:rFonts w:ascii="Arial" w:hAnsi="Arial"/>
          <w:i/>
        </w:rPr>
        <w:t xml:space="preserve">asset-light </w:t>
      </w:r>
      <w:r>
        <w:t>validada previamente:</w:t>
      </w:r>
    </w:p>
    <w:p w:rsidR="009B4BB4" w:rsidRDefault="00C44001" w:rsidP="00C44001">
      <w:pPr>
        <w:pStyle w:val="Prrafodelista"/>
        <w:numPr>
          <w:ilvl w:val="0"/>
          <w:numId w:val="10"/>
        </w:numPr>
        <w:tabs>
          <w:tab w:val="left" w:pos="1145"/>
        </w:tabs>
        <w:spacing w:line="360" w:lineRule="auto"/>
        <w:ind w:right="606"/>
      </w:pPr>
      <w:r>
        <w:rPr>
          <w:rFonts w:ascii="Arial" w:hAnsi="Arial"/>
          <w:b/>
        </w:rPr>
        <w:t>Precio</w:t>
      </w:r>
      <w:r>
        <w:rPr>
          <w:rFonts w:ascii="Arial" w:hAnsi="Arial"/>
          <w:b/>
          <w:spacing w:val="80"/>
        </w:rPr>
        <w:t xml:space="preserve"> </w:t>
      </w:r>
      <w:r>
        <w:rPr>
          <w:rFonts w:ascii="Arial" w:hAnsi="Arial"/>
          <w:b/>
        </w:rPr>
        <w:t>medio</w:t>
      </w:r>
      <w:r>
        <w:rPr>
          <w:rFonts w:ascii="Arial" w:hAnsi="Arial"/>
          <w:b/>
          <w:spacing w:val="80"/>
        </w:rPr>
        <w:t xml:space="preserve"> </w:t>
      </w:r>
      <w:r>
        <w:rPr>
          <w:rFonts w:ascii="Arial" w:hAnsi="Arial"/>
          <w:b/>
        </w:rPr>
        <w:t>ponderado:</w:t>
      </w:r>
      <w:r>
        <w:rPr>
          <w:rFonts w:ascii="Arial" w:hAnsi="Arial"/>
          <w:b/>
          <w:spacing w:val="80"/>
        </w:rPr>
        <w:t xml:space="preserve"> </w:t>
      </w:r>
      <w:r>
        <w:t>$26.20</w:t>
      </w:r>
      <w:r>
        <w:rPr>
          <w:spacing w:val="80"/>
        </w:rPr>
        <w:t xml:space="preserve"> </w:t>
      </w:r>
      <w:r>
        <w:t>USD</w:t>
      </w:r>
      <w:r>
        <w:rPr>
          <w:spacing w:val="80"/>
        </w:rPr>
        <w:t xml:space="preserve"> </w:t>
      </w:r>
      <w:r>
        <w:t>(promedio</w:t>
      </w:r>
      <w:r>
        <w:rPr>
          <w:spacing w:val="80"/>
        </w:rPr>
        <w:t xml:space="preserve"> </w:t>
      </w:r>
      <w:r>
        <w:t>entre</w:t>
      </w:r>
      <w:r>
        <w:rPr>
          <w:spacing w:val="80"/>
        </w:rPr>
        <w:t xml:space="preserve"> </w:t>
      </w:r>
      <w:r>
        <w:t>presentaciones</w:t>
      </w:r>
      <w:r>
        <w:rPr>
          <w:spacing w:val="80"/>
        </w:rPr>
        <w:t xml:space="preserve"> </w:t>
      </w:r>
      <w:r>
        <w:t xml:space="preserve">y </w:t>
      </w:r>
      <w:r>
        <w:rPr>
          <w:spacing w:val="-2"/>
        </w:rPr>
        <w:t>canales).</w:t>
      </w:r>
    </w:p>
    <w:p w:rsidR="009B4BB4" w:rsidRDefault="00C44001" w:rsidP="00C44001">
      <w:pPr>
        <w:pStyle w:val="Prrafodelista"/>
        <w:numPr>
          <w:ilvl w:val="0"/>
          <w:numId w:val="10"/>
        </w:numPr>
        <w:tabs>
          <w:tab w:val="left" w:pos="1145"/>
        </w:tabs>
        <w:spacing w:before="1" w:line="360" w:lineRule="auto"/>
        <w:ind w:right="615"/>
      </w:pPr>
      <w:r>
        <w:rPr>
          <w:rFonts w:ascii="Arial" w:hAnsi="Arial"/>
          <w:b/>
        </w:rPr>
        <w:t>Costo</w:t>
      </w:r>
      <w:r>
        <w:rPr>
          <w:rFonts w:ascii="Arial" w:hAnsi="Arial"/>
          <w:b/>
          <w:spacing w:val="80"/>
        </w:rPr>
        <w:t xml:space="preserve"> </w:t>
      </w:r>
      <w:r>
        <w:rPr>
          <w:rFonts w:ascii="Arial" w:hAnsi="Arial"/>
          <w:b/>
        </w:rPr>
        <w:t>variable</w:t>
      </w:r>
      <w:r>
        <w:rPr>
          <w:rFonts w:ascii="Arial" w:hAnsi="Arial"/>
          <w:b/>
          <w:spacing w:val="80"/>
        </w:rPr>
        <w:t xml:space="preserve"> </w:t>
      </w:r>
      <w:r>
        <w:rPr>
          <w:rFonts w:ascii="Arial" w:hAnsi="Arial"/>
          <w:b/>
        </w:rPr>
        <w:t>unitario</w:t>
      </w:r>
      <w:r>
        <w:rPr>
          <w:rFonts w:ascii="Arial" w:hAnsi="Arial"/>
          <w:b/>
          <w:spacing w:val="80"/>
        </w:rPr>
        <w:t xml:space="preserve"> </w:t>
      </w:r>
      <w:r>
        <w:rPr>
          <w:rFonts w:ascii="Arial" w:hAnsi="Arial"/>
          <w:b/>
        </w:rPr>
        <w:t>ponderado:</w:t>
      </w:r>
      <w:r>
        <w:rPr>
          <w:rFonts w:ascii="Arial" w:hAnsi="Arial"/>
          <w:b/>
          <w:spacing w:val="80"/>
        </w:rPr>
        <w:t xml:space="preserve"> </w:t>
      </w:r>
      <w:r>
        <w:t>$9.40</w:t>
      </w:r>
      <w:r>
        <w:rPr>
          <w:spacing w:val="80"/>
        </w:rPr>
        <w:t xml:space="preserve"> </w:t>
      </w:r>
      <w:r>
        <w:t>USD</w:t>
      </w:r>
      <w:r>
        <w:rPr>
          <w:spacing w:val="80"/>
        </w:rPr>
        <w:t xml:space="preserve"> </w:t>
      </w:r>
      <w:r>
        <w:t>(promedio</w:t>
      </w:r>
      <w:r>
        <w:rPr>
          <w:spacing w:val="80"/>
        </w:rPr>
        <w:t xml:space="preserve"> </w:t>
      </w:r>
      <w:r>
        <w:t>de</w:t>
      </w:r>
      <w:r>
        <w:rPr>
          <w:spacing w:val="80"/>
        </w:rPr>
        <w:t xml:space="preserve"> </w:t>
      </w:r>
      <w:r>
        <w:t>producción ajustado a comercio justo).</w:t>
      </w:r>
    </w:p>
    <w:p w:rsidR="009B4BB4" w:rsidRDefault="00C44001" w:rsidP="00C44001">
      <w:pPr>
        <w:pStyle w:val="Prrafodelista"/>
        <w:numPr>
          <w:ilvl w:val="0"/>
          <w:numId w:val="10"/>
        </w:numPr>
        <w:tabs>
          <w:tab w:val="left" w:pos="1145"/>
        </w:tabs>
        <w:spacing w:before="0"/>
      </w:pPr>
      <w:r>
        <w:rPr>
          <w:rFonts w:ascii="Arial" w:hAnsi="Arial"/>
          <w:b/>
        </w:rPr>
        <w:t>Margen</w:t>
      </w:r>
      <w:r>
        <w:rPr>
          <w:rFonts w:ascii="Arial" w:hAnsi="Arial"/>
          <w:b/>
          <w:spacing w:val="-8"/>
        </w:rPr>
        <w:t xml:space="preserve"> </w:t>
      </w:r>
      <w:r>
        <w:rPr>
          <w:rFonts w:ascii="Arial" w:hAnsi="Arial"/>
          <w:b/>
        </w:rPr>
        <w:t>de</w:t>
      </w:r>
      <w:r>
        <w:rPr>
          <w:rFonts w:ascii="Arial" w:hAnsi="Arial"/>
          <w:b/>
          <w:spacing w:val="-6"/>
        </w:rPr>
        <w:t xml:space="preserve"> </w:t>
      </w:r>
      <w:r>
        <w:rPr>
          <w:rFonts w:ascii="Arial" w:hAnsi="Arial"/>
          <w:b/>
        </w:rPr>
        <w:t>contribución</w:t>
      </w:r>
      <w:r>
        <w:rPr>
          <w:rFonts w:ascii="Arial" w:hAnsi="Arial"/>
          <w:b/>
          <w:spacing w:val="-6"/>
        </w:rPr>
        <w:t xml:space="preserve"> </w:t>
      </w:r>
      <w:r>
        <w:rPr>
          <w:rFonts w:ascii="Arial" w:hAnsi="Arial"/>
          <w:b/>
        </w:rPr>
        <w:t>unitario:</w:t>
      </w:r>
      <w:r>
        <w:rPr>
          <w:rFonts w:ascii="Arial" w:hAnsi="Arial"/>
          <w:b/>
          <w:spacing w:val="-5"/>
        </w:rPr>
        <w:t xml:space="preserve"> </w:t>
      </w:r>
      <w:r>
        <w:t>$16.80</w:t>
      </w:r>
      <w:r>
        <w:rPr>
          <w:spacing w:val="-6"/>
        </w:rPr>
        <w:t xml:space="preserve"> </w:t>
      </w:r>
      <w:r>
        <w:t>USD</w:t>
      </w:r>
      <w:r>
        <w:rPr>
          <w:spacing w:val="-6"/>
        </w:rPr>
        <w:t xml:space="preserve"> </w:t>
      </w:r>
      <w:r>
        <w:t>($26.20</w:t>
      </w:r>
      <w:r>
        <w:rPr>
          <w:spacing w:val="-6"/>
        </w:rPr>
        <w:t xml:space="preserve"> </w:t>
      </w:r>
      <w:r>
        <w:t>–</w:t>
      </w:r>
      <w:r>
        <w:rPr>
          <w:spacing w:val="-5"/>
        </w:rPr>
        <w:t xml:space="preserve"> </w:t>
      </w:r>
      <w:r>
        <w:rPr>
          <w:spacing w:val="-2"/>
        </w:rPr>
        <w:t>$9.40).</w:t>
      </w:r>
    </w:p>
    <w:p w:rsidR="009B4BB4" w:rsidRDefault="00C44001" w:rsidP="00C44001">
      <w:pPr>
        <w:pStyle w:val="Prrafodelista"/>
        <w:numPr>
          <w:ilvl w:val="0"/>
          <w:numId w:val="10"/>
        </w:numPr>
        <w:tabs>
          <w:tab w:val="left" w:pos="1145"/>
        </w:tabs>
        <w:spacing w:before="126"/>
      </w:pPr>
      <w:r>
        <w:rPr>
          <w:rFonts w:ascii="Arial" w:hAnsi="Arial"/>
          <w:b/>
        </w:rPr>
        <w:t>Costos</w:t>
      </w:r>
      <w:r>
        <w:rPr>
          <w:rFonts w:ascii="Arial" w:hAnsi="Arial"/>
          <w:b/>
          <w:spacing w:val="-8"/>
        </w:rPr>
        <w:t xml:space="preserve"> </w:t>
      </w:r>
      <w:r>
        <w:rPr>
          <w:rFonts w:ascii="Arial" w:hAnsi="Arial"/>
          <w:b/>
        </w:rPr>
        <w:t>fijos</w:t>
      </w:r>
      <w:r>
        <w:rPr>
          <w:rFonts w:ascii="Arial" w:hAnsi="Arial"/>
          <w:b/>
          <w:spacing w:val="-6"/>
        </w:rPr>
        <w:t xml:space="preserve"> </w:t>
      </w:r>
      <w:r>
        <w:rPr>
          <w:rFonts w:ascii="Arial" w:hAnsi="Arial"/>
          <w:b/>
        </w:rPr>
        <w:t>anuales:</w:t>
      </w:r>
      <w:r>
        <w:rPr>
          <w:rFonts w:ascii="Arial" w:hAnsi="Arial"/>
          <w:b/>
          <w:spacing w:val="-5"/>
        </w:rPr>
        <w:t xml:space="preserve"> </w:t>
      </w:r>
      <w:r>
        <w:t>$3,622</w:t>
      </w:r>
      <w:r>
        <w:rPr>
          <w:spacing w:val="-6"/>
        </w:rPr>
        <w:t xml:space="preserve"> </w:t>
      </w:r>
      <w:r>
        <w:t>USD</w:t>
      </w:r>
      <w:r>
        <w:rPr>
          <w:spacing w:val="-6"/>
        </w:rPr>
        <w:t xml:space="preserve"> </w:t>
      </w:r>
      <w:r>
        <w:t>(gastos</w:t>
      </w:r>
      <w:r>
        <w:rPr>
          <w:spacing w:val="-5"/>
        </w:rPr>
        <w:t xml:space="preserve"> </w:t>
      </w:r>
      <w:r>
        <w:t>operativos</w:t>
      </w:r>
      <w:r>
        <w:rPr>
          <w:spacing w:val="-6"/>
        </w:rPr>
        <w:t xml:space="preserve"> </w:t>
      </w:r>
      <w:r>
        <w:t>del</w:t>
      </w:r>
      <w:r>
        <w:rPr>
          <w:spacing w:val="-6"/>
        </w:rPr>
        <w:t xml:space="preserve"> </w:t>
      </w:r>
      <w:r>
        <w:t>Año</w:t>
      </w:r>
      <w:r>
        <w:rPr>
          <w:spacing w:val="-5"/>
        </w:rPr>
        <w:t xml:space="preserve"> 1).</w:t>
      </w:r>
    </w:p>
    <w:p w:rsidR="009B4BB4" w:rsidRDefault="009B4BB4">
      <w:pPr>
        <w:pStyle w:val="Prrafodelista"/>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firstLine="720"/>
      </w:pPr>
      <w:r>
        <w:lastRenderedPageBreak/>
        <w:t>Con</w:t>
      </w:r>
      <w:r>
        <w:rPr>
          <w:spacing w:val="80"/>
        </w:rPr>
        <w:t xml:space="preserve"> </w:t>
      </w:r>
      <w:r>
        <w:t>base</w:t>
      </w:r>
      <w:r>
        <w:rPr>
          <w:spacing w:val="80"/>
        </w:rPr>
        <w:t xml:space="preserve"> </w:t>
      </w:r>
      <w:r>
        <w:t>en</w:t>
      </w:r>
      <w:r>
        <w:rPr>
          <w:spacing w:val="71"/>
        </w:rPr>
        <w:t xml:space="preserve"> </w:t>
      </w:r>
      <w:r>
        <w:t>estos</w:t>
      </w:r>
      <w:r>
        <w:rPr>
          <w:spacing w:val="71"/>
        </w:rPr>
        <w:t xml:space="preserve"> </w:t>
      </w:r>
      <w:r>
        <w:t>parámetros,</w:t>
      </w:r>
      <w:r>
        <w:rPr>
          <w:spacing w:val="71"/>
        </w:rPr>
        <w:t xml:space="preserve"> </w:t>
      </w:r>
      <w:r>
        <w:t>se</w:t>
      </w:r>
      <w:r>
        <w:rPr>
          <w:spacing w:val="71"/>
        </w:rPr>
        <w:t xml:space="preserve"> </w:t>
      </w:r>
      <w:r>
        <w:t>determina</w:t>
      </w:r>
      <w:r>
        <w:rPr>
          <w:spacing w:val="71"/>
        </w:rPr>
        <w:t xml:space="preserve"> </w:t>
      </w:r>
      <w:r>
        <w:t>el</w:t>
      </w:r>
      <w:r>
        <w:rPr>
          <w:spacing w:val="71"/>
        </w:rPr>
        <w:t xml:space="preserve"> </w:t>
      </w:r>
      <w:r>
        <w:t>nivel</w:t>
      </w:r>
      <w:r>
        <w:rPr>
          <w:spacing w:val="71"/>
        </w:rPr>
        <w:t xml:space="preserve"> </w:t>
      </w:r>
      <w:r>
        <w:t>mínimo</w:t>
      </w:r>
      <w:r>
        <w:rPr>
          <w:spacing w:val="71"/>
        </w:rPr>
        <w:t xml:space="preserve"> </w:t>
      </w:r>
      <w:r>
        <w:t>de</w:t>
      </w:r>
      <w:r>
        <w:rPr>
          <w:spacing w:val="71"/>
        </w:rPr>
        <w:t xml:space="preserve"> </w:t>
      </w:r>
      <w:r>
        <w:t>unidades necesarias para alcanzar el punto de equi</w:t>
      </w:r>
      <w:r>
        <w:t>librio del proyecto.</w:t>
      </w:r>
    </w:p>
    <w:p w:rsidR="009B4BB4" w:rsidRDefault="00C44001">
      <w:pPr>
        <w:pStyle w:val="Ttulo1"/>
        <w:spacing w:before="240"/>
      </w:pPr>
      <w:r>
        <w:rPr>
          <w:spacing w:val="-2"/>
        </w:rPr>
        <w:t>Tabla</w:t>
      </w:r>
      <w:r>
        <w:rPr>
          <w:spacing w:val="-13"/>
        </w:rPr>
        <w:t xml:space="preserve"> </w:t>
      </w:r>
      <w:r>
        <w:rPr>
          <w:spacing w:val="-4"/>
        </w:rPr>
        <w:t>7.14</w:t>
      </w:r>
    </w:p>
    <w:p w:rsidR="009B4BB4" w:rsidRDefault="00C44001">
      <w:pPr>
        <w:spacing w:before="127"/>
        <w:ind w:left="455"/>
        <w:rPr>
          <w:rFonts w:ascii="Arial" w:hAnsi="Arial"/>
          <w:i/>
        </w:rPr>
      </w:pPr>
      <w:r>
        <w:rPr>
          <w:rFonts w:ascii="Arial" w:hAnsi="Arial"/>
          <w:i/>
        </w:rPr>
        <w:t>Cálculo</w:t>
      </w:r>
      <w:r>
        <w:rPr>
          <w:rFonts w:ascii="Arial" w:hAnsi="Arial"/>
          <w:i/>
          <w:spacing w:val="-8"/>
        </w:rPr>
        <w:t xml:space="preserve"> </w:t>
      </w:r>
      <w:r>
        <w:rPr>
          <w:rFonts w:ascii="Arial" w:hAnsi="Arial"/>
          <w:i/>
        </w:rPr>
        <w:t>del</w:t>
      </w:r>
      <w:r>
        <w:rPr>
          <w:rFonts w:ascii="Arial" w:hAnsi="Arial"/>
          <w:i/>
          <w:spacing w:val="-5"/>
        </w:rPr>
        <w:t xml:space="preserve"> </w:t>
      </w:r>
      <w:r>
        <w:rPr>
          <w:rFonts w:ascii="Arial" w:hAnsi="Arial"/>
          <w:i/>
        </w:rPr>
        <w:t>punto</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equilibrio</w:t>
      </w:r>
      <w:r>
        <w:rPr>
          <w:rFonts w:ascii="Arial" w:hAnsi="Arial"/>
          <w:i/>
          <w:spacing w:val="-5"/>
        </w:rPr>
        <w:t xml:space="preserve"> </w:t>
      </w:r>
      <w:r>
        <w:rPr>
          <w:rFonts w:ascii="Arial" w:hAnsi="Arial"/>
          <w:i/>
        </w:rPr>
        <w:t>operativo</w:t>
      </w:r>
      <w:r>
        <w:rPr>
          <w:rFonts w:ascii="Arial" w:hAnsi="Arial"/>
          <w:i/>
          <w:spacing w:val="-5"/>
        </w:rPr>
        <w:t xml:space="preserve"> </w:t>
      </w:r>
      <w:r>
        <w:rPr>
          <w:rFonts w:ascii="Arial" w:hAnsi="Arial"/>
          <w:i/>
        </w:rPr>
        <w:t>para</w:t>
      </w:r>
      <w:r>
        <w:rPr>
          <w:rFonts w:ascii="Arial" w:hAnsi="Arial"/>
          <w:i/>
          <w:spacing w:val="-6"/>
        </w:rPr>
        <w:t xml:space="preserve"> </w:t>
      </w:r>
      <w:r>
        <w:rPr>
          <w:rFonts w:ascii="Arial" w:hAnsi="Arial"/>
          <w:i/>
        </w:rPr>
        <w:t>el</w:t>
      </w:r>
      <w:r>
        <w:rPr>
          <w:rFonts w:ascii="Arial" w:hAnsi="Arial"/>
          <w:i/>
          <w:spacing w:val="-5"/>
        </w:rPr>
        <w:t xml:space="preserve"> </w:t>
      </w:r>
      <w:r>
        <w:rPr>
          <w:rFonts w:ascii="Arial" w:hAnsi="Arial"/>
          <w:i/>
        </w:rPr>
        <w:t>primer</w:t>
      </w:r>
      <w:r>
        <w:rPr>
          <w:rFonts w:ascii="Arial" w:hAnsi="Arial"/>
          <w:i/>
          <w:spacing w:val="-5"/>
        </w:rPr>
        <w:t xml:space="preserve"> año</w:t>
      </w:r>
    </w:p>
    <w:p w:rsidR="009B4BB4" w:rsidRDefault="009B4BB4">
      <w:pPr>
        <w:pStyle w:val="Textoindependiente"/>
        <w:spacing w:before="5"/>
        <w:rPr>
          <w:rFonts w:ascii="Arial"/>
          <w:i/>
          <w:sz w:val="9"/>
        </w:rPr>
      </w:pPr>
    </w:p>
    <w:tbl>
      <w:tblPr>
        <w:tblStyle w:val="TableNormal"/>
        <w:tblW w:w="0" w:type="auto"/>
        <w:tblInd w:w="432" w:type="dxa"/>
        <w:tblLayout w:type="fixed"/>
        <w:tblLook w:val="01E0" w:firstRow="1" w:lastRow="1" w:firstColumn="1" w:lastColumn="1" w:noHBand="0" w:noVBand="0"/>
      </w:tblPr>
      <w:tblGrid>
        <w:gridCol w:w="3611"/>
        <w:gridCol w:w="1490"/>
      </w:tblGrid>
      <w:tr w:rsidR="009B4BB4">
        <w:trPr>
          <w:trHeight w:val="479"/>
        </w:trPr>
        <w:tc>
          <w:tcPr>
            <w:tcW w:w="3611" w:type="dxa"/>
            <w:tcBorders>
              <w:top w:val="single" w:sz="8" w:space="0" w:color="000000"/>
              <w:bottom w:val="single" w:sz="8" w:space="0" w:color="000000"/>
            </w:tcBorders>
          </w:tcPr>
          <w:p w:rsidR="009B4BB4" w:rsidRDefault="00C44001">
            <w:pPr>
              <w:pStyle w:val="TableParagraph"/>
              <w:spacing w:before="57"/>
              <w:ind w:left="75"/>
              <w:rPr>
                <w:rFonts w:ascii="Arial"/>
                <w:b/>
              </w:rPr>
            </w:pPr>
            <w:r>
              <w:rPr>
                <w:rFonts w:ascii="Arial"/>
                <w:b/>
                <w:spacing w:val="-2"/>
              </w:rPr>
              <w:t>Concepto</w:t>
            </w:r>
          </w:p>
        </w:tc>
        <w:tc>
          <w:tcPr>
            <w:tcW w:w="1490" w:type="dxa"/>
            <w:tcBorders>
              <w:top w:val="single" w:sz="8" w:space="0" w:color="000000"/>
              <w:bottom w:val="single" w:sz="8" w:space="0" w:color="000000"/>
            </w:tcBorders>
          </w:tcPr>
          <w:p w:rsidR="009B4BB4" w:rsidRDefault="00C44001">
            <w:pPr>
              <w:pStyle w:val="TableParagraph"/>
              <w:spacing w:before="57"/>
              <w:ind w:right="43"/>
              <w:jc w:val="right"/>
              <w:rPr>
                <w:rFonts w:ascii="Arial"/>
                <w:b/>
              </w:rPr>
            </w:pPr>
            <w:r>
              <w:rPr>
                <w:rFonts w:ascii="Arial"/>
                <w:b/>
                <w:spacing w:val="-2"/>
              </w:rPr>
              <w:t>Valor</w:t>
            </w:r>
          </w:p>
        </w:tc>
      </w:tr>
      <w:tr w:rsidR="009B4BB4">
        <w:trPr>
          <w:trHeight w:val="406"/>
        </w:trPr>
        <w:tc>
          <w:tcPr>
            <w:tcW w:w="3611" w:type="dxa"/>
            <w:tcBorders>
              <w:top w:val="single" w:sz="8" w:space="0" w:color="000000"/>
            </w:tcBorders>
          </w:tcPr>
          <w:p w:rsidR="009B4BB4" w:rsidRDefault="00C44001">
            <w:pPr>
              <w:pStyle w:val="TableParagraph"/>
              <w:spacing w:before="42"/>
              <w:ind w:left="75"/>
            </w:pPr>
            <w:r>
              <w:t>Precio</w:t>
            </w:r>
            <w:r>
              <w:rPr>
                <w:spacing w:val="-7"/>
              </w:rPr>
              <w:t xml:space="preserve"> </w:t>
            </w:r>
            <w:r>
              <w:t>Promedio</w:t>
            </w:r>
            <w:r>
              <w:rPr>
                <w:spacing w:val="-7"/>
              </w:rPr>
              <w:t xml:space="preserve"> </w:t>
            </w:r>
            <w:r>
              <w:rPr>
                <w:spacing w:val="-2"/>
              </w:rPr>
              <w:t>Ponderado</w:t>
            </w:r>
          </w:p>
        </w:tc>
        <w:tc>
          <w:tcPr>
            <w:tcW w:w="1490" w:type="dxa"/>
            <w:tcBorders>
              <w:top w:val="single" w:sz="8" w:space="0" w:color="000000"/>
            </w:tcBorders>
          </w:tcPr>
          <w:p w:rsidR="009B4BB4" w:rsidRDefault="00C44001">
            <w:pPr>
              <w:pStyle w:val="TableParagraph"/>
              <w:spacing w:before="42"/>
              <w:ind w:right="43"/>
              <w:jc w:val="right"/>
            </w:pPr>
            <w:r>
              <w:rPr>
                <w:spacing w:val="-2"/>
              </w:rPr>
              <w:t>$26.20</w:t>
            </w:r>
          </w:p>
        </w:tc>
      </w:tr>
      <w:tr w:rsidR="009B4BB4">
        <w:trPr>
          <w:trHeight w:val="469"/>
        </w:trPr>
        <w:tc>
          <w:tcPr>
            <w:tcW w:w="3611" w:type="dxa"/>
          </w:tcPr>
          <w:p w:rsidR="009B4BB4" w:rsidRDefault="00C44001">
            <w:pPr>
              <w:pStyle w:val="TableParagraph"/>
              <w:spacing w:before="104"/>
              <w:ind w:left="75"/>
            </w:pPr>
            <w:r>
              <w:t>Costo</w:t>
            </w:r>
            <w:r>
              <w:rPr>
                <w:spacing w:val="-15"/>
              </w:rPr>
              <w:t xml:space="preserve"> </w:t>
            </w:r>
            <w:r>
              <w:t>Variable</w:t>
            </w:r>
            <w:r>
              <w:rPr>
                <w:spacing w:val="-14"/>
              </w:rPr>
              <w:t xml:space="preserve"> </w:t>
            </w:r>
            <w:r>
              <w:rPr>
                <w:spacing w:val="-2"/>
              </w:rPr>
              <w:t>Unitario</w:t>
            </w:r>
          </w:p>
        </w:tc>
        <w:tc>
          <w:tcPr>
            <w:tcW w:w="1490" w:type="dxa"/>
          </w:tcPr>
          <w:p w:rsidR="009B4BB4" w:rsidRDefault="00C44001">
            <w:pPr>
              <w:pStyle w:val="TableParagraph"/>
              <w:spacing w:before="104"/>
              <w:ind w:right="43"/>
              <w:jc w:val="right"/>
            </w:pPr>
            <w:r>
              <w:rPr>
                <w:spacing w:val="-2"/>
              </w:rPr>
              <w:t>$9.40</w:t>
            </w:r>
          </w:p>
        </w:tc>
      </w:tr>
      <w:tr w:rsidR="009B4BB4">
        <w:trPr>
          <w:trHeight w:val="469"/>
        </w:trPr>
        <w:tc>
          <w:tcPr>
            <w:tcW w:w="3611" w:type="dxa"/>
          </w:tcPr>
          <w:p w:rsidR="009B4BB4" w:rsidRDefault="00C44001">
            <w:pPr>
              <w:pStyle w:val="TableParagraph"/>
              <w:spacing w:before="104"/>
              <w:ind w:left="75"/>
            </w:pPr>
            <w:r>
              <w:t>Margen</w:t>
            </w:r>
            <w:r>
              <w:rPr>
                <w:spacing w:val="-4"/>
              </w:rPr>
              <w:t xml:space="preserve"> </w:t>
            </w:r>
            <w:r>
              <w:t>de</w:t>
            </w:r>
            <w:r>
              <w:rPr>
                <w:spacing w:val="-4"/>
              </w:rPr>
              <w:t xml:space="preserve"> </w:t>
            </w:r>
            <w:r>
              <w:rPr>
                <w:spacing w:val="-2"/>
              </w:rPr>
              <w:t>Contribución</w:t>
            </w:r>
          </w:p>
        </w:tc>
        <w:tc>
          <w:tcPr>
            <w:tcW w:w="1490" w:type="dxa"/>
          </w:tcPr>
          <w:p w:rsidR="009B4BB4" w:rsidRDefault="00C44001">
            <w:pPr>
              <w:pStyle w:val="TableParagraph"/>
              <w:spacing w:before="104"/>
              <w:ind w:right="43"/>
              <w:jc w:val="right"/>
            </w:pPr>
            <w:r>
              <w:rPr>
                <w:spacing w:val="-2"/>
              </w:rPr>
              <w:t>$16.80</w:t>
            </w:r>
          </w:p>
        </w:tc>
      </w:tr>
      <w:tr w:rsidR="009B4BB4">
        <w:trPr>
          <w:trHeight w:val="469"/>
        </w:trPr>
        <w:tc>
          <w:tcPr>
            <w:tcW w:w="3611" w:type="dxa"/>
          </w:tcPr>
          <w:p w:rsidR="009B4BB4" w:rsidRDefault="00C44001">
            <w:pPr>
              <w:pStyle w:val="TableParagraph"/>
              <w:spacing w:before="104"/>
              <w:ind w:left="75"/>
            </w:pPr>
            <w:r>
              <w:t>Costos</w:t>
            </w:r>
            <w:r>
              <w:rPr>
                <w:spacing w:val="-6"/>
              </w:rPr>
              <w:t xml:space="preserve"> </w:t>
            </w:r>
            <w:r>
              <w:t>Fijos</w:t>
            </w:r>
            <w:r>
              <w:rPr>
                <w:spacing w:val="-5"/>
              </w:rPr>
              <w:t xml:space="preserve"> </w:t>
            </w:r>
            <w:r>
              <w:rPr>
                <w:spacing w:val="-2"/>
              </w:rPr>
              <w:t>Anuales</w:t>
            </w:r>
          </w:p>
        </w:tc>
        <w:tc>
          <w:tcPr>
            <w:tcW w:w="1490" w:type="dxa"/>
          </w:tcPr>
          <w:p w:rsidR="009B4BB4" w:rsidRDefault="00C44001">
            <w:pPr>
              <w:pStyle w:val="TableParagraph"/>
              <w:spacing w:before="104"/>
              <w:ind w:right="43"/>
              <w:jc w:val="right"/>
            </w:pPr>
            <w:r>
              <w:rPr>
                <w:spacing w:val="-2"/>
              </w:rPr>
              <w:t>$3,622</w:t>
            </w:r>
          </w:p>
        </w:tc>
      </w:tr>
      <w:tr w:rsidR="009B4BB4">
        <w:trPr>
          <w:trHeight w:val="524"/>
        </w:trPr>
        <w:tc>
          <w:tcPr>
            <w:tcW w:w="3611" w:type="dxa"/>
            <w:tcBorders>
              <w:bottom w:val="single" w:sz="8" w:space="0" w:color="000000"/>
            </w:tcBorders>
          </w:tcPr>
          <w:p w:rsidR="009B4BB4" w:rsidRDefault="00C44001">
            <w:pPr>
              <w:pStyle w:val="TableParagraph"/>
              <w:spacing w:before="104"/>
              <w:ind w:left="75"/>
            </w:pPr>
            <w:r>
              <w:t>Unidades</w:t>
            </w:r>
            <w:r>
              <w:rPr>
                <w:spacing w:val="-5"/>
              </w:rPr>
              <w:t xml:space="preserve"> </w:t>
            </w:r>
            <w:r>
              <w:t>de</w:t>
            </w:r>
            <w:r>
              <w:rPr>
                <w:spacing w:val="-5"/>
              </w:rPr>
              <w:t xml:space="preserve"> </w:t>
            </w:r>
            <w:r>
              <w:rPr>
                <w:spacing w:val="-2"/>
              </w:rPr>
              <w:t>Equilibrio</w:t>
            </w:r>
          </w:p>
        </w:tc>
        <w:tc>
          <w:tcPr>
            <w:tcW w:w="1490" w:type="dxa"/>
            <w:tcBorders>
              <w:bottom w:val="single" w:sz="8" w:space="0" w:color="000000"/>
            </w:tcBorders>
          </w:tcPr>
          <w:p w:rsidR="009B4BB4" w:rsidRDefault="00C44001">
            <w:pPr>
              <w:pStyle w:val="TableParagraph"/>
              <w:spacing w:before="104"/>
              <w:ind w:right="43"/>
              <w:jc w:val="right"/>
            </w:pPr>
            <w:r>
              <w:rPr>
                <w:spacing w:val="-5"/>
              </w:rPr>
              <w:t>216</w:t>
            </w:r>
          </w:p>
        </w:tc>
      </w:tr>
      <w:tr w:rsidR="009B4BB4">
        <w:trPr>
          <w:trHeight w:val="460"/>
        </w:trPr>
        <w:tc>
          <w:tcPr>
            <w:tcW w:w="3611" w:type="dxa"/>
            <w:tcBorders>
              <w:top w:val="single" w:sz="8" w:space="0" w:color="000000"/>
              <w:bottom w:val="single" w:sz="8" w:space="0" w:color="000000"/>
            </w:tcBorders>
          </w:tcPr>
          <w:p w:rsidR="009B4BB4" w:rsidRDefault="00C44001">
            <w:pPr>
              <w:pStyle w:val="TableParagraph"/>
              <w:spacing w:before="44"/>
              <w:ind w:left="75"/>
              <w:rPr>
                <w:rFonts w:ascii="Arial"/>
                <w:b/>
              </w:rPr>
            </w:pPr>
            <w:r>
              <w:rPr>
                <w:rFonts w:ascii="Arial"/>
                <w:b/>
              </w:rPr>
              <w:t>Ventas</w:t>
            </w:r>
            <w:r>
              <w:rPr>
                <w:rFonts w:ascii="Arial"/>
                <w:b/>
                <w:spacing w:val="-10"/>
              </w:rPr>
              <w:t xml:space="preserve"> </w:t>
            </w:r>
            <w:r>
              <w:rPr>
                <w:rFonts w:ascii="Arial"/>
                <w:b/>
              </w:rPr>
              <w:t>de</w:t>
            </w:r>
            <w:r>
              <w:rPr>
                <w:rFonts w:ascii="Arial"/>
                <w:b/>
                <w:spacing w:val="-10"/>
              </w:rPr>
              <w:t xml:space="preserve"> </w:t>
            </w:r>
            <w:r>
              <w:rPr>
                <w:rFonts w:ascii="Arial"/>
                <w:b/>
                <w:spacing w:val="-2"/>
              </w:rPr>
              <w:t>Equilibrio</w:t>
            </w:r>
          </w:p>
        </w:tc>
        <w:tc>
          <w:tcPr>
            <w:tcW w:w="1490" w:type="dxa"/>
            <w:tcBorders>
              <w:top w:val="single" w:sz="8" w:space="0" w:color="000000"/>
              <w:bottom w:val="single" w:sz="8" w:space="0" w:color="000000"/>
            </w:tcBorders>
          </w:tcPr>
          <w:p w:rsidR="009B4BB4" w:rsidRDefault="00C44001">
            <w:pPr>
              <w:pStyle w:val="TableParagraph"/>
              <w:spacing w:before="44"/>
              <w:ind w:right="43"/>
              <w:jc w:val="right"/>
              <w:rPr>
                <w:rFonts w:ascii="Arial"/>
                <w:b/>
              </w:rPr>
            </w:pPr>
            <w:r>
              <w:rPr>
                <w:rFonts w:ascii="Arial"/>
                <w:b/>
                <w:spacing w:val="-2"/>
              </w:rPr>
              <w:t>$5,659</w:t>
            </w:r>
          </w:p>
        </w:tc>
      </w:tr>
    </w:tbl>
    <w:p w:rsidR="009B4BB4" w:rsidRDefault="00C44001">
      <w:pPr>
        <w:pStyle w:val="Textoindependiente"/>
        <w:spacing w:before="248" w:line="360" w:lineRule="auto"/>
        <w:ind w:left="425" w:right="611"/>
        <w:jc w:val="both"/>
      </w:pPr>
      <w:r>
        <w:rPr>
          <w:rFonts w:ascii="Arial" w:hAnsi="Arial"/>
          <w:i/>
        </w:rPr>
        <w:t xml:space="preserve">Nota. </w:t>
      </w:r>
      <w:r>
        <w:t>El punto de equilibrio se alcanza vendiendo el 41% de la meta proyectada para el primer año (500 unidades). Elaboración propia (2025).</w:t>
      </w:r>
    </w:p>
    <w:p w:rsidR="009B4BB4" w:rsidRDefault="00C44001">
      <w:pPr>
        <w:pStyle w:val="Ttulo1"/>
        <w:spacing w:before="239"/>
        <w:ind w:left="425"/>
      </w:pPr>
      <w:r>
        <w:t>Figura</w:t>
      </w:r>
      <w:r>
        <w:rPr>
          <w:spacing w:val="-6"/>
        </w:rPr>
        <w:t xml:space="preserve"> </w:t>
      </w:r>
      <w:r>
        <w:rPr>
          <w:spacing w:val="-5"/>
        </w:rPr>
        <w:t>7.1</w:t>
      </w:r>
    </w:p>
    <w:p w:rsidR="009B4BB4" w:rsidRDefault="00C44001">
      <w:pPr>
        <w:spacing w:before="127"/>
        <w:ind w:left="455"/>
        <w:rPr>
          <w:rFonts w:ascii="Arial" w:hAnsi="Arial"/>
          <w:i/>
        </w:rPr>
      </w:pPr>
      <w:r>
        <w:rPr>
          <w:rFonts w:ascii="Arial" w:hAnsi="Arial"/>
          <w:i/>
        </w:rPr>
        <w:t>Análisis</w:t>
      </w:r>
      <w:r>
        <w:rPr>
          <w:rFonts w:ascii="Arial" w:hAnsi="Arial"/>
          <w:i/>
          <w:spacing w:val="-8"/>
        </w:rPr>
        <w:t xml:space="preserve"> </w:t>
      </w:r>
      <w:r>
        <w:rPr>
          <w:rFonts w:ascii="Arial" w:hAnsi="Arial"/>
          <w:i/>
        </w:rPr>
        <w:t>del</w:t>
      </w:r>
      <w:r>
        <w:rPr>
          <w:rFonts w:ascii="Arial" w:hAnsi="Arial"/>
          <w:i/>
          <w:spacing w:val="-5"/>
        </w:rPr>
        <w:t xml:space="preserve"> </w:t>
      </w:r>
      <w:r>
        <w:rPr>
          <w:rFonts w:ascii="Arial" w:hAnsi="Arial"/>
          <w:i/>
        </w:rPr>
        <w:t>punto</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equilibrio</w:t>
      </w:r>
      <w:r>
        <w:rPr>
          <w:rFonts w:ascii="Arial" w:hAnsi="Arial"/>
          <w:i/>
          <w:spacing w:val="-5"/>
        </w:rPr>
        <w:t xml:space="preserve"> </w:t>
      </w:r>
      <w:r>
        <w:rPr>
          <w:rFonts w:ascii="Arial" w:hAnsi="Arial"/>
          <w:i/>
        </w:rPr>
        <w:t>operativo</w:t>
      </w:r>
      <w:r>
        <w:rPr>
          <w:rFonts w:ascii="Arial" w:hAnsi="Arial"/>
          <w:i/>
          <w:spacing w:val="-5"/>
        </w:rPr>
        <w:t xml:space="preserve"> </w:t>
      </w:r>
      <w:r>
        <w:rPr>
          <w:rFonts w:ascii="Arial" w:hAnsi="Arial"/>
          <w:i/>
        </w:rPr>
        <w:t>para</w:t>
      </w:r>
      <w:r>
        <w:rPr>
          <w:rFonts w:ascii="Arial" w:hAnsi="Arial"/>
          <w:i/>
          <w:spacing w:val="-5"/>
        </w:rPr>
        <w:t xml:space="preserve"> </w:t>
      </w:r>
      <w:r>
        <w:rPr>
          <w:rFonts w:ascii="Arial" w:hAnsi="Arial"/>
          <w:i/>
        </w:rPr>
        <w:t>el</w:t>
      </w:r>
      <w:r>
        <w:rPr>
          <w:rFonts w:ascii="Arial" w:hAnsi="Arial"/>
          <w:i/>
          <w:spacing w:val="-5"/>
        </w:rPr>
        <w:t xml:space="preserve"> </w:t>
      </w:r>
      <w:r>
        <w:rPr>
          <w:rFonts w:ascii="Arial" w:hAnsi="Arial"/>
          <w:i/>
        </w:rPr>
        <w:t>Año</w:t>
      </w:r>
      <w:r>
        <w:rPr>
          <w:rFonts w:ascii="Arial" w:hAnsi="Arial"/>
          <w:i/>
          <w:spacing w:val="-5"/>
        </w:rPr>
        <w:t xml:space="preserve"> </w:t>
      </w:r>
      <w:r>
        <w:rPr>
          <w:rFonts w:ascii="Arial" w:hAnsi="Arial"/>
          <w:i/>
          <w:spacing w:val="-10"/>
        </w:rPr>
        <w:t>1</w:t>
      </w:r>
    </w:p>
    <w:p w:rsidR="009B4BB4" w:rsidRDefault="009B4BB4">
      <w:pPr>
        <w:pStyle w:val="Textoindependiente"/>
        <w:spacing w:before="0"/>
        <w:rPr>
          <w:rFonts w:ascii="Arial"/>
          <w:i/>
          <w:sz w:val="20"/>
        </w:rPr>
      </w:pPr>
    </w:p>
    <w:p w:rsidR="009B4BB4" w:rsidRDefault="00C44001">
      <w:pPr>
        <w:pStyle w:val="Textoindependiente"/>
        <w:spacing w:before="52"/>
        <w:rPr>
          <w:rFonts w:ascii="Arial"/>
          <w:i/>
          <w:sz w:val="20"/>
        </w:rPr>
      </w:pPr>
      <w:r>
        <w:rPr>
          <w:rFonts w:ascii="Arial"/>
          <w:i/>
          <w:noProof/>
          <w:sz w:val="20"/>
          <w:lang w:val="es-AR" w:eastAsia="es-AR"/>
        </w:rPr>
        <w:drawing>
          <wp:anchor distT="0" distB="0" distL="0" distR="0" simplePos="0" relativeHeight="487603712" behindDoc="1" locked="0" layoutInCell="1" allowOverlap="1">
            <wp:simplePos x="0" y="0"/>
            <wp:positionH relativeFrom="page">
              <wp:posOffset>1372250</wp:posOffset>
            </wp:positionH>
            <wp:positionV relativeFrom="paragraph">
              <wp:posOffset>194863</wp:posOffset>
            </wp:positionV>
            <wp:extent cx="4141742" cy="238163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0" cstate="print"/>
                    <a:stretch>
                      <a:fillRect/>
                    </a:stretch>
                  </pic:blipFill>
                  <pic:spPr>
                    <a:xfrm>
                      <a:off x="0" y="0"/>
                      <a:ext cx="4141742" cy="2381631"/>
                    </a:xfrm>
                    <a:prstGeom prst="rect">
                      <a:avLst/>
                    </a:prstGeom>
                  </pic:spPr>
                </pic:pic>
              </a:graphicData>
            </a:graphic>
          </wp:anchor>
        </w:drawing>
      </w:r>
    </w:p>
    <w:p w:rsidR="009B4BB4" w:rsidRDefault="00C44001">
      <w:pPr>
        <w:pStyle w:val="Textoindependiente"/>
        <w:spacing w:before="175" w:line="360" w:lineRule="auto"/>
        <w:ind w:left="425" w:right="602"/>
        <w:jc w:val="both"/>
      </w:pPr>
      <w:r>
        <w:rPr>
          <w:rFonts w:ascii="Arial" w:hAnsi="Arial"/>
          <w:i/>
        </w:rPr>
        <w:t xml:space="preserve">Nota. </w:t>
      </w:r>
      <w:r>
        <w:t>El gráfico ilustra la intersección donde los ingresos totales igualan a los costos totales (fijos + variables). El área sombreada a la</w:t>
      </w:r>
      <w:r>
        <w:rPr>
          <w:spacing w:val="-3"/>
        </w:rPr>
        <w:t xml:space="preserve"> </w:t>
      </w:r>
      <w:r>
        <w:t>derecha</w:t>
      </w:r>
      <w:r>
        <w:rPr>
          <w:spacing w:val="-3"/>
        </w:rPr>
        <w:t xml:space="preserve"> </w:t>
      </w:r>
      <w:r>
        <w:t>representa</w:t>
      </w:r>
      <w:r>
        <w:rPr>
          <w:spacing w:val="-3"/>
        </w:rPr>
        <w:t xml:space="preserve"> </w:t>
      </w:r>
      <w:r>
        <w:t>la</w:t>
      </w:r>
      <w:r>
        <w:rPr>
          <w:spacing w:val="-3"/>
        </w:rPr>
        <w:t xml:space="preserve"> </w:t>
      </w:r>
      <w:r>
        <w:t>zona</w:t>
      </w:r>
      <w:r>
        <w:rPr>
          <w:spacing w:val="-3"/>
        </w:rPr>
        <w:t xml:space="preserve"> </w:t>
      </w:r>
      <w:r>
        <w:t>de</w:t>
      </w:r>
      <w:r>
        <w:rPr>
          <w:spacing w:val="-3"/>
        </w:rPr>
        <w:t xml:space="preserve"> </w:t>
      </w:r>
      <w:r>
        <w:t>utilidad, la cual se activa a partir de la unidad 216.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line="360" w:lineRule="auto"/>
        <w:ind w:left="425" w:right="605" w:firstLine="720"/>
        <w:jc w:val="both"/>
      </w:pPr>
      <w:r>
        <w:t>El punto de equilibrio se alcanza con la venta de 216 unidades anuales, equivalente a menos de una venta diaria. Este resultado evidencia una estructura financiera sólida por tres razones principales:</w:t>
      </w:r>
    </w:p>
    <w:p w:rsidR="009B4BB4" w:rsidRDefault="00C44001" w:rsidP="00C44001">
      <w:pPr>
        <w:pStyle w:val="Prrafodelista"/>
        <w:numPr>
          <w:ilvl w:val="0"/>
          <w:numId w:val="10"/>
        </w:numPr>
        <w:tabs>
          <w:tab w:val="left" w:pos="1145"/>
        </w:tabs>
        <w:spacing w:line="360" w:lineRule="auto"/>
        <w:ind w:right="607"/>
        <w:jc w:val="both"/>
      </w:pPr>
      <w:r>
        <w:rPr>
          <w:rFonts w:ascii="Arial" w:hAnsi="Arial"/>
          <w:b/>
        </w:rPr>
        <w:t xml:space="preserve">Margen de seguridad: </w:t>
      </w:r>
      <w:r>
        <w:t xml:space="preserve">El volumen de </w:t>
      </w:r>
      <w:r>
        <w:t>equilibrio representa apenas el 43% de la meta del primer año, lo que implica un margen de seguridad del 57% para absorber variaciones en la demanda sin incurrir en pérdidas.</w:t>
      </w:r>
    </w:p>
    <w:p w:rsidR="009B4BB4" w:rsidRDefault="00C44001" w:rsidP="00C44001">
      <w:pPr>
        <w:pStyle w:val="Prrafodelista"/>
        <w:numPr>
          <w:ilvl w:val="0"/>
          <w:numId w:val="10"/>
        </w:numPr>
        <w:tabs>
          <w:tab w:val="left" w:pos="1145"/>
        </w:tabs>
        <w:spacing w:line="360" w:lineRule="auto"/>
        <w:ind w:right="605"/>
        <w:jc w:val="both"/>
      </w:pPr>
      <w:r>
        <w:rPr>
          <w:rFonts w:ascii="Arial" w:hAnsi="Arial"/>
          <w:b/>
        </w:rPr>
        <w:t xml:space="preserve">Escalabilidad: </w:t>
      </w:r>
      <w:r>
        <w:t>Dado que el margen de contribución es elevado</w:t>
      </w:r>
      <w:r>
        <w:rPr>
          <w:spacing w:val="-4"/>
        </w:rPr>
        <w:t xml:space="preserve"> </w:t>
      </w:r>
      <w:r>
        <w:t>($16.80</w:t>
      </w:r>
      <w:r>
        <w:rPr>
          <w:spacing w:val="-4"/>
        </w:rPr>
        <w:t xml:space="preserve"> </w:t>
      </w:r>
      <w:r>
        <w:t>USD</w:t>
      </w:r>
      <w:r>
        <w:rPr>
          <w:spacing w:val="-4"/>
        </w:rPr>
        <w:t xml:space="preserve"> </w:t>
      </w:r>
      <w:r>
        <w:t>por unid</w:t>
      </w:r>
      <w:r>
        <w:t>ad),</w:t>
      </w:r>
      <w:r>
        <w:rPr>
          <w:spacing w:val="40"/>
        </w:rPr>
        <w:t xml:space="preserve"> </w:t>
      </w:r>
      <w:r>
        <w:t>una</w:t>
      </w:r>
      <w:r>
        <w:rPr>
          <w:spacing w:val="40"/>
        </w:rPr>
        <w:t xml:space="preserve"> </w:t>
      </w:r>
      <w:r>
        <w:t>vez</w:t>
      </w:r>
      <w:r>
        <w:rPr>
          <w:spacing w:val="40"/>
        </w:rPr>
        <w:t xml:space="preserve"> </w:t>
      </w:r>
      <w:r>
        <w:t>cubiertos los costos fijos, a partir de la unidad 216, cerca del 64% del ingreso de cada venta adicional se traduce en utilidad operativa.</w:t>
      </w:r>
    </w:p>
    <w:p w:rsidR="009B4BB4" w:rsidRDefault="00C44001" w:rsidP="00C44001">
      <w:pPr>
        <w:pStyle w:val="Prrafodelista"/>
        <w:numPr>
          <w:ilvl w:val="0"/>
          <w:numId w:val="10"/>
        </w:numPr>
        <w:tabs>
          <w:tab w:val="left" w:pos="1145"/>
        </w:tabs>
        <w:spacing w:line="360" w:lineRule="auto"/>
        <w:ind w:right="604"/>
        <w:jc w:val="both"/>
      </w:pPr>
      <w:r>
        <w:rPr>
          <w:rFonts w:ascii="Arial" w:hAnsi="Arial"/>
          <w:b/>
        </w:rPr>
        <w:t xml:space="preserve">Viabilidad operativa: </w:t>
      </w:r>
      <w:r>
        <w:t>El modelo no requiere volúmenes masivos para ser sostenible, lo que permite alcanz</w:t>
      </w:r>
      <w:r>
        <w:t xml:space="preserve">ar rentabilidad desde una escala reducida y valida la estrategia de nicho </w:t>
      </w:r>
      <w:r>
        <w:rPr>
          <w:rFonts w:ascii="Arial" w:hAnsi="Arial"/>
          <w:i/>
        </w:rPr>
        <w:t>premium</w:t>
      </w:r>
      <w:r>
        <w:t>.</w:t>
      </w:r>
    </w:p>
    <w:p w:rsidR="009B4BB4" w:rsidRDefault="00C44001">
      <w:pPr>
        <w:pStyle w:val="Textoindependiente"/>
        <w:spacing w:line="360" w:lineRule="auto"/>
        <w:ind w:left="425" w:right="615" w:firstLine="720"/>
        <w:jc w:val="both"/>
      </w:pPr>
      <w:r>
        <w:t>En conjunto, estos indicadores confirman que el modelo combina bajo riesgo operativo con una alta capacidad de generación de valor.</w:t>
      </w:r>
    </w:p>
    <w:p w:rsidR="009B4BB4" w:rsidRDefault="00C44001" w:rsidP="00C44001">
      <w:pPr>
        <w:pStyle w:val="Ttulo1"/>
        <w:numPr>
          <w:ilvl w:val="1"/>
          <w:numId w:val="14"/>
        </w:numPr>
        <w:tabs>
          <w:tab w:val="left" w:pos="818"/>
        </w:tabs>
        <w:spacing w:before="240"/>
        <w:ind w:left="818" w:hanging="363"/>
      </w:pPr>
      <w:bookmarkStart w:id="247" w:name="7.5_Capital_de_trabajo_y_ciclo_de_conver"/>
      <w:bookmarkStart w:id="248" w:name="h.xnr4zwu5rcqx"/>
      <w:bookmarkEnd w:id="247"/>
      <w:bookmarkEnd w:id="248"/>
      <w:r>
        <w:t>Capital</w:t>
      </w:r>
      <w:r>
        <w:rPr>
          <w:spacing w:val="-7"/>
        </w:rPr>
        <w:t xml:space="preserve"> </w:t>
      </w:r>
      <w:r>
        <w:t>de</w:t>
      </w:r>
      <w:r>
        <w:rPr>
          <w:spacing w:val="-4"/>
        </w:rPr>
        <w:t xml:space="preserve"> </w:t>
      </w:r>
      <w:r>
        <w:t>trabajo</w:t>
      </w:r>
      <w:r>
        <w:rPr>
          <w:spacing w:val="-5"/>
        </w:rPr>
        <w:t xml:space="preserve"> </w:t>
      </w:r>
      <w:r>
        <w:t>y</w:t>
      </w:r>
      <w:r>
        <w:rPr>
          <w:spacing w:val="-4"/>
        </w:rPr>
        <w:t xml:space="preserve"> </w:t>
      </w:r>
      <w:r>
        <w:t>ciclo</w:t>
      </w:r>
      <w:r>
        <w:rPr>
          <w:spacing w:val="-5"/>
        </w:rPr>
        <w:t xml:space="preserve"> </w:t>
      </w:r>
      <w:r>
        <w:t>de</w:t>
      </w:r>
      <w:r>
        <w:rPr>
          <w:spacing w:val="-4"/>
        </w:rPr>
        <w:t xml:space="preserve"> </w:t>
      </w:r>
      <w:r>
        <w:t>conversión</w:t>
      </w:r>
      <w:r>
        <w:rPr>
          <w:spacing w:val="-5"/>
        </w:rPr>
        <w:t xml:space="preserve"> </w:t>
      </w:r>
      <w:r>
        <w:t>de</w:t>
      </w:r>
      <w:r>
        <w:rPr>
          <w:spacing w:val="-4"/>
        </w:rPr>
        <w:t xml:space="preserve"> </w:t>
      </w:r>
      <w:r>
        <w:rPr>
          <w:spacing w:val="-2"/>
        </w:rPr>
        <w:t>efectivo</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5" w:firstLine="720"/>
        <w:jc w:val="both"/>
      </w:pPr>
      <w:r>
        <w:t>Si bien el punto de</w:t>
      </w:r>
      <w:r>
        <w:rPr>
          <w:spacing w:val="-4"/>
        </w:rPr>
        <w:t xml:space="preserve"> </w:t>
      </w:r>
      <w:r>
        <w:t>equilibrio</w:t>
      </w:r>
      <w:r>
        <w:rPr>
          <w:spacing w:val="-4"/>
        </w:rPr>
        <w:t xml:space="preserve"> </w:t>
      </w:r>
      <w:r>
        <w:t>válido</w:t>
      </w:r>
      <w:r>
        <w:rPr>
          <w:spacing w:val="-4"/>
        </w:rPr>
        <w:t xml:space="preserve"> </w:t>
      </w:r>
      <w:r>
        <w:t>es</w:t>
      </w:r>
      <w:r>
        <w:rPr>
          <w:spacing w:val="-4"/>
        </w:rPr>
        <w:t xml:space="preserve"> </w:t>
      </w:r>
      <w:r>
        <w:t>la</w:t>
      </w:r>
      <w:r>
        <w:rPr>
          <w:spacing w:val="-4"/>
        </w:rPr>
        <w:t xml:space="preserve"> </w:t>
      </w:r>
      <w:r>
        <w:t>rentabilidad</w:t>
      </w:r>
      <w:r>
        <w:rPr>
          <w:spacing w:val="-4"/>
        </w:rPr>
        <w:t xml:space="preserve"> </w:t>
      </w:r>
      <w:r>
        <w:t>operativa,</w:t>
      </w:r>
      <w:r>
        <w:rPr>
          <w:spacing w:val="-4"/>
        </w:rPr>
        <w:t xml:space="preserve"> </w:t>
      </w:r>
      <w:r>
        <w:t>la</w:t>
      </w:r>
      <w:r>
        <w:rPr>
          <w:spacing w:val="-4"/>
        </w:rPr>
        <w:t xml:space="preserve"> </w:t>
      </w:r>
      <w:r>
        <w:t>salud</w:t>
      </w:r>
      <w:r>
        <w:rPr>
          <w:spacing w:val="-4"/>
        </w:rPr>
        <w:t xml:space="preserve"> </w:t>
      </w:r>
      <w:r>
        <w:t xml:space="preserve">financiera del proyecto depende de la gestión eficiente del Ciclo de Conversión de Efectivo (CCE). En el caso de Guardiana, este ciclo presenta una particularidad derivada de su enfoque </w:t>
      </w:r>
      <w:r>
        <w:rPr>
          <w:spacing w:val="-2"/>
        </w:rPr>
        <w:t>ético.</w:t>
      </w:r>
    </w:p>
    <w:p w:rsidR="009B4BB4" w:rsidRDefault="00C44001">
      <w:pPr>
        <w:pStyle w:val="Textoindependiente"/>
        <w:ind w:left="1145"/>
      </w:pPr>
      <w:r>
        <w:t>El</w:t>
      </w:r>
      <w:r>
        <w:rPr>
          <w:spacing w:val="-7"/>
        </w:rPr>
        <w:t xml:space="preserve"> </w:t>
      </w:r>
      <w:r>
        <w:t>análisis</w:t>
      </w:r>
      <w:r>
        <w:rPr>
          <w:spacing w:val="-4"/>
        </w:rPr>
        <w:t xml:space="preserve"> </w:t>
      </w:r>
      <w:r>
        <w:t>de</w:t>
      </w:r>
      <w:r>
        <w:rPr>
          <w:spacing w:val="-4"/>
        </w:rPr>
        <w:t xml:space="preserve"> </w:t>
      </w:r>
      <w:r>
        <w:t>los</w:t>
      </w:r>
      <w:r>
        <w:rPr>
          <w:spacing w:val="-4"/>
        </w:rPr>
        <w:t xml:space="preserve"> </w:t>
      </w:r>
      <w:r>
        <w:t>componentes</w:t>
      </w:r>
      <w:r>
        <w:rPr>
          <w:spacing w:val="-5"/>
        </w:rPr>
        <w:t xml:space="preserve"> </w:t>
      </w:r>
      <w:r>
        <w:t>del</w:t>
      </w:r>
      <w:r>
        <w:rPr>
          <w:spacing w:val="-4"/>
        </w:rPr>
        <w:t xml:space="preserve"> </w:t>
      </w:r>
      <w:r>
        <w:t>ciclo</w:t>
      </w:r>
      <w:r>
        <w:rPr>
          <w:spacing w:val="-4"/>
        </w:rPr>
        <w:t xml:space="preserve"> </w:t>
      </w:r>
      <w:r>
        <w:t>es</w:t>
      </w:r>
      <w:r>
        <w:rPr>
          <w:spacing w:val="-4"/>
        </w:rPr>
        <w:t xml:space="preserve"> </w:t>
      </w:r>
      <w:r>
        <w:t>el</w:t>
      </w:r>
      <w:r>
        <w:rPr>
          <w:spacing w:val="-4"/>
        </w:rPr>
        <w:t xml:space="preserve"> </w:t>
      </w:r>
      <w:r>
        <w:rPr>
          <w:spacing w:val="-2"/>
        </w:rPr>
        <w:t>siguiente:</w:t>
      </w:r>
    </w:p>
    <w:p w:rsidR="009B4BB4" w:rsidRDefault="009B4BB4">
      <w:pPr>
        <w:pStyle w:val="Textoindependiente"/>
        <w:spacing w:before="113"/>
      </w:pPr>
    </w:p>
    <w:p w:rsidR="009B4BB4" w:rsidRDefault="00C44001" w:rsidP="00C44001">
      <w:pPr>
        <w:pStyle w:val="Prrafodelista"/>
        <w:numPr>
          <w:ilvl w:val="0"/>
          <w:numId w:val="9"/>
        </w:numPr>
        <w:tabs>
          <w:tab w:val="left" w:pos="1145"/>
        </w:tabs>
        <w:spacing w:before="1" w:line="360" w:lineRule="auto"/>
        <w:ind w:right="602"/>
        <w:jc w:val="both"/>
      </w:pPr>
      <w:r>
        <w:rPr>
          <w:rFonts w:ascii="Arial" w:hAnsi="Arial"/>
          <w:b/>
        </w:rPr>
        <w:t>Días</w:t>
      </w:r>
      <w:r>
        <w:rPr>
          <w:rFonts w:ascii="Arial" w:hAnsi="Arial"/>
          <w:b/>
        </w:rPr>
        <w:t xml:space="preserve"> de Inventario (DI): </w:t>
      </w:r>
      <w:r>
        <w:t>45 días. Se mantiene un stock equivalente a mes y medio de ventas para mitigar la estacionalidad de las cosechas y garantizar disponibilidad ante picos de demanda turística.</w:t>
      </w:r>
    </w:p>
    <w:p w:rsidR="009B4BB4" w:rsidRDefault="00C44001" w:rsidP="00C44001">
      <w:pPr>
        <w:pStyle w:val="Ttulo1"/>
        <w:numPr>
          <w:ilvl w:val="0"/>
          <w:numId w:val="9"/>
        </w:numPr>
        <w:tabs>
          <w:tab w:val="left" w:pos="1145"/>
        </w:tabs>
        <w:spacing w:before="240"/>
      </w:pPr>
      <w:r>
        <w:t>Días</w:t>
      </w:r>
      <w:r>
        <w:rPr>
          <w:spacing w:val="-5"/>
        </w:rPr>
        <w:t xml:space="preserve"> </w:t>
      </w:r>
      <w:r>
        <w:t>de</w:t>
      </w:r>
      <w:r>
        <w:rPr>
          <w:spacing w:val="-4"/>
        </w:rPr>
        <w:t xml:space="preserve"> </w:t>
      </w:r>
      <w:r>
        <w:t>Cuentas</w:t>
      </w:r>
      <w:r>
        <w:rPr>
          <w:spacing w:val="-5"/>
        </w:rPr>
        <w:t xml:space="preserve"> </w:t>
      </w:r>
      <w:r>
        <w:t>por</w:t>
      </w:r>
      <w:r>
        <w:rPr>
          <w:spacing w:val="-4"/>
        </w:rPr>
        <w:t xml:space="preserve"> </w:t>
      </w:r>
      <w:r>
        <w:t>Cobrar</w:t>
      </w:r>
      <w:r>
        <w:rPr>
          <w:spacing w:val="-4"/>
        </w:rPr>
        <w:t xml:space="preserve"> </w:t>
      </w:r>
      <w:r>
        <w:rPr>
          <w:spacing w:val="-2"/>
        </w:rPr>
        <w:t>(DSO):</w:t>
      </w:r>
    </w:p>
    <w:p w:rsidR="009B4BB4" w:rsidRDefault="00C44001">
      <w:pPr>
        <w:pStyle w:val="Textoindependiente"/>
        <w:spacing w:before="126"/>
        <w:ind w:left="1206"/>
      </w:pPr>
      <w:r>
        <w:t>Año</w:t>
      </w:r>
      <w:r>
        <w:rPr>
          <w:spacing w:val="-4"/>
        </w:rPr>
        <w:t xml:space="preserve"> </w:t>
      </w:r>
      <w:r>
        <w:t>1:</w:t>
      </w:r>
      <w:r>
        <w:rPr>
          <w:spacing w:val="-4"/>
        </w:rPr>
        <w:t xml:space="preserve"> </w:t>
      </w:r>
      <w:r>
        <w:t>0</w:t>
      </w:r>
      <w:r>
        <w:rPr>
          <w:spacing w:val="-3"/>
        </w:rPr>
        <w:t xml:space="preserve"> </w:t>
      </w:r>
      <w:r>
        <w:t>días,</w:t>
      </w:r>
      <w:r>
        <w:rPr>
          <w:spacing w:val="-4"/>
        </w:rPr>
        <w:t xml:space="preserve"> </w:t>
      </w:r>
      <w:r>
        <w:t>ya</w:t>
      </w:r>
      <w:r>
        <w:rPr>
          <w:spacing w:val="-4"/>
        </w:rPr>
        <w:t xml:space="preserve"> </w:t>
      </w:r>
      <w:r>
        <w:t>que</w:t>
      </w:r>
      <w:r>
        <w:rPr>
          <w:spacing w:val="-3"/>
        </w:rPr>
        <w:t xml:space="preserve"> </w:t>
      </w:r>
      <w:r>
        <w:t>las</w:t>
      </w:r>
      <w:r>
        <w:rPr>
          <w:spacing w:val="-4"/>
        </w:rPr>
        <w:t xml:space="preserve"> </w:t>
      </w:r>
      <w:r>
        <w:t>v</w:t>
      </w:r>
      <w:r>
        <w:t>entas</w:t>
      </w:r>
      <w:r>
        <w:rPr>
          <w:spacing w:val="-4"/>
        </w:rPr>
        <w:t xml:space="preserve"> </w:t>
      </w:r>
      <w:r>
        <w:t>B2C</w:t>
      </w:r>
      <w:r>
        <w:rPr>
          <w:spacing w:val="-3"/>
        </w:rPr>
        <w:t xml:space="preserve"> </w:t>
      </w:r>
      <w:r>
        <w:t>generan</w:t>
      </w:r>
      <w:r>
        <w:rPr>
          <w:spacing w:val="-4"/>
        </w:rPr>
        <w:t xml:space="preserve"> </w:t>
      </w:r>
      <w:r>
        <w:t>cobro</w:t>
      </w:r>
      <w:r>
        <w:rPr>
          <w:spacing w:val="-3"/>
        </w:rPr>
        <w:t xml:space="preserve"> </w:t>
      </w:r>
      <w:r>
        <w:rPr>
          <w:spacing w:val="-2"/>
        </w:rPr>
        <w:t>inmediato.</w:t>
      </w:r>
    </w:p>
    <w:p w:rsidR="009B4BB4" w:rsidRDefault="009B4BB4">
      <w:pPr>
        <w:pStyle w:val="Textoindependiente"/>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1145" w:right="531" w:firstLine="106"/>
      </w:pPr>
      <w:r>
        <w:lastRenderedPageBreak/>
        <w:t>Año</w:t>
      </w:r>
      <w:r>
        <w:rPr>
          <w:spacing w:val="40"/>
        </w:rPr>
        <w:t xml:space="preserve"> </w:t>
      </w:r>
      <w:r>
        <w:t>3</w:t>
      </w:r>
      <w:r>
        <w:rPr>
          <w:spacing w:val="40"/>
        </w:rPr>
        <w:t xml:space="preserve"> </w:t>
      </w:r>
      <w:r>
        <w:t>en</w:t>
      </w:r>
      <w:r>
        <w:rPr>
          <w:spacing w:val="40"/>
        </w:rPr>
        <w:t xml:space="preserve"> </w:t>
      </w:r>
      <w:r>
        <w:t>adelante:</w:t>
      </w:r>
      <w:r>
        <w:rPr>
          <w:spacing w:val="40"/>
        </w:rPr>
        <w:t xml:space="preserve"> </w:t>
      </w:r>
      <w:r>
        <w:t>15</w:t>
      </w:r>
      <w:r>
        <w:rPr>
          <w:spacing w:val="40"/>
        </w:rPr>
        <w:t xml:space="preserve"> </w:t>
      </w:r>
      <w:r>
        <w:t>días</w:t>
      </w:r>
      <w:r>
        <w:rPr>
          <w:spacing w:val="40"/>
        </w:rPr>
        <w:t xml:space="preserve"> </w:t>
      </w:r>
      <w:r>
        <w:t>promedio,</w:t>
      </w:r>
      <w:r>
        <w:rPr>
          <w:spacing w:val="40"/>
        </w:rPr>
        <w:t xml:space="preserve"> </w:t>
      </w:r>
      <w:r>
        <w:t>considerando</w:t>
      </w:r>
      <w:r>
        <w:rPr>
          <w:spacing w:val="40"/>
        </w:rPr>
        <w:t xml:space="preserve"> </w:t>
      </w:r>
      <w:r>
        <w:t>la</w:t>
      </w:r>
      <w:r>
        <w:rPr>
          <w:spacing w:val="40"/>
        </w:rPr>
        <w:t xml:space="preserve"> </w:t>
      </w:r>
      <w:r>
        <w:t>entrada</w:t>
      </w:r>
      <w:r>
        <w:rPr>
          <w:spacing w:val="26"/>
        </w:rPr>
        <w:t xml:space="preserve"> </w:t>
      </w:r>
      <w:r>
        <w:t>al</w:t>
      </w:r>
      <w:r>
        <w:rPr>
          <w:spacing w:val="26"/>
        </w:rPr>
        <w:t xml:space="preserve"> </w:t>
      </w:r>
      <w:r>
        <w:t>canal</w:t>
      </w:r>
      <w:r>
        <w:rPr>
          <w:spacing w:val="26"/>
        </w:rPr>
        <w:t xml:space="preserve"> </w:t>
      </w:r>
      <w:r>
        <w:t>B2B, donde los plazos de cobro oscilan entre 15 y 30 días.</w:t>
      </w:r>
    </w:p>
    <w:p w:rsidR="009B4BB4" w:rsidRDefault="00C44001" w:rsidP="00C44001">
      <w:pPr>
        <w:pStyle w:val="Prrafodelista"/>
        <w:numPr>
          <w:ilvl w:val="0"/>
          <w:numId w:val="9"/>
        </w:numPr>
        <w:tabs>
          <w:tab w:val="left" w:pos="1145"/>
        </w:tabs>
        <w:spacing w:line="360" w:lineRule="auto"/>
        <w:ind w:right="605"/>
        <w:jc w:val="both"/>
      </w:pPr>
      <w:r>
        <w:rPr>
          <w:rFonts w:ascii="Arial" w:hAnsi="Arial"/>
          <w:b/>
        </w:rPr>
        <w:t xml:space="preserve">Días de Cuentas por Pagar (DPO): </w:t>
      </w:r>
      <w:r>
        <w:t>0 días. A diferencia de las empresas tradicionales, que buscan extender sus plazos de pago para financiar su operación, Guardiana establece una política de pago</w:t>
      </w:r>
      <w:r>
        <w:rPr>
          <w:spacing w:val="-5"/>
        </w:rPr>
        <w:t xml:space="preserve"> </w:t>
      </w:r>
      <w:r>
        <w:t>inmediato</w:t>
      </w:r>
      <w:r>
        <w:rPr>
          <w:spacing w:val="-5"/>
        </w:rPr>
        <w:t xml:space="preserve"> </w:t>
      </w:r>
      <w:r>
        <w:t>al</w:t>
      </w:r>
      <w:r>
        <w:rPr>
          <w:spacing w:val="-5"/>
        </w:rPr>
        <w:t xml:space="preserve"> </w:t>
      </w:r>
      <w:r>
        <w:t>productor.</w:t>
      </w:r>
      <w:r>
        <w:rPr>
          <w:spacing w:val="-5"/>
        </w:rPr>
        <w:t xml:space="preserve"> </w:t>
      </w:r>
      <w:r>
        <w:t>Esta decisión prioriza la estabilidad de la red de suministro, aun cuan</w:t>
      </w:r>
      <w:r>
        <w:t>do implica un menor margen de liquidez en el corto plazo, fortaleciendo la lealtad de los meliponicultores y respaldando su propuesta de comercio justo.</w:t>
      </w:r>
    </w:p>
    <w:p w:rsidR="009B4BB4" w:rsidRDefault="00C44001">
      <w:pPr>
        <w:pStyle w:val="Textoindependiente"/>
        <w:spacing w:line="360" w:lineRule="auto"/>
        <w:ind w:left="425" w:right="606" w:firstLine="720"/>
        <w:jc w:val="both"/>
      </w:pPr>
      <w:r>
        <w:t>Como</w:t>
      </w:r>
      <w:r>
        <w:rPr>
          <w:spacing w:val="-4"/>
        </w:rPr>
        <w:t xml:space="preserve"> </w:t>
      </w:r>
      <w:r>
        <w:t>resultado,</w:t>
      </w:r>
      <w:r>
        <w:rPr>
          <w:spacing w:val="-4"/>
        </w:rPr>
        <w:t xml:space="preserve"> </w:t>
      </w:r>
      <w:r>
        <w:t>el</w:t>
      </w:r>
      <w:r>
        <w:rPr>
          <w:spacing w:val="-4"/>
        </w:rPr>
        <w:t xml:space="preserve"> </w:t>
      </w:r>
      <w:r>
        <w:t>ciclo</w:t>
      </w:r>
      <w:r>
        <w:rPr>
          <w:spacing w:val="-4"/>
        </w:rPr>
        <w:t xml:space="preserve"> </w:t>
      </w:r>
      <w:r>
        <w:t>de</w:t>
      </w:r>
      <w:r>
        <w:rPr>
          <w:spacing w:val="-4"/>
        </w:rPr>
        <w:t xml:space="preserve"> </w:t>
      </w:r>
      <w:r>
        <w:t>conversión</w:t>
      </w:r>
      <w:r>
        <w:rPr>
          <w:spacing w:val="-4"/>
        </w:rPr>
        <w:t xml:space="preserve"> </w:t>
      </w:r>
      <w:r>
        <w:t>de</w:t>
      </w:r>
      <w:r>
        <w:rPr>
          <w:spacing w:val="-4"/>
        </w:rPr>
        <w:t xml:space="preserve"> </w:t>
      </w:r>
      <w:r>
        <w:t>efectivo</w:t>
      </w:r>
      <w:r>
        <w:rPr>
          <w:spacing w:val="-4"/>
        </w:rPr>
        <w:t xml:space="preserve"> </w:t>
      </w:r>
      <w:r>
        <w:t>se</w:t>
      </w:r>
      <w:r>
        <w:rPr>
          <w:spacing w:val="-4"/>
        </w:rPr>
        <w:t xml:space="preserve"> </w:t>
      </w:r>
      <w:r>
        <w:t>mantiene</w:t>
      </w:r>
      <w:r>
        <w:rPr>
          <w:spacing w:val="-4"/>
        </w:rPr>
        <w:t xml:space="preserve"> </w:t>
      </w:r>
      <w:r>
        <w:t>entre</w:t>
      </w:r>
      <w:r>
        <w:rPr>
          <w:spacing w:val="-4"/>
        </w:rPr>
        <w:t xml:space="preserve"> </w:t>
      </w:r>
      <w:r>
        <w:t>45</w:t>
      </w:r>
      <w:r>
        <w:rPr>
          <w:spacing w:val="-4"/>
        </w:rPr>
        <w:t xml:space="preserve"> </w:t>
      </w:r>
      <w:r>
        <w:t>y</w:t>
      </w:r>
      <w:r>
        <w:rPr>
          <w:spacing w:val="-4"/>
        </w:rPr>
        <w:t xml:space="preserve"> </w:t>
      </w:r>
      <w:r>
        <w:t>60</w:t>
      </w:r>
      <w:r>
        <w:rPr>
          <w:spacing w:val="-4"/>
        </w:rPr>
        <w:t xml:space="preserve"> </w:t>
      </w:r>
      <w:r>
        <w:t>días, lo que implica que l</w:t>
      </w:r>
      <w:r>
        <w:t>a empresa debe financiar este periodo con recursos propios.</w:t>
      </w:r>
    </w:p>
    <w:p w:rsidR="009B4BB4" w:rsidRDefault="00C44001" w:rsidP="00C44001">
      <w:pPr>
        <w:pStyle w:val="Prrafodelista"/>
        <w:numPr>
          <w:ilvl w:val="1"/>
          <w:numId w:val="9"/>
        </w:numPr>
        <w:tabs>
          <w:tab w:val="left" w:pos="1865"/>
        </w:tabs>
        <w:spacing w:line="360" w:lineRule="auto"/>
        <w:ind w:right="605"/>
      </w:pPr>
      <w:r>
        <w:rPr>
          <w:rFonts w:ascii="Arial" w:hAnsi="Arial"/>
          <w:b/>
        </w:rPr>
        <w:t>Año</w:t>
      </w:r>
      <w:r>
        <w:rPr>
          <w:rFonts w:ascii="Arial" w:hAnsi="Arial"/>
          <w:b/>
          <w:spacing w:val="40"/>
        </w:rPr>
        <w:t xml:space="preserve"> </w:t>
      </w:r>
      <w:r>
        <w:rPr>
          <w:rFonts w:ascii="Arial" w:hAnsi="Arial"/>
          <w:b/>
        </w:rPr>
        <w:t>1:</w:t>
      </w:r>
      <w:r>
        <w:rPr>
          <w:rFonts w:ascii="Arial" w:hAnsi="Arial"/>
          <w:b/>
          <w:spacing w:val="40"/>
        </w:rPr>
        <w:t xml:space="preserve"> </w:t>
      </w:r>
      <w:r>
        <w:t>El</w:t>
      </w:r>
      <w:r>
        <w:rPr>
          <w:spacing w:val="40"/>
        </w:rPr>
        <w:t xml:space="preserve"> </w:t>
      </w:r>
      <w:r>
        <w:t>ciclo</w:t>
      </w:r>
      <w:r>
        <w:rPr>
          <w:spacing w:val="40"/>
        </w:rPr>
        <w:t xml:space="preserve"> </w:t>
      </w:r>
      <w:r>
        <w:t>se</w:t>
      </w:r>
      <w:r>
        <w:rPr>
          <w:spacing w:val="40"/>
        </w:rPr>
        <w:t xml:space="preserve"> </w:t>
      </w:r>
      <w:r>
        <w:t>cubre</w:t>
      </w:r>
      <w:r>
        <w:rPr>
          <w:spacing w:val="40"/>
        </w:rPr>
        <w:t xml:space="preserve"> </w:t>
      </w:r>
      <w:r>
        <w:t>con</w:t>
      </w:r>
      <w:r>
        <w:rPr>
          <w:spacing w:val="40"/>
        </w:rPr>
        <w:t xml:space="preserve"> </w:t>
      </w:r>
      <w:r>
        <w:t>la</w:t>
      </w:r>
      <w:r>
        <w:rPr>
          <w:spacing w:val="40"/>
        </w:rPr>
        <w:t xml:space="preserve"> </w:t>
      </w:r>
      <w:r>
        <w:t>inversión</w:t>
      </w:r>
      <w:r>
        <w:rPr>
          <w:spacing w:val="40"/>
        </w:rPr>
        <w:t xml:space="preserve"> </w:t>
      </w:r>
      <w:r>
        <w:t>inicial</w:t>
      </w:r>
      <w:r>
        <w:rPr>
          <w:spacing w:val="40"/>
        </w:rPr>
        <w:t xml:space="preserve"> </w:t>
      </w:r>
      <w:r>
        <w:t>de</w:t>
      </w:r>
      <w:r>
        <w:rPr>
          <w:spacing w:val="40"/>
        </w:rPr>
        <w:t xml:space="preserve"> </w:t>
      </w:r>
      <w:r>
        <w:t>capital</w:t>
      </w:r>
      <w:r>
        <w:rPr>
          <w:spacing w:val="40"/>
        </w:rPr>
        <w:t xml:space="preserve"> </w:t>
      </w:r>
      <w:r>
        <w:t>de</w:t>
      </w:r>
      <w:r>
        <w:rPr>
          <w:spacing w:val="40"/>
        </w:rPr>
        <w:t xml:space="preserve"> </w:t>
      </w:r>
      <w:r>
        <w:t>trabajo ($3,750 USD).</w:t>
      </w:r>
    </w:p>
    <w:p w:rsidR="009B4BB4" w:rsidRDefault="00C44001" w:rsidP="00C44001">
      <w:pPr>
        <w:pStyle w:val="Prrafodelista"/>
        <w:numPr>
          <w:ilvl w:val="1"/>
          <w:numId w:val="9"/>
        </w:numPr>
        <w:tabs>
          <w:tab w:val="left" w:pos="1865"/>
        </w:tabs>
        <w:spacing w:line="360" w:lineRule="auto"/>
        <w:ind w:right="604"/>
      </w:pPr>
      <w:r>
        <w:rPr>
          <w:rFonts w:ascii="Arial" w:hAnsi="Arial"/>
          <w:b/>
        </w:rPr>
        <w:t>Años 2</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5:</w:t>
      </w:r>
      <w:r>
        <w:rPr>
          <w:rFonts w:ascii="Arial" w:hAnsi="Arial"/>
          <w:b/>
          <w:spacing w:val="-4"/>
        </w:rPr>
        <w:t xml:space="preserve"> </w:t>
      </w:r>
      <w:r>
        <w:t>El</w:t>
      </w:r>
      <w:r>
        <w:rPr>
          <w:spacing w:val="-4"/>
        </w:rPr>
        <w:t xml:space="preserve"> </w:t>
      </w:r>
      <w:r>
        <w:t>financiamiento</w:t>
      </w:r>
      <w:r>
        <w:rPr>
          <w:spacing w:val="-4"/>
        </w:rPr>
        <w:t xml:space="preserve"> </w:t>
      </w:r>
      <w:r>
        <w:t>del</w:t>
      </w:r>
      <w:r>
        <w:rPr>
          <w:spacing w:val="-4"/>
        </w:rPr>
        <w:t xml:space="preserve"> </w:t>
      </w:r>
      <w:r>
        <w:t>ciclo</w:t>
      </w:r>
      <w:r>
        <w:rPr>
          <w:spacing w:val="-4"/>
        </w:rPr>
        <w:t xml:space="preserve"> </w:t>
      </w:r>
      <w:r>
        <w:t>proviene</w:t>
      </w:r>
      <w:r>
        <w:rPr>
          <w:spacing w:val="-4"/>
        </w:rPr>
        <w:t xml:space="preserve"> </w:t>
      </w:r>
      <w:r>
        <w:t>del</w:t>
      </w:r>
      <w:r>
        <w:rPr>
          <w:spacing w:val="-4"/>
        </w:rPr>
        <w:t xml:space="preserve"> </w:t>
      </w:r>
      <w:r>
        <w:t>margen</w:t>
      </w:r>
      <w:r>
        <w:rPr>
          <w:spacing w:val="-4"/>
        </w:rPr>
        <w:t xml:space="preserve"> </w:t>
      </w:r>
      <w:r>
        <w:t>neto</w:t>
      </w:r>
      <w:r>
        <w:rPr>
          <w:spacing w:val="-4"/>
        </w:rPr>
        <w:t xml:space="preserve"> </w:t>
      </w:r>
      <w:r>
        <w:t>generado por la operación (36%).</w:t>
      </w:r>
    </w:p>
    <w:p w:rsidR="009B4BB4" w:rsidRDefault="00C44001">
      <w:pPr>
        <w:pStyle w:val="Textoindependiente"/>
        <w:spacing w:line="360" w:lineRule="auto"/>
        <w:ind w:left="425" w:right="606" w:firstLine="720"/>
        <w:jc w:val="both"/>
      </w:pPr>
      <w:r>
        <w:t>En este contexto, la gestión del capital de trabajo en Guardiana</w:t>
      </w:r>
      <w:r>
        <w:rPr>
          <w:spacing w:val="-3"/>
        </w:rPr>
        <w:t xml:space="preserve"> </w:t>
      </w:r>
      <w:r>
        <w:t>no</w:t>
      </w:r>
      <w:r>
        <w:rPr>
          <w:spacing w:val="-3"/>
        </w:rPr>
        <w:t xml:space="preserve"> </w:t>
      </w:r>
      <w:r>
        <w:t>responde</w:t>
      </w:r>
      <w:r>
        <w:rPr>
          <w:spacing w:val="-3"/>
        </w:rPr>
        <w:t xml:space="preserve"> </w:t>
      </w:r>
      <w:r>
        <w:t>a</w:t>
      </w:r>
      <w:r>
        <w:rPr>
          <w:spacing w:val="-3"/>
        </w:rPr>
        <w:t xml:space="preserve"> </w:t>
      </w:r>
      <w:r>
        <w:t xml:space="preserve">la lógica tradicional de optimización financiera, basada en diferir pagos y acelerar cobros, sino en la sostenibilidad de la cadena de valor. La rentabilidad del modelo permite </w:t>
      </w:r>
      <w:r>
        <w:t>absorber el costo financiero asociado al pago inmediato, convirtiendo esta decisión en una barrera de entrada y un elemento de confianza para el consumidor final.</w:t>
      </w:r>
    </w:p>
    <w:p w:rsidR="009B4BB4" w:rsidRDefault="00C44001" w:rsidP="00C44001">
      <w:pPr>
        <w:pStyle w:val="Ttulo1"/>
        <w:numPr>
          <w:ilvl w:val="1"/>
          <w:numId w:val="14"/>
        </w:numPr>
        <w:tabs>
          <w:tab w:val="left" w:pos="788"/>
        </w:tabs>
        <w:spacing w:before="240"/>
        <w:ind w:left="788" w:hanging="363"/>
      </w:pPr>
      <w:bookmarkStart w:id="249" w:name="7.6_Análisis_de_sensibilidad__"/>
      <w:bookmarkStart w:id="250" w:name="h.mmm81tureixa"/>
      <w:bookmarkEnd w:id="249"/>
      <w:bookmarkEnd w:id="250"/>
      <w:r>
        <w:t>Análisis</w:t>
      </w:r>
      <w:r>
        <w:rPr>
          <w:spacing w:val="-5"/>
        </w:rPr>
        <w:t xml:space="preserve"> </w:t>
      </w:r>
      <w:r>
        <w:t>de</w:t>
      </w:r>
      <w:r>
        <w:rPr>
          <w:spacing w:val="-5"/>
        </w:rPr>
        <w:t xml:space="preserve"> </w:t>
      </w:r>
      <w:r>
        <w:rPr>
          <w:spacing w:val="-2"/>
        </w:rPr>
        <w:t>sensibilidad</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10" w:firstLine="720"/>
        <w:jc w:val="both"/>
      </w:pPr>
      <w:r>
        <w:t>El análisis de sensibilidad</w:t>
      </w:r>
      <w:r>
        <w:rPr>
          <w:spacing w:val="-4"/>
        </w:rPr>
        <w:t xml:space="preserve"> </w:t>
      </w:r>
      <w:r>
        <w:t>permite</w:t>
      </w:r>
      <w:r>
        <w:rPr>
          <w:spacing w:val="-4"/>
        </w:rPr>
        <w:t xml:space="preserve"> </w:t>
      </w:r>
      <w:r>
        <w:t>evaluar</w:t>
      </w:r>
      <w:r>
        <w:rPr>
          <w:spacing w:val="-4"/>
        </w:rPr>
        <w:t xml:space="preserve"> </w:t>
      </w:r>
      <w:r>
        <w:t>la</w:t>
      </w:r>
      <w:r>
        <w:rPr>
          <w:spacing w:val="-4"/>
        </w:rPr>
        <w:t xml:space="preserve"> </w:t>
      </w:r>
      <w:r>
        <w:t>robustez</w:t>
      </w:r>
      <w:r>
        <w:rPr>
          <w:spacing w:val="-4"/>
        </w:rPr>
        <w:t xml:space="preserve"> </w:t>
      </w:r>
      <w:r>
        <w:t>del</w:t>
      </w:r>
      <w:r>
        <w:rPr>
          <w:spacing w:val="-4"/>
        </w:rPr>
        <w:t xml:space="preserve"> </w:t>
      </w:r>
      <w:r>
        <w:t>modelo</w:t>
      </w:r>
      <w:r>
        <w:rPr>
          <w:spacing w:val="-4"/>
        </w:rPr>
        <w:t xml:space="preserve"> </w:t>
      </w:r>
      <w:r>
        <w:t>financiero</w:t>
      </w:r>
      <w:r>
        <w:rPr>
          <w:spacing w:val="-4"/>
        </w:rPr>
        <w:t xml:space="preserve"> </w:t>
      </w:r>
      <w:r>
        <w:t xml:space="preserve">frente a escenarios de incertidumbre. Dado que Guardiana opera bajo una estrategia de nicho </w:t>
      </w:r>
      <w:r>
        <w:rPr>
          <w:rFonts w:ascii="Arial" w:hAnsi="Arial"/>
          <w:i/>
        </w:rPr>
        <w:t>premium</w:t>
      </w:r>
      <w:r>
        <w:t>, las variables críticas difieren de las de un negocio orientado al volumen.</w:t>
      </w:r>
    </w:p>
    <w:p w:rsidR="009B4BB4" w:rsidRDefault="00C44001">
      <w:pPr>
        <w:pStyle w:val="Textoindependiente"/>
        <w:ind w:left="1145"/>
      </w:pPr>
      <w:r>
        <w:t>Se</w:t>
      </w:r>
      <w:r>
        <w:rPr>
          <w:spacing w:val="6"/>
        </w:rPr>
        <w:t xml:space="preserve"> </w:t>
      </w:r>
      <w:r>
        <w:t>identifican</w:t>
      </w:r>
      <w:r>
        <w:rPr>
          <w:spacing w:val="7"/>
        </w:rPr>
        <w:t xml:space="preserve"> </w:t>
      </w:r>
      <w:r>
        <w:t>tres</w:t>
      </w:r>
      <w:r>
        <w:rPr>
          <w:spacing w:val="6"/>
        </w:rPr>
        <w:t xml:space="preserve"> </w:t>
      </w:r>
      <w:r>
        <w:t>variables</w:t>
      </w:r>
      <w:r>
        <w:rPr>
          <w:spacing w:val="7"/>
        </w:rPr>
        <w:t xml:space="preserve"> </w:t>
      </w:r>
      <w:r>
        <w:t>clave</w:t>
      </w:r>
      <w:r>
        <w:rPr>
          <w:spacing w:val="7"/>
        </w:rPr>
        <w:t xml:space="preserve"> </w:t>
      </w:r>
      <w:r>
        <w:t>que</w:t>
      </w:r>
      <w:r>
        <w:rPr>
          <w:spacing w:val="-7"/>
        </w:rPr>
        <w:t xml:space="preserve"> </w:t>
      </w:r>
      <w:r>
        <w:t>impactan</w:t>
      </w:r>
      <w:r>
        <w:rPr>
          <w:spacing w:val="-7"/>
        </w:rPr>
        <w:t xml:space="preserve"> </w:t>
      </w:r>
      <w:r>
        <w:t>directamente</w:t>
      </w:r>
      <w:r>
        <w:rPr>
          <w:spacing w:val="-7"/>
        </w:rPr>
        <w:t xml:space="preserve"> </w:t>
      </w:r>
      <w:r>
        <w:t>el</w:t>
      </w:r>
      <w:r>
        <w:rPr>
          <w:spacing w:val="-7"/>
        </w:rPr>
        <w:t xml:space="preserve"> </w:t>
      </w:r>
      <w:r>
        <w:t>Valor</w:t>
      </w:r>
      <w:r>
        <w:rPr>
          <w:spacing w:val="-7"/>
        </w:rPr>
        <w:t xml:space="preserve"> </w:t>
      </w:r>
      <w:r>
        <w:t>Actual</w:t>
      </w:r>
      <w:r>
        <w:rPr>
          <w:spacing w:val="-6"/>
        </w:rPr>
        <w:t xml:space="preserve"> </w:t>
      </w:r>
      <w:r>
        <w:rPr>
          <w:spacing w:val="-4"/>
        </w:rPr>
        <w:t>Neto</w:t>
      </w:r>
    </w:p>
    <w:p w:rsidR="009B4BB4" w:rsidRDefault="00C44001">
      <w:pPr>
        <w:pStyle w:val="Textoindependiente"/>
        <w:spacing w:before="126"/>
        <w:ind w:left="425"/>
      </w:pPr>
      <w:r>
        <w:rPr>
          <w:spacing w:val="-2"/>
        </w:rPr>
        <w:t>(VAN):</w:t>
      </w:r>
    </w:p>
    <w:p w:rsidR="009B4BB4" w:rsidRDefault="009B4BB4">
      <w:pPr>
        <w:pStyle w:val="Textoindependiente"/>
        <w:sectPr w:rsidR="009B4BB4">
          <w:pgSz w:w="11920" w:h="16840"/>
          <w:pgMar w:top="1500" w:right="850" w:bottom="1940" w:left="1275" w:header="0" w:footer="1747" w:gutter="0"/>
          <w:cols w:space="720"/>
        </w:sectPr>
      </w:pPr>
    </w:p>
    <w:p w:rsidR="009B4BB4" w:rsidRDefault="00C44001" w:rsidP="00C44001">
      <w:pPr>
        <w:pStyle w:val="Prrafodelista"/>
        <w:numPr>
          <w:ilvl w:val="0"/>
          <w:numId w:val="8"/>
        </w:numPr>
        <w:tabs>
          <w:tab w:val="left" w:pos="1145"/>
        </w:tabs>
        <w:spacing w:before="79" w:line="360" w:lineRule="auto"/>
        <w:ind w:right="603"/>
        <w:jc w:val="both"/>
      </w:pPr>
      <w:r>
        <w:rPr>
          <w:rFonts w:ascii="Arial" w:hAnsi="Arial"/>
          <w:b/>
        </w:rPr>
        <w:lastRenderedPageBreak/>
        <w:t xml:space="preserve">Precio promedio ponderado: </w:t>
      </w:r>
      <w:r>
        <w:t>Refleja la capacidad de</w:t>
      </w:r>
      <w:r>
        <w:rPr>
          <w:spacing w:val="-4"/>
        </w:rPr>
        <w:t xml:space="preserve"> </w:t>
      </w:r>
      <w:r>
        <w:t>la</w:t>
      </w:r>
      <w:r>
        <w:rPr>
          <w:spacing w:val="-4"/>
        </w:rPr>
        <w:t xml:space="preserve"> </w:t>
      </w:r>
      <w:r>
        <w:t>marca</w:t>
      </w:r>
      <w:r>
        <w:rPr>
          <w:spacing w:val="-4"/>
        </w:rPr>
        <w:t xml:space="preserve"> </w:t>
      </w:r>
      <w:r>
        <w:t>para</w:t>
      </w:r>
      <w:r>
        <w:rPr>
          <w:spacing w:val="-4"/>
        </w:rPr>
        <w:t xml:space="preserve"> </w:t>
      </w:r>
      <w:r>
        <w:t>sostener</w:t>
      </w:r>
      <w:r>
        <w:rPr>
          <w:spacing w:val="-4"/>
        </w:rPr>
        <w:t xml:space="preserve"> </w:t>
      </w:r>
      <w:r>
        <w:t>su posicionamiento</w:t>
      </w:r>
      <w:r>
        <w:rPr>
          <w:spacing w:val="-5"/>
        </w:rPr>
        <w:t xml:space="preserve"> </w:t>
      </w:r>
      <w:r>
        <w:rPr>
          <w:rFonts w:ascii="Arial" w:hAnsi="Arial"/>
          <w:i/>
        </w:rPr>
        <w:t>premium</w:t>
      </w:r>
      <w:r>
        <w:rPr>
          <w:rFonts w:ascii="Arial" w:hAnsi="Arial"/>
          <w:i/>
          <w:spacing w:val="-5"/>
        </w:rPr>
        <w:t xml:space="preserve"> </w:t>
      </w:r>
      <w:r>
        <w:t>y</w:t>
      </w:r>
      <w:r>
        <w:rPr>
          <w:spacing w:val="-5"/>
        </w:rPr>
        <w:t xml:space="preserve"> </w:t>
      </w:r>
      <w:r>
        <w:t>capturar</w:t>
      </w:r>
      <w:r>
        <w:rPr>
          <w:spacing w:val="-5"/>
        </w:rPr>
        <w:t xml:space="preserve"> </w:t>
      </w:r>
      <w:r>
        <w:t>valor.</w:t>
      </w:r>
      <w:r>
        <w:rPr>
          <w:spacing w:val="-5"/>
        </w:rPr>
        <w:t xml:space="preserve"> </w:t>
      </w:r>
      <w:r>
        <w:t>Es</w:t>
      </w:r>
      <w:r>
        <w:rPr>
          <w:spacing w:val="-5"/>
        </w:rPr>
        <w:t xml:space="preserve"> </w:t>
      </w:r>
      <w:r>
        <w:t>la</w:t>
      </w:r>
      <w:r>
        <w:rPr>
          <w:spacing w:val="-5"/>
        </w:rPr>
        <w:t xml:space="preserve"> </w:t>
      </w:r>
      <w:r>
        <w:t>variable</w:t>
      </w:r>
      <w:r>
        <w:rPr>
          <w:spacing w:val="-5"/>
        </w:rPr>
        <w:t xml:space="preserve"> </w:t>
      </w:r>
      <w:r>
        <w:t>con</w:t>
      </w:r>
      <w:r>
        <w:rPr>
          <w:spacing w:val="-5"/>
        </w:rPr>
        <w:t xml:space="preserve"> </w:t>
      </w:r>
      <w:r>
        <w:t>mayor</w:t>
      </w:r>
      <w:r>
        <w:rPr>
          <w:spacing w:val="-5"/>
        </w:rPr>
        <w:t xml:space="preserve"> </w:t>
      </w:r>
      <w:r>
        <w:t>impacto</w:t>
      </w:r>
      <w:r>
        <w:rPr>
          <w:spacing w:val="-5"/>
        </w:rPr>
        <w:t xml:space="preserve"> </w:t>
      </w:r>
      <w:r>
        <w:t>sobre la rentabilidad del modelo.</w:t>
      </w:r>
    </w:p>
    <w:p w:rsidR="009B4BB4" w:rsidRDefault="00C44001" w:rsidP="00C44001">
      <w:pPr>
        <w:pStyle w:val="Prrafodelista"/>
        <w:numPr>
          <w:ilvl w:val="0"/>
          <w:numId w:val="8"/>
        </w:numPr>
        <w:tabs>
          <w:tab w:val="left" w:pos="1145"/>
        </w:tabs>
        <w:spacing w:line="360" w:lineRule="auto"/>
        <w:ind w:right="614"/>
        <w:jc w:val="both"/>
      </w:pPr>
      <w:r>
        <w:rPr>
          <w:rFonts w:ascii="Arial" w:hAnsi="Arial"/>
          <w:b/>
        </w:rPr>
        <w:t xml:space="preserve">Costo de producción: </w:t>
      </w:r>
      <w:r>
        <w:t>Sensib</w:t>
      </w:r>
      <w:r>
        <w:t>le a variaciones en el precio de la miel melipona, principal insumo del producto, así como a cambios en el costo de materiales de empaque, especialmente aquellos de origen importado.</w:t>
      </w:r>
    </w:p>
    <w:p w:rsidR="009B4BB4" w:rsidRDefault="00C44001" w:rsidP="00C44001">
      <w:pPr>
        <w:pStyle w:val="Prrafodelista"/>
        <w:numPr>
          <w:ilvl w:val="0"/>
          <w:numId w:val="8"/>
        </w:numPr>
        <w:tabs>
          <w:tab w:val="left" w:pos="1145"/>
        </w:tabs>
        <w:spacing w:line="360" w:lineRule="auto"/>
        <w:ind w:right="604"/>
        <w:jc w:val="both"/>
      </w:pPr>
      <w:r>
        <w:rPr>
          <w:rFonts w:ascii="Arial" w:hAnsi="Arial"/>
          <w:b/>
        </w:rPr>
        <w:t xml:space="preserve">Mix de canales: </w:t>
      </w:r>
      <w:r>
        <w:t>Dado que el</w:t>
      </w:r>
      <w:r>
        <w:rPr>
          <w:spacing w:val="-4"/>
        </w:rPr>
        <w:t xml:space="preserve"> </w:t>
      </w:r>
      <w:r>
        <w:t>volumen</w:t>
      </w:r>
      <w:r>
        <w:rPr>
          <w:spacing w:val="-4"/>
        </w:rPr>
        <w:t xml:space="preserve"> </w:t>
      </w:r>
      <w:r>
        <w:t>está</w:t>
      </w:r>
      <w:r>
        <w:rPr>
          <w:spacing w:val="-4"/>
        </w:rPr>
        <w:t xml:space="preserve"> </w:t>
      </w:r>
      <w:r>
        <w:t>limitado</w:t>
      </w:r>
      <w:r>
        <w:rPr>
          <w:spacing w:val="-4"/>
        </w:rPr>
        <w:t xml:space="preserve"> </w:t>
      </w:r>
      <w:r>
        <w:t>por</w:t>
      </w:r>
      <w:r>
        <w:rPr>
          <w:spacing w:val="-4"/>
        </w:rPr>
        <w:t xml:space="preserve"> </w:t>
      </w:r>
      <w:r>
        <w:t>la</w:t>
      </w:r>
      <w:r>
        <w:rPr>
          <w:spacing w:val="-4"/>
        </w:rPr>
        <w:t xml:space="preserve"> </w:t>
      </w:r>
      <w:r>
        <w:t>capacidad</w:t>
      </w:r>
      <w:r>
        <w:rPr>
          <w:spacing w:val="-4"/>
        </w:rPr>
        <w:t xml:space="preserve"> </w:t>
      </w:r>
      <w:r>
        <w:t>biológ</w:t>
      </w:r>
      <w:r>
        <w:t>ica</w:t>
      </w:r>
      <w:r>
        <w:rPr>
          <w:spacing w:val="-4"/>
        </w:rPr>
        <w:t xml:space="preserve"> </w:t>
      </w:r>
      <w:r>
        <w:t>de producción, la rentabilidad depende de la proporción de</w:t>
      </w:r>
      <w:r>
        <w:rPr>
          <w:spacing w:val="-4"/>
        </w:rPr>
        <w:t xml:space="preserve"> </w:t>
      </w:r>
      <w:r>
        <w:t>ventas</w:t>
      </w:r>
      <w:r>
        <w:rPr>
          <w:spacing w:val="-4"/>
        </w:rPr>
        <w:t xml:space="preserve"> </w:t>
      </w:r>
      <w:r>
        <w:t>a</w:t>
      </w:r>
      <w:r>
        <w:rPr>
          <w:spacing w:val="-4"/>
        </w:rPr>
        <w:t xml:space="preserve"> </w:t>
      </w:r>
      <w:r>
        <w:t>precio</w:t>
      </w:r>
      <w:r>
        <w:rPr>
          <w:spacing w:val="-4"/>
        </w:rPr>
        <w:t xml:space="preserve"> </w:t>
      </w:r>
      <w:r>
        <w:t>completo (canal directo) frente a ventas a precio mayorista en hoteles y puntos B2B.</w:t>
      </w:r>
    </w:p>
    <w:p w:rsidR="009B4BB4" w:rsidRDefault="00C44001">
      <w:pPr>
        <w:pStyle w:val="Textoindependiente"/>
        <w:spacing w:line="360" w:lineRule="auto"/>
        <w:ind w:left="425" w:right="611" w:firstLine="720"/>
        <w:jc w:val="both"/>
      </w:pPr>
      <w:r>
        <w:t>Estas variables permiten modelar escenarios que reflejan cambios en la</w:t>
      </w:r>
      <w:r>
        <w:rPr>
          <w:spacing w:val="40"/>
        </w:rPr>
        <w:t xml:space="preserve"> </w:t>
      </w:r>
      <w:r>
        <w:t>estructura de ingresos y costos, facilitando la toma de decisiones estratégicas bajo distintos contextos de mercado.</w:t>
      </w:r>
    </w:p>
    <w:p w:rsidR="009B4BB4" w:rsidRDefault="00C44001">
      <w:pPr>
        <w:pStyle w:val="Ttulo1"/>
        <w:spacing w:before="240"/>
      </w:pPr>
      <w:r>
        <w:rPr>
          <w:spacing w:val="-2"/>
        </w:rPr>
        <w:t>Tabla</w:t>
      </w:r>
      <w:r>
        <w:rPr>
          <w:spacing w:val="-13"/>
        </w:rPr>
        <w:t xml:space="preserve"> </w:t>
      </w:r>
      <w:r>
        <w:rPr>
          <w:spacing w:val="-4"/>
        </w:rPr>
        <w:t>7.15</w:t>
      </w:r>
    </w:p>
    <w:p w:rsidR="009B4BB4" w:rsidRDefault="00C44001">
      <w:pPr>
        <w:spacing w:before="127"/>
        <w:ind w:left="455"/>
        <w:rPr>
          <w:rFonts w:ascii="Arial" w:hAnsi="Arial"/>
          <w:i/>
        </w:rPr>
      </w:pPr>
      <w:r>
        <w:rPr>
          <w:rFonts w:ascii="Arial" w:hAnsi="Arial"/>
          <w:i/>
        </w:rPr>
        <w:t>Sensibilidad</w:t>
      </w:r>
      <w:r>
        <w:rPr>
          <w:rFonts w:ascii="Arial" w:hAnsi="Arial"/>
          <w:i/>
          <w:spacing w:val="-8"/>
        </w:rPr>
        <w:t xml:space="preserve"> </w:t>
      </w:r>
      <w:r>
        <w:rPr>
          <w:rFonts w:ascii="Arial" w:hAnsi="Arial"/>
          <w:i/>
        </w:rPr>
        <w:t>del</w:t>
      </w:r>
      <w:r>
        <w:rPr>
          <w:rFonts w:ascii="Arial" w:hAnsi="Arial"/>
          <w:i/>
          <w:spacing w:val="-7"/>
        </w:rPr>
        <w:t xml:space="preserve"> </w:t>
      </w:r>
      <w:r>
        <w:rPr>
          <w:rFonts w:ascii="Arial" w:hAnsi="Arial"/>
          <w:i/>
        </w:rPr>
        <w:t>VAN</w:t>
      </w:r>
      <w:r>
        <w:rPr>
          <w:rFonts w:ascii="Arial" w:hAnsi="Arial"/>
          <w:i/>
          <w:spacing w:val="-7"/>
        </w:rPr>
        <w:t xml:space="preserve"> </w:t>
      </w:r>
      <w:r>
        <w:rPr>
          <w:rFonts w:ascii="Arial" w:hAnsi="Arial"/>
          <w:i/>
        </w:rPr>
        <w:t>ante</w:t>
      </w:r>
      <w:r>
        <w:rPr>
          <w:rFonts w:ascii="Arial" w:hAnsi="Arial"/>
          <w:i/>
          <w:spacing w:val="-8"/>
        </w:rPr>
        <w:t xml:space="preserve"> </w:t>
      </w:r>
      <w:r>
        <w:rPr>
          <w:rFonts w:ascii="Arial" w:hAnsi="Arial"/>
          <w:i/>
        </w:rPr>
        <w:t>variaciones</w:t>
      </w:r>
      <w:r>
        <w:rPr>
          <w:rFonts w:ascii="Arial" w:hAnsi="Arial"/>
          <w:i/>
          <w:spacing w:val="-7"/>
        </w:rPr>
        <w:t xml:space="preserve"> </w:t>
      </w:r>
      <w:r>
        <w:rPr>
          <w:rFonts w:ascii="Arial" w:hAnsi="Arial"/>
          <w:i/>
        </w:rPr>
        <w:t>del</w:t>
      </w:r>
      <w:r>
        <w:rPr>
          <w:rFonts w:ascii="Arial" w:hAnsi="Arial"/>
          <w:i/>
          <w:spacing w:val="-7"/>
        </w:rPr>
        <w:t xml:space="preserve"> </w:t>
      </w:r>
      <w:r>
        <w:rPr>
          <w:rFonts w:ascii="Arial" w:hAnsi="Arial"/>
          <w:i/>
        </w:rPr>
        <w:t>±10%</w:t>
      </w:r>
      <w:r>
        <w:rPr>
          <w:rFonts w:ascii="Arial" w:hAnsi="Arial"/>
          <w:i/>
          <w:spacing w:val="-8"/>
        </w:rPr>
        <w:t xml:space="preserve"> </w:t>
      </w:r>
      <w:r>
        <w:rPr>
          <w:rFonts w:ascii="Arial" w:hAnsi="Arial"/>
          <w:i/>
        </w:rPr>
        <w:t>(Base:</w:t>
      </w:r>
      <w:r>
        <w:rPr>
          <w:rFonts w:ascii="Arial" w:hAnsi="Arial"/>
          <w:i/>
          <w:spacing w:val="-7"/>
        </w:rPr>
        <w:t xml:space="preserve"> </w:t>
      </w:r>
      <w:r>
        <w:rPr>
          <w:rFonts w:ascii="Arial" w:hAnsi="Arial"/>
          <w:i/>
        </w:rPr>
        <w:t>$145,800</w:t>
      </w:r>
      <w:r>
        <w:rPr>
          <w:rFonts w:ascii="Arial" w:hAnsi="Arial"/>
          <w:i/>
          <w:spacing w:val="-7"/>
        </w:rPr>
        <w:t xml:space="preserve"> </w:t>
      </w:r>
      <w:r>
        <w:rPr>
          <w:rFonts w:ascii="Arial" w:hAnsi="Arial"/>
          <w:i/>
          <w:spacing w:val="-4"/>
        </w:rPr>
        <w:t>USD)</w:t>
      </w:r>
    </w:p>
    <w:p w:rsidR="009B4BB4" w:rsidRDefault="009B4BB4">
      <w:pPr>
        <w:pStyle w:val="Textoindependiente"/>
        <w:spacing w:before="0"/>
        <w:rPr>
          <w:rFonts w:ascii="Arial"/>
          <w:i/>
          <w:sz w:val="20"/>
        </w:rPr>
      </w:pPr>
    </w:p>
    <w:p w:rsidR="009B4BB4" w:rsidRDefault="009B4BB4">
      <w:pPr>
        <w:pStyle w:val="Textoindependiente"/>
        <w:spacing w:before="34"/>
        <w:rPr>
          <w:rFonts w:ascii="Arial"/>
          <w:i/>
          <w:sz w:val="20"/>
        </w:rPr>
      </w:pPr>
    </w:p>
    <w:tbl>
      <w:tblPr>
        <w:tblStyle w:val="TableNormal"/>
        <w:tblW w:w="0" w:type="auto"/>
        <w:tblInd w:w="432" w:type="dxa"/>
        <w:tblLayout w:type="fixed"/>
        <w:tblLook w:val="01E0" w:firstRow="1" w:lastRow="1" w:firstColumn="1" w:lastColumn="1" w:noHBand="0" w:noVBand="0"/>
      </w:tblPr>
      <w:tblGrid>
        <w:gridCol w:w="2311"/>
        <w:gridCol w:w="1608"/>
        <w:gridCol w:w="2140"/>
        <w:gridCol w:w="1651"/>
        <w:gridCol w:w="1288"/>
      </w:tblGrid>
      <w:tr w:rsidR="009B4BB4">
        <w:trPr>
          <w:trHeight w:val="1220"/>
        </w:trPr>
        <w:tc>
          <w:tcPr>
            <w:tcW w:w="2311" w:type="dxa"/>
            <w:tcBorders>
              <w:top w:val="single" w:sz="8" w:space="0" w:color="000000"/>
              <w:bottom w:val="single" w:sz="8" w:space="0" w:color="000000"/>
            </w:tcBorders>
          </w:tcPr>
          <w:p w:rsidR="009B4BB4" w:rsidRDefault="009B4BB4">
            <w:pPr>
              <w:pStyle w:val="TableParagraph"/>
              <w:spacing w:before="177"/>
              <w:rPr>
                <w:rFonts w:ascii="Arial"/>
                <w:i/>
              </w:rPr>
            </w:pPr>
          </w:p>
          <w:p w:rsidR="009B4BB4" w:rsidRDefault="00C44001">
            <w:pPr>
              <w:pStyle w:val="TableParagraph"/>
              <w:spacing w:before="1"/>
              <w:ind w:right="42"/>
              <w:jc w:val="center"/>
              <w:rPr>
                <w:rFonts w:ascii="Arial" w:hAnsi="Arial"/>
                <w:b/>
              </w:rPr>
            </w:pPr>
            <w:r>
              <w:rPr>
                <w:rFonts w:ascii="Arial" w:hAnsi="Arial"/>
                <w:b/>
                <w:spacing w:val="-2"/>
              </w:rPr>
              <w:t>Variable</w:t>
            </w:r>
            <w:r>
              <w:rPr>
                <w:rFonts w:ascii="Arial" w:hAnsi="Arial"/>
                <w:b/>
                <w:spacing w:val="-4"/>
              </w:rPr>
              <w:t xml:space="preserve"> </w:t>
            </w:r>
            <w:r>
              <w:rPr>
                <w:rFonts w:ascii="Arial" w:hAnsi="Arial"/>
                <w:b/>
                <w:spacing w:val="-2"/>
              </w:rPr>
              <w:t>Crítica</w:t>
            </w:r>
          </w:p>
        </w:tc>
        <w:tc>
          <w:tcPr>
            <w:tcW w:w="1608" w:type="dxa"/>
            <w:tcBorders>
              <w:top w:val="single" w:sz="8" w:space="0" w:color="000000"/>
              <w:bottom w:val="single" w:sz="8" w:space="0" w:color="000000"/>
            </w:tcBorders>
          </w:tcPr>
          <w:p w:rsidR="009B4BB4" w:rsidRDefault="00C44001">
            <w:pPr>
              <w:pStyle w:val="TableParagraph"/>
              <w:spacing w:before="51"/>
              <w:ind w:right="46"/>
              <w:jc w:val="center"/>
              <w:rPr>
                <w:rFonts w:ascii="Arial"/>
                <w:b/>
              </w:rPr>
            </w:pPr>
            <w:r>
              <w:rPr>
                <w:rFonts w:ascii="Arial"/>
                <w:b/>
                <w:spacing w:val="-2"/>
              </w:rPr>
              <w:t>Escenario</w:t>
            </w:r>
          </w:p>
          <w:p w:rsidR="009B4BB4" w:rsidRDefault="00C44001">
            <w:pPr>
              <w:pStyle w:val="TableParagraph"/>
              <w:spacing w:before="127"/>
              <w:ind w:right="76"/>
              <w:jc w:val="center"/>
              <w:rPr>
                <w:rFonts w:ascii="Arial"/>
                <w:b/>
              </w:rPr>
            </w:pPr>
            <w:r>
              <w:rPr>
                <w:rFonts w:ascii="Arial"/>
                <w:b/>
                <w:spacing w:val="-2"/>
              </w:rPr>
              <w:t>-</w:t>
            </w:r>
            <w:r>
              <w:rPr>
                <w:rFonts w:ascii="Arial"/>
                <w:b/>
                <w:spacing w:val="-5"/>
              </w:rPr>
              <w:t>10%</w:t>
            </w:r>
          </w:p>
          <w:p w:rsidR="009B4BB4" w:rsidRDefault="00C44001">
            <w:pPr>
              <w:pStyle w:val="TableParagraph"/>
              <w:spacing w:before="126"/>
              <w:ind w:right="76"/>
              <w:jc w:val="center"/>
              <w:rPr>
                <w:rFonts w:ascii="Arial"/>
                <w:b/>
              </w:rPr>
            </w:pPr>
            <w:r>
              <w:rPr>
                <w:rFonts w:ascii="Arial"/>
                <w:b/>
                <w:spacing w:val="-2"/>
              </w:rPr>
              <w:t>(Pesimista)</w:t>
            </w:r>
          </w:p>
        </w:tc>
        <w:tc>
          <w:tcPr>
            <w:tcW w:w="2140" w:type="dxa"/>
            <w:tcBorders>
              <w:top w:val="single" w:sz="8" w:space="0" w:color="000000"/>
              <w:bottom w:val="single" w:sz="8" w:space="0" w:color="000000"/>
            </w:tcBorders>
          </w:tcPr>
          <w:p w:rsidR="009B4BB4" w:rsidRDefault="00C44001">
            <w:pPr>
              <w:pStyle w:val="TableParagraph"/>
              <w:spacing w:before="241" w:line="360" w:lineRule="auto"/>
              <w:ind w:left="829" w:right="240" w:hanging="572"/>
              <w:rPr>
                <w:rFonts w:ascii="Arial"/>
                <w:b/>
              </w:rPr>
            </w:pPr>
            <w:r>
              <w:rPr>
                <w:rFonts w:ascii="Arial"/>
                <w:b/>
              </w:rPr>
              <w:t>Escenario</w:t>
            </w:r>
            <w:r>
              <w:rPr>
                <w:rFonts w:ascii="Arial"/>
                <w:b/>
                <w:spacing w:val="-16"/>
              </w:rPr>
              <w:t xml:space="preserve"> </w:t>
            </w:r>
            <w:r>
              <w:rPr>
                <w:rFonts w:ascii="Arial"/>
                <w:b/>
              </w:rPr>
              <w:t xml:space="preserve">Base </w:t>
            </w:r>
            <w:r>
              <w:rPr>
                <w:rFonts w:ascii="Arial"/>
                <w:b/>
                <w:spacing w:val="-4"/>
              </w:rPr>
              <w:t>(0%)</w:t>
            </w:r>
          </w:p>
        </w:tc>
        <w:tc>
          <w:tcPr>
            <w:tcW w:w="1651" w:type="dxa"/>
            <w:tcBorders>
              <w:top w:val="single" w:sz="8" w:space="0" w:color="000000"/>
              <w:bottom w:val="single" w:sz="8" w:space="0" w:color="000000"/>
            </w:tcBorders>
          </w:tcPr>
          <w:p w:rsidR="009B4BB4" w:rsidRDefault="00C44001">
            <w:pPr>
              <w:pStyle w:val="TableParagraph"/>
              <w:spacing w:before="51"/>
              <w:ind w:left="32"/>
              <w:jc w:val="center"/>
              <w:rPr>
                <w:rFonts w:ascii="Arial"/>
                <w:b/>
              </w:rPr>
            </w:pPr>
            <w:r>
              <w:rPr>
                <w:rFonts w:ascii="Arial"/>
                <w:b/>
                <w:spacing w:val="-2"/>
              </w:rPr>
              <w:t>Escenario</w:t>
            </w:r>
          </w:p>
          <w:p w:rsidR="009B4BB4" w:rsidRDefault="00C44001">
            <w:pPr>
              <w:pStyle w:val="TableParagraph"/>
              <w:spacing w:before="127"/>
              <w:ind w:left="32" w:right="30"/>
              <w:jc w:val="center"/>
              <w:rPr>
                <w:rFonts w:ascii="Arial"/>
                <w:b/>
              </w:rPr>
            </w:pPr>
            <w:r>
              <w:rPr>
                <w:rFonts w:ascii="Arial"/>
                <w:b/>
                <w:spacing w:val="-4"/>
              </w:rPr>
              <w:t>+10%</w:t>
            </w:r>
          </w:p>
          <w:p w:rsidR="009B4BB4" w:rsidRDefault="00C44001">
            <w:pPr>
              <w:pStyle w:val="TableParagraph"/>
              <w:spacing w:before="126"/>
              <w:ind w:left="32" w:right="30"/>
              <w:jc w:val="center"/>
              <w:rPr>
                <w:rFonts w:ascii="Arial"/>
                <w:b/>
              </w:rPr>
            </w:pPr>
            <w:r>
              <w:rPr>
                <w:rFonts w:ascii="Arial"/>
                <w:b/>
                <w:spacing w:val="-2"/>
              </w:rPr>
              <w:t>(Optimista)</w:t>
            </w:r>
          </w:p>
        </w:tc>
        <w:tc>
          <w:tcPr>
            <w:tcW w:w="1288" w:type="dxa"/>
            <w:tcBorders>
              <w:top w:val="single" w:sz="8" w:space="0" w:color="000000"/>
              <w:bottom w:val="single" w:sz="8" w:space="0" w:color="000000"/>
            </w:tcBorders>
          </w:tcPr>
          <w:p w:rsidR="009B4BB4" w:rsidRDefault="009B4BB4">
            <w:pPr>
              <w:pStyle w:val="TableParagraph"/>
              <w:spacing w:before="177"/>
              <w:rPr>
                <w:rFonts w:ascii="Arial"/>
                <w:i/>
              </w:rPr>
            </w:pPr>
          </w:p>
          <w:p w:rsidR="009B4BB4" w:rsidRDefault="00C44001">
            <w:pPr>
              <w:pStyle w:val="TableParagraph"/>
              <w:spacing w:before="1"/>
              <w:ind w:left="48"/>
              <w:jc w:val="center"/>
              <w:rPr>
                <w:rFonts w:ascii="Arial"/>
                <w:b/>
              </w:rPr>
            </w:pPr>
            <w:r>
              <w:rPr>
                <w:rFonts w:ascii="Arial"/>
                <w:b/>
                <w:spacing w:val="-2"/>
              </w:rPr>
              <w:t>Impacto</w:t>
            </w:r>
          </w:p>
        </w:tc>
      </w:tr>
      <w:tr w:rsidR="009B4BB4">
        <w:trPr>
          <w:trHeight w:val="419"/>
        </w:trPr>
        <w:tc>
          <w:tcPr>
            <w:tcW w:w="2311" w:type="dxa"/>
            <w:tcBorders>
              <w:top w:val="single" w:sz="8" w:space="0" w:color="000000"/>
            </w:tcBorders>
          </w:tcPr>
          <w:p w:rsidR="009B4BB4" w:rsidRDefault="00C44001">
            <w:pPr>
              <w:pStyle w:val="TableParagraph"/>
              <w:spacing w:before="54"/>
              <w:ind w:right="42"/>
              <w:jc w:val="center"/>
              <w:rPr>
                <w:rFonts w:ascii="Arial"/>
                <w:b/>
              </w:rPr>
            </w:pPr>
            <w:r>
              <w:rPr>
                <w:rFonts w:ascii="Arial"/>
                <w:b/>
              </w:rPr>
              <w:t>Precio</w:t>
            </w:r>
            <w:r>
              <w:rPr>
                <w:rFonts w:ascii="Arial"/>
                <w:b/>
                <w:spacing w:val="-4"/>
              </w:rPr>
              <w:t xml:space="preserve"> </w:t>
            </w:r>
            <w:r>
              <w:rPr>
                <w:rFonts w:ascii="Arial"/>
                <w:b/>
              </w:rPr>
              <w:t>de</w:t>
            </w:r>
            <w:r>
              <w:rPr>
                <w:rFonts w:ascii="Arial"/>
                <w:b/>
                <w:spacing w:val="-4"/>
              </w:rPr>
              <w:t xml:space="preserve"> </w:t>
            </w:r>
            <w:r>
              <w:rPr>
                <w:rFonts w:ascii="Arial"/>
                <w:b/>
                <w:spacing w:val="-2"/>
              </w:rPr>
              <w:t>Venta</w:t>
            </w:r>
          </w:p>
        </w:tc>
        <w:tc>
          <w:tcPr>
            <w:tcW w:w="1608" w:type="dxa"/>
            <w:tcBorders>
              <w:top w:val="single" w:sz="8" w:space="0" w:color="000000"/>
            </w:tcBorders>
          </w:tcPr>
          <w:p w:rsidR="009B4BB4" w:rsidRDefault="00C44001">
            <w:pPr>
              <w:pStyle w:val="TableParagraph"/>
              <w:spacing w:before="54"/>
              <w:ind w:right="46"/>
              <w:jc w:val="center"/>
            </w:pPr>
            <w:r>
              <w:rPr>
                <w:spacing w:val="-2"/>
              </w:rPr>
              <w:t>$85,400</w:t>
            </w:r>
          </w:p>
        </w:tc>
        <w:tc>
          <w:tcPr>
            <w:tcW w:w="2140" w:type="dxa"/>
            <w:tcBorders>
              <w:top w:val="single" w:sz="8" w:space="0" w:color="000000"/>
            </w:tcBorders>
          </w:tcPr>
          <w:p w:rsidR="009B4BB4" w:rsidRDefault="00C44001">
            <w:pPr>
              <w:pStyle w:val="TableParagraph"/>
              <w:spacing w:before="54"/>
              <w:ind w:left="13"/>
              <w:jc w:val="center"/>
            </w:pPr>
            <w:r>
              <w:rPr>
                <w:spacing w:val="-2"/>
              </w:rPr>
              <w:t>$145,800</w:t>
            </w:r>
          </w:p>
        </w:tc>
        <w:tc>
          <w:tcPr>
            <w:tcW w:w="1651" w:type="dxa"/>
            <w:tcBorders>
              <w:top w:val="single" w:sz="8" w:space="0" w:color="000000"/>
            </w:tcBorders>
          </w:tcPr>
          <w:p w:rsidR="009B4BB4" w:rsidRDefault="00C44001">
            <w:pPr>
              <w:pStyle w:val="TableParagraph"/>
              <w:spacing w:before="54"/>
              <w:ind w:left="32"/>
              <w:jc w:val="center"/>
            </w:pPr>
            <w:r>
              <w:rPr>
                <w:spacing w:val="-2"/>
              </w:rPr>
              <w:t>$206,200</w:t>
            </w:r>
          </w:p>
        </w:tc>
        <w:tc>
          <w:tcPr>
            <w:tcW w:w="1288" w:type="dxa"/>
            <w:tcBorders>
              <w:top w:val="single" w:sz="8" w:space="0" w:color="000000"/>
            </w:tcBorders>
          </w:tcPr>
          <w:p w:rsidR="009B4BB4" w:rsidRDefault="00C44001">
            <w:pPr>
              <w:pStyle w:val="TableParagraph"/>
              <w:spacing w:before="54"/>
              <w:ind w:left="48"/>
              <w:jc w:val="center"/>
            </w:pPr>
            <w:r>
              <w:rPr>
                <w:spacing w:val="-4"/>
              </w:rPr>
              <w:t>Alto</w:t>
            </w:r>
          </w:p>
        </w:tc>
      </w:tr>
      <w:tr w:rsidR="009B4BB4">
        <w:trPr>
          <w:trHeight w:val="469"/>
        </w:trPr>
        <w:tc>
          <w:tcPr>
            <w:tcW w:w="2311" w:type="dxa"/>
          </w:tcPr>
          <w:p w:rsidR="009B4BB4" w:rsidRDefault="00C44001">
            <w:pPr>
              <w:pStyle w:val="TableParagraph"/>
              <w:spacing w:before="104"/>
              <w:ind w:right="42"/>
              <w:jc w:val="center"/>
              <w:rPr>
                <w:rFonts w:ascii="Arial" w:hAnsi="Arial"/>
                <w:b/>
              </w:rPr>
            </w:pPr>
            <w:r>
              <w:rPr>
                <w:rFonts w:ascii="Arial" w:hAnsi="Arial"/>
                <w:b/>
              </w:rPr>
              <w:t>Costo</w:t>
            </w:r>
            <w:r>
              <w:rPr>
                <w:rFonts w:ascii="Arial" w:hAnsi="Arial"/>
                <w:b/>
                <w:spacing w:val="-5"/>
              </w:rPr>
              <w:t xml:space="preserve"> </w:t>
            </w:r>
            <w:r>
              <w:rPr>
                <w:rFonts w:ascii="Arial" w:hAnsi="Arial"/>
                <w:b/>
                <w:spacing w:val="-2"/>
              </w:rPr>
              <w:t>Producción</w:t>
            </w:r>
          </w:p>
        </w:tc>
        <w:tc>
          <w:tcPr>
            <w:tcW w:w="1608" w:type="dxa"/>
          </w:tcPr>
          <w:p w:rsidR="009B4BB4" w:rsidRDefault="00C44001">
            <w:pPr>
              <w:pStyle w:val="TableParagraph"/>
              <w:spacing w:before="104"/>
              <w:ind w:right="46"/>
              <w:jc w:val="center"/>
            </w:pPr>
            <w:r>
              <w:rPr>
                <w:spacing w:val="-2"/>
              </w:rPr>
              <w:t>$131,200</w:t>
            </w:r>
          </w:p>
        </w:tc>
        <w:tc>
          <w:tcPr>
            <w:tcW w:w="2140" w:type="dxa"/>
          </w:tcPr>
          <w:p w:rsidR="009B4BB4" w:rsidRDefault="00C44001">
            <w:pPr>
              <w:pStyle w:val="TableParagraph"/>
              <w:spacing w:before="104"/>
              <w:ind w:left="13"/>
              <w:jc w:val="center"/>
            </w:pPr>
            <w:r>
              <w:rPr>
                <w:spacing w:val="-2"/>
              </w:rPr>
              <w:t>$145,800</w:t>
            </w:r>
          </w:p>
        </w:tc>
        <w:tc>
          <w:tcPr>
            <w:tcW w:w="1651" w:type="dxa"/>
          </w:tcPr>
          <w:p w:rsidR="009B4BB4" w:rsidRDefault="00C44001">
            <w:pPr>
              <w:pStyle w:val="TableParagraph"/>
              <w:spacing w:before="104"/>
              <w:ind w:left="32"/>
              <w:jc w:val="center"/>
            </w:pPr>
            <w:r>
              <w:rPr>
                <w:spacing w:val="-2"/>
              </w:rPr>
              <w:t>$160,400</w:t>
            </w:r>
          </w:p>
        </w:tc>
        <w:tc>
          <w:tcPr>
            <w:tcW w:w="1288" w:type="dxa"/>
          </w:tcPr>
          <w:p w:rsidR="009B4BB4" w:rsidRDefault="00C44001">
            <w:pPr>
              <w:pStyle w:val="TableParagraph"/>
              <w:spacing w:before="104"/>
              <w:ind w:left="48"/>
              <w:jc w:val="center"/>
            </w:pPr>
            <w:r>
              <w:rPr>
                <w:spacing w:val="-2"/>
              </w:rPr>
              <w:t>Medio</w:t>
            </w:r>
          </w:p>
        </w:tc>
      </w:tr>
      <w:tr w:rsidR="009B4BB4">
        <w:trPr>
          <w:trHeight w:val="510"/>
        </w:trPr>
        <w:tc>
          <w:tcPr>
            <w:tcW w:w="2311" w:type="dxa"/>
            <w:tcBorders>
              <w:bottom w:val="single" w:sz="8" w:space="0" w:color="000000"/>
            </w:tcBorders>
          </w:tcPr>
          <w:p w:rsidR="009B4BB4" w:rsidRDefault="00C44001">
            <w:pPr>
              <w:pStyle w:val="TableParagraph"/>
              <w:spacing w:before="104"/>
              <w:ind w:right="42"/>
              <w:jc w:val="center"/>
              <w:rPr>
                <w:rFonts w:ascii="Arial"/>
                <w:b/>
              </w:rPr>
            </w:pPr>
            <w:r>
              <w:rPr>
                <w:rFonts w:ascii="Arial"/>
                <w:b/>
              </w:rPr>
              <w:t>Volumen</w:t>
            </w:r>
            <w:r>
              <w:rPr>
                <w:rFonts w:ascii="Arial"/>
                <w:b/>
                <w:spacing w:val="-13"/>
              </w:rPr>
              <w:t xml:space="preserve"> </w:t>
            </w:r>
            <w:r>
              <w:rPr>
                <w:rFonts w:ascii="Arial"/>
                <w:b/>
              </w:rPr>
              <w:t>de</w:t>
            </w:r>
            <w:r>
              <w:rPr>
                <w:rFonts w:ascii="Arial"/>
                <w:b/>
                <w:spacing w:val="-12"/>
              </w:rPr>
              <w:t xml:space="preserve"> </w:t>
            </w:r>
            <w:r>
              <w:rPr>
                <w:rFonts w:ascii="Arial"/>
                <w:b/>
                <w:spacing w:val="-2"/>
              </w:rPr>
              <w:t>Ventas</w:t>
            </w:r>
          </w:p>
        </w:tc>
        <w:tc>
          <w:tcPr>
            <w:tcW w:w="1608" w:type="dxa"/>
            <w:tcBorders>
              <w:bottom w:val="single" w:sz="8" w:space="0" w:color="000000"/>
            </w:tcBorders>
          </w:tcPr>
          <w:p w:rsidR="009B4BB4" w:rsidRDefault="00C44001">
            <w:pPr>
              <w:pStyle w:val="TableParagraph"/>
              <w:spacing w:before="104"/>
              <w:ind w:right="46"/>
              <w:jc w:val="center"/>
            </w:pPr>
            <w:r>
              <w:rPr>
                <w:spacing w:val="-2"/>
              </w:rPr>
              <w:t>$115,600</w:t>
            </w:r>
          </w:p>
        </w:tc>
        <w:tc>
          <w:tcPr>
            <w:tcW w:w="2140" w:type="dxa"/>
            <w:tcBorders>
              <w:bottom w:val="single" w:sz="8" w:space="0" w:color="000000"/>
            </w:tcBorders>
          </w:tcPr>
          <w:p w:rsidR="009B4BB4" w:rsidRDefault="00C44001">
            <w:pPr>
              <w:pStyle w:val="TableParagraph"/>
              <w:spacing w:before="104"/>
              <w:ind w:left="13"/>
              <w:jc w:val="center"/>
            </w:pPr>
            <w:r>
              <w:rPr>
                <w:spacing w:val="-2"/>
              </w:rPr>
              <w:t>$145,800</w:t>
            </w:r>
          </w:p>
        </w:tc>
        <w:tc>
          <w:tcPr>
            <w:tcW w:w="1651" w:type="dxa"/>
            <w:tcBorders>
              <w:bottom w:val="single" w:sz="8" w:space="0" w:color="000000"/>
            </w:tcBorders>
          </w:tcPr>
          <w:p w:rsidR="009B4BB4" w:rsidRDefault="00C44001">
            <w:pPr>
              <w:pStyle w:val="TableParagraph"/>
              <w:spacing w:before="104"/>
              <w:ind w:left="32"/>
              <w:jc w:val="center"/>
            </w:pPr>
            <w:r>
              <w:rPr>
                <w:spacing w:val="-2"/>
              </w:rPr>
              <w:t>$176,000*</w:t>
            </w:r>
          </w:p>
        </w:tc>
        <w:tc>
          <w:tcPr>
            <w:tcW w:w="1288" w:type="dxa"/>
            <w:tcBorders>
              <w:bottom w:val="single" w:sz="8" w:space="0" w:color="000000"/>
            </w:tcBorders>
          </w:tcPr>
          <w:p w:rsidR="009B4BB4" w:rsidRDefault="00C44001">
            <w:pPr>
              <w:pStyle w:val="TableParagraph"/>
              <w:spacing w:before="104"/>
              <w:ind w:left="48"/>
              <w:jc w:val="center"/>
            </w:pPr>
            <w:r>
              <w:rPr>
                <w:spacing w:val="-2"/>
              </w:rPr>
              <w:t>Medio</w:t>
            </w:r>
          </w:p>
        </w:tc>
      </w:tr>
    </w:tbl>
    <w:p w:rsidR="009B4BB4" w:rsidRDefault="009B4BB4">
      <w:pPr>
        <w:pStyle w:val="Textoindependiente"/>
        <w:spacing w:before="2"/>
        <w:rPr>
          <w:rFonts w:ascii="Arial"/>
          <w:i/>
        </w:rPr>
      </w:pPr>
    </w:p>
    <w:p w:rsidR="009B4BB4" w:rsidRDefault="00C44001">
      <w:pPr>
        <w:pStyle w:val="Textoindependiente"/>
        <w:spacing w:before="0" w:line="360" w:lineRule="auto"/>
        <w:ind w:left="425" w:right="671"/>
      </w:pPr>
      <w:r>
        <w:rPr>
          <w:rFonts w:ascii="Arial" w:hAnsi="Arial"/>
          <w:i/>
        </w:rPr>
        <w:t>Nota.</w:t>
      </w:r>
      <w:r>
        <w:rPr>
          <w:rFonts w:ascii="Arial" w:hAnsi="Arial"/>
          <w:i/>
          <w:spacing w:val="26"/>
        </w:rPr>
        <w:t xml:space="preserve"> </w:t>
      </w:r>
      <w:r>
        <w:t>En</w:t>
      </w:r>
      <w:r>
        <w:rPr>
          <w:spacing w:val="26"/>
        </w:rPr>
        <w:t xml:space="preserve"> </w:t>
      </w:r>
      <w:r>
        <w:t>el</w:t>
      </w:r>
      <w:r>
        <w:rPr>
          <w:spacing w:val="26"/>
        </w:rPr>
        <w:t xml:space="preserve"> </w:t>
      </w:r>
      <w:r>
        <w:t>escenario optimista de volumen, se asume que se alcanza el tope de 3,000 unidades antes del Año 5. Elaboración propia (2025).</w:t>
      </w:r>
    </w:p>
    <w:p w:rsidR="009B4BB4" w:rsidRDefault="00C44001">
      <w:pPr>
        <w:pStyle w:val="Textoindependiente"/>
        <w:spacing w:line="360" w:lineRule="auto"/>
        <w:ind w:left="425" w:right="606" w:firstLine="720"/>
        <w:jc w:val="both"/>
      </w:pPr>
      <w:r>
        <w:t>La variable más sensible del modelo es el precio. Como se observa en la Tabla 21, una reducción del 10% en el precio impacta el VA</w:t>
      </w:r>
      <w:r>
        <w:t>N en aproximadamente un 41%. Este resultado indica que el principal riesgo del proyecto no es operativo, sino de posicionamiento</w:t>
      </w:r>
      <w:r>
        <w:rPr>
          <w:spacing w:val="71"/>
        </w:rPr>
        <w:t xml:space="preserve"> </w:t>
      </w:r>
      <w:r>
        <w:t>de</w:t>
      </w:r>
      <w:r>
        <w:rPr>
          <w:spacing w:val="71"/>
        </w:rPr>
        <w:t xml:space="preserve"> </w:t>
      </w:r>
      <w:r>
        <w:t>marca.</w:t>
      </w:r>
      <w:r>
        <w:rPr>
          <w:spacing w:val="40"/>
        </w:rPr>
        <w:t xml:space="preserve"> </w:t>
      </w:r>
      <w:r>
        <w:t>Por</w:t>
      </w:r>
      <w:r>
        <w:rPr>
          <w:spacing w:val="40"/>
        </w:rPr>
        <w:t xml:space="preserve"> </w:t>
      </w:r>
      <w:r>
        <w:t>ello,</w:t>
      </w:r>
      <w:r>
        <w:rPr>
          <w:spacing w:val="40"/>
        </w:rPr>
        <w:t xml:space="preserve"> </w:t>
      </w:r>
      <w:r>
        <w:t>la</w:t>
      </w:r>
      <w:r>
        <w:rPr>
          <w:spacing w:val="40"/>
        </w:rPr>
        <w:t xml:space="preserve"> </w:t>
      </w:r>
      <w:r>
        <w:t>prioridad</w:t>
      </w:r>
      <w:r>
        <w:rPr>
          <w:spacing w:val="40"/>
        </w:rPr>
        <w:t xml:space="preserve"> </w:t>
      </w:r>
      <w:r>
        <w:t>estratégica</w:t>
      </w:r>
      <w:r>
        <w:rPr>
          <w:spacing w:val="40"/>
        </w:rPr>
        <w:t xml:space="preserve"> </w:t>
      </w:r>
      <w:r>
        <w:t>consiste</w:t>
      </w:r>
      <w:r>
        <w:rPr>
          <w:spacing w:val="40"/>
        </w:rPr>
        <w:t xml:space="preserve"> </w:t>
      </w:r>
      <w:r>
        <w:t>en</w:t>
      </w:r>
      <w:r>
        <w:rPr>
          <w:spacing w:val="40"/>
        </w:rPr>
        <w:t xml:space="preserve"> </w:t>
      </w:r>
      <w:r>
        <w:t>proteger</w:t>
      </w:r>
      <w:r>
        <w:rPr>
          <w:spacing w:val="40"/>
        </w:rPr>
        <w:t xml:space="preserve"> </w:t>
      </w:r>
      <w:r>
        <w:t>la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71"/>
      </w:pPr>
      <w:proofErr w:type="gramStart"/>
      <w:r>
        <w:lastRenderedPageBreak/>
        <w:t>percepción</w:t>
      </w:r>
      <w:proofErr w:type="gramEnd"/>
      <w:r>
        <w:t xml:space="preserve"> de valor y la exclusividad, e</w:t>
      </w:r>
      <w:r>
        <w:t>vitando la erosión de los márgenes</w:t>
      </w:r>
      <w:r>
        <w:rPr>
          <w:spacing w:val="-3"/>
        </w:rPr>
        <w:t xml:space="preserve"> </w:t>
      </w:r>
      <w:r>
        <w:t>ante</w:t>
      </w:r>
      <w:r>
        <w:rPr>
          <w:spacing w:val="-3"/>
        </w:rPr>
        <w:t xml:space="preserve"> </w:t>
      </w:r>
      <w:r>
        <w:t>posibles fluctuaciones del mercado.</w:t>
      </w:r>
    </w:p>
    <w:p w:rsidR="009B4BB4" w:rsidRDefault="00C44001">
      <w:pPr>
        <w:pStyle w:val="Textoindependiente"/>
        <w:spacing w:line="360" w:lineRule="auto"/>
        <w:ind w:left="425" w:right="602" w:firstLine="720"/>
        <w:jc w:val="both"/>
      </w:pPr>
      <w:r>
        <w:t xml:space="preserve">Adicionalmente, el modelo enfrenta un riesgo asociado a la correlación de tres variables operativas: condiciones climáticas adversas que reduzcan la cosecha, disminución del flujo </w:t>
      </w:r>
      <w:r>
        <w:t>turístico</w:t>
      </w:r>
      <w:r>
        <w:rPr>
          <w:spacing w:val="-3"/>
        </w:rPr>
        <w:t xml:space="preserve"> </w:t>
      </w:r>
      <w:r>
        <w:t>por</w:t>
      </w:r>
      <w:r>
        <w:rPr>
          <w:spacing w:val="-3"/>
        </w:rPr>
        <w:t xml:space="preserve"> </w:t>
      </w:r>
      <w:r>
        <w:t>eventos</w:t>
      </w:r>
      <w:r>
        <w:rPr>
          <w:spacing w:val="-3"/>
        </w:rPr>
        <w:t xml:space="preserve"> </w:t>
      </w:r>
      <w:r>
        <w:t>extremos,</w:t>
      </w:r>
      <w:r>
        <w:rPr>
          <w:spacing w:val="-3"/>
        </w:rPr>
        <w:t xml:space="preserve"> </w:t>
      </w:r>
      <w:r>
        <w:t>como</w:t>
      </w:r>
      <w:r>
        <w:rPr>
          <w:spacing w:val="-3"/>
        </w:rPr>
        <w:t xml:space="preserve"> </w:t>
      </w:r>
      <w:r>
        <w:t>huracanes</w:t>
      </w:r>
      <w:r>
        <w:rPr>
          <w:spacing w:val="-3"/>
        </w:rPr>
        <w:t xml:space="preserve"> </w:t>
      </w:r>
      <w:r>
        <w:t>o</w:t>
      </w:r>
      <w:r>
        <w:rPr>
          <w:spacing w:val="-3"/>
        </w:rPr>
        <w:t xml:space="preserve"> </w:t>
      </w:r>
      <w:r>
        <w:t>crisis</w:t>
      </w:r>
      <w:r>
        <w:rPr>
          <w:spacing w:val="-3"/>
        </w:rPr>
        <w:t xml:space="preserve"> </w:t>
      </w:r>
      <w:r>
        <w:t>sanitarias,</w:t>
      </w:r>
      <w:r>
        <w:rPr>
          <w:spacing w:val="-3"/>
        </w:rPr>
        <w:t xml:space="preserve"> </w:t>
      </w:r>
      <w:r>
        <w:t xml:space="preserve">y posibles rupturas en la relación con las comunidades productoras. La ocurrencia simultánea de dos o más de estas condiciones generaría un impacto multiplicativo en la </w:t>
      </w:r>
      <w:r>
        <w:rPr>
          <w:spacing w:val="-2"/>
        </w:rPr>
        <w:t>operación.</w:t>
      </w:r>
    </w:p>
    <w:p w:rsidR="009B4BB4" w:rsidRDefault="00C44001">
      <w:pPr>
        <w:pStyle w:val="Textoindependiente"/>
        <w:ind w:left="1145"/>
      </w:pPr>
      <w:r>
        <w:t>Para</w:t>
      </w:r>
      <w:r>
        <w:rPr>
          <w:spacing w:val="-8"/>
        </w:rPr>
        <w:t xml:space="preserve"> </w:t>
      </w:r>
      <w:r>
        <w:t>mit</w:t>
      </w:r>
      <w:r>
        <w:t>igar</w:t>
      </w:r>
      <w:r>
        <w:rPr>
          <w:spacing w:val="-6"/>
        </w:rPr>
        <w:t xml:space="preserve"> </w:t>
      </w:r>
      <w:r>
        <w:t>estos</w:t>
      </w:r>
      <w:r>
        <w:rPr>
          <w:spacing w:val="-6"/>
        </w:rPr>
        <w:t xml:space="preserve"> </w:t>
      </w:r>
      <w:r>
        <w:t>riesgos,</w:t>
      </w:r>
      <w:r>
        <w:rPr>
          <w:spacing w:val="-6"/>
        </w:rPr>
        <w:t xml:space="preserve"> </w:t>
      </w:r>
      <w:r>
        <w:t>se</w:t>
      </w:r>
      <w:r>
        <w:rPr>
          <w:spacing w:val="-6"/>
        </w:rPr>
        <w:t xml:space="preserve"> </w:t>
      </w:r>
      <w:r>
        <w:t>plantean</w:t>
      </w:r>
      <w:r>
        <w:rPr>
          <w:spacing w:val="-6"/>
        </w:rPr>
        <w:t xml:space="preserve"> </w:t>
      </w:r>
      <w:r>
        <w:t>las</w:t>
      </w:r>
      <w:r>
        <w:rPr>
          <w:spacing w:val="-6"/>
        </w:rPr>
        <w:t xml:space="preserve"> </w:t>
      </w:r>
      <w:r>
        <w:t>siguientes</w:t>
      </w:r>
      <w:r>
        <w:rPr>
          <w:spacing w:val="-5"/>
        </w:rPr>
        <w:t xml:space="preserve"> </w:t>
      </w:r>
      <w:r>
        <w:rPr>
          <w:spacing w:val="-2"/>
        </w:rPr>
        <w:t>estrategias:</w:t>
      </w:r>
    </w:p>
    <w:p w:rsidR="009B4BB4" w:rsidRDefault="009B4BB4">
      <w:pPr>
        <w:pStyle w:val="Textoindependiente"/>
        <w:spacing w:before="113"/>
      </w:pPr>
    </w:p>
    <w:p w:rsidR="009B4BB4" w:rsidRDefault="00C44001" w:rsidP="00C44001">
      <w:pPr>
        <w:pStyle w:val="Prrafodelista"/>
        <w:numPr>
          <w:ilvl w:val="0"/>
          <w:numId w:val="8"/>
        </w:numPr>
        <w:tabs>
          <w:tab w:val="left" w:pos="1145"/>
        </w:tabs>
        <w:spacing w:before="1" w:line="360" w:lineRule="auto"/>
        <w:ind w:right="604"/>
        <w:jc w:val="both"/>
      </w:pPr>
      <w:r>
        <w:t>La diversificación geográfica de la red</w:t>
      </w:r>
      <w:r>
        <w:rPr>
          <w:spacing w:val="-4"/>
        </w:rPr>
        <w:t xml:space="preserve"> </w:t>
      </w:r>
      <w:r>
        <w:t>de</w:t>
      </w:r>
      <w:r>
        <w:rPr>
          <w:spacing w:val="-4"/>
        </w:rPr>
        <w:t xml:space="preserve"> </w:t>
      </w:r>
      <w:r>
        <w:t>productores,</w:t>
      </w:r>
      <w:r>
        <w:rPr>
          <w:spacing w:val="-4"/>
        </w:rPr>
        <w:t xml:space="preserve"> </w:t>
      </w:r>
      <w:r>
        <w:t>junto</w:t>
      </w:r>
      <w:r>
        <w:rPr>
          <w:spacing w:val="-4"/>
        </w:rPr>
        <w:t xml:space="preserve"> </w:t>
      </w:r>
      <w:r>
        <w:t>con</w:t>
      </w:r>
      <w:r>
        <w:rPr>
          <w:spacing w:val="-4"/>
        </w:rPr>
        <w:t xml:space="preserve"> </w:t>
      </w:r>
      <w:r>
        <w:t>el</w:t>
      </w:r>
      <w:r>
        <w:rPr>
          <w:spacing w:val="-4"/>
        </w:rPr>
        <w:t xml:space="preserve"> </w:t>
      </w:r>
      <w:r>
        <w:t>mantenimiento de inventario acumulado en temporadas de alta cosecha, permite proteger el suministro ante variaciones climáticas.</w:t>
      </w:r>
    </w:p>
    <w:p w:rsidR="009B4BB4" w:rsidRDefault="00C44001" w:rsidP="00C44001">
      <w:pPr>
        <w:pStyle w:val="Prrafodelista"/>
        <w:numPr>
          <w:ilvl w:val="0"/>
          <w:numId w:val="8"/>
        </w:numPr>
        <w:tabs>
          <w:tab w:val="left" w:pos="1145"/>
        </w:tabs>
        <w:spacing w:line="360" w:lineRule="auto"/>
        <w:ind w:right="613"/>
        <w:jc w:val="both"/>
      </w:pPr>
      <w:r>
        <w:t>La activación del canal digital permite sostener ingresos recurrentes desde mercados externos, reduciendo la dependencia del fl</w:t>
      </w:r>
      <w:r>
        <w:t>ujo turístico local.</w:t>
      </w:r>
    </w:p>
    <w:p w:rsidR="009B4BB4" w:rsidRDefault="00C44001" w:rsidP="00C44001">
      <w:pPr>
        <w:pStyle w:val="Prrafodelista"/>
        <w:numPr>
          <w:ilvl w:val="0"/>
          <w:numId w:val="8"/>
        </w:numPr>
        <w:tabs>
          <w:tab w:val="left" w:pos="1145"/>
        </w:tabs>
        <w:spacing w:line="360" w:lineRule="auto"/>
        <w:ind w:right="610"/>
        <w:jc w:val="both"/>
      </w:pPr>
      <w:r>
        <w:t>En escenarios de afectación simultánea de oferta y demanda, aunque de baja probabilidad, se</w:t>
      </w:r>
      <w:r>
        <w:rPr>
          <w:spacing w:val="-4"/>
        </w:rPr>
        <w:t xml:space="preserve"> </w:t>
      </w:r>
      <w:r>
        <w:t>justifica</w:t>
      </w:r>
      <w:r>
        <w:rPr>
          <w:spacing w:val="-4"/>
        </w:rPr>
        <w:t xml:space="preserve"> </w:t>
      </w:r>
      <w:r>
        <w:t>mantener</w:t>
      </w:r>
      <w:r>
        <w:rPr>
          <w:spacing w:val="-4"/>
        </w:rPr>
        <w:t xml:space="preserve"> </w:t>
      </w:r>
      <w:r>
        <w:t>una</w:t>
      </w:r>
      <w:r>
        <w:rPr>
          <w:spacing w:val="-4"/>
        </w:rPr>
        <w:t xml:space="preserve"> </w:t>
      </w:r>
      <w:r>
        <w:t>reserva</w:t>
      </w:r>
      <w:r>
        <w:rPr>
          <w:spacing w:val="-4"/>
        </w:rPr>
        <w:t xml:space="preserve"> </w:t>
      </w:r>
      <w:r>
        <w:t>de</w:t>
      </w:r>
      <w:r>
        <w:rPr>
          <w:spacing w:val="-4"/>
        </w:rPr>
        <w:t xml:space="preserve"> </w:t>
      </w:r>
      <w:r>
        <w:t>contingencia</w:t>
      </w:r>
      <w:r>
        <w:rPr>
          <w:spacing w:val="-4"/>
        </w:rPr>
        <w:t xml:space="preserve"> </w:t>
      </w:r>
      <w:r>
        <w:t>operativa,</w:t>
      </w:r>
      <w:r>
        <w:rPr>
          <w:spacing w:val="-4"/>
        </w:rPr>
        <w:t xml:space="preserve"> </w:t>
      </w:r>
      <w:r>
        <w:t>como</w:t>
      </w:r>
      <w:r>
        <w:rPr>
          <w:spacing w:val="-4"/>
        </w:rPr>
        <w:t xml:space="preserve"> </w:t>
      </w:r>
      <w:r>
        <w:t>la contemplada en la estructura de inversión inicial.</w:t>
      </w:r>
    </w:p>
    <w:p w:rsidR="009B4BB4" w:rsidRDefault="00C44001">
      <w:pPr>
        <w:pStyle w:val="Textoindependiente"/>
        <w:spacing w:line="360" w:lineRule="auto"/>
        <w:ind w:left="425" w:right="608" w:firstLine="720"/>
        <w:jc w:val="both"/>
      </w:pPr>
      <w:r>
        <w:t>Estas medidas refuerzan la</w:t>
      </w:r>
      <w:r>
        <w:t xml:space="preserve"> resiliencia del modelo frente a escenarios adversos, sin comprometer su estructura de valor.</w:t>
      </w:r>
    </w:p>
    <w:p w:rsidR="009B4BB4" w:rsidRDefault="00C44001">
      <w:pPr>
        <w:pStyle w:val="Ttulo1"/>
        <w:spacing w:before="240"/>
        <w:ind w:left="1145"/>
      </w:pPr>
      <w:r>
        <w:t>7.6.1</w:t>
      </w:r>
      <w:r>
        <w:rPr>
          <w:spacing w:val="-8"/>
        </w:rPr>
        <w:t xml:space="preserve"> </w:t>
      </w:r>
      <w:r>
        <w:t>Escenarios</w:t>
      </w:r>
      <w:r>
        <w:rPr>
          <w:spacing w:val="-7"/>
        </w:rPr>
        <w:t xml:space="preserve"> </w:t>
      </w:r>
      <w:r>
        <w:rPr>
          <w:spacing w:val="-2"/>
        </w:rPr>
        <w:t>planteados</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3" w:firstLine="720"/>
        <w:jc w:val="both"/>
      </w:pPr>
      <w:r>
        <w:t>Más allá del análisis individual de variables, se proyectan cuatro escenarios integrados que describen posibles trayectorias del nego</w:t>
      </w:r>
      <w:r>
        <w:t>cio bajo la restricción del tope biológico y el límite operativo de 3,000 unidades anuales.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rPr>
          <w:spacing w:val="-2"/>
        </w:rPr>
        <w:lastRenderedPageBreak/>
        <w:t>Tabla</w:t>
      </w:r>
      <w:r>
        <w:rPr>
          <w:spacing w:val="-13"/>
        </w:rPr>
        <w:t xml:space="preserve"> </w:t>
      </w:r>
      <w:r>
        <w:rPr>
          <w:spacing w:val="-4"/>
        </w:rPr>
        <w:t>7.16</w:t>
      </w:r>
    </w:p>
    <w:p w:rsidR="009B4BB4" w:rsidRDefault="00C44001">
      <w:pPr>
        <w:spacing w:before="127"/>
        <w:ind w:left="455"/>
        <w:rPr>
          <w:rFonts w:ascii="Arial"/>
          <w:i/>
        </w:rPr>
      </w:pPr>
      <w:r>
        <w:rPr>
          <w:rFonts w:ascii="Arial"/>
          <w:i/>
        </w:rPr>
        <w:t>Matriz</w:t>
      </w:r>
      <w:r>
        <w:rPr>
          <w:rFonts w:ascii="Arial"/>
          <w:i/>
          <w:spacing w:val="-9"/>
        </w:rPr>
        <w:t xml:space="preserve"> </w:t>
      </w:r>
      <w:r>
        <w:rPr>
          <w:rFonts w:ascii="Arial"/>
          <w:i/>
        </w:rPr>
        <w:t>de</w:t>
      </w:r>
      <w:r>
        <w:rPr>
          <w:rFonts w:ascii="Arial"/>
          <w:i/>
          <w:spacing w:val="-6"/>
        </w:rPr>
        <w:t xml:space="preserve"> </w:t>
      </w:r>
      <w:r>
        <w:rPr>
          <w:rFonts w:ascii="Arial"/>
          <w:i/>
        </w:rPr>
        <w:t>escenarios</w:t>
      </w:r>
      <w:r>
        <w:rPr>
          <w:rFonts w:ascii="Arial"/>
          <w:i/>
          <w:spacing w:val="-6"/>
        </w:rPr>
        <w:t xml:space="preserve"> </w:t>
      </w:r>
      <w:r>
        <w:rPr>
          <w:rFonts w:ascii="Arial"/>
          <w:i/>
        </w:rPr>
        <w:t>integrados</w:t>
      </w:r>
      <w:r>
        <w:rPr>
          <w:rFonts w:ascii="Arial"/>
          <w:i/>
          <w:spacing w:val="-6"/>
        </w:rPr>
        <w:t xml:space="preserve"> </w:t>
      </w:r>
      <w:r>
        <w:rPr>
          <w:rFonts w:ascii="Arial"/>
          <w:i/>
        </w:rPr>
        <w:t>de</w:t>
      </w:r>
      <w:r>
        <w:rPr>
          <w:rFonts w:ascii="Arial"/>
          <w:i/>
          <w:spacing w:val="-6"/>
        </w:rPr>
        <w:t xml:space="preserve"> </w:t>
      </w:r>
      <w:r>
        <w:rPr>
          <w:rFonts w:ascii="Arial"/>
          <w:i/>
        </w:rPr>
        <w:t>rentabilidad</w:t>
      </w:r>
      <w:r>
        <w:rPr>
          <w:rFonts w:ascii="Arial"/>
          <w:i/>
          <w:spacing w:val="-6"/>
        </w:rPr>
        <w:t xml:space="preserve"> </w:t>
      </w:r>
      <w:r>
        <w:rPr>
          <w:rFonts w:ascii="Arial"/>
          <w:i/>
        </w:rPr>
        <w:t>y</w:t>
      </w:r>
      <w:r>
        <w:rPr>
          <w:rFonts w:ascii="Arial"/>
          <w:i/>
          <w:spacing w:val="-6"/>
        </w:rPr>
        <w:t xml:space="preserve"> </w:t>
      </w:r>
      <w:r>
        <w:rPr>
          <w:rFonts w:ascii="Arial"/>
          <w:i/>
          <w:spacing w:val="-2"/>
        </w:rPr>
        <w:t>sensibilidad</w:t>
      </w:r>
    </w:p>
    <w:p w:rsidR="009B4BB4" w:rsidRDefault="009B4BB4">
      <w:pPr>
        <w:pStyle w:val="Textoindependiente"/>
        <w:spacing w:before="0"/>
        <w:rPr>
          <w:rFonts w:ascii="Arial"/>
          <w:i/>
          <w:sz w:val="20"/>
        </w:rPr>
      </w:pPr>
    </w:p>
    <w:p w:rsidR="009B4BB4" w:rsidRDefault="009B4BB4">
      <w:pPr>
        <w:pStyle w:val="Textoindependiente"/>
        <w:spacing w:before="28"/>
        <w:rPr>
          <w:rFonts w:ascii="Arial"/>
          <w:i/>
          <w:sz w:val="20"/>
        </w:rPr>
      </w:pPr>
    </w:p>
    <w:tbl>
      <w:tblPr>
        <w:tblStyle w:val="TableNormal"/>
        <w:tblW w:w="0" w:type="auto"/>
        <w:tblInd w:w="432" w:type="dxa"/>
        <w:tblLayout w:type="fixed"/>
        <w:tblLook w:val="01E0" w:firstRow="1" w:lastRow="1" w:firstColumn="1" w:lastColumn="1" w:noHBand="0" w:noVBand="0"/>
      </w:tblPr>
      <w:tblGrid>
        <w:gridCol w:w="2035"/>
        <w:gridCol w:w="3421"/>
        <w:gridCol w:w="1309"/>
        <w:gridCol w:w="1059"/>
        <w:gridCol w:w="1297"/>
      </w:tblGrid>
      <w:tr w:rsidR="009B4BB4">
        <w:trPr>
          <w:trHeight w:val="739"/>
        </w:trPr>
        <w:tc>
          <w:tcPr>
            <w:tcW w:w="2035" w:type="dxa"/>
            <w:tcBorders>
              <w:top w:val="single" w:sz="8" w:space="0" w:color="000000"/>
              <w:bottom w:val="single" w:sz="8" w:space="0" w:color="000000"/>
            </w:tcBorders>
          </w:tcPr>
          <w:p w:rsidR="009B4BB4" w:rsidRDefault="009B4BB4">
            <w:pPr>
              <w:pStyle w:val="TableParagraph"/>
              <w:spacing w:before="6"/>
              <w:rPr>
                <w:rFonts w:ascii="Arial"/>
                <w:i/>
              </w:rPr>
            </w:pPr>
          </w:p>
          <w:p w:rsidR="009B4BB4" w:rsidRDefault="00C44001">
            <w:pPr>
              <w:pStyle w:val="TableParagraph"/>
              <w:ind w:left="51"/>
              <w:jc w:val="center"/>
              <w:rPr>
                <w:rFonts w:ascii="Arial"/>
                <w:b/>
              </w:rPr>
            </w:pPr>
            <w:r>
              <w:rPr>
                <w:rFonts w:ascii="Arial"/>
                <w:b/>
                <w:spacing w:val="-2"/>
              </w:rPr>
              <w:t>Escenario</w:t>
            </w:r>
          </w:p>
        </w:tc>
        <w:tc>
          <w:tcPr>
            <w:tcW w:w="3421" w:type="dxa"/>
            <w:tcBorders>
              <w:top w:val="single" w:sz="8" w:space="0" w:color="000000"/>
              <w:bottom w:val="single" w:sz="8" w:space="0" w:color="000000"/>
            </w:tcBorders>
          </w:tcPr>
          <w:p w:rsidR="009B4BB4" w:rsidRDefault="009B4BB4">
            <w:pPr>
              <w:pStyle w:val="TableParagraph"/>
              <w:spacing w:before="6"/>
              <w:rPr>
                <w:rFonts w:ascii="Arial"/>
                <w:i/>
              </w:rPr>
            </w:pPr>
          </w:p>
          <w:p w:rsidR="009B4BB4" w:rsidRDefault="00C44001">
            <w:pPr>
              <w:pStyle w:val="TableParagraph"/>
              <w:ind w:left="170"/>
              <w:rPr>
                <w:rFonts w:ascii="Arial"/>
                <w:b/>
              </w:rPr>
            </w:pPr>
            <w:r>
              <w:rPr>
                <w:rFonts w:ascii="Arial"/>
                <w:b/>
              </w:rPr>
              <w:t>Supuestos</w:t>
            </w:r>
            <w:r>
              <w:rPr>
                <w:rFonts w:ascii="Arial"/>
                <w:b/>
                <w:spacing w:val="-9"/>
              </w:rPr>
              <w:t xml:space="preserve"> </w:t>
            </w:r>
            <w:r>
              <w:rPr>
                <w:rFonts w:ascii="Arial"/>
                <w:b/>
                <w:spacing w:val="-2"/>
              </w:rPr>
              <w:t>Clave</w:t>
            </w:r>
          </w:p>
        </w:tc>
        <w:tc>
          <w:tcPr>
            <w:tcW w:w="1309" w:type="dxa"/>
            <w:tcBorders>
              <w:top w:val="single" w:sz="8" w:space="0" w:color="000000"/>
              <w:bottom w:val="single" w:sz="8" w:space="0" w:color="000000"/>
            </w:tcBorders>
          </w:tcPr>
          <w:p w:rsidR="009B4BB4" w:rsidRDefault="00C44001">
            <w:pPr>
              <w:pStyle w:val="TableParagraph"/>
              <w:spacing w:before="133"/>
              <w:ind w:left="284" w:right="403" w:firstLine="96"/>
              <w:rPr>
                <w:rFonts w:ascii="Arial"/>
                <w:b/>
              </w:rPr>
            </w:pPr>
            <w:r>
              <w:rPr>
                <w:rFonts w:ascii="Arial"/>
                <w:b/>
                <w:spacing w:val="-4"/>
              </w:rPr>
              <w:t xml:space="preserve">VAN </w:t>
            </w:r>
            <w:r>
              <w:rPr>
                <w:rFonts w:ascii="Arial"/>
                <w:b/>
                <w:spacing w:val="-2"/>
              </w:rPr>
              <w:t>(USD)</w:t>
            </w:r>
          </w:p>
        </w:tc>
        <w:tc>
          <w:tcPr>
            <w:tcW w:w="1059" w:type="dxa"/>
            <w:tcBorders>
              <w:top w:val="single" w:sz="8" w:space="0" w:color="000000"/>
              <w:bottom w:val="single" w:sz="8" w:space="0" w:color="000000"/>
            </w:tcBorders>
          </w:tcPr>
          <w:p w:rsidR="009B4BB4" w:rsidRDefault="009B4BB4">
            <w:pPr>
              <w:pStyle w:val="TableParagraph"/>
              <w:spacing w:before="6"/>
              <w:rPr>
                <w:rFonts w:ascii="Arial"/>
                <w:i/>
              </w:rPr>
            </w:pPr>
          </w:p>
          <w:p w:rsidR="009B4BB4" w:rsidRDefault="00C44001">
            <w:pPr>
              <w:pStyle w:val="TableParagraph"/>
              <w:ind w:right="5"/>
              <w:jc w:val="center"/>
              <w:rPr>
                <w:rFonts w:ascii="Arial"/>
                <w:b/>
              </w:rPr>
            </w:pPr>
            <w:r>
              <w:rPr>
                <w:rFonts w:ascii="Arial"/>
                <w:b/>
                <w:spacing w:val="-5"/>
              </w:rPr>
              <w:t>TIR</w:t>
            </w:r>
          </w:p>
        </w:tc>
        <w:tc>
          <w:tcPr>
            <w:tcW w:w="1297" w:type="dxa"/>
            <w:tcBorders>
              <w:top w:val="single" w:sz="8" w:space="0" w:color="000000"/>
              <w:bottom w:val="single" w:sz="8" w:space="0" w:color="000000"/>
            </w:tcBorders>
          </w:tcPr>
          <w:p w:rsidR="009B4BB4" w:rsidRDefault="009B4BB4">
            <w:pPr>
              <w:pStyle w:val="TableParagraph"/>
              <w:spacing w:before="6"/>
              <w:rPr>
                <w:rFonts w:ascii="Arial"/>
                <w:i/>
              </w:rPr>
            </w:pPr>
          </w:p>
          <w:p w:rsidR="009B4BB4" w:rsidRDefault="00C44001">
            <w:pPr>
              <w:pStyle w:val="TableParagraph"/>
              <w:ind w:left="96"/>
              <w:jc w:val="center"/>
              <w:rPr>
                <w:rFonts w:ascii="Arial"/>
                <w:b/>
              </w:rPr>
            </w:pPr>
            <w:r>
              <w:rPr>
                <w:rFonts w:ascii="Arial"/>
                <w:b/>
                <w:spacing w:val="-2"/>
              </w:rPr>
              <w:t>Payback</w:t>
            </w:r>
          </w:p>
        </w:tc>
      </w:tr>
      <w:tr w:rsidR="009B4BB4">
        <w:trPr>
          <w:trHeight w:val="1016"/>
        </w:trPr>
        <w:tc>
          <w:tcPr>
            <w:tcW w:w="2035" w:type="dxa"/>
            <w:tcBorders>
              <w:top w:val="single" w:sz="8" w:space="0" w:color="000000"/>
            </w:tcBorders>
          </w:tcPr>
          <w:p w:rsidR="009B4BB4" w:rsidRDefault="009B4BB4">
            <w:pPr>
              <w:pStyle w:val="TableParagraph"/>
              <w:spacing w:before="133"/>
              <w:rPr>
                <w:rFonts w:ascii="Arial"/>
                <w:i/>
              </w:rPr>
            </w:pPr>
          </w:p>
          <w:p w:rsidR="009B4BB4" w:rsidRDefault="00C44001">
            <w:pPr>
              <w:pStyle w:val="TableParagraph"/>
              <w:ind w:left="51"/>
              <w:jc w:val="center"/>
            </w:pPr>
            <w:r>
              <w:rPr>
                <w:spacing w:val="-2"/>
              </w:rPr>
              <w:t>OPTIMISTA</w:t>
            </w:r>
          </w:p>
        </w:tc>
        <w:tc>
          <w:tcPr>
            <w:tcW w:w="3421" w:type="dxa"/>
            <w:tcBorders>
              <w:top w:val="single" w:sz="8" w:space="0" w:color="000000"/>
            </w:tcBorders>
          </w:tcPr>
          <w:p w:rsidR="009B4BB4" w:rsidRDefault="00C44001">
            <w:pPr>
              <w:pStyle w:val="TableParagraph"/>
              <w:spacing w:before="134"/>
              <w:ind w:left="140" w:right="188" w:firstLine="30"/>
            </w:pPr>
            <w:r>
              <w:t>Tope 3,000 uds. acelerado (Año</w:t>
            </w:r>
            <w:r>
              <w:rPr>
                <w:spacing w:val="-10"/>
              </w:rPr>
              <w:t xml:space="preserve"> </w:t>
            </w:r>
            <w:r>
              <w:t>3).</w:t>
            </w:r>
            <w:r>
              <w:rPr>
                <w:spacing w:val="-10"/>
              </w:rPr>
              <w:t xml:space="preserve"> </w:t>
            </w:r>
            <w:r>
              <w:t>Eficiencia</w:t>
            </w:r>
            <w:r>
              <w:rPr>
                <w:spacing w:val="-10"/>
              </w:rPr>
              <w:t xml:space="preserve"> </w:t>
            </w:r>
            <w:r>
              <w:t>en</w:t>
            </w:r>
            <w:r>
              <w:rPr>
                <w:spacing w:val="-10"/>
              </w:rPr>
              <w:t xml:space="preserve"> </w:t>
            </w:r>
            <w:r>
              <w:t>costos</w:t>
            </w:r>
          </w:p>
          <w:p w:rsidR="009B4BB4" w:rsidRDefault="00C44001">
            <w:pPr>
              <w:pStyle w:val="TableParagraph"/>
              <w:ind w:left="140"/>
            </w:pPr>
            <w:r>
              <w:t>-5%.</w:t>
            </w:r>
            <w:r>
              <w:rPr>
                <w:spacing w:val="-4"/>
              </w:rPr>
              <w:t xml:space="preserve"> </w:t>
            </w:r>
            <w:r>
              <w:t>Mix</w:t>
            </w:r>
            <w:r>
              <w:rPr>
                <w:spacing w:val="-3"/>
              </w:rPr>
              <w:t xml:space="preserve"> </w:t>
            </w:r>
            <w:r>
              <w:t>80%</w:t>
            </w:r>
            <w:r>
              <w:rPr>
                <w:spacing w:val="-3"/>
              </w:rPr>
              <w:t xml:space="preserve"> </w:t>
            </w:r>
            <w:r>
              <w:rPr>
                <w:spacing w:val="-2"/>
              </w:rPr>
              <w:t>Directo.</w:t>
            </w:r>
          </w:p>
        </w:tc>
        <w:tc>
          <w:tcPr>
            <w:tcW w:w="1309" w:type="dxa"/>
            <w:tcBorders>
              <w:top w:val="single" w:sz="8" w:space="0" w:color="000000"/>
            </w:tcBorders>
          </w:tcPr>
          <w:p w:rsidR="009B4BB4" w:rsidRDefault="009B4BB4">
            <w:pPr>
              <w:pStyle w:val="TableParagraph"/>
              <w:spacing w:before="133"/>
              <w:rPr>
                <w:rFonts w:ascii="Arial"/>
                <w:i/>
              </w:rPr>
            </w:pPr>
          </w:p>
          <w:p w:rsidR="009B4BB4" w:rsidRDefault="00C44001">
            <w:pPr>
              <w:pStyle w:val="TableParagraph"/>
              <w:ind w:right="97"/>
              <w:jc w:val="center"/>
            </w:pPr>
            <w:r>
              <w:rPr>
                <w:spacing w:val="-2"/>
              </w:rPr>
              <w:t>$210,000</w:t>
            </w:r>
          </w:p>
        </w:tc>
        <w:tc>
          <w:tcPr>
            <w:tcW w:w="1059" w:type="dxa"/>
            <w:tcBorders>
              <w:top w:val="single" w:sz="8" w:space="0" w:color="000000"/>
            </w:tcBorders>
          </w:tcPr>
          <w:p w:rsidR="009B4BB4" w:rsidRDefault="009B4BB4">
            <w:pPr>
              <w:pStyle w:val="TableParagraph"/>
              <w:spacing w:before="133"/>
              <w:rPr>
                <w:rFonts w:ascii="Arial"/>
                <w:i/>
              </w:rPr>
            </w:pPr>
          </w:p>
          <w:p w:rsidR="009B4BB4" w:rsidRDefault="00C44001">
            <w:pPr>
              <w:pStyle w:val="TableParagraph"/>
              <w:ind w:right="5"/>
              <w:jc w:val="center"/>
            </w:pPr>
            <w:r>
              <w:rPr>
                <w:spacing w:val="-4"/>
              </w:rPr>
              <w:t>148%</w:t>
            </w:r>
          </w:p>
        </w:tc>
        <w:tc>
          <w:tcPr>
            <w:tcW w:w="1297" w:type="dxa"/>
            <w:tcBorders>
              <w:top w:val="single" w:sz="8" w:space="0" w:color="000000"/>
            </w:tcBorders>
          </w:tcPr>
          <w:p w:rsidR="009B4BB4" w:rsidRDefault="009B4BB4">
            <w:pPr>
              <w:pStyle w:val="TableParagraph"/>
              <w:spacing w:before="133"/>
              <w:rPr>
                <w:rFonts w:ascii="Arial"/>
                <w:i/>
              </w:rPr>
            </w:pPr>
          </w:p>
          <w:p w:rsidR="009B4BB4" w:rsidRDefault="00C44001">
            <w:pPr>
              <w:pStyle w:val="TableParagraph"/>
              <w:ind w:left="275"/>
            </w:pPr>
            <w:r>
              <w:t>1.1</w:t>
            </w:r>
            <w:r>
              <w:rPr>
                <w:spacing w:val="-3"/>
              </w:rPr>
              <w:t xml:space="preserve"> </w:t>
            </w:r>
            <w:r>
              <w:rPr>
                <w:spacing w:val="-4"/>
              </w:rPr>
              <w:t>años</w:t>
            </w:r>
          </w:p>
        </w:tc>
      </w:tr>
      <w:tr w:rsidR="009B4BB4">
        <w:trPr>
          <w:trHeight w:val="998"/>
        </w:trPr>
        <w:tc>
          <w:tcPr>
            <w:tcW w:w="2035" w:type="dxa"/>
          </w:tcPr>
          <w:p w:rsidR="009B4BB4" w:rsidRDefault="009B4BB4">
            <w:pPr>
              <w:pStyle w:val="TableParagraph"/>
              <w:spacing w:before="116"/>
              <w:rPr>
                <w:rFonts w:ascii="Arial"/>
                <w:i/>
              </w:rPr>
            </w:pPr>
          </w:p>
          <w:p w:rsidR="009B4BB4" w:rsidRDefault="00C44001">
            <w:pPr>
              <w:pStyle w:val="TableParagraph"/>
              <w:ind w:left="51"/>
              <w:jc w:val="center"/>
            </w:pPr>
            <w:r>
              <w:rPr>
                <w:spacing w:val="-4"/>
              </w:rPr>
              <w:t>BASE</w:t>
            </w:r>
          </w:p>
        </w:tc>
        <w:tc>
          <w:tcPr>
            <w:tcW w:w="3421" w:type="dxa"/>
          </w:tcPr>
          <w:p w:rsidR="009B4BB4" w:rsidRDefault="00C44001">
            <w:pPr>
              <w:pStyle w:val="TableParagraph"/>
              <w:spacing w:before="116"/>
              <w:ind w:left="140" w:right="188" w:firstLine="30"/>
            </w:pPr>
            <w:r>
              <w:t>Tope 3,000 uds. Precio sostenido.</w:t>
            </w:r>
            <w:r>
              <w:rPr>
                <w:spacing w:val="-10"/>
              </w:rPr>
              <w:t xml:space="preserve"> </w:t>
            </w:r>
            <w:r>
              <w:t>Mix</w:t>
            </w:r>
            <w:r>
              <w:rPr>
                <w:spacing w:val="-10"/>
              </w:rPr>
              <w:t xml:space="preserve"> </w:t>
            </w:r>
            <w:r>
              <w:t>70%</w:t>
            </w:r>
            <w:r>
              <w:rPr>
                <w:spacing w:val="-10"/>
              </w:rPr>
              <w:t xml:space="preserve"> </w:t>
            </w:r>
            <w:r>
              <w:t>Directo</w:t>
            </w:r>
            <w:r>
              <w:rPr>
                <w:spacing w:val="-10"/>
              </w:rPr>
              <w:t xml:space="preserve"> </w:t>
            </w:r>
            <w:r>
              <w:t>/ 30% B2B.</w:t>
            </w:r>
          </w:p>
        </w:tc>
        <w:tc>
          <w:tcPr>
            <w:tcW w:w="1309" w:type="dxa"/>
          </w:tcPr>
          <w:p w:rsidR="009B4BB4" w:rsidRDefault="009B4BB4">
            <w:pPr>
              <w:pStyle w:val="TableParagraph"/>
              <w:spacing w:before="116"/>
              <w:rPr>
                <w:rFonts w:ascii="Arial"/>
                <w:i/>
              </w:rPr>
            </w:pPr>
          </w:p>
          <w:p w:rsidR="009B4BB4" w:rsidRDefault="00C44001">
            <w:pPr>
              <w:pStyle w:val="TableParagraph"/>
              <w:ind w:right="97"/>
              <w:jc w:val="center"/>
            </w:pPr>
            <w:r>
              <w:rPr>
                <w:spacing w:val="-2"/>
              </w:rPr>
              <w:t>$145,800</w:t>
            </w:r>
          </w:p>
        </w:tc>
        <w:tc>
          <w:tcPr>
            <w:tcW w:w="1059" w:type="dxa"/>
          </w:tcPr>
          <w:p w:rsidR="009B4BB4" w:rsidRDefault="009B4BB4">
            <w:pPr>
              <w:pStyle w:val="TableParagraph"/>
              <w:spacing w:before="116"/>
              <w:rPr>
                <w:rFonts w:ascii="Arial"/>
                <w:i/>
              </w:rPr>
            </w:pPr>
          </w:p>
          <w:p w:rsidR="009B4BB4" w:rsidRDefault="00C44001">
            <w:pPr>
              <w:pStyle w:val="TableParagraph"/>
              <w:ind w:right="5"/>
              <w:jc w:val="center"/>
            </w:pPr>
            <w:r>
              <w:rPr>
                <w:spacing w:val="-5"/>
              </w:rPr>
              <w:t>92%</w:t>
            </w:r>
          </w:p>
        </w:tc>
        <w:tc>
          <w:tcPr>
            <w:tcW w:w="1297" w:type="dxa"/>
          </w:tcPr>
          <w:p w:rsidR="009B4BB4" w:rsidRDefault="009B4BB4">
            <w:pPr>
              <w:pStyle w:val="TableParagraph"/>
              <w:spacing w:before="116"/>
              <w:rPr>
                <w:rFonts w:ascii="Arial"/>
                <w:i/>
              </w:rPr>
            </w:pPr>
          </w:p>
          <w:p w:rsidR="009B4BB4" w:rsidRDefault="00C44001">
            <w:pPr>
              <w:pStyle w:val="TableParagraph"/>
              <w:ind w:left="275"/>
            </w:pPr>
            <w:r>
              <w:t>1.8</w:t>
            </w:r>
            <w:r>
              <w:rPr>
                <w:spacing w:val="-3"/>
              </w:rPr>
              <w:t xml:space="preserve"> </w:t>
            </w:r>
            <w:r>
              <w:rPr>
                <w:spacing w:val="-4"/>
              </w:rPr>
              <w:t>años</w:t>
            </w:r>
          </w:p>
        </w:tc>
      </w:tr>
      <w:tr w:rsidR="009B4BB4">
        <w:trPr>
          <w:trHeight w:val="998"/>
        </w:trPr>
        <w:tc>
          <w:tcPr>
            <w:tcW w:w="2035" w:type="dxa"/>
          </w:tcPr>
          <w:p w:rsidR="009B4BB4" w:rsidRDefault="009B4BB4">
            <w:pPr>
              <w:pStyle w:val="TableParagraph"/>
              <w:spacing w:before="116"/>
              <w:rPr>
                <w:rFonts w:ascii="Arial"/>
                <w:i/>
              </w:rPr>
            </w:pPr>
          </w:p>
          <w:p w:rsidR="009B4BB4" w:rsidRDefault="00C44001">
            <w:pPr>
              <w:pStyle w:val="TableParagraph"/>
              <w:ind w:left="51"/>
              <w:jc w:val="center"/>
            </w:pPr>
            <w:r>
              <w:rPr>
                <w:spacing w:val="-2"/>
              </w:rPr>
              <w:t>CONSERVADOR</w:t>
            </w:r>
          </w:p>
        </w:tc>
        <w:tc>
          <w:tcPr>
            <w:tcW w:w="3421" w:type="dxa"/>
          </w:tcPr>
          <w:p w:rsidR="009B4BB4" w:rsidRDefault="00C44001">
            <w:pPr>
              <w:pStyle w:val="TableParagraph"/>
              <w:spacing w:before="116"/>
              <w:ind w:left="140" w:right="412" w:firstLine="30"/>
              <w:jc w:val="both"/>
            </w:pPr>
            <w:r>
              <w:t>Ventas estancadas en 2,000 uds.</w:t>
            </w:r>
            <w:r>
              <w:rPr>
                <w:spacing w:val="-10"/>
              </w:rPr>
              <w:t xml:space="preserve"> </w:t>
            </w:r>
            <w:r>
              <w:t>Inflación</w:t>
            </w:r>
            <w:r>
              <w:rPr>
                <w:spacing w:val="-10"/>
              </w:rPr>
              <w:t xml:space="preserve"> </w:t>
            </w:r>
            <w:r>
              <w:t>en</w:t>
            </w:r>
            <w:r>
              <w:rPr>
                <w:spacing w:val="-10"/>
              </w:rPr>
              <w:t xml:space="preserve"> </w:t>
            </w:r>
            <w:r>
              <w:t>costos</w:t>
            </w:r>
            <w:r>
              <w:rPr>
                <w:spacing w:val="-10"/>
              </w:rPr>
              <w:t xml:space="preserve"> </w:t>
            </w:r>
            <w:r>
              <w:t>+5%. Mix 50/50.</w:t>
            </w:r>
          </w:p>
        </w:tc>
        <w:tc>
          <w:tcPr>
            <w:tcW w:w="1309" w:type="dxa"/>
          </w:tcPr>
          <w:p w:rsidR="009B4BB4" w:rsidRDefault="009B4BB4">
            <w:pPr>
              <w:pStyle w:val="TableParagraph"/>
              <w:spacing w:before="116"/>
              <w:rPr>
                <w:rFonts w:ascii="Arial"/>
                <w:i/>
              </w:rPr>
            </w:pPr>
          </w:p>
          <w:p w:rsidR="009B4BB4" w:rsidRDefault="00C44001">
            <w:pPr>
              <w:pStyle w:val="TableParagraph"/>
              <w:ind w:right="97"/>
              <w:jc w:val="center"/>
            </w:pPr>
            <w:r>
              <w:rPr>
                <w:spacing w:val="-2"/>
              </w:rPr>
              <w:t>$68,500</w:t>
            </w:r>
          </w:p>
        </w:tc>
        <w:tc>
          <w:tcPr>
            <w:tcW w:w="1059" w:type="dxa"/>
          </w:tcPr>
          <w:p w:rsidR="009B4BB4" w:rsidRDefault="009B4BB4">
            <w:pPr>
              <w:pStyle w:val="TableParagraph"/>
              <w:spacing w:before="116"/>
              <w:rPr>
                <w:rFonts w:ascii="Arial"/>
                <w:i/>
              </w:rPr>
            </w:pPr>
          </w:p>
          <w:p w:rsidR="009B4BB4" w:rsidRDefault="00C44001">
            <w:pPr>
              <w:pStyle w:val="TableParagraph"/>
              <w:ind w:right="5"/>
              <w:jc w:val="center"/>
            </w:pPr>
            <w:r>
              <w:rPr>
                <w:spacing w:val="-5"/>
              </w:rPr>
              <w:t>45%</w:t>
            </w:r>
          </w:p>
        </w:tc>
        <w:tc>
          <w:tcPr>
            <w:tcW w:w="1297" w:type="dxa"/>
          </w:tcPr>
          <w:p w:rsidR="009B4BB4" w:rsidRDefault="009B4BB4">
            <w:pPr>
              <w:pStyle w:val="TableParagraph"/>
              <w:spacing w:before="116"/>
              <w:rPr>
                <w:rFonts w:ascii="Arial"/>
                <w:i/>
              </w:rPr>
            </w:pPr>
          </w:p>
          <w:p w:rsidR="009B4BB4" w:rsidRDefault="00C44001">
            <w:pPr>
              <w:pStyle w:val="TableParagraph"/>
              <w:ind w:left="275"/>
            </w:pPr>
            <w:r>
              <w:t>2.8</w:t>
            </w:r>
            <w:r>
              <w:rPr>
                <w:spacing w:val="-3"/>
              </w:rPr>
              <w:t xml:space="preserve"> </w:t>
            </w:r>
            <w:r>
              <w:rPr>
                <w:spacing w:val="-4"/>
              </w:rPr>
              <w:t>años</w:t>
            </w:r>
          </w:p>
        </w:tc>
      </w:tr>
      <w:tr w:rsidR="009B4BB4">
        <w:trPr>
          <w:trHeight w:val="875"/>
        </w:trPr>
        <w:tc>
          <w:tcPr>
            <w:tcW w:w="2035" w:type="dxa"/>
          </w:tcPr>
          <w:p w:rsidR="009B4BB4" w:rsidRDefault="009B4BB4">
            <w:pPr>
              <w:pStyle w:val="TableParagraph"/>
              <w:spacing w:before="116"/>
              <w:rPr>
                <w:rFonts w:ascii="Arial"/>
                <w:i/>
              </w:rPr>
            </w:pPr>
          </w:p>
          <w:p w:rsidR="009B4BB4" w:rsidRDefault="00C44001">
            <w:pPr>
              <w:pStyle w:val="TableParagraph"/>
              <w:ind w:left="51"/>
              <w:jc w:val="center"/>
            </w:pPr>
            <w:r>
              <w:rPr>
                <w:spacing w:val="-2"/>
              </w:rPr>
              <w:t>PESIMISTA</w:t>
            </w:r>
          </w:p>
        </w:tc>
        <w:tc>
          <w:tcPr>
            <w:tcW w:w="3421" w:type="dxa"/>
          </w:tcPr>
          <w:p w:rsidR="009B4BB4" w:rsidRDefault="00C44001">
            <w:pPr>
              <w:pStyle w:val="TableParagraph"/>
              <w:spacing w:before="116"/>
              <w:ind w:left="170"/>
            </w:pPr>
            <w:r>
              <w:t>Baja</w:t>
            </w:r>
            <w:r>
              <w:rPr>
                <w:spacing w:val="-6"/>
              </w:rPr>
              <w:t xml:space="preserve"> </w:t>
            </w:r>
            <w:r>
              <w:t>tracción</w:t>
            </w:r>
            <w:r>
              <w:rPr>
                <w:spacing w:val="-5"/>
              </w:rPr>
              <w:t xml:space="preserve"> </w:t>
            </w:r>
            <w:r>
              <w:t>(1,200</w:t>
            </w:r>
            <w:r>
              <w:rPr>
                <w:spacing w:val="-6"/>
              </w:rPr>
              <w:t xml:space="preserve"> </w:t>
            </w:r>
            <w:r>
              <w:t>uds.</w:t>
            </w:r>
            <w:r>
              <w:rPr>
                <w:spacing w:val="-5"/>
              </w:rPr>
              <w:t xml:space="preserve"> </w:t>
            </w:r>
            <w:r>
              <w:rPr>
                <w:spacing w:val="-2"/>
              </w:rPr>
              <w:t>máx.).</w:t>
            </w:r>
          </w:p>
          <w:p w:rsidR="009B4BB4" w:rsidRDefault="00C44001">
            <w:pPr>
              <w:pStyle w:val="TableParagraph"/>
              <w:spacing w:line="250" w:lineRule="atLeast"/>
              <w:ind w:left="140" w:right="565"/>
            </w:pPr>
            <w:r>
              <w:t>Presión</w:t>
            </w:r>
            <w:r>
              <w:rPr>
                <w:spacing w:val="-8"/>
              </w:rPr>
              <w:t xml:space="preserve"> </w:t>
            </w:r>
            <w:r>
              <w:t>de</w:t>
            </w:r>
            <w:r>
              <w:rPr>
                <w:spacing w:val="-8"/>
              </w:rPr>
              <w:t xml:space="preserve"> </w:t>
            </w:r>
            <w:r>
              <w:t>precios</w:t>
            </w:r>
            <w:r>
              <w:rPr>
                <w:spacing w:val="-8"/>
              </w:rPr>
              <w:t xml:space="preserve"> </w:t>
            </w:r>
            <w:r>
              <w:t>a</w:t>
            </w:r>
            <w:r>
              <w:rPr>
                <w:spacing w:val="-8"/>
              </w:rPr>
              <w:t xml:space="preserve"> </w:t>
            </w:r>
            <w:r>
              <w:t>la</w:t>
            </w:r>
            <w:r>
              <w:rPr>
                <w:spacing w:val="-8"/>
              </w:rPr>
              <w:t xml:space="preserve"> </w:t>
            </w:r>
            <w:r>
              <w:t xml:space="preserve">baja </w:t>
            </w:r>
            <w:r>
              <w:rPr>
                <w:spacing w:val="-2"/>
              </w:rPr>
              <w:t>(-10%).</w:t>
            </w:r>
          </w:p>
        </w:tc>
        <w:tc>
          <w:tcPr>
            <w:tcW w:w="1309" w:type="dxa"/>
          </w:tcPr>
          <w:p w:rsidR="009B4BB4" w:rsidRDefault="009B4BB4">
            <w:pPr>
              <w:pStyle w:val="TableParagraph"/>
              <w:spacing w:before="116"/>
              <w:rPr>
                <w:rFonts w:ascii="Arial"/>
                <w:i/>
              </w:rPr>
            </w:pPr>
          </w:p>
          <w:p w:rsidR="009B4BB4" w:rsidRDefault="00C44001">
            <w:pPr>
              <w:pStyle w:val="TableParagraph"/>
              <w:ind w:right="97"/>
              <w:jc w:val="center"/>
            </w:pPr>
            <w:r>
              <w:rPr>
                <w:spacing w:val="-2"/>
              </w:rPr>
              <w:t>$12,400</w:t>
            </w:r>
          </w:p>
        </w:tc>
        <w:tc>
          <w:tcPr>
            <w:tcW w:w="1059" w:type="dxa"/>
          </w:tcPr>
          <w:p w:rsidR="009B4BB4" w:rsidRDefault="009B4BB4">
            <w:pPr>
              <w:pStyle w:val="TableParagraph"/>
              <w:spacing w:before="116"/>
              <w:rPr>
                <w:rFonts w:ascii="Arial"/>
                <w:i/>
              </w:rPr>
            </w:pPr>
          </w:p>
          <w:p w:rsidR="009B4BB4" w:rsidRDefault="00C44001">
            <w:pPr>
              <w:pStyle w:val="TableParagraph"/>
              <w:ind w:right="5"/>
              <w:jc w:val="center"/>
            </w:pPr>
            <w:r>
              <w:rPr>
                <w:spacing w:val="-5"/>
              </w:rPr>
              <w:t>18%</w:t>
            </w:r>
          </w:p>
        </w:tc>
        <w:tc>
          <w:tcPr>
            <w:tcW w:w="1297" w:type="dxa"/>
          </w:tcPr>
          <w:p w:rsidR="009B4BB4" w:rsidRDefault="009B4BB4">
            <w:pPr>
              <w:pStyle w:val="TableParagraph"/>
              <w:spacing w:before="116"/>
              <w:rPr>
                <w:rFonts w:ascii="Arial"/>
                <w:i/>
              </w:rPr>
            </w:pPr>
          </w:p>
          <w:p w:rsidR="009B4BB4" w:rsidRDefault="00C44001">
            <w:pPr>
              <w:pStyle w:val="TableParagraph"/>
              <w:ind w:left="275"/>
            </w:pPr>
            <w:r>
              <w:t>4.1</w:t>
            </w:r>
            <w:r>
              <w:rPr>
                <w:spacing w:val="-3"/>
              </w:rPr>
              <w:t xml:space="preserve"> </w:t>
            </w:r>
            <w:r>
              <w:rPr>
                <w:spacing w:val="-4"/>
              </w:rPr>
              <w:t>años</w:t>
            </w:r>
          </w:p>
        </w:tc>
      </w:tr>
    </w:tbl>
    <w:p w:rsidR="009B4BB4" w:rsidRDefault="009B4BB4">
      <w:pPr>
        <w:pStyle w:val="Textoindependiente"/>
        <w:spacing w:before="65"/>
        <w:rPr>
          <w:rFonts w:ascii="Arial"/>
          <w:i/>
        </w:rPr>
      </w:pPr>
    </w:p>
    <w:p w:rsidR="009B4BB4" w:rsidRDefault="00C44001">
      <w:pPr>
        <w:pStyle w:val="Textoindependiente"/>
        <w:spacing w:before="0" w:line="360" w:lineRule="auto"/>
        <w:ind w:left="425" w:right="671"/>
      </w:pPr>
      <w:r>
        <w:rPr>
          <w:rFonts w:ascii="Arial" w:hAnsi="Arial"/>
          <w:i/>
        </w:rPr>
        <w:t xml:space="preserve">Nota. </w:t>
      </w:r>
      <w:r>
        <w:t xml:space="preserve">Los escenarios evalúan la resiliencia del modelo </w:t>
      </w:r>
      <w:r>
        <w:rPr>
          <w:rFonts w:ascii="Arial" w:hAnsi="Arial"/>
          <w:i/>
        </w:rPr>
        <w:t xml:space="preserve">asset-light </w:t>
      </w:r>
      <w:r>
        <w:t>ante variaciones en la velocidad de adopción del mercado y presión en márgenes. Elaboración propia (2025).</w:t>
      </w:r>
    </w:p>
    <w:p w:rsidR="009B4BB4" w:rsidRDefault="00C44001">
      <w:pPr>
        <w:pStyle w:val="Ttulo1"/>
        <w:spacing w:before="240"/>
      </w:pPr>
      <w:r>
        <w:t>Análisis</w:t>
      </w:r>
      <w:r>
        <w:rPr>
          <w:spacing w:val="-5"/>
        </w:rPr>
        <w:t xml:space="preserve"> </w:t>
      </w:r>
      <w:r>
        <w:t>de</w:t>
      </w:r>
      <w:r>
        <w:rPr>
          <w:spacing w:val="-5"/>
        </w:rPr>
        <w:t xml:space="preserve"> </w:t>
      </w:r>
      <w:r>
        <w:rPr>
          <w:spacing w:val="-2"/>
        </w:rPr>
        <w:t>Escenarios:</w:t>
      </w:r>
    </w:p>
    <w:p w:rsidR="009B4BB4" w:rsidRDefault="009B4BB4">
      <w:pPr>
        <w:pStyle w:val="Textoindependiente"/>
        <w:spacing w:before="114"/>
        <w:rPr>
          <w:rFonts w:ascii="Arial"/>
          <w:b/>
        </w:rPr>
      </w:pPr>
    </w:p>
    <w:p w:rsidR="009B4BB4" w:rsidRDefault="00C44001" w:rsidP="00C44001">
      <w:pPr>
        <w:pStyle w:val="Prrafodelista"/>
        <w:numPr>
          <w:ilvl w:val="0"/>
          <w:numId w:val="7"/>
        </w:numPr>
        <w:tabs>
          <w:tab w:val="left" w:pos="1143"/>
          <w:tab w:val="left" w:pos="1145"/>
        </w:tabs>
        <w:spacing w:before="0" w:line="360" w:lineRule="auto"/>
        <w:ind w:right="605"/>
        <w:jc w:val="both"/>
      </w:pPr>
      <w:r>
        <w:rPr>
          <w:rFonts w:ascii="Arial" w:hAnsi="Arial"/>
          <w:b/>
        </w:rPr>
        <w:t xml:space="preserve">Escenario base: </w:t>
      </w:r>
      <w:r>
        <w:t>Presenta un proyecto financieramente sólido, con una TIR del 92%, lo que valida la eficiencia del modelo asset-light. La inversión inicial se recupera antes del segundo año, confirmando una rápida generación de valor.</w:t>
      </w:r>
    </w:p>
    <w:p w:rsidR="009B4BB4" w:rsidRDefault="00C44001" w:rsidP="00C44001">
      <w:pPr>
        <w:pStyle w:val="Prrafodelista"/>
        <w:numPr>
          <w:ilvl w:val="0"/>
          <w:numId w:val="7"/>
        </w:numPr>
        <w:tabs>
          <w:tab w:val="left" w:pos="1143"/>
          <w:tab w:val="left" w:pos="1145"/>
        </w:tabs>
        <w:spacing w:line="360" w:lineRule="auto"/>
        <w:ind w:right="608"/>
        <w:jc w:val="both"/>
      </w:pPr>
      <w:r>
        <w:rPr>
          <w:rFonts w:ascii="Arial" w:hAnsi="Arial"/>
          <w:b/>
        </w:rPr>
        <w:t xml:space="preserve">Escenario conservador: </w:t>
      </w:r>
      <w:r>
        <w:t>Aun con una des</w:t>
      </w:r>
      <w:r>
        <w:t>aceleración en ventas y un volumen limitado</w:t>
      </w:r>
      <w:r>
        <w:rPr>
          <w:spacing w:val="40"/>
        </w:rPr>
        <w:t xml:space="preserve"> </w:t>
      </w:r>
      <w:r>
        <w:t>a</w:t>
      </w:r>
      <w:r>
        <w:rPr>
          <w:spacing w:val="40"/>
        </w:rPr>
        <w:t xml:space="preserve"> </w:t>
      </w:r>
      <w:r>
        <w:t>2,000</w:t>
      </w:r>
      <w:r>
        <w:rPr>
          <w:spacing w:val="40"/>
        </w:rPr>
        <w:t xml:space="preserve"> </w:t>
      </w:r>
      <w:r>
        <w:t>unidades,</w:t>
      </w:r>
      <w:r>
        <w:rPr>
          <w:spacing w:val="40"/>
        </w:rPr>
        <w:t xml:space="preserve"> </w:t>
      </w:r>
      <w:r>
        <w:t>el</w:t>
      </w:r>
      <w:r>
        <w:rPr>
          <w:spacing w:val="40"/>
        </w:rPr>
        <w:t xml:space="preserve"> </w:t>
      </w:r>
      <w:r>
        <w:t>proyecto</w:t>
      </w:r>
      <w:r>
        <w:rPr>
          <w:spacing w:val="40"/>
        </w:rPr>
        <w:t xml:space="preserve"> </w:t>
      </w:r>
      <w:r>
        <w:t>mantiene</w:t>
      </w:r>
      <w:r>
        <w:rPr>
          <w:spacing w:val="40"/>
        </w:rPr>
        <w:t xml:space="preserve"> </w:t>
      </w:r>
      <w:r>
        <w:t>rentabilidad,</w:t>
      </w:r>
      <w:r>
        <w:rPr>
          <w:spacing w:val="40"/>
        </w:rPr>
        <w:t xml:space="preserve"> </w:t>
      </w:r>
      <w:r>
        <w:t>con</w:t>
      </w:r>
      <w:r>
        <w:rPr>
          <w:spacing w:val="40"/>
        </w:rPr>
        <w:t xml:space="preserve"> </w:t>
      </w:r>
      <w:r>
        <w:t>un</w:t>
      </w:r>
      <w:r>
        <w:rPr>
          <w:spacing w:val="40"/>
        </w:rPr>
        <w:t xml:space="preserve"> </w:t>
      </w:r>
      <w:r>
        <w:t>VAN</w:t>
      </w:r>
      <w:r>
        <w:rPr>
          <w:spacing w:val="40"/>
        </w:rPr>
        <w:t xml:space="preserve"> </w:t>
      </w:r>
      <w:r>
        <w:t>de</w:t>
      </w:r>
    </w:p>
    <w:p w:rsidR="009B4BB4" w:rsidRDefault="00C44001">
      <w:pPr>
        <w:pStyle w:val="Textoindependiente"/>
        <w:spacing w:before="0" w:line="360" w:lineRule="auto"/>
        <w:ind w:left="1145" w:right="604"/>
        <w:jc w:val="both"/>
      </w:pPr>
      <w:r>
        <w:t>$68,500 USD. Este resultado evidencia que el bajo punto de equilibrio de 216 unidades actúa como un mecanismo de protección frente a desviaciones</w:t>
      </w:r>
      <w:r>
        <w:t xml:space="preserve"> en la </w:t>
      </w:r>
      <w:r>
        <w:rPr>
          <w:spacing w:val="-2"/>
        </w:rPr>
        <w:t>demanda.</w:t>
      </w:r>
    </w:p>
    <w:p w:rsidR="009B4BB4" w:rsidRDefault="00C44001" w:rsidP="00C44001">
      <w:pPr>
        <w:pStyle w:val="Prrafodelista"/>
        <w:numPr>
          <w:ilvl w:val="0"/>
          <w:numId w:val="7"/>
        </w:numPr>
        <w:tabs>
          <w:tab w:val="left" w:pos="1143"/>
          <w:tab w:val="left" w:pos="1145"/>
        </w:tabs>
        <w:spacing w:line="360" w:lineRule="auto"/>
        <w:ind w:right="606"/>
        <w:jc w:val="both"/>
      </w:pPr>
      <w:r>
        <w:rPr>
          <w:rFonts w:ascii="Arial" w:hAnsi="Arial"/>
          <w:b/>
        </w:rPr>
        <w:t xml:space="preserve">Escenario pesimista: </w:t>
      </w:r>
      <w:r>
        <w:t>Incluso en condiciones adversas, con caída de precios y menor volumen, el VAN se mantiene positivo en $12,400 USD. Aunque el proyecto</w:t>
      </w:r>
      <w:r>
        <w:rPr>
          <w:spacing w:val="80"/>
        </w:rPr>
        <w:t xml:space="preserve"> </w:t>
      </w:r>
      <w:r>
        <w:t>pierde</w:t>
      </w:r>
      <w:r>
        <w:rPr>
          <w:spacing w:val="80"/>
        </w:rPr>
        <w:t xml:space="preserve"> </w:t>
      </w:r>
      <w:r>
        <w:t>atractivo</w:t>
      </w:r>
      <w:r>
        <w:rPr>
          <w:spacing w:val="80"/>
        </w:rPr>
        <w:t xml:space="preserve"> </w:t>
      </w:r>
      <w:r>
        <w:t>como</w:t>
      </w:r>
      <w:r>
        <w:rPr>
          <w:spacing w:val="80"/>
        </w:rPr>
        <w:t xml:space="preserve"> </w:t>
      </w:r>
      <w:r>
        <w:t>inversión</w:t>
      </w:r>
      <w:r>
        <w:rPr>
          <w:spacing w:val="80"/>
        </w:rPr>
        <w:t xml:space="preserve"> </w:t>
      </w:r>
      <w:r>
        <w:t>de</w:t>
      </w:r>
      <w:r>
        <w:rPr>
          <w:spacing w:val="80"/>
        </w:rPr>
        <w:t xml:space="preserve"> </w:t>
      </w:r>
      <w:r>
        <w:t>alto</w:t>
      </w:r>
      <w:r>
        <w:rPr>
          <w:spacing w:val="80"/>
        </w:rPr>
        <w:t xml:space="preserve"> </w:t>
      </w:r>
      <w:r>
        <w:t>rendimiento,</w:t>
      </w:r>
      <w:r>
        <w:rPr>
          <w:spacing w:val="80"/>
        </w:rPr>
        <w:t xml:space="preserve"> </w:t>
      </w:r>
      <w:r>
        <w:t>conserva</w:t>
      </w:r>
      <w:r>
        <w:rPr>
          <w:spacing w:val="80"/>
        </w:rPr>
        <w:t xml:space="preserve"> </w:t>
      </w:r>
      <w:r>
        <w:t>su</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71"/>
      </w:pPr>
      <w:proofErr w:type="gramStart"/>
      <w:r>
        <w:lastRenderedPageBreak/>
        <w:t>vi</w:t>
      </w:r>
      <w:r>
        <w:t>abilidad</w:t>
      </w:r>
      <w:proofErr w:type="gramEnd"/>
      <w:r>
        <w:rPr>
          <w:spacing w:val="80"/>
        </w:rPr>
        <w:t xml:space="preserve"> </w:t>
      </w:r>
      <w:r>
        <w:t>operativa,</w:t>
      </w:r>
      <w:r>
        <w:rPr>
          <w:spacing w:val="80"/>
        </w:rPr>
        <w:t xml:space="preserve"> </w:t>
      </w:r>
      <w:r>
        <w:t>lo</w:t>
      </w:r>
      <w:r>
        <w:rPr>
          <w:spacing w:val="80"/>
        </w:rPr>
        <w:t xml:space="preserve"> </w:t>
      </w:r>
      <w:r>
        <w:t>cual</w:t>
      </w:r>
      <w:r>
        <w:rPr>
          <w:spacing w:val="80"/>
        </w:rPr>
        <w:t xml:space="preserve"> </w:t>
      </w:r>
      <w:r>
        <w:t>es</w:t>
      </w:r>
      <w:r>
        <w:rPr>
          <w:spacing w:val="80"/>
        </w:rPr>
        <w:t xml:space="preserve"> </w:t>
      </w:r>
      <w:r>
        <w:t>clave</w:t>
      </w:r>
      <w:r>
        <w:rPr>
          <w:spacing w:val="80"/>
        </w:rPr>
        <w:t xml:space="preserve"> </w:t>
      </w:r>
      <w:r>
        <w:t>para</w:t>
      </w:r>
      <w:r>
        <w:rPr>
          <w:spacing w:val="80"/>
        </w:rPr>
        <w:t xml:space="preserve"> </w:t>
      </w:r>
      <w:r>
        <w:t>la</w:t>
      </w:r>
      <w:r>
        <w:rPr>
          <w:spacing w:val="80"/>
        </w:rPr>
        <w:t xml:space="preserve"> </w:t>
      </w:r>
      <w:r>
        <w:t>sostenibilidad</w:t>
      </w:r>
      <w:r>
        <w:rPr>
          <w:spacing w:val="80"/>
        </w:rPr>
        <w:t xml:space="preserve"> </w:t>
      </w:r>
      <w:r>
        <w:t>de</w:t>
      </w:r>
      <w:r>
        <w:rPr>
          <w:spacing w:val="80"/>
        </w:rPr>
        <w:t xml:space="preserve"> </w:t>
      </w:r>
      <w:r>
        <w:t>la</w:t>
      </w:r>
      <w:r>
        <w:rPr>
          <w:spacing w:val="80"/>
        </w:rPr>
        <w:t xml:space="preserve"> </w:t>
      </w:r>
      <w:r>
        <w:t>red</w:t>
      </w:r>
      <w:r>
        <w:rPr>
          <w:spacing w:val="80"/>
        </w:rPr>
        <w:t xml:space="preserve"> </w:t>
      </w:r>
      <w:r>
        <w:t>de productores aliados.</w:t>
      </w:r>
    </w:p>
    <w:p w:rsidR="009B4BB4" w:rsidRDefault="00C44001" w:rsidP="00C44001">
      <w:pPr>
        <w:pStyle w:val="Prrafodelista"/>
        <w:numPr>
          <w:ilvl w:val="0"/>
          <w:numId w:val="7"/>
        </w:numPr>
        <w:tabs>
          <w:tab w:val="left" w:pos="1143"/>
          <w:tab w:val="left" w:pos="1145"/>
        </w:tabs>
        <w:spacing w:line="360" w:lineRule="auto"/>
        <w:ind w:right="607"/>
        <w:jc w:val="both"/>
      </w:pPr>
      <w:r>
        <w:rPr>
          <w:rFonts w:ascii="Arial" w:hAnsi="Arial"/>
          <w:b/>
        </w:rPr>
        <w:t xml:space="preserve">Escenario optimista: </w:t>
      </w:r>
      <w:r>
        <w:t>En un contexto de mayor captación de valor a través de canales directos, reduciendo la dependencia de intermediarios, el valor</w:t>
      </w:r>
      <w:r>
        <w:rPr>
          <w:spacing w:val="-5"/>
        </w:rPr>
        <w:t xml:space="preserve"> </w:t>
      </w:r>
      <w:r>
        <w:t>generado por e</w:t>
      </w:r>
      <w:r>
        <w:t>l negocio se incrementa de forma significativa, impulsado por la expansión del margen operativo.</w:t>
      </w:r>
    </w:p>
    <w:p w:rsidR="009B4BB4" w:rsidRDefault="009B4BB4">
      <w:pPr>
        <w:pStyle w:val="Textoindependiente"/>
        <w:spacing w:before="107"/>
      </w:pPr>
    </w:p>
    <w:p w:rsidR="009B4BB4" w:rsidRDefault="00C44001" w:rsidP="00C44001">
      <w:pPr>
        <w:pStyle w:val="Ttulo1"/>
        <w:numPr>
          <w:ilvl w:val="1"/>
          <w:numId w:val="14"/>
        </w:numPr>
        <w:tabs>
          <w:tab w:val="left" w:pos="818"/>
        </w:tabs>
        <w:ind w:left="818" w:hanging="363"/>
      </w:pPr>
      <w:bookmarkStart w:id="251" w:name="7.7_Indicadores_financieros_y_de_rentabi"/>
      <w:bookmarkStart w:id="252" w:name="h.otr769chkd15"/>
      <w:bookmarkEnd w:id="251"/>
      <w:bookmarkEnd w:id="252"/>
      <w:r>
        <w:t>Indicadores</w:t>
      </w:r>
      <w:r>
        <w:rPr>
          <w:spacing w:val="-7"/>
        </w:rPr>
        <w:t xml:space="preserve"> </w:t>
      </w:r>
      <w:r>
        <w:t>financieros</w:t>
      </w:r>
      <w:r>
        <w:rPr>
          <w:spacing w:val="-6"/>
        </w:rPr>
        <w:t xml:space="preserve"> </w:t>
      </w:r>
      <w:r>
        <w:t>y</w:t>
      </w:r>
      <w:r>
        <w:rPr>
          <w:spacing w:val="-6"/>
        </w:rPr>
        <w:t xml:space="preserve"> </w:t>
      </w:r>
      <w:r>
        <w:t>de</w:t>
      </w:r>
      <w:r>
        <w:rPr>
          <w:spacing w:val="-6"/>
        </w:rPr>
        <w:t xml:space="preserve"> </w:t>
      </w:r>
      <w:r>
        <w:rPr>
          <w:spacing w:val="-2"/>
        </w:rPr>
        <w:t>rentabilidad</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10" w:firstLine="720"/>
        <w:jc w:val="both"/>
      </w:pPr>
      <w:r>
        <w:t>La evaluación financiera</w:t>
      </w:r>
      <w:r>
        <w:rPr>
          <w:spacing w:val="-4"/>
        </w:rPr>
        <w:t xml:space="preserve"> </w:t>
      </w:r>
      <w:r>
        <w:t>de</w:t>
      </w:r>
      <w:r>
        <w:rPr>
          <w:spacing w:val="-4"/>
        </w:rPr>
        <w:t xml:space="preserve"> </w:t>
      </w:r>
      <w:r>
        <w:t>Guardiana</w:t>
      </w:r>
      <w:r>
        <w:rPr>
          <w:spacing w:val="-4"/>
        </w:rPr>
        <w:t xml:space="preserve"> </w:t>
      </w:r>
      <w:r>
        <w:t>busca</w:t>
      </w:r>
      <w:r>
        <w:rPr>
          <w:spacing w:val="-4"/>
        </w:rPr>
        <w:t xml:space="preserve"> </w:t>
      </w:r>
      <w:r>
        <w:t>determinar</w:t>
      </w:r>
      <w:r>
        <w:rPr>
          <w:spacing w:val="-4"/>
        </w:rPr>
        <w:t xml:space="preserve"> </w:t>
      </w:r>
      <w:r>
        <w:t>su</w:t>
      </w:r>
      <w:r>
        <w:rPr>
          <w:spacing w:val="-4"/>
        </w:rPr>
        <w:t xml:space="preserve"> </w:t>
      </w:r>
      <w:r>
        <w:t>capacidad</w:t>
      </w:r>
      <w:r>
        <w:rPr>
          <w:spacing w:val="-4"/>
        </w:rPr>
        <w:t xml:space="preserve"> </w:t>
      </w:r>
      <w:r>
        <w:t>de</w:t>
      </w:r>
      <w:r>
        <w:rPr>
          <w:spacing w:val="-4"/>
        </w:rPr>
        <w:t xml:space="preserve"> </w:t>
      </w:r>
      <w:r>
        <w:t>generar valor para los inversionistas en relación con el riesgo asumido. Para ello, indicadores como el Valor Actual Neto (VAN), la Tasa Interna de Retorno (TIR) y el periodo de recuperación (Payback) permiten sintetizar la viabilidad del emprendimiento en</w:t>
      </w:r>
      <w:r>
        <w:t xml:space="preserve"> términos cuantitativos y estratégicos.</w:t>
      </w:r>
    </w:p>
    <w:p w:rsidR="009B4BB4" w:rsidRDefault="00C44001">
      <w:pPr>
        <w:pStyle w:val="Ttulo2"/>
        <w:ind w:left="455" w:firstLine="0"/>
      </w:pPr>
      <w:r>
        <w:t>Tabla</w:t>
      </w:r>
      <w:r>
        <w:rPr>
          <w:spacing w:val="-13"/>
        </w:rPr>
        <w:t xml:space="preserve"> </w:t>
      </w:r>
      <w:r>
        <w:rPr>
          <w:spacing w:val="-4"/>
        </w:rPr>
        <w:t>7.17</w:t>
      </w:r>
    </w:p>
    <w:p w:rsidR="009B4BB4" w:rsidRDefault="00C44001">
      <w:pPr>
        <w:spacing w:before="126"/>
        <w:ind w:left="455"/>
        <w:rPr>
          <w:rFonts w:ascii="Arial"/>
          <w:i/>
        </w:rPr>
      </w:pPr>
      <w:r>
        <w:rPr>
          <w:rFonts w:ascii="Arial"/>
          <w:i/>
        </w:rPr>
        <w:t>Resumen</w:t>
      </w:r>
      <w:r>
        <w:rPr>
          <w:rFonts w:ascii="Arial"/>
          <w:i/>
          <w:spacing w:val="-10"/>
        </w:rPr>
        <w:t xml:space="preserve"> </w:t>
      </w:r>
      <w:r>
        <w:rPr>
          <w:rFonts w:ascii="Arial"/>
          <w:i/>
        </w:rPr>
        <w:t>comparativo</w:t>
      </w:r>
      <w:r>
        <w:rPr>
          <w:rFonts w:ascii="Arial"/>
          <w:i/>
          <w:spacing w:val="-8"/>
        </w:rPr>
        <w:t xml:space="preserve"> </w:t>
      </w:r>
      <w:r>
        <w:rPr>
          <w:rFonts w:ascii="Arial"/>
          <w:i/>
        </w:rPr>
        <w:t>de</w:t>
      </w:r>
      <w:r>
        <w:rPr>
          <w:rFonts w:ascii="Arial"/>
          <w:i/>
          <w:spacing w:val="-8"/>
        </w:rPr>
        <w:t xml:space="preserve"> </w:t>
      </w:r>
      <w:r>
        <w:rPr>
          <w:rFonts w:ascii="Arial"/>
          <w:i/>
        </w:rPr>
        <w:t>indicadores</w:t>
      </w:r>
      <w:r>
        <w:rPr>
          <w:rFonts w:ascii="Arial"/>
          <w:i/>
          <w:spacing w:val="-8"/>
        </w:rPr>
        <w:t xml:space="preserve"> </w:t>
      </w:r>
      <w:r>
        <w:rPr>
          <w:rFonts w:ascii="Arial"/>
          <w:i/>
        </w:rPr>
        <w:t>financieros</w:t>
      </w:r>
      <w:r>
        <w:rPr>
          <w:rFonts w:ascii="Arial"/>
          <w:i/>
          <w:spacing w:val="-8"/>
        </w:rPr>
        <w:t xml:space="preserve"> </w:t>
      </w:r>
      <w:r>
        <w:rPr>
          <w:rFonts w:ascii="Arial"/>
          <w:i/>
        </w:rPr>
        <w:t>por</w:t>
      </w:r>
      <w:r>
        <w:rPr>
          <w:rFonts w:ascii="Arial"/>
          <w:i/>
          <w:spacing w:val="-8"/>
        </w:rPr>
        <w:t xml:space="preserve"> </w:t>
      </w:r>
      <w:r>
        <w:rPr>
          <w:rFonts w:ascii="Arial"/>
          <w:i/>
        </w:rPr>
        <w:t>escenario</w:t>
      </w:r>
      <w:r>
        <w:rPr>
          <w:rFonts w:ascii="Arial"/>
          <w:i/>
          <w:spacing w:val="-8"/>
        </w:rPr>
        <w:t xml:space="preserve"> </w:t>
      </w:r>
      <w:r>
        <w:rPr>
          <w:rFonts w:ascii="Arial"/>
          <w:i/>
        </w:rPr>
        <w:t>(WACC</w:t>
      </w:r>
      <w:r>
        <w:rPr>
          <w:rFonts w:ascii="Arial"/>
          <w:i/>
          <w:spacing w:val="-7"/>
        </w:rPr>
        <w:t xml:space="preserve"> </w:t>
      </w:r>
      <w:r>
        <w:rPr>
          <w:rFonts w:ascii="Arial"/>
          <w:i/>
          <w:spacing w:val="-4"/>
        </w:rPr>
        <w:t>12%)</w:t>
      </w:r>
    </w:p>
    <w:p w:rsidR="009B4BB4" w:rsidRDefault="009B4BB4">
      <w:pPr>
        <w:pStyle w:val="Textoindependiente"/>
        <w:spacing w:before="11"/>
        <w:rPr>
          <w:rFonts w:ascii="Arial"/>
          <w:i/>
          <w:sz w:val="9"/>
        </w:rPr>
      </w:pPr>
    </w:p>
    <w:tbl>
      <w:tblPr>
        <w:tblStyle w:val="TableNormal"/>
        <w:tblW w:w="0" w:type="auto"/>
        <w:tblInd w:w="432" w:type="dxa"/>
        <w:tblLayout w:type="fixed"/>
        <w:tblLook w:val="01E0" w:firstRow="1" w:lastRow="1" w:firstColumn="1" w:lastColumn="1" w:noHBand="0" w:noVBand="0"/>
      </w:tblPr>
      <w:tblGrid>
        <w:gridCol w:w="2289"/>
        <w:gridCol w:w="2230"/>
        <w:gridCol w:w="1891"/>
        <w:gridCol w:w="2628"/>
      </w:tblGrid>
      <w:tr w:rsidR="009B4BB4">
        <w:trPr>
          <w:trHeight w:val="460"/>
        </w:trPr>
        <w:tc>
          <w:tcPr>
            <w:tcW w:w="2289" w:type="dxa"/>
            <w:tcBorders>
              <w:top w:val="single" w:sz="8" w:space="0" w:color="000000"/>
              <w:bottom w:val="single" w:sz="8" w:space="0" w:color="000000"/>
            </w:tcBorders>
          </w:tcPr>
          <w:p w:rsidR="009B4BB4" w:rsidRDefault="00C44001">
            <w:pPr>
              <w:pStyle w:val="TableParagraph"/>
              <w:spacing w:before="52"/>
              <w:ind w:right="5"/>
              <w:jc w:val="center"/>
              <w:rPr>
                <w:rFonts w:ascii="Arial"/>
                <w:b/>
              </w:rPr>
            </w:pPr>
            <w:r>
              <w:rPr>
                <w:rFonts w:ascii="Arial"/>
                <w:b/>
                <w:spacing w:val="-2"/>
              </w:rPr>
              <w:t>Escenario</w:t>
            </w:r>
          </w:p>
        </w:tc>
        <w:tc>
          <w:tcPr>
            <w:tcW w:w="2230" w:type="dxa"/>
            <w:tcBorders>
              <w:top w:val="single" w:sz="8" w:space="0" w:color="000000"/>
              <w:bottom w:val="single" w:sz="8" w:space="0" w:color="000000"/>
            </w:tcBorders>
          </w:tcPr>
          <w:p w:rsidR="009B4BB4" w:rsidRDefault="00C44001">
            <w:pPr>
              <w:pStyle w:val="TableParagraph"/>
              <w:spacing w:before="52"/>
              <w:ind w:right="69"/>
              <w:jc w:val="center"/>
              <w:rPr>
                <w:rFonts w:ascii="Arial"/>
                <w:b/>
              </w:rPr>
            </w:pPr>
            <w:r>
              <w:rPr>
                <w:rFonts w:ascii="Arial"/>
                <w:b/>
                <w:spacing w:val="-2"/>
              </w:rPr>
              <w:t>VAN</w:t>
            </w:r>
            <w:r>
              <w:rPr>
                <w:rFonts w:ascii="Arial"/>
                <w:b/>
                <w:spacing w:val="-15"/>
              </w:rPr>
              <w:t xml:space="preserve"> </w:t>
            </w:r>
            <w:r>
              <w:rPr>
                <w:rFonts w:ascii="Arial"/>
                <w:b/>
                <w:spacing w:val="-2"/>
              </w:rPr>
              <w:t>(USD)</w:t>
            </w:r>
          </w:p>
        </w:tc>
        <w:tc>
          <w:tcPr>
            <w:tcW w:w="1891" w:type="dxa"/>
            <w:tcBorders>
              <w:top w:val="single" w:sz="8" w:space="0" w:color="000000"/>
              <w:bottom w:val="single" w:sz="8" w:space="0" w:color="000000"/>
            </w:tcBorders>
          </w:tcPr>
          <w:p w:rsidR="009B4BB4" w:rsidRDefault="00C44001">
            <w:pPr>
              <w:pStyle w:val="TableParagraph"/>
              <w:spacing w:before="52"/>
              <w:ind w:left="52"/>
              <w:jc w:val="center"/>
              <w:rPr>
                <w:rFonts w:ascii="Arial"/>
                <w:b/>
              </w:rPr>
            </w:pPr>
            <w:r>
              <w:rPr>
                <w:rFonts w:ascii="Arial"/>
                <w:b/>
              </w:rPr>
              <w:t>TIR</w:t>
            </w:r>
            <w:r>
              <w:rPr>
                <w:rFonts w:ascii="Arial"/>
                <w:b/>
                <w:spacing w:val="-5"/>
              </w:rPr>
              <w:t xml:space="preserve"> (%)</w:t>
            </w:r>
          </w:p>
        </w:tc>
        <w:tc>
          <w:tcPr>
            <w:tcW w:w="2628" w:type="dxa"/>
            <w:tcBorders>
              <w:top w:val="single" w:sz="8" w:space="0" w:color="000000"/>
              <w:bottom w:val="single" w:sz="8" w:space="0" w:color="000000"/>
            </w:tcBorders>
          </w:tcPr>
          <w:p w:rsidR="009B4BB4" w:rsidRDefault="00C44001">
            <w:pPr>
              <w:pStyle w:val="TableParagraph"/>
              <w:spacing w:before="52"/>
              <w:ind w:left="108"/>
              <w:jc w:val="center"/>
              <w:rPr>
                <w:rFonts w:ascii="Arial" w:hAnsi="Arial"/>
                <w:b/>
              </w:rPr>
            </w:pPr>
            <w:r>
              <w:rPr>
                <w:rFonts w:ascii="Arial" w:hAnsi="Arial"/>
                <w:b/>
              </w:rPr>
              <w:t>Payback</w:t>
            </w:r>
            <w:r>
              <w:rPr>
                <w:rFonts w:ascii="Arial" w:hAnsi="Arial"/>
                <w:b/>
                <w:spacing w:val="-7"/>
              </w:rPr>
              <w:t xml:space="preserve"> </w:t>
            </w:r>
            <w:r>
              <w:rPr>
                <w:rFonts w:ascii="Arial" w:hAnsi="Arial"/>
                <w:b/>
                <w:spacing w:val="-2"/>
              </w:rPr>
              <w:t>(Años)</w:t>
            </w:r>
          </w:p>
        </w:tc>
      </w:tr>
      <w:tr w:rsidR="009B4BB4">
        <w:trPr>
          <w:trHeight w:val="421"/>
        </w:trPr>
        <w:tc>
          <w:tcPr>
            <w:tcW w:w="2289" w:type="dxa"/>
            <w:tcBorders>
              <w:top w:val="single" w:sz="8" w:space="0" w:color="000000"/>
            </w:tcBorders>
          </w:tcPr>
          <w:p w:rsidR="009B4BB4" w:rsidRDefault="00C44001">
            <w:pPr>
              <w:pStyle w:val="TableParagraph"/>
              <w:spacing w:before="56"/>
              <w:ind w:right="5"/>
              <w:jc w:val="center"/>
            </w:pPr>
            <w:r>
              <w:rPr>
                <w:spacing w:val="-2"/>
              </w:rPr>
              <w:t>Optimista</w:t>
            </w:r>
          </w:p>
        </w:tc>
        <w:tc>
          <w:tcPr>
            <w:tcW w:w="2230" w:type="dxa"/>
            <w:tcBorders>
              <w:top w:val="single" w:sz="8" w:space="0" w:color="000000"/>
            </w:tcBorders>
          </w:tcPr>
          <w:p w:rsidR="009B4BB4" w:rsidRDefault="00C44001">
            <w:pPr>
              <w:pStyle w:val="TableParagraph"/>
              <w:spacing w:before="56"/>
              <w:ind w:right="69"/>
              <w:jc w:val="center"/>
            </w:pPr>
            <w:r>
              <w:rPr>
                <w:spacing w:val="-2"/>
              </w:rPr>
              <w:t>210,000</w:t>
            </w:r>
          </w:p>
        </w:tc>
        <w:tc>
          <w:tcPr>
            <w:tcW w:w="1891" w:type="dxa"/>
            <w:tcBorders>
              <w:top w:val="single" w:sz="8" w:space="0" w:color="000000"/>
            </w:tcBorders>
          </w:tcPr>
          <w:p w:rsidR="009B4BB4" w:rsidRDefault="00C44001">
            <w:pPr>
              <w:pStyle w:val="TableParagraph"/>
              <w:spacing w:before="56"/>
              <w:ind w:left="52"/>
              <w:jc w:val="center"/>
            </w:pPr>
            <w:r>
              <w:rPr>
                <w:spacing w:val="-4"/>
              </w:rPr>
              <w:t>148%</w:t>
            </w:r>
          </w:p>
        </w:tc>
        <w:tc>
          <w:tcPr>
            <w:tcW w:w="2628" w:type="dxa"/>
            <w:tcBorders>
              <w:top w:val="single" w:sz="8" w:space="0" w:color="000000"/>
            </w:tcBorders>
          </w:tcPr>
          <w:p w:rsidR="009B4BB4" w:rsidRDefault="00C44001">
            <w:pPr>
              <w:pStyle w:val="TableParagraph"/>
              <w:spacing w:before="56"/>
              <w:ind w:left="108"/>
              <w:jc w:val="center"/>
            </w:pPr>
            <w:r>
              <w:rPr>
                <w:spacing w:val="-5"/>
              </w:rPr>
              <w:t>1.1</w:t>
            </w:r>
          </w:p>
        </w:tc>
      </w:tr>
      <w:tr w:rsidR="009B4BB4">
        <w:trPr>
          <w:trHeight w:val="490"/>
        </w:trPr>
        <w:tc>
          <w:tcPr>
            <w:tcW w:w="2289" w:type="dxa"/>
          </w:tcPr>
          <w:p w:rsidR="009B4BB4" w:rsidRDefault="00C44001">
            <w:pPr>
              <w:pStyle w:val="TableParagraph"/>
              <w:spacing w:before="104"/>
              <w:ind w:right="5"/>
              <w:jc w:val="center"/>
            </w:pPr>
            <w:r>
              <w:rPr>
                <w:spacing w:val="-4"/>
              </w:rPr>
              <w:t>Base</w:t>
            </w:r>
          </w:p>
        </w:tc>
        <w:tc>
          <w:tcPr>
            <w:tcW w:w="2230" w:type="dxa"/>
          </w:tcPr>
          <w:p w:rsidR="009B4BB4" w:rsidRDefault="00C44001">
            <w:pPr>
              <w:pStyle w:val="TableParagraph"/>
              <w:spacing w:before="104"/>
              <w:ind w:right="69"/>
              <w:jc w:val="center"/>
            </w:pPr>
            <w:r>
              <w:rPr>
                <w:spacing w:val="-2"/>
              </w:rPr>
              <w:t>145,800</w:t>
            </w:r>
          </w:p>
        </w:tc>
        <w:tc>
          <w:tcPr>
            <w:tcW w:w="1891" w:type="dxa"/>
          </w:tcPr>
          <w:p w:rsidR="009B4BB4" w:rsidRDefault="00C44001">
            <w:pPr>
              <w:pStyle w:val="TableParagraph"/>
              <w:spacing w:before="104"/>
              <w:ind w:left="52"/>
              <w:jc w:val="center"/>
            </w:pPr>
            <w:r>
              <w:rPr>
                <w:spacing w:val="-5"/>
              </w:rPr>
              <w:t>92%</w:t>
            </w:r>
          </w:p>
        </w:tc>
        <w:tc>
          <w:tcPr>
            <w:tcW w:w="2628" w:type="dxa"/>
          </w:tcPr>
          <w:p w:rsidR="009B4BB4" w:rsidRDefault="00C44001">
            <w:pPr>
              <w:pStyle w:val="TableParagraph"/>
              <w:spacing w:before="104"/>
              <w:ind w:left="108"/>
              <w:jc w:val="center"/>
            </w:pPr>
            <w:r>
              <w:rPr>
                <w:spacing w:val="-5"/>
              </w:rPr>
              <w:t>1.8</w:t>
            </w:r>
          </w:p>
        </w:tc>
      </w:tr>
      <w:tr w:rsidR="009B4BB4">
        <w:trPr>
          <w:trHeight w:val="512"/>
        </w:trPr>
        <w:tc>
          <w:tcPr>
            <w:tcW w:w="2289" w:type="dxa"/>
          </w:tcPr>
          <w:p w:rsidR="009B4BB4" w:rsidRDefault="00C44001">
            <w:pPr>
              <w:pStyle w:val="TableParagraph"/>
              <w:spacing w:before="126"/>
              <w:ind w:right="5"/>
              <w:jc w:val="center"/>
            </w:pPr>
            <w:r>
              <w:rPr>
                <w:spacing w:val="-2"/>
              </w:rPr>
              <w:t>Conservador</w:t>
            </w:r>
          </w:p>
        </w:tc>
        <w:tc>
          <w:tcPr>
            <w:tcW w:w="2230" w:type="dxa"/>
          </w:tcPr>
          <w:p w:rsidR="009B4BB4" w:rsidRDefault="00C44001">
            <w:pPr>
              <w:pStyle w:val="TableParagraph"/>
              <w:spacing w:before="126"/>
              <w:ind w:right="69"/>
              <w:jc w:val="center"/>
            </w:pPr>
            <w:r>
              <w:rPr>
                <w:spacing w:val="-2"/>
              </w:rPr>
              <w:t>68,500</w:t>
            </w:r>
          </w:p>
        </w:tc>
        <w:tc>
          <w:tcPr>
            <w:tcW w:w="1891" w:type="dxa"/>
          </w:tcPr>
          <w:p w:rsidR="009B4BB4" w:rsidRDefault="00C44001">
            <w:pPr>
              <w:pStyle w:val="TableParagraph"/>
              <w:spacing w:before="126"/>
              <w:ind w:left="52"/>
              <w:jc w:val="center"/>
            </w:pPr>
            <w:r>
              <w:rPr>
                <w:spacing w:val="-5"/>
              </w:rPr>
              <w:t>45%</w:t>
            </w:r>
          </w:p>
        </w:tc>
        <w:tc>
          <w:tcPr>
            <w:tcW w:w="2628" w:type="dxa"/>
          </w:tcPr>
          <w:p w:rsidR="009B4BB4" w:rsidRDefault="00C44001">
            <w:pPr>
              <w:pStyle w:val="TableParagraph"/>
              <w:spacing w:before="126"/>
              <w:ind w:left="108"/>
              <w:jc w:val="center"/>
            </w:pPr>
            <w:r>
              <w:rPr>
                <w:spacing w:val="-5"/>
              </w:rPr>
              <w:t>2.8</w:t>
            </w:r>
          </w:p>
        </w:tc>
      </w:tr>
      <w:tr w:rsidR="009B4BB4">
        <w:trPr>
          <w:trHeight w:val="535"/>
        </w:trPr>
        <w:tc>
          <w:tcPr>
            <w:tcW w:w="2289" w:type="dxa"/>
            <w:tcBorders>
              <w:bottom w:val="single" w:sz="8" w:space="0" w:color="000000"/>
            </w:tcBorders>
          </w:tcPr>
          <w:p w:rsidR="009B4BB4" w:rsidRDefault="00C44001">
            <w:pPr>
              <w:pStyle w:val="TableParagraph"/>
              <w:spacing w:before="126"/>
              <w:ind w:right="5"/>
              <w:jc w:val="center"/>
            </w:pPr>
            <w:r>
              <w:rPr>
                <w:spacing w:val="-2"/>
              </w:rPr>
              <w:t>Pesimista</w:t>
            </w:r>
          </w:p>
        </w:tc>
        <w:tc>
          <w:tcPr>
            <w:tcW w:w="2230" w:type="dxa"/>
            <w:tcBorders>
              <w:bottom w:val="single" w:sz="8" w:space="0" w:color="000000"/>
            </w:tcBorders>
          </w:tcPr>
          <w:p w:rsidR="009B4BB4" w:rsidRDefault="00C44001">
            <w:pPr>
              <w:pStyle w:val="TableParagraph"/>
              <w:spacing w:before="126"/>
              <w:ind w:right="69"/>
              <w:jc w:val="center"/>
            </w:pPr>
            <w:r>
              <w:rPr>
                <w:spacing w:val="-2"/>
              </w:rPr>
              <w:t>12,400</w:t>
            </w:r>
          </w:p>
        </w:tc>
        <w:tc>
          <w:tcPr>
            <w:tcW w:w="1891" w:type="dxa"/>
            <w:tcBorders>
              <w:bottom w:val="single" w:sz="8" w:space="0" w:color="000000"/>
            </w:tcBorders>
          </w:tcPr>
          <w:p w:rsidR="009B4BB4" w:rsidRDefault="00C44001">
            <w:pPr>
              <w:pStyle w:val="TableParagraph"/>
              <w:spacing w:before="126"/>
              <w:ind w:left="52"/>
              <w:jc w:val="center"/>
            </w:pPr>
            <w:r>
              <w:rPr>
                <w:spacing w:val="-5"/>
              </w:rPr>
              <w:t>18%</w:t>
            </w:r>
          </w:p>
        </w:tc>
        <w:tc>
          <w:tcPr>
            <w:tcW w:w="2628" w:type="dxa"/>
            <w:tcBorders>
              <w:bottom w:val="single" w:sz="8" w:space="0" w:color="000000"/>
            </w:tcBorders>
          </w:tcPr>
          <w:p w:rsidR="009B4BB4" w:rsidRDefault="00C44001">
            <w:pPr>
              <w:pStyle w:val="TableParagraph"/>
              <w:spacing w:before="126"/>
              <w:ind w:left="108"/>
              <w:jc w:val="center"/>
            </w:pPr>
            <w:r>
              <w:rPr>
                <w:spacing w:val="-5"/>
              </w:rPr>
              <w:t>4.1</w:t>
            </w:r>
          </w:p>
        </w:tc>
      </w:tr>
    </w:tbl>
    <w:p w:rsidR="009B4BB4" w:rsidRDefault="00C44001">
      <w:pPr>
        <w:pStyle w:val="Textoindependiente"/>
        <w:spacing w:before="252" w:line="360" w:lineRule="auto"/>
        <w:ind w:left="425" w:right="671" w:firstLine="30"/>
      </w:pPr>
      <w:r>
        <w:rPr>
          <w:rFonts w:ascii="Arial" w:hAnsi="Arial"/>
          <w:i/>
        </w:rPr>
        <w:t xml:space="preserve">Nota. </w:t>
      </w:r>
      <w:r>
        <w:t>Los escenarios reflejan la resiliencia del modelo de negocio</w:t>
      </w:r>
      <w:r>
        <w:rPr>
          <w:spacing w:val="-3"/>
        </w:rPr>
        <w:t xml:space="preserve"> </w:t>
      </w:r>
      <w:r>
        <w:t>ante</w:t>
      </w:r>
      <w:r>
        <w:rPr>
          <w:spacing w:val="-3"/>
        </w:rPr>
        <w:t xml:space="preserve"> </w:t>
      </w:r>
      <w:r>
        <w:t>variaciones</w:t>
      </w:r>
      <w:r>
        <w:rPr>
          <w:spacing w:val="-3"/>
        </w:rPr>
        <w:t xml:space="preserve"> </w:t>
      </w:r>
      <w:r>
        <w:t>en</w:t>
      </w:r>
      <w:r>
        <w:rPr>
          <w:spacing w:val="-3"/>
        </w:rPr>
        <w:t xml:space="preserve"> </w:t>
      </w:r>
      <w:r>
        <w:t>la tracción de mercado y eficiencia en costos. Elaboración propia (2025).</w:t>
      </w:r>
    </w:p>
    <w:p w:rsidR="009B4BB4" w:rsidRDefault="00C44001">
      <w:pPr>
        <w:pStyle w:val="Textoindependiente"/>
        <w:spacing w:before="239" w:line="360" w:lineRule="auto"/>
        <w:ind w:left="425" w:right="602" w:firstLine="720"/>
        <w:jc w:val="both"/>
      </w:pPr>
      <w:r>
        <w:t>El escenario base proyecta un VAN de $145,800 USD, una TIR del 92% y un periodo de recuperación de 1.8 años, reflejando un negocio capaz de generar altos retornos a partir de una inversión inicial reducida. Este desempeño se explica por la naturaleza asset</w:t>
      </w:r>
      <w:r>
        <w:t>-light del modelo, en el que el capital se concentra en marketing, empaque y pago justo a productores, evitando la inmovilización en activos fijos que prolongarán la recuperación del capital.</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7" w:firstLine="720"/>
        <w:jc w:val="both"/>
      </w:pPr>
      <w:r>
        <w:lastRenderedPageBreak/>
        <w:t>En el escenario conservador, los resultados mu</w:t>
      </w:r>
      <w:r>
        <w:t>estran que, incluso bajo condiciones menos favorables, como un estancamiento en ventas y un aumento en costos, el proyecto mantiene su atractivo, con un VAN positivo de $68,500 USD y una</w:t>
      </w:r>
      <w:r>
        <w:rPr>
          <w:spacing w:val="40"/>
        </w:rPr>
        <w:t xml:space="preserve"> </w:t>
      </w:r>
      <w:r>
        <w:t>TIR del 45%, ampliamente superior a la tasa de descuento del 12%.</w:t>
      </w:r>
    </w:p>
    <w:p w:rsidR="009B4BB4" w:rsidRDefault="00C44001">
      <w:pPr>
        <w:pStyle w:val="Textoindependiente"/>
        <w:spacing w:line="360" w:lineRule="auto"/>
        <w:ind w:left="425" w:right="608" w:firstLine="720"/>
        <w:jc w:val="both"/>
      </w:pPr>
      <w:r>
        <w:t xml:space="preserve">En </w:t>
      </w:r>
      <w:r>
        <w:t>el escenario pesimista, la rentabilidad se reduce, con una TIR del 18% y un periodo de recuperación de 4.1 años. Aun así, el VAN permanece positivo en $12,400 USD, lo que indica</w:t>
      </w:r>
      <w:r>
        <w:rPr>
          <w:spacing w:val="-4"/>
        </w:rPr>
        <w:t xml:space="preserve"> </w:t>
      </w:r>
      <w:r>
        <w:t>que</w:t>
      </w:r>
      <w:r>
        <w:rPr>
          <w:spacing w:val="-4"/>
        </w:rPr>
        <w:t xml:space="preserve"> </w:t>
      </w:r>
      <w:r>
        <w:t>el</w:t>
      </w:r>
      <w:r>
        <w:rPr>
          <w:spacing w:val="-4"/>
        </w:rPr>
        <w:t xml:space="preserve"> </w:t>
      </w:r>
      <w:r>
        <w:t>proyecto</w:t>
      </w:r>
      <w:r>
        <w:rPr>
          <w:spacing w:val="-4"/>
        </w:rPr>
        <w:t xml:space="preserve"> </w:t>
      </w:r>
      <w:r>
        <w:t>no</w:t>
      </w:r>
      <w:r>
        <w:rPr>
          <w:spacing w:val="-4"/>
        </w:rPr>
        <w:t xml:space="preserve"> </w:t>
      </w:r>
      <w:r>
        <w:t>destruye</w:t>
      </w:r>
      <w:r>
        <w:rPr>
          <w:spacing w:val="-4"/>
        </w:rPr>
        <w:t xml:space="preserve"> </w:t>
      </w:r>
      <w:r>
        <w:t>valor.</w:t>
      </w:r>
      <w:r>
        <w:rPr>
          <w:spacing w:val="-4"/>
        </w:rPr>
        <w:t xml:space="preserve"> </w:t>
      </w:r>
      <w:r>
        <w:t>En</w:t>
      </w:r>
      <w:r>
        <w:rPr>
          <w:spacing w:val="-4"/>
        </w:rPr>
        <w:t xml:space="preserve"> </w:t>
      </w:r>
      <w:r>
        <w:t>este</w:t>
      </w:r>
      <w:r>
        <w:rPr>
          <w:spacing w:val="-4"/>
        </w:rPr>
        <w:t xml:space="preserve"> </w:t>
      </w:r>
      <w:r>
        <w:t>contexto,</w:t>
      </w:r>
      <w:r>
        <w:rPr>
          <w:spacing w:val="-4"/>
        </w:rPr>
        <w:t xml:space="preserve"> </w:t>
      </w:r>
      <w:r>
        <w:t>el</w:t>
      </w:r>
      <w:r>
        <w:rPr>
          <w:spacing w:val="-4"/>
        </w:rPr>
        <w:t xml:space="preserve"> </w:t>
      </w:r>
      <w:r>
        <w:t>principal</w:t>
      </w:r>
      <w:r>
        <w:rPr>
          <w:spacing w:val="-4"/>
        </w:rPr>
        <w:t xml:space="preserve"> </w:t>
      </w:r>
      <w:r>
        <w:t>riesgo radica</w:t>
      </w:r>
      <w:r>
        <w:rPr>
          <w:spacing w:val="40"/>
        </w:rPr>
        <w:t xml:space="preserve"> </w:t>
      </w:r>
      <w:r>
        <w:t>en la pérdida de atractivo frente a alternativas de inversión más rentables, más que en un problema de solvencia.</w:t>
      </w:r>
    </w:p>
    <w:p w:rsidR="009B4BB4" w:rsidRDefault="00C44001">
      <w:pPr>
        <w:pStyle w:val="Textoindependiente"/>
        <w:ind w:left="1145"/>
        <w:jc w:val="both"/>
      </w:pPr>
      <w:r>
        <w:t>El</w:t>
      </w:r>
      <w:r>
        <w:rPr>
          <w:spacing w:val="36"/>
        </w:rPr>
        <w:t xml:space="preserve"> </w:t>
      </w:r>
      <w:r>
        <w:t>escenario</w:t>
      </w:r>
      <w:r>
        <w:rPr>
          <w:spacing w:val="38"/>
        </w:rPr>
        <w:t xml:space="preserve"> </w:t>
      </w:r>
      <w:r>
        <w:t>optimista</w:t>
      </w:r>
      <w:r>
        <w:rPr>
          <w:spacing w:val="38"/>
        </w:rPr>
        <w:t xml:space="preserve"> </w:t>
      </w:r>
      <w:r>
        <w:t>refleja</w:t>
      </w:r>
      <w:r>
        <w:rPr>
          <w:spacing w:val="39"/>
        </w:rPr>
        <w:t xml:space="preserve"> </w:t>
      </w:r>
      <w:r>
        <w:t>el</w:t>
      </w:r>
      <w:r>
        <w:rPr>
          <w:spacing w:val="38"/>
        </w:rPr>
        <w:t xml:space="preserve"> </w:t>
      </w:r>
      <w:r>
        <w:t>potencial</w:t>
      </w:r>
      <w:r>
        <w:rPr>
          <w:spacing w:val="38"/>
        </w:rPr>
        <w:t xml:space="preserve"> </w:t>
      </w:r>
      <w:r>
        <w:t>máximo</w:t>
      </w:r>
      <w:r>
        <w:rPr>
          <w:spacing w:val="39"/>
        </w:rPr>
        <w:t xml:space="preserve"> </w:t>
      </w:r>
      <w:r>
        <w:t>del</w:t>
      </w:r>
      <w:r>
        <w:rPr>
          <w:spacing w:val="38"/>
        </w:rPr>
        <w:t xml:space="preserve"> </w:t>
      </w:r>
      <w:r>
        <w:t>modelo,</w:t>
      </w:r>
      <w:r>
        <w:rPr>
          <w:spacing w:val="38"/>
        </w:rPr>
        <w:t xml:space="preserve"> </w:t>
      </w:r>
      <w:r>
        <w:t>con</w:t>
      </w:r>
      <w:r>
        <w:rPr>
          <w:spacing w:val="24"/>
        </w:rPr>
        <w:t xml:space="preserve"> </w:t>
      </w:r>
      <w:r>
        <w:t>un</w:t>
      </w:r>
      <w:r>
        <w:rPr>
          <w:spacing w:val="24"/>
        </w:rPr>
        <w:t xml:space="preserve"> </w:t>
      </w:r>
      <w:r>
        <w:t>VAN</w:t>
      </w:r>
      <w:r>
        <w:rPr>
          <w:spacing w:val="25"/>
        </w:rPr>
        <w:t xml:space="preserve"> </w:t>
      </w:r>
      <w:r>
        <w:rPr>
          <w:spacing w:val="-5"/>
        </w:rPr>
        <w:t>de</w:t>
      </w:r>
    </w:p>
    <w:p w:rsidR="009B4BB4" w:rsidRDefault="00C44001">
      <w:pPr>
        <w:pStyle w:val="Textoindependiente"/>
        <w:spacing w:before="127" w:line="360" w:lineRule="auto"/>
        <w:ind w:left="425" w:right="609"/>
        <w:jc w:val="both"/>
      </w:pPr>
      <w:r>
        <w:t>$210,000 USD y un periodo de recuperación de 1.1 añ</w:t>
      </w:r>
      <w:r>
        <w:t xml:space="preserve">os, impulsados por una mayor participación en canales directos y una optimización de costos. Este resultado evidencia la capacidad del proyecto para capturar mayor valor si logra consolidar su posicionamiento en el segmento </w:t>
      </w:r>
      <w:r>
        <w:rPr>
          <w:rFonts w:ascii="Arial" w:hAnsi="Arial"/>
          <w:i/>
        </w:rPr>
        <w:t>premium</w:t>
      </w:r>
      <w:r>
        <w:t>.</w:t>
      </w:r>
    </w:p>
    <w:p w:rsidR="009B4BB4" w:rsidRDefault="00C44001">
      <w:pPr>
        <w:pStyle w:val="Textoindependiente"/>
        <w:spacing w:line="360" w:lineRule="auto"/>
        <w:ind w:left="425" w:right="602" w:firstLine="720"/>
        <w:jc w:val="both"/>
      </w:pPr>
      <w:r>
        <w:t>Además de estos indicadores financieros, Guardiana incorpora una métrica de valor integral basada en la metodología del Social Return on Investment (Nicholls et al., 2012).</w:t>
      </w:r>
      <w:r>
        <w:rPr>
          <w:spacing w:val="25"/>
        </w:rPr>
        <w:t xml:space="preserve"> </w:t>
      </w:r>
      <w:r>
        <w:t>Este</w:t>
      </w:r>
      <w:r>
        <w:rPr>
          <w:spacing w:val="25"/>
        </w:rPr>
        <w:t xml:space="preserve"> </w:t>
      </w:r>
      <w:r>
        <w:t>indicador</w:t>
      </w:r>
      <w:r>
        <w:rPr>
          <w:spacing w:val="25"/>
        </w:rPr>
        <w:t xml:space="preserve"> </w:t>
      </w:r>
      <w:r>
        <w:t>estima que por cada dólar invertido se generan aproximadamente</w:t>
      </w:r>
    </w:p>
    <w:p w:rsidR="009B4BB4" w:rsidRDefault="00C44001">
      <w:pPr>
        <w:pStyle w:val="Textoindependiente"/>
        <w:spacing w:before="0" w:line="360" w:lineRule="auto"/>
        <w:ind w:left="425" w:right="604"/>
        <w:jc w:val="both"/>
      </w:pPr>
      <w:r>
        <w:t>$5.05</w:t>
      </w:r>
      <w:r>
        <w:t xml:space="preserve"> USD en valor social y ambiental, considerando el incremento de ingresos en las comunidades meliponicultoras y los beneficios</w:t>
      </w:r>
      <w:r>
        <w:rPr>
          <w:spacing w:val="-4"/>
        </w:rPr>
        <w:t xml:space="preserve"> </w:t>
      </w:r>
      <w:r>
        <w:t>asociados</w:t>
      </w:r>
      <w:r>
        <w:rPr>
          <w:spacing w:val="-4"/>
        </w:rPr>
        <w:t xml:space="preserve"> </w:t>
      </w:r>
      <w:r>
        <w:t>a</w:t>
      </w:r>
      <w:r>
        <w:rPr>
          <w:spacing w:val="-4"/>
        </w:rPr>
        <w:t xml:space="preserve"> </w:t>
      </w:r>
      <w:r>
        <w:t>la</w:t>
      </w:r>
      <w:r>
        <w:rPr>
          <w:spacing w:val="-4"/>
        </w:rPr>
        <w:t xml:space="preserve"> </w:t>
      </w:r>
      <w:r>
        <w:t>conservación</w:t>
      </w:r>
      <w:r>
        <w:rPr>
          <w:spacing w:val="-4"/>
        </w:rPr>
        <w:t xml:space="preserve"> </w:t>
      </w:r>
      <w:r>
        <w:t>de</w:t>
      </w:r>
      <w:r>
        <w:rPr>
          <w:spacing w:val="-4"/>
        </w:rPr>
        <w:t xml:space="preserve"> </w:t>
      </w:r>
      <w:r>
        <w:t>las</w:t>
      </w:r>
      <w:r>
        <w:rPr>
          <w:spacing w:val="-4"/>
        </w:rPr>
        <w:t xml:space="preserve"> </w:t>
      </w:r>
      <w:r>
        <w:t>abejas nativas. Este resultado refuerza el enfoque de blended value (Emerson, 2003), evidencian</w:t>
      </w:r>
      <w:r>
        <w:t>do que la rentabilidad económica del proyecto se construye de forma simultánea con impactos sociales y ambientales tangibles.</w:t>
      </w:r>
    </w:p>
    <w:p w:rsidR="009B4BB4" w:rsidRDefault="00C44001" w:rsidP="00C44001">
      <w:pPr>
        <w:pStyle w:val="Ttulo2"/>
        <w:numPr>
          <w:ilvl w:val="2"/>
          <w:numId w:val="6"/>
        </w:numPr>
        <w:tabs>
          <w:tab w:val="left" w:pos="1465"/>
        </w:tabs>
        <w:ind w:left="1465" w:hanging="545"/>
      </w:pPr>
      <w:bookmarkStart w:id="253" w:name="7.7.1_Comparativa_con_el_costo_de_capita"/>
      <w:bookmarkStart w:id="254" w:name="h.siqhcijoa3cy"/>
      <w:bookmarkEnd w:id="253"/>
      <w:bookmarkEnd w:id="254"/>
      <w:r>
        <w:t>Comparativa</w:t>
      </w:r>
      <w:r>
        <w:rPr>
          <w:spacing w:val="-7"/>
        </w:rPr>
        <w:t xml:space="preserve"> </w:t>
      </w:r>
      <w:r>
        <w:t>con</w:t>
      </w:r>
      <w:r>
        <w:rPr>
          <w:spacing w:val="-5"/>
        </w:rPr>
        <w:t xml:space="preserve"> </w:t>
      </w:r>
      <w:r>
        <w:t>el</w:t>
      </w:r>
      <w:r>
        <w:rPr>
          <w:spacing w:val="-4"/>
        </w:rPr>
        <w:t xml:space="preserve"> </w:t>
      </w:r>
      <w:r>
        <w:t>costo</w:t>
      </w:r>
      <w:r>
        <w:rPr>
          <w:spacing w:val="-5"/>
        </w:rPr>
        <w:t xml:space="preserve"> </w:t>
      </w:r>
      <w:r>
        <w:t>de</w:t>
      </w:r>
      <w:r>
        <w:rPr>
          <w:spacing w:val="-4"/>
        </w:rPr>
        <w:t xml:space="preserve"> </w:t>
      </w:r>
      <w:r>
        <w:rPr>
          <w:spacing w:val="-2"/>
        </w:rPr>
        <w:t>capital</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2" w:firstLine="720"/>
        <w:jc w:val="both"/>
      </w:pPr>
      <w:r>
        <w:t>Dado que en todos los escenarios analizados</w:t>
      </w:r>
      <w:r>
        <w:rPr>
          <w:spacing w:val="-4"/>
        </w:rPr>
        <w:t xml:space="preserve"> </w:t>
      </w:r>
      <w:r>
        <w:t>la</w:t>
      </w:r>
      <w:r>
        <w:rPr>
          <w:spacing w:val="-4"/>
        </w:rPr>
        <w:t xml:space="preserve"> </w:t>
      </w:r>
      <w:r>
        <w:t>Tasa</w:t>
      </w:r>
      <w:r>
        <w:rPr>
          <w:spacing w:val="-4"/>
        </w:rPr>
        <w:t xml:space="preserve"> </w:t>
      </w:r>
      <w:r>
        <w:t>Interna</w:t>
      </w:r>
      <w:r>
        <w:rPr>
          <w:spacing w:val="-4"/>
        </w:rPr>
        <w:t xml:space="preserve"> </w:t>
      </w:r>
      <w:r>
        <w:t>de</w:t>
      </w:r>
      <w:r>
        <w:rPr>
          <w:spacing w:val="-4"/>
        </w:rPr>
        <w:t xml:space="preserve"> </w:t>
      </w:r>
      <w:r>
        <w:t>Retorno</w:t>
      </w:r>
      <w:r>
        <w:rPr>
          <w:spacing w:val="-4"/>
        </w:rPr>
        <w:t xml:space="preserve"> </w:t>
      </w:r>
      <w:r>
        <w:t>(TIR)</w:t>
      </w:r>
      <w:r>
        <w:rPr>
          <w:spacing w:val="-4"/>
        </w:rPr>
        <w:t xml:space="preserve"> </w:t>
      </w:r>
      <w:r>
        <w:t>es superior al costo de capital ponderado (WACC) estimado en 12%, el proyecto resulta financieramente aceptable bajo los criterios estándar de valoración de inversiones. Esta diferencia constituye el principal indicador de creación de valor.</w:t>
      </w:r>
    </w:p>
    <w:p w:rsidR="009B4BB4" w:rsidRDefault="00C44001">
      <w:pPr>
        <w:pStyle w:val="Textoindependiente"/>
        <w:spacing w:line="360" w:lineRule="auto"/>
        <w:ind w:left="425" w:right="612" w:firstLine="720"/>
        <w:jc w:val="both"/>
      </w:pPr>
      <w:r>
        <w:t>La comparación</w:t>
      </w:r>
      <w:r>
        <w:t xml:space="preserve"> entre escenarios refuerza la solidez del modelo. En el escenario base,</w:t>
      </w:r>
      <w:r>
        <w:rPr>
          <w:spacing w:val="27"/>
        </w:rPr>
        <w:t xml:space="preserve"> </w:t>
      </w:r>
      <w:r>
        <w:t>el</w:t>
      </w:r>
      <w:r>
        <w:rPr>
          <w:spacing w:val="27"/>
        </w:rPr>
        <w:t xml:space="preserve"> </w:t>
      </w:r>
      <w:r>
        <w:t>diferencial</w:t>
      </w:r>
      <w:r>
        <w:rPr>
          <w:spacing w:val="27"/>
        </w:rPr>
        <w:t xml:space="preserve"> </w:t>
      </w:r>
      <w:r>
        <w:t>entre el retorno del proyecto (92%) y el costo de los recursos (12%)</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9"/>
        <w:jc w:val="both"/>
      </w:pPr>
      <w:proofErr w:type="gramStart"/>
      <w:r>
        <w:lastRenderedPageBreak/>
        <w:t>alcanza</w:t>
      </w:r>
      <w:proofErr w:type="gramEnd"/>
      <w:r>
        <w:t xml:space="preserve"> 80 puntos porcentuales, lo que justifica el riesgo de ejecución propio de </w:t>
      </w:r>
      <w:r>
        <w:t>un emprendimiento de nicho y otorga una amplia capacidad de reinversión. En</w:t>
      </w:r>
      <w:r>
        <w:rPr>
          <w:spacing w:val="-3"/>
        </w:rPr>
        <w:t xml:space="preserve"> </w:t>
      </w:r>
      <w:r>
        <w:t>el</w:t>
      </w:r>
      <w:r>
        <w:rPr>
          <w:spacing w:val="-3"/>
        </w:rPr>
        <w:t xml:space="preserve"> </w:t>
      </w:r>
      <w:r>
        <w:t>escenario pesimista, aun cuando la TIR se reduce al 18%, el rendimiento se mantiene por encima del WACC, preservando la generación de valor.</w:t>
      </w:r>
    </w:p>
    <w:p w:rsidR="009B4BB4" w:rsidRDefault="00C44001">
      <w:pPr>
        <w:pStyle w:val="Textoindependiente"/>
        <w:spacing w:line="360" w:lineRule="auto"/>
        <w:ind w:left="425" w:right="604" w:firstLine="720"/>
        <w:jc w:val="both"/>
      </w:pPr>
      <w:r>
        <w:t>Estos resultados muestran que, inclu</w:t>
      </w:r>
      <w:r>
        <w:t>so bajo condiciones adversas, Guardiana mantiene la capacidad de cubrir sus costos financieros, proteger el capital invertido y generar retornos positivos sin destruir valor económico.</w:t>
      </w:r>
    </w:p>
    <w:p w:rsidR="009B4BB4" w:rsidRDefault="00C44001">
      <w:pPr>
        <w:pStyle w:val="Textoindependiente"/>
        <w:spacing w:line="360" w:lineRule="auto"/>
        <w:ind w:left="425" w:right="608" w:firstLine="720"/>
        <w:jc w:val="both"/>
      </w:pPr>
      <w:r>
        <w:t>Es importante precisar que la TIR del 92% en el escenario</w:t>
      </w:r>
      <w:r>
        <w:rPr>
          <w:spacing w:val="-3"/>
        </w:rPr>
        <w:t xml:space="preserve"> </w:t>
      </w:r>
      <w:r>
        <w:t>base</w:t>
      </w:r>
      <w:r>
        <w:rPr>
          <w:spacing w:val="-3"/>
        </w:rPr>
        <w:t xml:space="preserve"> </w:t>
      </w:r>
      <w:r>
        <w:t>es</w:t>
      </w:r>
      <w:r>
        <w:rPr>
          <w:spacing w:val="-3"/>
        </w:rPr>
        <w:t xml:space="preserve"> </w:t>
      </w:r>
      <w:r>
        <w:t>carac</w:t>
      </w:r>
      <w:r>
        <w:t>terística de</w:t>
      </w:r>
      <w:r>
        <w:rPr>
          <w:spacing w:val="-4"/>
        </w:rPr>
        <w:t xml:space="preserve"> </w:t>
      </w:r>
      <w:r>
        <w:t>modelos</w:t>
      </w:r>
      <w:r>
        <w:rPr>
          <w:spacing w:val="-4"/>
        </w:rPr>
        <w:t xml:space="preserve"> </w:t>
      </w:r>
      <w:r>
        <w:t>asset-light</w:t>
      </w:r>
      <w:r>
        <w:rPr>
          <w:spacing w:val="-4"/>
        </w:rPr>
        <w:t xml:space="preserve"> </w:t>
      </w:r>
      <w:r>
        <w:t>en</w:t>
      </w:r>
      <w:r>
        <w:rPr>
          <w:spacing w:val="-4"/>
        </w:rPr>
        <w:t xml:space="preserve"> </w:t>
      </w:r>
      <w:r>
        <w:t>etapas</w:t>
      </w:r>
      <w:r>
        <w:rPr>
          <w:spacing w:val="-4"/>
        </w:rPr>
        <w:t xml:space="preserve"> </w:t>
      </w:r>
      <w:r>
        <w:t>tempranas,</w:t>
      </w:r>
      <w:r>
        <w:rPr>
          <w:spacing w:val="-4"/>
        </w:rPr>
        <w:t xml:space="preserve"> </w:t>
      </w:r>
      <w:r>
        <w:t>donde</w:t>
      </w:r>
      <w:r>
        <w:rPr>
          <w:spacing w:val="-4"/>
        </w:rPr>
        <w:t xml:space="preserve"> </w:t>
      </w:r>
      <w:r>
        <w:t>una</w:t>
      </w:r>
      <w:r>
        <w:rPr>
          <w:spacing w:val="-4"/>
        </w:rPr>
        <w:t xml:space="preserve"> </w:t>
      </w:r>
      <w:r>
        <w:t>inversión</w:t>
      </w:r>
      <w:r>
        <w:rPr>
          <w:spacing w:val="-4"/>
        </w:rPr>
        <w:t xml:space="preserve"> </w:t>
      </w:r>
      <w:r>
        <w:t>inicial</w:t>
      </w:r>
      <w:r>
        <w:rPr>
          <w:spacing w:val="-4"/>
        </w:rPr>
        <w:t xml:space="preserve"> </w:t>
      </w:r>
      <w:r>
        <w:t>reducida</w:t>
      </w:r>
      <w:r>
        <w:rPr>
          <w:spacing w:val="-4"/>
        </w:rPr>
        <w:t xml:space="preserve"> </w:t>
      </w:r>
      <w:r>
        <w:t>($7,650 USD) amplifica la relación entre capital invertido y flujos proyectados. No obstante, este indicador no incorpora dos factores relevantes en un emprendimient</w:t>
      </w:r>
      <w:r>
        <w:t>o unipersonal: el costo de oportunidad del tiempo del fundador y la curva de aprendizaje operativa propia de la etapa de validación.</w:t>
      </w:r>
    </w:p>
    <w:p w:rsidR="009B4BB4" w:rsidRDefault="00C44001">
      <w:pPr>
        <w:pStyle w:val="Textoindependiente"/>
        <w:spacing w:line="360" w:lineRule="auto"/>
        <w:ind w:left="425" w:right="609" w:firstLine="720"/>
        <w:jc w:val="both"/>
      </w:pPr>
      <w:r>
        <w:t>Al considerar un retiro mensual del emprendedor de $600 USD y una tasa de merma operativa del 5%, la TIR ajustada se ubica en un rango de 45% a 55%. Aunque más conservador, este nivel de retorno sigue superando ampliamente el</w:t>
      </w:r>
      <w:r>
        <w:rPr>
          <w:spacing w:val="-4"/>
        </w:rPr>
        <w:t xml:space="preserve"> </w:t>
      </w:r>
      <w:r>
        <w:t>costo</w:t>
      </w:r>
      <w:r>
        <w:rPr>
          <w:spacing w:val="-4"/>
        </w:rPr>
        <w:t xml:space="preserve"> </w:t>
      </w:r>
      <w:r>
        <w:t>de</w:t>
      </w:r>
      <w:r>
        <w:rPr>
          <w:spacing w:val="-4"/>
        </w:rPr>
        <w:t xml:space="preserve"> </w:t>
      </w:r>
      <w:r>
        <w:t>capital del 12%, lo q</w:t>
      </w:r>
      <w:r>
        <w:t>ue confirma la solidez del modelo bajo supuestos más realistas.</w:t>
      </w:r>
    </w:p>
    <w:p w:rsidR="009B4BB4" w:rsidRDefault="00C44001" w:rsidP="00C44001">
      <w:pPr>
        <w:pStyle w:val="Ttulo2"/>
        <w:numPr>
          <w:ilvl w:val="2"/>
          <w:numId w:val="6"/>
        </w:numPr>
        <w:tabs>
          <w:tab w:val="left" w:pos="1465"/>
        </w:tabs>
        <w:ind w:left="1465" w:hanging="545"/>
      </w:pPr>
      <w:bookmarkStart w:id="255" w:name="7.7.2_Estrategia_de_salida_y_validación_"/>
      <w:bookmarkStart w:id="256" w:name="h.a3fxkcuvzgyk"/>
      <w:bookmarkEnd w:id="255"/>
      <w:bookmarkEnd w:id="256"/>
      <w:r>
        <w:t>Estrategia</w:t>
      </w:r>
      <w:r>
        <w:rPr>
          <w:spacing w:val="-6"/>
        </w:rPr>
        <w:t xml:space="preserve"> </w:t>
      </w:r>
      <w:r>
        <w:t>de</w:t>
      </w:r>
      <w:r>
        <w:rPr>
          <w:spacing w:val="-5"/>
        </w:rPr>
        <w:t xml:space="preserve"> </w:t>
      </w:r>
      <w:r>
        <w:t>salida</w:t>
      </w:r>
      <w:r>
        <w:rPr>
          <w:spacing w:val="-5"/>
        </w:rPr>
        <w:t xml:space="preserve"> </w:t>
      </w:r>
      <w:r>
        <w:t>y</w:t>
      </w:r>
      <w:r>
        <w:rPr>
          <w:spacing w:val="-6"/>
        </w:rPr>
        <w:t xml:space="preserve"> </w:t>
      </w:r>
      <w:r>
        <w:t>validación</w:t>
      </w:r>
      <w:r>
        <w:rPr>
          <w:spacing w:val="-5"/>
        </w:rPr>
        <w:t xml:space="preserve"> </w:t>
      </w:r>
      <w:r>
        <w:t>del</w:t>
      </w:r>
      <w:r>
        <w:rPr>
          <w:spacing w:val="-5"/>
        </w:rPr>
        <w:t xml:space="preserve"> </w:t>
      </w:r>
      <w:r>
        <w:t>valor</w:t>
      </w:r>
      <w:r>
        <w:rPr>
          <w:spacing w:val="-5"/>
        </w:rPr>
        <w:t xml:space="preserve"> </w:t>
      </w:r>
      <w:r>
        <w:rPr>
          <w:spacing w:val="-2"/>
        </w:rPr>
        <w:t>terminal</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5" w:firstLine="720"/>
        <w:jc w:val="both"/>
      </w:pPr>
      <w:r>
        <w:t>La proyección financiera de Guardiana contempla tanto la generación de flujos operativos como la creación de un activo estratégico capital</w:t>
      </w:r>
      <w:r>
        <w:t>izable en el largo plazo. El proyecto se alinea con las tendencias globales reportadas en el EY Future Consumer Index (2023), donde se señala que el 44% de los consumidores prioriza alternativas sostenibles y un 32% está dispuesto a pagar un sobreprecio po</w:t>
      </w:r>
      <w:r>
        <w:t>r productos que</w:t>
      </w:r>
      <w:r>
        <w:rPr>
          <w:spacing w:val="40"/>
        </w:rPr>
        <w:t xml:space="preserve"> </w:t>
      </w:r>
      <w:r>
        <w:t>certifiquen dicho impacto.</w:t>
      </w:r>
    </w:p>
    <w:p w:rsidR="009B4BB4" w:rsidRDefault="00C44001">
      <w:pPr>
        <w:pStyle w:val="Ttulo1"/>
        <w:spacing w:before="240"/>
        <w:ind w:left="425"/>
        <w:jc w:val="both"/>
      </w:pPr>
      <w:r>
        <w:t>Escenarios</w:t>
      </w:r>
      <w:r>
        <w:rPr>
          <w:spacing w:val="-6"/>
        </w:rPr>
        <w:t xml:space="preserve"> </w:t>
      </w:r>
      <w:r>
        <w:t>de</w:t>
      </w:r>
      <w:r>
        <w:rPr>
          <w:spacing w:val="-6"/>
        </w:rPr>
        <w:t xml:space="preserve"> </w:t>
      </w:r>
      <w:r>
        <w:t>salida</w:t>
      </w:r>
      <w:r>
        <w:rPr>
          <w:spacing w:val="-6"/>
        </w:rPr>
        <w:t xml:space="preserve"> </w:t>
      </w:r>
      <w:r>
        <w:rPr>
          <w:spacing w:val="-2"/>
        </w:rPr>
        <w:t>potenciales</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8" w:firstLine="720"/>
        <w:jc w:val="both"/>
      </w:pPr>
      <w:r>
        <w:t>La proyección financiera de Guardiana contempla tanto la generación de flujos operativos como la creación de un activo estratégico capitalizable en el largo plazo. El proyecto</w:t>
      </w:r>
      <w:r>
        <w:rPr>
          <w:spacing w:val="40"/>
        </w:rPr>
        <w:t xml:space="preserve"> </w:t>
      </w:r>
      <w:r>
        <w:t>se</w:t>
      </w:r>
      <w:r>
        <w:rPr>
          <w:spacing w:val="40"/>
        </w:rPr>
        <w:t xml:space="preserve"> </w:t>
      </w:r>
      <w:r>
        <w:t>alinea</w:t>
      </w:r>
      <w:r>
        <w:rPr>
          <w:spacing w:val="40"/>
        </w:rPr>
        <w:t xml:space="preserve"> </w:t>
      </w:r>
      <w:r>
        <w:t>con</w:t>
      </w:r>
      <w:r>
        <w:rPr>
          <w:spacing w:val="40"/>
        </w:rPr>
        <w:t xml:space="preserve"> </w:t>
      </w:r>
      <w:r>
        <w:t>las</w:t>
      </w:r>
      <w:r>
        <w:rPr>
          <w:spacing w:val="40"/>
        </w:rPr>
        <w:t xml:space="preserve"> </w:t>
      </w:r>
      <w:r>
        <w:t>tendencias</w:t>
      </w:r>
      <w:r>
        <w:rPr>
          <w:spacing w:val="26"/>
        </w:rPr>
        <w:t xml:space="preserve"> </w:t>
      </w:r>
      <w:r>
        <w:t>globales</w:t>
      </w:r>
      <w:r>
        <w:rPr>
          <w:spacing w:val="26"/>
        </w:rPr>
        <w:t xml:space="preserve"> </w:t>
      </w:r>
      <w:r>
        <w:t>reportadas</w:t>
      </w:r>
      <w:r>
        <w:rPr>
          <w:spacing w:val="26"/>
        </w:rPr>
        <w:t xml:space="preserve"> </w:t>
      </w:r>
      <w:r>
        <w:t>en</w:t>
      </w:r>
      <w:r>
        <w:rPr>
          <w:spacing w:val="26"/>
        </w:rPr>
        <w:t xml:space="preserve"> </w:t>
      </w:r>
      <w:r>
        <w:t>el</w:t>
      </w:r>
      <w:r>
        <w:rPr>
          <w:spacing w:val="26"/>
        </w:rPr>
        <w:t xml:space="preserve"> </w:t>
      </w:r>
      <w:r>
        <w:t>EY</w:t>
      </w:r>
      <w:r>
        <w:rPr>
          <w:spacing w:val="26"/>
        </w:rPr>
        <w:t xml:space="preserve"> </w:t>
      </w:r>
      <w:r>
        <w:t>Future</w:t>
      </w:r>
      <w:r>
        <w:rPr>
          <w:spacing w:val="26"/>
        </w:rPr>
        <w:t xml:space="preserve"> </w:t>
      </w:r>
      <w:r>
        <w:t>Consumer</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71"/>
      </w:pPr>
      <w:r>
        <w:lastRenderedPageBreak/>
        <w:t>Index</w:t>
      </w:r>
      <w:r>
        <w:rPr>
          <w:spacing w:val="40"/>
        </w:rPr>
        <w:t xml:space="preserve"> </w:t>
      </w:r>
      <w:r>
        <w:t>(2023), donde el 44% de los consumidores prioriza alternativas sostenibles y un</w:t>
      </w:r>
      <w:r>
        <w:rPr>
          <w:spacing w:val="80"/>
        </w:rPr>
        <w:t xml:space="preserve"> </w:t>
      </w:r>
      <w:r>
        <w:t>32% está dispuesto a pagar un sobreprecio por productos que certifiquen dicho imp</w:t>
      </w:r>
      <w:r>
        <w:t>acto.</w:t>
      </w:r>
    </w:p>
    <w:p w:rsidR="009B4BB4" w:rsidRDefault="00C44001">
      <w:pPr>
        <w:pStyle w:val="Ttulo1"/>
        <w:spacing w:before="240"/>
        <w:ind w:left="425"/>
      </w:pPr>
      <w:r>
        <w:t>Escenarios</w:t>
      </w:r>
      <w:r>
        <w:rPr>
          <w:spacing w:val="-6"/>
        </w:rPr>
        <w:t xml:space="preserve"> </w:t>
      </w:r>
      <w:r>
        <w:t>de</w:t>
      </w:r>
      <w:r>
        <w:rPr>
          <w:spacing w:val="-6"/>
        </w:rPr>
        <w:t xml:space="preserve"> </w:t>
      </w:r>
      <w:r>
        <w:t>salida</w:t>
      </w:r>
      <w:r>
        <w:rPr>
          <w:spacing w:val="-6"/>
        </w:rPr>
        <w:t xml:space="preserve"> </w:t>
      </w:r>
      <w:r>
        <w:rPr>
          <w:spacing w:val="-2"/>
        </w:rPr>
        <w:t>potenciales</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14" w:firstLine="720"/>
        <w:jc w:val="both"/>
      </w:pPr>
      <w:r>
        <w:t xml:space="preserve">Dada la naturaleza boutique del proyecto y el respaldo científico de las propiedades de la miel </w:t>
      </w:r>
      <w:r>
        <w:rPr>
          <w:rFonts w:ascii="Arial" w:hAnsi="Arial"/>
          <w:i/>
        </w:rPr>
        <w:t>Melipona beecheii</w:t>
      </w:r>
      <w:r>
        <w:t xml:space="preserve">, como su acidez y actividad antimicrobiana distintiva (Ortiz Reyes et al., 2022), se identifican tres </w:t>
      </w:r>
      <w:r>
        <w:t>rutas de capitalización:</w:t>
      </w:r>
    </w:p>
    <w:p w:rsidR="009B4BB4" w:rsidRDefault="00C44001" w:rsidP="00C44001">
      <w:pPr>
        <w:pStyle w:val="Prrafodelista"/>
        <w:numPr>
          <w:ilvl w:val="0"/>
          <w:numId w:val="5"/>
        </w:numPr>
        <w:tabs>
          <w:tab w:val="left" w:pos="1143"/>
          <w:tab w:val="left" w:pos="1145"/>
        </w:tabs>
        <w:spacing w:line="360" w:lineRule="auto"/>
        <w:ind w:right="604"/>
        <w:jc w:val="both"/>
      </w:pPr>
      <w:r>
        <w:rPr>
          <w:rFonts w:ascii="Arial" w:hAnsi="Arial"/>
          <w:b/>
        </w:rPr>
        <w:t xml:space="preserve">Adquisición por conglomerados de bienestar: </w:t>
      </w:r>
      <w:r>
        <w:t>Representa el escenario de mayor valorización. Fondos de inversión y grupos corporativos buscan marcas</w:t>
      </w:r>
      <w:r>
        <w:rPr>
          <w:spacing w:val="40"/>
        </w:rPr>
        <w:t xml:space="preserve"> </w:t>
      </w:r>
      <w:r>
        <w:t xml:space="preserve">con diferenciación clara en el sector wellness. Un referente es la adquisición de </w:t>
      </w:r>
      <w:r>
        <w:rPr>
          <w:rFonts w:ascii="Arial" w:hAnsi="Arial"/>
          <w:i/>
        </w:rPr>
        <w:t xml:space="preserve">Manuka Health New Zealand </w:t>
      </w:r>
      <w:r>
        <w:t xml:space="preserve">por parte de </w:t>
      </w:r>
      <w:r>
        <w:rPr>
          <w:rFonts w:ascii="Arial" w:hAnsi="Arial"/>
          <w:i/>
        </w:rPr>
        <w:t xml:space="preserve">Guoco Group </w:t>
      </w:r>
      <w:r>
        <w:t xml:space="preserve">en 2018, que valida el interés del capital global por activos con respaldo científico y denominación de origen. De forma similar, la compra de </w:t>
      </w:r>
      <w:r>
        <w:rPr>
          <w:rFonts w:ascii="Arial" w:hAnsi="Arial"/>
          <w:i/>
        </w:rPr>
        <w:t xml:space="preserve">Capilano Honey </w:t>
      </w:r>
      <w:r>
        <w:t xml:space="preserve">por </w:t>
      </w:r>
      <w:r>
        <w:rPr>
          <w:rFonts w:ascii="Arial" w:hAnsi="Arial"/>
          <w:i/>
        </w:rPr>
        <w:t xml:space="preserve">Wattle Hill Capital </w:t>
      </w:r>
      <w:r>
        <w:t>evidencia el apetito po</w:t>
      </w:r>
      <w:r>
        <w:t xml:space="preserve">r marcas de miel </w:t>
      </w:r>
      <w:r>
        <w:rPr>
          <w:rFonts w:ascii="Arial" w:hAnsi="Arial"/>
          <w:i/>
        </w:rPr>
        <w:t xml:space="preserve">premium </w:t>
      </w:r>
      <w:r>
        <w:t>con potencial de exportación.</w:t>
      </w:r>
    </w:p>
    <w:p w:rsidR="009B4BB4" w:rsidRDefault="00C44001" w:rsidP="00C44001">
      <w:pPr>
        <w:pStyle w:val="Prrafodelista"/>
        <w:numPr>
          <w:ilvl w:val="0"/>
          <w:numId w:val="5"/>
        </w:numPr>
        <w:tabs>
          <w:tab w:val="left" w:pos="1143"/>
          <w:tab w:val="left" w:pos="1145"/>
        </w:tabs>
        <w:spacing w:line="360" w:lineRule="auto"/>
        <w:ind w:right="608"/>
        <w:jc w:val="both"/>
      </w:pPr>
      <w:r>
        <w:rPr>
          <w:rFonts w:ascii="Arial" w:hAnsi="Arial"/>
          <w:b/>
        </w:rPr>
        <w:t xml:space="preserve">Ingreso de capital semilla de impacto: </w:t>
      </w:r>
      <w:r>
        <w:t>Bajo el enfoque</w:t>
      </w:r>
      <w:r>
        <w:rPr>
          <w:spacing w:val="-4"/>
        </w:rPr>
        <w:t xml:space="preserve"> </w:t>
      </w:r>
      <w:r>
        <w:t>de</w:t>
      </w:r>
      <w:r>
        <w:rPr>
          <w:spacing w:val="-4"/>
        </w:rPr>
        <w:t xml:space="preserve"> </w:t>
      </w:r>
      <w:r>
        <w:rPr>
          <w:rFonts w:ascii="Arial" w:hAnsi="Arial"/>
          <w:i/>
        </w:rPr>
        <w:t>venture</w:t>
      </w:r>
      <w:r>
        <w:rPr>
          <w:rFonts w:ascii="Arial" w:hAnsi="Arial"/>
          <w:i/>
          <w:spacing w:val="-4"/>
        </w:rPr>
        <w:t xml:space="preserve"> </w:t>
      </w:r>
      <w:r>
        <w:rPr>
          <w:rFonts w:ascii="Arial" w:hAnsi="Arial"/>
          <w:i/>
        </w:rPr>
        <w:t xml:space="preserve">philanthropy </w:t>
      </w:r>
      <w:r>
        <w:t>(Letts et al., 1997), esta ruta permite acceder a capital paciente acompañado de capacidades estratégicas.</w:t>
      </w:r>
      <w:r>
        <w:rPr>
          <w:spacing w:val="-5"/>
        </w:rPr>
        <w:t xml:space="preserve"> </w:t>
      </w:r>
      <w:r>
        <w:t>Facilita</w:t>
      </w:r>
      <w:r>
        <w:rPr>
          <w:spacing w:val="-5"/>
        </w:rPr>
        <w:t xml:space="preserve"> </w:t>
      </w:r>
      <w:r>
        <w:t>la</w:t>
      </w:r>
      <w:r>
        <w:rPr>
          <w:spacing w:val="-5"/>
        </w:rPr>
        <w:t xml:space="preserve"> </w:t>
      </w:r>
      <w:r>
        <w:t>obtención</w:t>
      </w:r>
      <w:r>
        <w:rPr>
          <w:spacing w:val="-5"/>
        </w:rPr>
        <w:t xml:space="preserve"> </w:t>
      </w:r>
      <w:r>
        <w:t>de</w:t>
      </w:r>
      <w:r>
        <w:rPr>
          <w:spacing w:val="-5"/>
        </w:rPr>
        <w:t xml:space="preserve"> </w:t>
      </w:r>
      <w:r>
        <w:t>certificaciones</w:t>
      </w:r>
      <w:r>
        <w:rPr>
          <w:spacing w:val="-5"/>
        </w:rPr>
        <w:t xml:space="preserve"> </w:t>
      </w:r>
      <w:r>
        <w:t>internacionales</w:t>
      </w:r>
      <w:r>
        <w:rPr>
          <w:spacing w:val="-5"/>
        </w:rPr>
        <w:t xml:space="preserve"> </w:t>
      </w:r>
      <w:r>
        <w:t>y la expansión del canal digital global, manteniendo el control local y evitando la presión de crecimiento acelerado propia del capital tradicional.</w:t>
      </w:r>
    </w:p>
    <w:p w:rsidR="009B4BB4" w:rsidRDefault="00C44001" w:rsidP="00C44001">
      <w:pPr>
        <w:pStyle w:val="Prrafodelista"/>
        <w:numPr>
          <w:ilvl w:val="0"/>
          <w:numId w:val="5"/>
        </w:numPr>
        <w:tabs>
          <w:tab w:val="left" w:pos="1143"/>
          <w:tab w:val="left" w:pos="1145"/>
        </w:tabs>
        <w:spacing w:line="360" w:lineRule="auto"/>
        <w:ind w:right="603"/>
        <w:jc w:val="both"/>
      </w:pPr>
      <w:r>
        <w:rPr>
          <w:rFonts w:ascii="Arial" w:hAnsi="Arial"/>
          <w:b/>
        </w:rPr>
        <w:t>Integración con cooperativas regionales de apicultura medicina</w:t>
      </w:r>
      <w:r>
        <w:rPr>
          <w:rFonts w:ascii="Arial" w:hAnsi="Arial"/>
          <w:b/>
        </w:rPr>
        <w:t xml:space="preserve">l: </w:t>
      </w:r>
      <w:r>
        <w:t>Esta alternativa plantea la consolidación con redes</w:t>
      </w:r>
      <w:r>
        <w:rPr>
          <w:spacing w:val="-4"/>
        </w:rPr>
        <w:t xml:space="preserve"> </w:t>
      </w:r>
      <w:r>
        <w:t>de</w:t>
      </w:r>
      <w:r>
        <w:rPr>
          <w:spacing w:val="-4"/>
        </w:rPr>
        <w:t xml:space="preserve"> </w:t>
      </w:r>
      <w:r>
        <w:t>meliponicultores</w:t>
      </w:r>
      <w:r>
        <w:rPr>
          <w:spacing w:val="-4"/>
        </w:rPr>
        <w:t xml:space="preserve"> </w:t>
      </w:r>
      <w:r>
        <w:t>bajo</w:t>
      </w:r>
      <w:r>
        <w:rPr>
          <w:spacing w:val="-4"/>
        </w:rPr>
        <w:t xml:space="preserve"> </w:t>
      </w:r>
      <w:r>
        <w:t>esquemas de comercio justo. El objetivo no es escalar mediante industrialización, sino fortalecer la eficiencia logística y reducir costos operativos, asegurando la sostenibili</w:t>
      </w:r>
      <w:r>
        <w:t>dad del recurso y la replicabilidad del impacto en nuevas comunidades.</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rPr>
          <w:spacing w:val="-2"/>
        </w:rPr>
        <w:lastRenderedPageBreak/>
        <w:t>Tabla</w:t>
      </w:r>
      <w:r>
        <w:rPr>
          <w:spacing w:val="-13"/>
        </w:rPr>
        <w:t xml:space="preserve"> </w:t>
      </w:r>
      <w:r>
        <w:rPr>
          <w:spacing w:val="-4"/>
        </w:rPr>
        <w:t>7.18</w:t>
      </w:r>
    </w:p>
    <w:p w:rsidR="009B4BB4" w:rsidRDefault="00C44001">
      <w:pPr>
        <w:spacing w:before="127"/>
        <w:ind w:left="455"/>
        <w:rPr>
          <w:rFonts w:ascii="Arial" w:hAnsi="Arial"/>
          <w:i/>
        </w:rPr>
      </w:pPr>
      <w:r>
        <w:rPr>
          <w:rFonts w:ascii="Arial" w:hAnsi="Arial"/>
          <w:i/>
        </w:rPr>
        <w:t>Resumen</w:t>
      </w:r>
      <w:r>
        <w:rPr>
          <w:rFonts w:ascii="Arial" w:hAnsi="Arial"/>
          <w:i/>
          <w:spacing w:val="-8"/>
        </w:rPr>
        <w:t xml:space="preserve"> </w:t>
      </w:r>
      <w:r>
        <w:rPr>
          <w:rFonts w:ascii="Arial" w:hAnsi="Arial"/>
          <w:i/>
        </w:rPr>
        <w:t>de</w:t>
      </w:r>
      <w:r>
        <w:rPr>
          <w:rFonts w:ascii="Arial" w:hAnsi="Arial"/>
          <w:i/>
          <w:spacing w:val="-5"/>
        </w:rPr>
        <w:t xml:space="preserve"> </w:t>
      </w:r>
      <w:r>
        <w:rPr>
          <w:rFonts w:ascii="Arial" w:hAnsi="Arial"/>
          <w:i/>
        </w:rPr>
        <w:t>rutas</w:t>
      </w:r>
      <w:r>
        <w:rPr>
          <w:rFonts w:ascii="Arial" w:hAnsi="Arial"/>
          <w:i/>
          <w:spacing w:val="-5"/>
        </w:rPr>
        <w:t xml:space="preserve"> </w:t>
      </w:r>
      <w:r>
        <w:rPr>
          <w:rFonts w:ascii="Arial" w:hAnsi="Arial"/>
          <w:i/>
        </w:rPr>
        <w:t>de</w:t>
      </w:r>
      <w:r>
        <w:rPr>
          <w:rFonts w:ascii="Arial" w:hAnsi="Arial"/>
          <w:i/>
          <w:spacing w:val="-6"/>
        </w:rPr>
        <w:t xml:space="preserve"> </w:t>
      </w:r>
      <w:r>
        <w:rPr>
          <w:rFonts w:ascii="Arial" w:hAnsi="Arial"/>
          <w:i/>
        </w:rPr>
        <w:t>capitalización</w:t>
      </w:r>
      <w:r>
        <w:rPr>
          <w:rFonts w:ascii="Arial" w:hAnsi="Arial"/>
          <w:i/>
          <w:spacing w:val="-5"/>
        </w:rPr>
        <w:t xml:space="preserve"> </w:t>
      </w:r>
      <w:r>
        <w:rPr>
          <w:rFonts w:ascii="Arial" w:hAnsi="Arial"/>
          <w:i/>
        </w:rPr>
        <w:t>y</w:t>
      </w:r>
      <w:r>
        <w:rPr>
          <w:rFonts w:ascii="Arial" w:hAnsi="Arial"/>
          <w:i/>
          <w:spacing w:val="-5"/>
        </w:rPr>
        <w:t xml:space="preserve"> </w:t>
      </w:r>
      <w:r>
        <w:rPr>
          <w:rFonts w:ascii="Arial" w:hAnsi="Arial"/>
          <w:i/>
        </w:rPr>
        <w:t>salida</w:t>
      </w:r>
      <w:r>
        <w:rPr>
          <w:rFonts w:ascii="Arial" w:hAnsi="Arial"/>
          <w:i/>
          <w:spacing w:val="-5"/>
        </w:rPr>
        <w:t xml:space="preserve"> </w:t>
      </w:r>
      <w:r>
        <w:rPr>
          <w:rFonts w:ascii="Arial" w:hAnsi="Arial"/>
          <w:i/>
          <w:spacing w:val="-2"/>
        </w:rPr>
        <w:t>estratégica</w:t>
      </w:r>
    </w:p>
    <w:p w:rsidR="009B4BB4" w:rsidRDefault="009B4BB4">
      <w:pPr>
        <w:pStyle w:val="Textoindependiente"/>
        <w:spacing w:before="0"/>
        <w:rPr>
          <w:rFonts w:ascii="Arial"/>
          <w:i/>
          <w:sz w:val="20"/>
        </w:rPr>
      </w:pPr>
    </w:p>
    <w:p w:rsidR="009B4BB4" w:rsidRDefault="009B4BB4">
      <w:pPr>
        <w:pStyle w:val="Textoindependiente"/>
        <w:spacing w:before="28"/>
        <w:rPr>
          <w:rFonts w:ascii="Arial"/>
          <w:i/>
          <w:sz w:val="20"/>
        </w:rPr>
      </w:pPr>
    </w:p>
    <w:tbl>
      <w:tblPr>
        <w:tblStyle w:val="TableNormal"/>
        <w:tblW w:w="0" w:type="auto"/>
        <w:tblInd w:w="432" w:type="dxa"/>
        <w:tblLayout w:type="fixed"/>
        <w:tblLook w:val="01E0" w:firstRow="1" w:lastRow="1" w:firstColumn="1" w:lastColumn="1" w:noHBand="0" w:noVBand="0"/>
      </w:tblPr>
      <w:tblGrid>
        <w:gridCol w:w="2383"/>
        <w:gridCol w:w="3381"/>
        <w:gridCol w:w="3518"/>
      </w:tblGrid>
      <w:tr w:rsidR="009B4BB4">
        <w:trPr>
          <w:trHeight w:val="480"/>
        </w:trPr>
        <w:tc>
          <w:tcPr>
            <w:tcW w:w="2383" w:type="dxa"/>
            <w:tcBorders>
              <w:top w:val="single" w:sz="8" w:space="0" w:color="000000"/>
              <w:bottom w:val="single" w:sz="8" w:space="0" w:color="000000"/>
            </w:tcBorders>
          </w:tcPr>
          <w:p w:rsidR="009B4BB4" w:rsidRDefault="00C44001">
            <w:pPr>
              <w:pStyle w:val="TableParagraph"/>
              <w:spacing w:before="58"/>
              <w:ind w:left="75"/>
              <w:rPr>
                <w:rFonts w:ascii="Arial"/>
                <w:b/>
              </w:rPr>
            </w:pPr>
            <w:r>
              <w:rPr>
                <w:rFonts w:ascii="Arial"/>
                <w:b/>
              </w:rPr>
              <w:t>Ruta</w:t>
            </w:r>
            <w:r>
              <w:rPr>
                <w:rFonts w:ascii="Arial"/>
                <w:b/>
                <w:spacing w:val="-3"/>
              </w:rPr>
              <w:t xml:space="preserve"> </w:t>
            </w:r>
            <w:r>
              <w:rPr>
                <w:rFonts w:ascii="Arial"/>
                <w:b/>
              </w:rPr>
              <w:t>de</w:t>
            </w:r>
            <w:r>
              <w:rPr>
                <w:rFonts w:ascii="Arial"/>
                <w:b/>
                <w:spacing w:val="-3"/>
              </w:rPr>
              <w:t xml:space="preserve"> </w:t>
            </w:r>
            <w:r>
              <w:rPr>
                <w:rFonts w:ascii="Arial"/>
                <w:b/>
                <w:spacing w:val="-2"/>
              </w:rPr>
              <w:t>Salida</w:t>
            </w:r>
          </w:p>
        </w:tc>
        <w:tc>
          <w:tcPr>
            <w:tcW w:w="3381" w:type="dxa"/>
            <w:tcBorders>
              <w:top w:val="single" w:sz="8" w:space="0" w:color="000000"/>
              <w:bottom w:val="single" w:sz="8" w:space="0" w:color="000000"/>
            </w:tcBorders>
          </w:tcPr>
          <w:p w:rsidR="009B4BB4" w:rsidRDefault="00C44001">
            <w:pPr>
              <w:pStyle w:val="TableParagraph"/>
              <w:spacing w:before="58"/>
              <w:ind w:left="197"/>
              <w:rPr>
                <w:rFonts w:ascii="Arial"/>
                <w:b/>
              </w:rPr>
            </w:pPr>
            <w:r>
              <w:rPr>
                <w:rFonts w:ascii="Arial"/>
                <w:b/>
              </w:rPr>
              <w:t>Perfil</w:t>
            </w:r>
            <w:r>
              <w:rPr>
                <w:rFonts w:ascii="Arial"/>
                <w:b/>
                <w:spacing w:val="-5"/>
              </w:rPr>
              <w:t xml:space="preserve"> </w:t>
            </w:r>
            <w:r>
              <w:rPr>
                <w:rFonts w:ascii="Arial"/>
                <w:b/>
              </w:rPr>
              <w:t>del</w:t>
            </w:r>
            <w:r>
              <w:rPr>
                <w:rFonts w:ascii="Arial"/>
                <w:b/>
                <w:spacing w:val="-4"/>
              </w:rPr>
              <w:t xml:space="preserve"> </w:t>
            </w:r>
            <w:r>
              <w:rPr>
                <w:rFonts w:ascii="Arial"/>
                <w:b/>
                <w:spacing w:val="-2"/>
              </w:rPr>
              <w:t>Inversor</w:t>
            </w:r>
          </w:p>
        </w:tc>
        <w:tc>
          <w:tcPr>
            <w:tcW w:w="3518" w:type="dxa"/>
            <w:tcBorders>
              <w:top w:val="single" w:sz="8" w:space="0" w:color="000000"/>
              <w:bottom w:val="single" w:sz="8" w:space="0" w:color="000000"/>
            </w:tcBorders>
          </w:tcPr>
          <w:p w:rsidR="009B4BB4" w:rsidRDefault="00C44001">
            <w:pPr>
              <w:pStyle w:val="TableParagraph"/>
              <w:spacing w:before="58"/>
              <w:ind w:left="236"/>
              <w:rPr>
                <w:rFonts w:ascii="Arial"/>
                <w:b/>
              </w:rPr>
            </w:pPr>
            <w:r>
              <w:rPr>
                <w:rFonts w:ascii="Arial"/>
                <w:b/>
              </w:rPr>
              <w:t>Objetivo</w:t>
            </w:r>
            <w:r>
              <w:rPr>
                <w:rFonts w:ascii="Arial"/>
                <w:b/>
                <w:spacing w:val="-8"/>
              </w:rPr>
              <w:t xml:space="preserve"> </w:t>
            </w:r>
            <w:r>
              <w:rPr>
                <w:rFonts w:ascii="Arial"/>
                <w:b/>
                <w:spacing w:val="-2"/>
              </w:rPr>
              <w:t>Principal</w:t>
            </w:r>
          </w:p>
        </w:tc>
      </w:tr>
      <w:tr w:rsidR="009B4BB4">
        <w:trPr>
          <w:trHeight w:val="866"/>
        </w:trPr>
        <w:tc>
          <w:tcPr>
            <w:tcW w:w="2383" w:type="dxa"/>
            <w:tcBorders>
              <w:top w:val="single" w:sz="8" w:space="0" w:color="000000"/>
            </w:tcBorders>
          </w:tcPr>
          <w:p w:rsidR="009B4BB4" w:rsidRDefault="00C44001">
            <w:pPr>
              <w:pStyle w:val="TableParagraph"/>
              <w:spacing w:before="232"/>
              <w:ind w:left="75"/>
            </w:pPr>
            <w:r>
              <w:t>M&amp;A</w:t>
            </w:r>
            <w:r>
              <w:rPr>
                <w:spacing w:val="-3"/>
              </w:rPr>
              <w:t xml:space="preserve"> </w:t>
            </w:r>
            <w:r>
              <w:rPr>
                <w:spacing w:val="-2"/>
              </w:rPr>
              <w:t>Corporativo</w:t>
            </w:r>
          </w:p>
        </w:tc>
        <w:tc>
          <w:tcPr>
            <w:tcW w:w="3381" w:type="dxa"/>
            <w:tcBorders>
              <w:top w:val="single" w:sz="8" w:space="0" w:color="000000"/>
            </w:tcBorders>
          </w:tcPr>
          <w:p w:rsidR="009B4BB4" w:rsidRDefault="00C44001">
            <w:pPr>
              <w:pStyle w:val="TableParagraph"/>
              <w:spacing w:before="42" w:line="360" w:lineRule="auto"/>
              <w:ind w:left="167" w:firstLine="30"/>
            </w:pPr>
            <w:r>
              <w:t>Conglomerados</w:t>
            </w:r>
            <w:r>
              <w:rPr>
                <w:spacing w:val="-16"/>
              </w:rPr>
              <w:t xml:space="preserve"> </w:t>
            </w:r>
            <w:r>
              <w:t>Wellness</w:t>
            </w:r>
            <w:r>
              <w:rPr>
                <w:spacing w:val="-15"/>
              </w:rPr>
              <w:t xml:space="preserve"> </w:t>
            </w:r>
            <w:r>
              <w:t xml:space="preserve">/ </w:t>
            </w:r>
            <w:r>
              <w:rPr>
                <w:spacing w:val="-2"/>
              </w:rPr>
              <w:t>Alimentos</w:t>
            </w:r>
          </w:p>
        </w:tc>
        <w:tc>
          <w:tcPr>
            <w:tcW w:w="3518" w:type="dxa"/>
            <w:tcBorders>
              <w:top w:val="single" w:sz="8" w:space="0" w:color="000000"/>
            </w:tcBorders>
          </w:tcPr>
          <w:p w:rsidR="009B4BB4" w:rsidRDefault="00C44001">
            <w:pPr>
              <w:pStyle w:val="TableParagraph"/>
              <w:spacing w:before="42" w:line="360" w:lineRule="auto"/>
              <w:ind w:left="161" w:firstLine="30"/>
            </w:pPr>
            <w:r>
              <w:t>Adquisición</w:t>
            </w:r>
            <w:r>
              <w:rPr>
                <w:spacing w:val="-10"/>
              </w:rPr>
              <w:t xml:space="preserve"> </w:t>
            </w:r>
            <w:r>
              <w:t>de</w:t>
            </w:r>
            <w:r>
              <w:rPr>
                <w:spacing w:val="-10"/>
              </w:rPr>
              <w:t xml:space="preserve"> </w:t>
            </w:r>
            <w:r>
              <w:t>marca</w:t>
            </w:r>
            <w:r>
              <w:rPr>
                <w:spacing w:val="-10"/>
              </w:rPr>
              <w:t xml:space="preserve"> </w:t>
            </w:r>
            <w:r>
              <w:t>y</w:t>
            </w:r>
            <w:r>
              <w:rPr>
                <w:spacing w:val="-10"/>
              </w:rPr>
              <w:t xml:space="preserve"> </w:t>
            </w:r>
            <w:r>
              <w:t xml:space="preserve">patentes </w:t>
            </w:r>
            <w:r>
              <w:rPr>
                <w:spacing w:val="-2"/>
              </w:rPr>
              <w:t>científicas.</w:t>
            </w:r>
          </w:p>
        </w:tc>
      </w:tr>
      <w:tr w:rsidR="009B4BB4">
        <w:trPr>
          <w:trHeight w:val="1009"/>
        </w:trPr>
        <w:tc>
          <w:tcPr>
            <w:tcW w:w="2383" w:type="dxa"/>
          </w:tcPr>
          <w:p w:rsidR="009B4BB4" w:rsidRDefault="009B4BB4">
            <w:pPr>
              <w:pStyle w:val="TableParagraph"/>
              <w:spacing w:before="121"/>
              <w:rPr>
                <w:rFonts w:ascii="Arial"/>
                <w:i/>
              </w:rPr>
            </w:pPr>
          </w:p>
          <w:p w:rsidR="009B4BB4" w:rsidRDefault="00C44001">
            <w:pPr>
              <w:pStyle w:val="TableParagraph"/>
              <w:ind w:left="75"/>
              <w:rPr>
                <w:rFonts w:ascii="Arial"/>
                <w:i/>
              </w:rPr>
            </w:pPr>
            <w:r>
              <w:rPr>
                <w:rFonts w:ascii="Arial"/>
                <w:i/>
              </w:rPr>
              <w:t>Impact</w:t>
            </w:r>
            <w:r>
              <w:rPr>
                <w:rFonts w:ascii="Arial"/>
                <w:i/>
                <w:spacing w:val="-6"/>
              </w:rPr>
              <w:t xml:space="preserve"> </w:t>
            </w:r>
            <w:r>
              <w:rPr>
                <w:rFonts w:ascii="Arial"/>
                <w:i/>
                <w:spacing w:val="-2"/>
              </w:rPr>
              <w:t>Investing</w:t>
            </w:r>
          </w:p>
        </w:tc>
        <w:tc>
          <w:tcPr>
            <w:tcW w:w="3381" w:type="dxa"/>
          </w:tcPr>
          <w:p w:rsidR="009B4BB4" w:rsidRDefault="00C44001">
            <w:pPr>
              <w:pStyle w:val="TableParagraph"/>
              <w:spacing w:before="185" w:line="360" w:lineRule="auto"/>
              <w:ind w:left="167" w:firstLine="30"/>
            </w:pPr>
            <w:r>
              <w:t>Redes</w:t>
            </w:r>
            <w:r>
              <w:rPr>
                <w:spacing w:val="-8"/>
              </w:rPr>
              <w:t xml:space="preserve"> </w:t>
            </w:r>
            <w:r>
              <w:t>de</w:t>
            </w:r>
            <w:r>
              <w:rPr>
                <w:spacing w:val="-8"/>
              </w:rPr>
              <w:t xml:space="preserve"> </w:t>
            </w:r>
            <w:r>
              <w:t>Ángeles</w:t>
            </w:r>
            <w:r>
              <w:rPr>
                <w:spacing w:val="-8"/>
              </w:rPr>
              <w:t xml:space="preserve"> </w:t>
            </w:r>
            <w:r>
              <w:t>/</w:t>
            </w:r>
            <w:r>
              <w:rPr>
                <w:spacing w:val="-8"/>
              </w:rPr>
              <w:t xml:space="preserve"> </w:t>
            </w:r>
            <w:r>
              <w:t>Fondos</w:t>
            </w:r>
            <w:r>
              <w:rPr>
                <w:spacing w:val="-8"/>
              </w:rPr>
              <w:t xml:space="preserve"> </w:t>
            </w:r>
            <w:r>
              <w:t xml:space="preserve">de </w:t>
            </w:r>
            <w:r>
              <w:rPr>
                <w:spacing w:val="-2"/>
              </w:rPr>
              <w:t>Impacto</w:t>
            </w:r>
          </w:p>
        </w:tc>
        <w:tc>
          <w:tcPr>
            <w:tcW w:w="3518" w:type="dxa"/>
          </w:tcPr>
          <w:p w:rsidR="009B4BB4" w:rsidRDefault="00C44001">
            <w:pPr>
              <w:pStyle w:val="TableParagraph"/>
              <w:spacing w:before="185" w:line="360" w:lineRule="auto"/>
              <w:ind w:left="161" w:firstLine="30"/>
            </w:pPr>
            <w:r>
              <w:t>Escalamiento</w:t>
            </w:r>
            <w:r>
              <w:rPr>
                <w:spacing w:val="-16"/>
              </w:rPr>
              <w:t xml:space="preserve"> </w:t>
            </w:r>
            <w:r>
              <w:t>sostenible</w:t>
            </w:r>
            <w:r>
              <w:rPr>
                <w:spacing w:val="-15"/>
              </w:rPr>
              <w:t xml:space="preserve"> </w:t>
            </w:r>
            <w:r>
              <w:t xml:space="preserve">y </w:t>
            </w:r>
            <w:r>
              <w:rPr>
                <w:spacing w:val="-2"/>
              </w:rPr>
              <w:t>certificaciones.</w:t>
            </w:r>
          </w:p>
        </w:tc>
      </w:tr>
      <w:tr w:rsidR="009B4BB4">
        <w:trPr>
          <w:trHeight w:val="983"/>
        </w:trPr>
        <w:tc>
          <w:tcPr>
            <w:tcW w:w="2383" w:type="dxa"/>
            <w:tcBorders>
              <w:bottom w:val="single" w:sz="8" w:space="0" w:color="000000"/>
            </w:tcBorders>
          </w:tcPr>
          <w:p w:rsidR="009B4BB4" w:rsidRDefault="009B4BB4">
            <w:pPr>
              <w:pStyle w:val="TableParagraph"/>
              <w:spacing w:before="121"/>
              <w:rPr>
                <w:rFonts w:ascii="Arial"/>
                <w:i/>
              </w:rPr>
            </w:pPr>
          </w:p>
          <w:p w:rsidR="009B4BB4" w:rsidRDefault="00C44001">
            <w:pPr>
              <w:pStyle w:val="TableParagraph"/>
              <w:ind w:left="75"/>
            </w:pPr>
            <w:r>
              <w:t>Integración</w:t>
            </w:r>
            <w:r>
              <w:rPr>
                <w:spacing w:val="-11"/>
              </w:rPr>
              <w:t xml:space="preserve"> </w:t>
            </w:r>
            <w:r>
              <w:rPr>
                <w:spacing w:val="-2"/>
              </w:rPr>
              <w:t>Horizontal</w:t>
            </w:r>
          </w:p>
        </w:tc>
        <w:tc>
          <w:tcPr>
            <w:tcW w:w="3381" w:type="dxa"/>
            <w:tcBorders>
              <w:bottom w:val="single" w:sz="8" w:space="0" w:color="000000"/>
            </w:tcBorders>
          </w:tcPr>
          <w:p w:rsidR="009B4BB4" w:rsidRDefault="00C44001">
            <w:pPr>
              <w:pStyle w:val="TableParagraph"/>
              <w:spacing w:before="185" w:line="360" w:lineRule="auto"/>
              <w:ind w:left="167" w:firstLine="30"/>
            </w:pPr>
            <w:r>
              <w:t>Cooperativas</w:t>
            </w:r>
            <w:r>
              <w:rPr>
                <w:spacing w:val="-13"/>
              </w:rPr>
              <w:t xml:space="preserve"> </w:t>
            </w:r>
            <w:r>
              <w:t>/</w:t>
            </w:r>
            <w:r>
              <w:rPr>
                <w:spacing w:val="-13"/>
              </w:rPr>
              <w:t xml:space="preserve"> </w:t>
            </w:r>
            <w:r>
              <w:t>Redes</w:t>
            </w:r>
            <w:r>
              <w:rPr>
                <w:spacing w:val="-13"/>
              </w:rPr>
              <w:t xml:space="preserve"> </w:t>
            </w:r>
            <w:r>
              <w:t xml:space="preserve">de </w:t>
            </w:r>
            <w:r>
              <w:rPr>
                <w:spacing w:val="-2"/>
              </w:rPr>
              <w:t>Productores</w:t>
            </w:r>
          </w:p>
        </w:tc>
        <w:tc>
          <w:tcPr>
            <w:tcW w:w="3518" w:type="dxa"/>
            <w:tcBorders>
              <w:bottom w:val="single" w:sz="8" w:space="0" w:color="000000"/>
            </w:tcBorders>
          </w:tcPr>
          <w:p w:rsidR="009B4BB4" w:rsidRDefault="00C44001">
            <w:pPr>
              <w:pStyle w:val="TableParagraph"/>
              <w:spacing w:before="185" w:line="360" w:lineRule="auto"/>
              <w:ind w:left="161" w:firstLine="30"/>
            </w:pPr>
            <w:r>
              <w:t>Eficiencia</w:t>
            </w:r>
            <w:r>
              <w:rPr>
                <w:spacing w:val="-10"/>
              </w:rPr>
              <w:t xml:space="preserve"> </w:t>
            </w:r>
            <w:r>
              <w:t>logística</w:t>
            </w:r>
            <w:r>
              <w:rPr>
                <w:spacing w:val="-10"/>
              </w:rPr>
              <w:t xml:space="preserve"> </w:t>
            </w:r>
            <w:r>
              <w:t>y</w:t>
            </w:r>
            <w:r>
              <w:rPr>
                <w:spacing w:val="-10"/>
              </w:rPr>
              <w:t xml:space="preserve"> </w:t>
            </w:r>
            <w:r>
              <w:t>blindaje</w:t>
            </w:r>
            <w:r>
              <w:rPr>
                <w:spacing w:val="-10"/>
              </w:rPr>
              <w:t xml:space="preserve"> </w:t>
            </w:r>
            <w:r>
              <w:t xml:space="preserve">de </w:t>
            </w:r>
            <w:r>
              <w:rPr>
                <w:spacing w:val="-2"/>
              </w:rPr>
              <w:t>origen.</w:t>
            </w:r>
          </w:p>
        </w:tc>
      </w:tr>
    </w:tbl>
    <w:p w:rsidR="009B4BB4" w:rsidRDefault="00C44001">
      <w:pPr>
        <w:pStyle w:val="Textoindependiente"/>
        <w:spacing w:before="242" w:line="360" w:lineRule="auto"/>
        <w:ind w:left="425" w:right="671" w:firstLine="30"/>
      </w:pPr>
      <w:r>
        <w:rPr>
          <w:rFonts w:ascii="Arial" w:hAnsi="Arial"/>
          <w:i/>
        </w:rPr>
        <w:t xml:space="preserve">Nota. </w:t>
      </w:r>
      <w:r>
        <w:t xml:space="preserve">Las rutas no son excluyentes y dependen de la consolidación del </w:t>
      </w:r>
      <w:r>
        <w:rPr>
          <w:rFonts w:ascii="Arial" w:hAnsi="Arial"/>
          <w:i/>
        </w:rPr>
        <w:t xml:space="preserve">brand equity </w:t>
      </w:r>
      <w:r>
        <w:t>en los primeros cinco años. Elaboración propia (2025).</w:t>
      </w:r>
    </w:p>
    <w:p w:rsidR="009B4BB4" w:rsidRDefault="00C44001" w:rsidP="00C44001">
      <w:pPr>
        <w:pStyle w:val="Ttulo2"/>
        <w:numPr>
          <w:ilvl w:val="2"/>
          <w:numId w:val="6"/>
        </w:numPr>
        <w:tabs>
          <w:tab w:val="left" w:pos="1465"/>
        </w:tabs>
        <w:ind w:left="1465" w:hanging="545"/>
      </w:pPr>
      <w:bookmarkStart w:id="257" w:name="7.7.3_Validación_del_Valor_Terminal_de_l"/>
      <w:bookmarkStart w:id="258" w:name="h.1zdl3ejj94i7"/>
      <w:bookmarkEnd w:id="257"/>
      <w:bookmarkEnd w:id="258"/>
      <w:r>
        <w:t>Validación</w:t>
      </w:r>
      <w:r>
        <w:rPr>
          <w:spacing w:val="-11"/>
        </w:rPr>
        <w:t xml:space="preserve"> </w:t>
      </w:r>
      <w:r>
        <w:t>del</w:t>
      </w:r>
      <w:r>
        <w:rPr>
          <w:spacing w:val="-9"/>
        </w:rPr>
        <w:t xml:space="preserve"> </w:t>
      </w:r>
      <w:r>
        <w:t>Valor</w:t>
      </w:r>
      <w:r>
        <w:rPr>
          <w:spacing w:val="-9"/>
        </w:rPr>
        <w:t xml:space="preserve"> </w:t>
      </w:r>
      <w:r>
        <w:t>Terminal</w:t>
      </w:r>
      <w:r>
        <w:rPr>
          <w:spacing w:val="-9"/>
        </w:rPr>
        <w:t xml:space="preserve"> </w:t>
      </w:r>
      <w:r>
        <w:t>de</w:t>
      </w:r>
      <w:r>
        <w:rPr>
          <w:spacing w:val="-9"/>
        </w:rPr>
        <w:t xml:space="preserve"> </w:t>
      </w:r>
      <w:r>
        <w:t>la</w:t>
      </w:r>
      <w:r>
        <w:rPr>
          <w:spacing w:val="-9"/>
        </w:rPr>
        <w:t xml:space="preserve"> </w:t>
      </w:r>
      <w:r>
        <w:rPr>
          <w:spacing w:val="-2"/>
        </w:rPr>
        <w:t>Empresa</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5" w:firstLine="720"/>
        <w:jc w:val="both"/>
      </w:pPr>
      <w:r>
        <w:t>Para estimar la valoración potencial de la empresa al cierre del quinto año, se utiliza el método de múltiplos de mercado, comparando el</w:t>
      </w:r>
      <w:r>
        <w:rPr>
          <w:spacing w:val="-4"/>
        </w:rPr>
        <w:t xml:space="preserve"> </w:t>
      </w:r>
      <w:r>
        <w:t>desempeño</w:t>
      </w:r>
      <w:r>
        <w:rPr>
          <w:spacing w:val="-4"/>
        </w:rPr>
        <w:t xml:space="preserve"> </w:t>
      </w:r>
      <w:r>
        <w:t>de</w:t>
      </w:r>
      <w:r>
        <w:rPr>
          <w:spacing w:val="-4"/>
        </w:rPr>
        <w:t xml:space="preserve"> </w:t>
      </w:r>
      <w:r>
        <w:t>Guardiana</w:t>
      </w:r>
      <w:r>
        <w:rPr>
          <w:spacing w:val="-4"/>
        </w:rPr>
        <w:t xml:space="preserve"> </w:t>
      </w:r>
      <w:r>
        <w:t>con referencias de la industria. Según datos de Aswath Damodaran (2026), el sector de procesamie</w:t>
      </w:r>
      <w:r>
        <w:t>nto de alimentos presenta un margen neto promedio del 9.6%. En contraste, Guardiana,</w:t>
      </w:r>
      <w:r>
        <w:rPr>
          <w:spacing w:val="40"/>
        </w:rPr>
        <w:t xml:space="preserve"> </w:t>
      </w:r>
      <w:r>
        <w:t>al</w:t>
      </w:r>
      <w:r>
        <w:rPr>
          <w:spacing w:val="40"/>
        </w:rPr>
        <w:t xml:space="preserve"> </w:t>
      </w:r>
      <w:r>
        <w:t>operar</w:t>
      </w:r>
      <w:r>
        <w:rPr>
          <w:spacing w:val="40"/>
        </w:rPr>
        <w:t xml:space="preserve"> </w:t>
      </w:r>
      <w:r>
        <w:t>como</w:t>
      </w:r>
      <w:r>
        <w:rPr>
          <w:spacing w:val="40"/>
        </w:rPr>
        <w:t xml:space="preserve"> </w:t>
      </w:r>
      <w:r>
        <w:t>una</w:t>
      </w:r>
      <w:r>
        <w:rPr>
          <w:spacing w:val="40"/>
        </w:rPr>
        <w:t xml:space="preserve"> </w:t>
      </w:r>
      <w:r>
        <w:t>marca</w:t>
      </w:r>
      <w:r>
        <w:rPr>
          <w:spacing w:val="40"/>
        </w:rPr>
        <w:t xml:space="preserve"> </w:t>
      </w:r>
      <w:r>
        <w:rPr>
          <w:rFonts w:ascii="Arial" w:hAnsi="Arial"/>
          <w:i/>
        </w:rPr>
        <w:t>premium</w:t>
      </w:r>
      <w:r>
        <w:rPr>
          <w:rFonts w:ascii="Arial" w:hAnsi="Arial"/>
          <w:i/>
          <w:spacing w:val="40"/>
        </w:rPr>
        <w:t xml:space="preserve"> </w:t>
      </w:r>
      <w:r>
        <w:t>de</w:t>
      </w:r>
      <w:r>
        <w:rPr>
          <w:spacing w:val="40"/>
        </w:rPr>
        <w:t xml:space="preserve"> </w:t>
      </w:r>
      <w:r>
        <w:t>venta</w:t>
      </w:r>
      <w:r>
        <w:rPr>
          <w:spacing w:val="40"/>
        </w:rPr>
        <w:t xml:space="preserve"> </w:t>
      </w:r>
      <w:r>
        <w:t>directa</w:t>
      </w:r>
      <w:r>
        <w:rPr>
          <w:spacing w:val="40"/>
        </w:rPr>
        <w:t xml:space="preserve"> </w:t>
      </w:r>
      <w:r>
        <w:t>bajo</w:t>
      </w:r>
      <w:r>
        <w:rPr>
          <w:spacing w:val="40"/>
        </w:rPr>
        <w:t xml:space="preserve"> </w:t>
      </w:r>
      <w:r>
        <w:t>un</w:t>
      </w:r>
      <w:r>
        <w:rPr>
          <w:spacing w:val="40"/>
        </w:rPr>
        <w:t xml:space="preserve"> </w:t>
      </w:r>
      <w:r>
        <w:t xml:space="preserve">modelo </w:t>
      </w:r>
      <w:r>
        <w:rPr>
          <w:rFonts w:ascii="Arial" w:hAnsi="Arial"/>
          <w:i/>
        </w:rPr>
        <w:t>asset-light</w:t>
      </w:r>
      <w:r>
        <w:t>, proyecta márgenes superiores al 36%.</w:t>
      </w:r>
    </w:p>
    <w:p w:rsidR="009B4BB4" w:rsidRDefault="00C44001">
      <w:pPr>
        <w:pStyle w:val="Textoindependiente"/>
        <w:spacing w:before="239" w:line="360" w:lineRule="auto"/>
        <w:ind w:left="425" w:right="606" w:firstLine="720"/>
        <w:jc w:val="both"/>
      </w:pPr>
      <w:r>
        <w:t>Esta diferencia en rentabilidad justifica una valoración por encima del promedio</w:t>
      </w:r>
      <w:r>
        <w:rPr>
          <w:spacing w:val="40"/>
        </w:rPr>
        <w:t xml:space="preserve"> </w:t>
      </w:r>
      <w:r>
        <w:t>del sector. Mientras que una</w:t>
      </w:r>
      <w:r>
        <w:rPr>
          <w:spacing w:val="-5"/>
        </w:rPr>
        <w:t xml:space="preserve"> </w:t>
      </w:r>
      <w:r>
        <w:t>empresa</w:t>
      </w:r>
      <w:r>
        <w:rPr>
          <w:spacing w:val="-5"/>
        </w:rPr>
        <w:t xml:space="preserve"> </w:t>
      </w:r>
      <w:r>
        <w:t>de</w:t>
      </w:r>
      <w:r>
        <w:rPr>
          <w:spacing w:val="-5"/>
        </w:rPr>
        <w:t xml:space="preserve"> </w:t>
      </w:r>
      <w:r>
        <w:t>alimentos</w:t>
      </w:r>
      <w:r>
        <w:rPr>
          <w:spacing w:val="-5"/>
        </w:rPr>
        <w:t xml:space="preserve"> </w:t>
      </w:r>
      <w:r>
        <w:t>convencional</w:t>
      </w:r>
      <w:r>
        <w:rPr>
          <w:spacing w:val="-5"/>
        </w:rPr>
        <w:t xml:space="preserve"> </w:t>
      </w:r>
      <w:r>
        <w:t>suele</w:t>
      </w:r>
      <w:r>
        <w:rPr>
          <w:spacing w:val="-5"/>
        </w:rPr>
        <w:t xml:space="preserve"> </w:t>
      </w:r>
      <w:r>
        <w:t>valorar</w:t>
      </w:r>
      <w:r>
        <w:rPr>
          <w:spacing w:val="-5"/>
        </w:rPr>
        <w:t xml:space="preserve"> </w:t>
      </w:r>
      <w:r>
        <w:t>en</w:t>
      </w:r>
      <w:r>
        <w:rPr>
          <w:spacing w:val="-5"/>
        </w:rPr>
        <w:t xml:space="preserve"> </w:t>
      </w:r>
      <w:r>
        <w:t>torno</w:t>
      </w:r>
      <w:r>
        <w:rPr>
          <w:spacing w:val="-5"/>
        </w:rPr>
        <w:t xml:space="preserve"> </w:t>
      </w:r>
      <w:r>
        <w:t>a</w:t>
      </w:r>
    </w:p>
    <w:p w:rsidR="009B4BB4" w:rsidRDefault="00C44001">
      <w:pPr>
        <w:pStyle w:val="Textoindependiente"/>
        <w:spacing w:before="0" w:line="360" w:lineRule="auto"/>
        <w:ind w:left="425" w:right="603"/>
        <w:jc w:val="both"/>
      </w:pPr>
      <w:r>
        <w:t>1.5 veces sus ventas anuales, Guardiana, por su eficiencia operativa y su carácter dife</w:t>
      </w:r>
      <w:r>
        <w:t xml:space="preserve">renciado, puede estimar conservadoramente en un rango de 2.5 a 3.0 veces sus </w:t>
      </w:r>
      <w:r>
        <w:rPr>
          <w:spacing w:val="-2"/>
        </w:rPr>
        <w:t>ventas.</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pPr>
      <w:r>
        <w:rPr>
          <w:spacing w:val="-2"/>
        </w:rPr>
        <w:lastRenderedPageBreak/>
        <w:t>Tabla</w:t>
      </w:r>
      <w:r>
        <w:rPr>
          <w:spacing w:val="-13"/>
        </w:rPr>
        <w:t xml:space="preserve"> </w:t>
      </w:r>
      <w:r>
        <w:rPr>
          <w:spacing w:val="-4"/>
        </w:rPr>
        <w:t>7.19</w:t>
      </w:r>
    </w:p>
    <w:p w:rsidR="009B4BB4" w:rsidRDefault="00C44001">
      <w:pPr>
        <w:spacing w:before="127"/>
        <w:ind w:left="455"/>
        <w:rPr>
          <w:rFonts w:ascii="Arial" w:hAnsi="Arial"/>
          <w:i/>
        </w:rPr>
      </w:pPr>
      <w:r>
        <w:rPr>
          <w:rFonts w:ascii="Arial" w:hAnsi="Arial"/>
          <w:i/>
        </w:rPr>
        <w:t>Estimación</w:t>
      </w:r>
      <w:r>
        <w:rPr>
          <w:rFonts w:ascii="Arial" w:hAnsi="Arial"/>
          <w:i/>
          <w:spacing w:val="-6"/>
        </w:rPr>
        <w:t xml:space="preserve"> </w:t>
      </w:r>
      <w:r>
        <w:rPr>
          <w:rFonts w:ascii="Arial" w:hAnsi="Arial"/>
          <w:i/>
        </w:rPr>
        <w:t>del</w:t>
      </w:r>
      <w:r>
        <w:rPr>
          <w:rFonts w:ascii="Arial" w:hAnsi="Arial"/>
          <w:i/>
          <w:spacing w:val="-5"/>
        </w:rPr>
        <w:t xml:space="preserve"> </w:t>
      </w:r>
      <w:r>
        <w:rPr>
          <w:rFonts w:ascii="Arial" w:hAnsi="Arial"/>
          <w:i/>
        </w:rPr>
        <w:t>valor</w:t>
      </w:r>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mercado</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rPr>
        <w:t>Guardiana</w:t>
      </w:r>
      <w:r>
        <w:rPr>
          <w:rFonts w:ascii="Arial" w:hAnsi="Arial"/>
          <w:i/>
          <w:spacing w:val="-5"/>
        </w:rPr>
        <w:t xml:space="preserve"> </w:t>
      </w:r>
      <w:r>
        <w:rPr>
          <w:rFonts w:ascii="Arial" w:hAnsi="Arial"/>
          <w:i/>
        </w:rPr>
        <w:t>(Año</w:t>
      </w:r>
      <w:r>
        <w:rPr>
          <w:rFonts w:ascii="Arial" w:hAnsi="Arial"/>
          <w:i/>
          <w:spacing w:val="-5"/>
        </w:rPr>
        <w:t xml:space="preserve"> 5)</w:t>
      </w:r>
    </w:p>
    <w:p w:rsidR="009B4BB4" w:rsidRDefault="009B4BB4">
      <w:pPr>
        <w:pStyle w:val="Textoindependiente"/>
        <w:spacing w:before="4"/>
        <w:rPr>
          <w:rFonts w:ascii="Arial"/>
          <w:i/>
          <w:sz w:val="9"/>
        </w:rPr>
      </w:pPr>
    </w:p>
    <w:tbl>
      <w:tblPr>
        <w:tblStyle w:val="TableNormal"/>
        <w:tblW w:w="0" w:type="auto"/>
        <w:tblInd w:w="432" w:type="dxa"/>
        <w:tblLayout w:type="fixed"/>
        <w:tblLook w:val="01E0" w:firstRow="1" w:lastRow="1" w:firstColumn="1" w:lastColumn="1" w:noHBand="0" w:noVBand="0"/>
      </w:tblPr>
      <w:tblGrid>
        <w:gridCol w:w="2778"/>
        <w:gridCol w:w="1914"/>
        <w:gridCol w:w="1997"/>
        <w:gridCol w:w="2351"/>
      </w:tblGrid>
      <w:tr w:rsidR="009B4BB4">
        <w:trPr>
          <w:trHeight w:val="1240"/>
        </w:trPr>
        <w:tc>
          <w:tcPr>
            <w:tcW w:w="2778" w:type="dxa"/>
            <w:tcBorders>
              <w:top w:val="single" w:sz="8" w:space="0" w:color="000000"/>
              <w:bottom w:val="single" w:sz="8" w:space="0" w:color="000000"/>
            </w:tcBorders>
          </w:tcPr>
          <w:p w:rsidR="009B4BB4" w:rsidRDefault="009B4BB4">
            <w:pPr>
              <w:pStyle w:val="TableParagraph"/>
              <w:spacing w:before="184"/>
              <w:rPr>
                <w:rFonts w:ascii="Arial"/>
                <w:i/>
              </w:rPr>
            </w:pPr>
          </w:p>
          <w:p w:rsidR="009B4BB4" w:rsidRDefault="00C44001">
            <w:pPr>
              <w:pStyle w:val="TableParagraph"/>
              <w:ind w:left="265"/>
              <w:rPr>
                <w:rFonts w:ascii="Arial" w:hAnsi="Arial"/>
                <w:b/>
              </w:rPr>
            </w:pPr>
            <w:r>
              <w:rPr>
                <w:rFonts w:ascii="Arial" w:hAnsi="Arial"/>
                <w:b/>
              </w:rPr>
              <w:t>Métrica</w:t>
            </w:r>
            <w:r>
              <w:rPr>
                <w:rFonts w:ascii="Arial" w:hAnsi="Arial"/>
                <w:b/>
                <w:spacing w:val="-5"/>
              </w:rPr>
              <w:t xml:space="preserve"> </w:t>
            </w:r>
            <w:r>
              <w:rPr>
                <w:rFonts w:ascii="Arial" w:hAnsi="Arial"/>
                <w:b/>
              </w:rPr>
              <w:t>de</w:t>
            </w:r>
            <w:r>
              <w:rPr>
                <w:rFonts w:ascii="Arial" w:hAnsi="Arial"/>
                <w:b/>
                <w:spacing w:val="-4"/>
              </w:rPr>
              <w:t xml:space="preserve"> </w:t>
            </w:r>
            <w:r>
              <w:rPr>
                <w:rFonts w:ascii="Arial" w:hAnsi="Arial"/>
                <w:b/>
                <w:spacing w:val="-2"/>
              </w:rPr>
              <w:t>Valoración</w:t>
            </w:r>
          </w:p>
        </w:tc>
        <w:tc>
          <w:tcPr>
            <w:tcW w:w="1914" w:type="dxa"/>
            <w:tcBorders>
              <w:top w:val="single" w:sz="8" w:space="0" w:color="000000"/>
              <w:bottom w:val="single" w:sz="8" w:space="0" w:color="000000"/>
            </w:tcBorders>
          </w:tcPr>
          <w:p w:rsidR="009B4BB4" w:rsidRDefault="00C44001">
            <w:pPr>
              <w:pStyle w:val="TableParagraph"/>
              <w:spacing w:before="58" w:line="360" w:lineRule="auto"/>
              <w:ind w:left="279" w:right="276" w:firstLine="30"/>
              <w:jc w:val="center"/>
              <w:rPr>
                <w:rFonts w:ascii="Arial"/>
                <w:b/>
              </w:rPr>
            </w:pPr>
            <w:r>
              <w:rPr>
                <w:rFonts w:ascii="Arial"/>
                <w:b/>
                <w:spacing w:val="-2"/>
              </w:rPr>
              <w:t>Escenario Conservador (2.5x)</w:t>
            </w:r>
          </w:p>
        </w:tc>
        <w:tc>
          <w:tcPr>
            <w:tcW w:w="1997" w:type="dxa"/>
            <w:tcBorders>
              <w:top w:val="single" w:sz="8" w:space="0" w:color="000000"/>
              <w:bottom w:val="single" w:sz="8" w:space="0" w:color="000000"/>
            </w:tcBorders>
          </w:tcPr>
          <w:p w:rsidR="009B4BB4" w:rsidRDefault="00C44001">
            <w:pPr>
              <w:pStyle w:val="TableParagraph"/>
              <w:spacing w:before="248" w:line="360" w:lineRule="auto"/>
              <w:ind w:left="736" w:right="135" w:hanging="517"/>
              <w:rPr>
                <w:rFonts w:ascii="Arial"/>
                <w:b/>
              </w:rPr>
            </w:pPr>
            <w:r>
              <w:rPr>
                <w:rFonts w:ascii="Arial"/>
                <w:b/>
              </w:rPr>
              <w:t>Escenario</w:t>
            </w:r>
            <w:r>
              <w:rPr>
                <w:rFonts w:ascii="Arial"/>
                <w:b/>
                <w:spacing w:val="-16"/>
              </w:rPr>
              <w:t xml:space="preserve"> </w:t>
            </w:r>
            <w:r>
              <w:rPr>
                <w:rFonts w:ascii="Arial"/>
                <w:b/>
              </w:rPr>
              <w:t xml:space="preserve">Base </w:t>
            </w:r>
            <w:r>
              <w:rPr>
                <w:rFonts w:ascii="Arial"/>
                <w:b/>
                <w:spacing w:val="-2"/>
              </w:rPr>
              <w:t>(2.8x)</w:t>
            </w:r>
          </w:p>
        </w:tc>
        <w:tc>
          <w:tcPr>
            <w:tcW w:w="2351" w:type="dxa"/>
            <w:tcBorders>
              <w:top w:val="single" w:sz="8" w:space="0" w:color="000000"/>
              <w:bottom w:val="single" w:sz="8" w:space="0" w:color="000000"/>
            </w:tcBorders>
          </w:tcPr>
          <w:p w:rsidR="009B4BB4" w:rsidRDefault="00C44001">
            <w:pPr>
              <w:pStyle w:val="TableParagraph"/>
              <w:spacing w:before="248" w:line="360" w:lineRule="auto"/>
              <w:ind w:left="899" w:right="84" w:hanging="761"/>
              <w:rPr>
                <w:rFonts w:ascii="Arial"/>
                <w:b/>
              </w:rPr>
            </w:pPr>
            <w:r>
              <w:rPr>
                <w:rFonts w:ascii="Arial"/>
                <w:b/>
              </w:rPr>
              <w:t>Escenario</w:t>
            </w:r>
            <w:r>
              <w:rPr>
                <w:rFonts w:ascii="Arial"/>
                <w:b/>
                <w:spacing w:val="-16"/>
              </w:rPr>
              <w:t xml:space="preserve"> </w:t>
            </w:r>
            <w:r>
              <w:rPr>
                <w:rFonts w:ascii="Arial"/>
                <w:b/>
              </w:rPr>
              <w:t xml:space="preserve">Optimista </w:t>
            </w:r>
            <w:r>
              <w:rPr>
                <w:rFonts w:ascii="Arial"/>
                <w:b/>
                <w:spacing w:val="-2"/>
              </w:rPr>
              <w:t>(3.0x)</w:t>
            </w:r>
          </w:p>
        </w:tc>
      </w:tr>
      <w:tr w:rsidR="009B4BB4">
        <w:trPr>
          <w:trHeight w:val="785"/>
        </w:trPr>
        <w:tc>
          <w:tcPr>
            <w:tcW w:w="2778" w:type="dxa"/>
            <w:tcBorders>
              <w:top w:val="single" w:sz="8" w:space="0" w:color="000000"/>
            </w:tcBorders>
          </w:tcPr>
          <w:p w:rsidR="009B4BB4" w:rsidRDefault="00C44001">
            <w:pPr>
              <w:pStyle w:val="TableParagraph"/>
              <w:spacing w:before="41"/>
              <w:ind w:left="13"/>
              <w:jc w:val="center"/>
            </w:pPr>
            <w:r>
              <w:rPr>
                <w:spacing w:val="-2"/>
              </w:rPr>
              <w:t>Ventas</w:t>
            </w:r>
            <w:r>
              <w:rPr>
                <w:spacing w:val="-6"/>
              </w:rPr>
              <w:t xml:space="preserve"> </w:t>
            </w:r>
            <w:r>
              <w:rPr>
                <w:spacing w:val="-2"/>
              </w:rPr>
              <w:t>Proyectadas</w:t>
            </w:r>
          </w:p>
          <w:p w:rsidR="009B4BB4" w:rsidRDefault="00C44001">
            <w:pPr>
              <w:pStyle w:val="TableParagraph"/>
              <w:spacing w:before="127"/>
              <w:ind w:left="13"/>
              <w:jc w:val="center"/>
            </w:pPr>
            <w:r>
              <w:t>(Año</w:t>
            </w:r>
            <w:r>
              <w:rPr>
                <w:spacing w:val="-4"/>
              </w:rPr>
              <w:t xml:space="preserve"> </w:t>
            </w:r>
            <w:r>
              <w:rPr>
                <w:spacing w:val="-5"/>
              </w:rPr>
              <w:t>5)</w:t>
            </w:r>
          </w:p>
        </w:tc>
        <w:tc>
          <w:tcPr>
            <w:tcW w:w="1914" w:type="dxa"/>
            <w:tcBorders>
              <w:top w:val="single" w:sz="8" w:space="0" w:color="000000"/>
            </w:tcBorders>
          </w:tcPr>
          <w:p w:rsidR="009B4BB4" w:rsidRDefault="00C44001">
            <w:pPr>
              <w:pStyle w:val="TableParagraph"/>
              <w:spacing w:before="231"/>
              <w:ind w:left="31"/>
              <w:jc w:val="center"/>
            </w:pPr>
            <w:r>
              <w:rPr>
                <w:spacing w:val="-2"/>
              </w:rPr>
              <w:t>$78,600</w:t>
            </w:r>
          </w:p>
        </w:tc>
        <w:tc>
          <w:tcPr>
            <w:tcW w:w="1997" w:type="dxa"/>
            <w:tcBorders>
              <w:top w:val="single" w:sz="8" w:space="0" w:color="000000"/>
            </w:tcBorders>
          </w:tcPr>
          <w:p w:rsidR="009B4BB4" w:rsidRDefault="00C44001">
            <w:pPr>
              <w:pStyle w:val="TableParagraph"/>
              <w:spacing w:before="231"/>
              <w:ind w:left="80"/>
              <w:jc w:val="center"/>
            </w:pPr>
            <w:r>
              <w:rPr>
                <w:spacing w:val="-2"/>
              </w:rPr>
              <w:t>$78,600</w:t>
            </w:r>
          </w:p>
        </w:tc>
        <w:tc>
          <w:tcPr>
            <w:tcW w:w="2351" w:type="dxa"/>
            <w:tcBorders>
              <w:top w:val="single" w:sz="8" w:space="0" w:color="000000"/>
            </w:tcBorders>
          </w:tcPr>
          <w:p w:rsidR="009B4BB4" w:rsidRDefault="00C44001">
            <w:pPr>
              <w:pStyle w:val="TableParagraph"/>
              <w:spacing w:before="231"/>
              <w:ind w:left="52"/>
              <w:jc w:val="center"/>
            </w:pPr>
            <w:r>
              <w:rPr>
                <w:spacing w:val="-2"/>
              </w:rPr>
              <w:t>$78,600</w:t>
            </w:r>
          </w:p>
        </w:tc>
      </w:tr>
      <w:tr w:rsidR="009B4BB4">
        <w:trPr>
          <w:trHeight w:val="894"/>
        </w:trPr>
        <w:tc>
          <w:tcPr>
            <w:tcW w:w="2778" w:type="dxa"/>
            <w:tcBorders>
              <w:bottom w:val="single" w:sz="8" w:space="0" w:color="000000"/>
            </w:tcBorders>
          </w:tcPr>
          <w:p w:rsidR="009B4BB4" w:rsidRDefault="00C44001">
            <w:pPr>
              <w:pStyle w:val="TableParagraph"/>
              <w:spacing w:before="104" w:line="360" w:lineRule="auto"/>
              <w:ind w:left="922" w:right="517" w:hanging="387"/>
            </w:pPr>
            <w:r>
              <w:t>Valor</w:t>
            </w:r>
            <w:r>
              <w:rPr>
                <w:spacing w:val="-16"/>
              </w:rPr>
              <w:t xml:space="preserve"> </w:t>
            </w:r>
            <w:r>
              <w:t>de</w:t>
            </w:r>
            <w:r>
              <w:rPr>
                <w:spacing w:val="-15"/>
              </w:rPr>
              <w:t xml:space="preserve"> </w:t>
            </w:r>
            <w:r>
              <w:t xml:space="preserve">Mercado </w:t>
            </w:r>
            <w:r>
              <w:rPr>
                <w:spacing w:val="-2"/>
              </w:rPr>
              <w:t>Estimado</w:t>
            </w:r>
          </w:p>
        </w:tc>
        <w:tc>
          <w:tcPr>
            <w:tcW w:w="1914"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31"/>
              <w:jc w:val="center"/>
            </w:pPr>
            <w:r>
              <w:t>$196,500</w:t>
            </w:r>
            <w:r>
              <w:rPr>
                <w:spacing w:val="-8"/>
              </w:rPr>
              <w:t xml:space="preserve"> </w:t>
            </w:r>
            <w:r>
              <w:rPr>
                <w:spacing w:val="-5"/>
              </w:rPr>
              <w:t>USD</w:t>
            </w:r>
          </w:p>
        </w:tc>
        <w:tc>
          <w:tcPr>
            <w:tcW w:w="1997"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80"/>
              <w:jc w:val="center"/>
            </w:pPr>
            <w:r>
              <w:t>$220,080</w:t>
            </w:r>
            <w:r>
              <w:rPr>
                <w:spacing w:val="-8"/>
              </w:rPr>
              <w:t xml:space="preserve"> </w:t>
            </w:r>
            <w:r>
              <w:rPr>
                <w:spacing w:val="-5"/>
              </w:rPr>
              <w:t>USD</w:t>
            </w:r>
          </w:p>
        </w:tc>
        <w:tc>
          <w:tcPr>
            <w:tcW w:w="2351" w:type="dxa"/>
            <w:tcBorders>
              <w:bottom w:val="single" w:sz="8" w:space="0" w:color="000000"/>
            </w:tcBorders>
          </w:tcPr>
          <w:p w:rsidR="009B4BB4" w:rsidRDefault="009B4BB4">
            <w:pPr>
              <w:pStyle w:val="TableParagraph"/>
              <w:spacing w:before="41"/>
              <w:rPr>
                <w:rFonts w:ascii="Arial"/>
                <w:i/>
              </w:rPr>
            </w:pPr>
          </w:p>
          <w:p w:rsidR="009B4BB4" w:rsidRDefault="00C44001">
            <w:pPr>
              <w:pStyle w:val="TableParagraph"/>
              <w:ind w:left="52"/>
              <w:jc w:val="center"/>
            </w:pPr>
            <w:r>
              <w:t>$235,800</w:t>
            </w:r>
            <w:r>
              <w:rPr>
                <w:spacing w:val="-8"/>
              </w:rPr>
              <w:t xml:space="preserve"> </w:t>
            </w:r>
            <w:r>
              <w:rPr>
                <w:spacing w:val="-5"/>
              </w:rPr>
              <w:t>USD</w:t>
            </w:r>
          </w:p>
        </w:tc>
      </w:tr>
    </w:tbl>
    <w:p w:rsidR="009B4BB4" w:rsidRDefault="00C44001">
      <w:pPr>
        <w:pStyle w:val="Textoindependiente"/>
        <w:spacing w:before="250" w:line="360" w:lineRule="auto"/>
        <w:ind w:left="425" w:right="611" w:firstLine="30"/>
        <w:jc w:val="both"/>
      </w:pPr>
      <w:r>
        <w:rPr>
          <w:rFonts w:ascii="Arial" w:hAnsi="Arial"/>
          <w:i/>
        </w:rPr>
        <w:t>Nota.</w:t>
      </w:r>
      <w:r>
        <w:rPr>
          <w:rFonts w:ascii="Arial" w:hAnsi="Arial"/>
          <w:i/>
          <w:spacing w:val="-4"/>
        </w:rPr>
        <w:t xml:space="preserve"> </w:t>
      </w:r>
      <w:r>
        <w:t>La</w:t>
      </w:r>
      <w:r>
        <w:rPr>
          <w:spacing w:val="-4"/>
        </w:rPr>
        <w:t xml:space="preserve"> </w:t>
      </w:r>
      <w:r>
        <w:t>valoración</w:t>
      </w:r>
      <w:r>
        <w:rPr>
          <w:spacing w:val="-4"/>
        </w:rPr>
        <w:t xml:space="preserve"> </w:t>
      </w:r>
      <w:r>
        <w:t>refleja</w:t>
      </w:r>
      <w:r>
        <w:rPr>
          <w:spacing w:val="-4"/>
        </w:rPr>
        <w:t xml:space="preserve"> </w:t>
      </w:r>
      <w:r>
        <w:t>la</w:t>
      </w:r>
      <w:r>
        <w:rPr>
          <w:spacing w:val="-4"/>
        </w:rPr>
        <w:t xml:space="preserve"> </w:t>
      </w:r>
      <w:r>
        <w:t>prima</w:t>
      </w:r>
      <w:r>
        <w:rPr>
          <w:spacing w:val="-4"/>
        </w:rPr>
        <w:t xml:space="preserve"> </w:t>
      </w:r>
      <w:r>
        <w:t>por</w:t>
      </w:r>
      <w:r>
        <w:rPr>
          <w:spacing w:val="-4"/>
        </w:rPr>
        <w:t xml:space="preserve"> </w:t>
      </w:r>
      <w:r>
        <w:t>exclusividad</w:t>
      </w:r>
      <w:r>
        <w:rPr>
          <w:spacing w:val="-4"/>
        </w:rPr>
        <w:t xml:space="preserve"> </w:t>
      </w:r>
      <w:r>
        <w:t>y</w:t>
      </w:r>
      <w:r>
        <w:rPr>
          <w:spacing w:val="-4"/>
        </w:rPr>
        <w:t xml:space="preserve"> </w:t>
      </w:r>
      <w:r>
        <w:t>la</w:t>
      </w:r>
      <w:r>
        <w:rPr>
          <w:spacing w:val="-4"/>
        </w:rPr>
        <w:t xml:space="preserve"> </w:t>
      </w:r>
      <w:r>
        <w:t>capacidad</w:t>
      </w:r>
      <w:r>
        <w:rPr>
          <w:spacing w:val="-4"/>
        </w:rPr>
        <w:t xml:space="preserve"> </w:t>
      </w:r>
      <w:r>
        <w:t>de</w:t>
      </w:r>
      <w:r>
        <w:rPr>
          <w:spacing w:val="-4"/>
        </w:rPr>
        <w:t xml:space="preserve"> </w:t>
      </w:r>
      <w:r>
        <w:t>generación</w:t>
      </w:r>
      <w:r>
        <w:rPr>
          <w:spacing w:val="-4"/>
        </w:rPr>
        <w:t xml:space="preserve"> </w:t>
      </w:r>
      <w:r>
        <w:t>de</w:t>
      </w:r>
      <w:r>
        <w:rPr>
          <w:spacing w:val="-4"/>
        </w:rPr>
        <w:t xml:space="preserve"> </w:t>
      </w:r>
      <w:r>
        <w:t>flujo de caja libre en un nicho de alto crecimiento. Elaboración propia con datos de</w:t>
      </w:r>
      <w:r>
        <w:rPr>
          <w:spacing w:val="40"/>
        </w:rPr>
        <w:t xml:space="preserve"> </w:t>
      </w:r>
      <w:r>
        <w:t>Damodaran (2026).</w:t>
      </w:r>
    </w:p>
    <w:p w:rsidR="009B4BB4" w:rsidRDefault="00C44001">
      <w:pPr>
        <w:pStyle w:val="Textoindependiente"/>
        <w:spacing w:line="360" w:lineRule="auto"/>
        <w:ind w:left="425" w:right="608" w:firstLine="720"/>
        <w:jc w:val="both"/>
      </w:pPr>
      <w:r>
        <w:t>Al aplicar estos múltiplos a las ventas</w:t>
      </w:r>
      <w:r>
        <w:rPr>
          <w:spacing w:val="-3"/>
        </w:rPr>
        <w:t xml:space="preserve"> </w:t>
      </w:r>
      <w:r>
        <w:t>proyectadas</w:t>
      </w:r>
      <w:r>
        <w:rPr>
          <w:spacing w:val="-3"/>
        </w:rPr>
        <w:t xml:space="preserve"> </w:t>
      </w:r>
      <w:r>
        <w:t>del</w:t>
      </w:r>
      <w:r>
        <w:rPr>
          <w:spacing w:val="-3"/>
        </w:rPr>
        <w:t xml:space="preserve"> </w:t>
      </w:r>
      <w:r>
        <w:t>quinto</w:t>
      </w:r>
      <w:r>
        <w:rPr>
          <w:spacing w:val="-3"/>
        </w:rPr>
        <w:t xml:space="preserve"> </w:t>
      </w:r>
      <w:r>
        <w:t>año</w:t>
      </w:r>
      <w:r>
        <w:rPr>
          <w:spacing w:val="-3"/>
        </w:rPr>
        <w:t xml:space="preserve"> </w:t>
      </w:r>
      <w:r>
        <w:t>($78,600</w:t>
      </w:r>
      <w:r>
        <w:rPr>
          <w:spacing w:val="-3"/>
        </w:rPr>
        <w:t xml:space="preserve"> </w:t>
      </w:r>
      <w:r>
        <w:t>USD), el</w:t>
      </w:r>
      <w:r>
        <w:rPr>
          <w:spacing w:val="57"/>
        </w:rPr>
        <w:t xml:space="preserve"> </w:t>
      </w:r>
      <w:r>
        <w:t>valor</w:t>
      </w:r>
      <w:r>
        <w:rPr>
          <w:spacing w:val="57"/>
        </w:rPr>
        <w:t xml:space="preserve"> </w:t>
      </w:r>
      <w:r>
        <w:t>de</w:t>
      </w:r>
      <w:r>
        <w:rPr>
          <w:spacing w:val="57"/>
        </w:rPr>
        <w:t xml:space="preserve"> </w:t>
      </w:r>
      <w:r>
        <w:t>mercado</w:t>
      </w:r>
      <w:r>
        <w:rPr>
          <w:spacing w:val="57"/>
        </w:rPr>
        <w:t xml:space="preserve"> </w:t>
      </w:r>
      <w:r>
        <w:t>estimado</w:t>
      </w:r>
      <w:r>
        <w:rPr>
          <w:spacing w:val="57"/>
        </w:rPr>
        <w:t xml:space="preserve"> </w:t>
      </w:r>
      <w:r>
        <w:t>de</w:t>
      </w:r>
      <w:r>
        <w:rPr>
          <w:spacing w:val="57"/>
        </w:rPr>
        <w:t xml:space="preserve"> </w:t>
      </w:r>
      <w:r>
        <w:t>la</w:t>
      </w:r>
      <w:r>
        <w:rPr>
          <w:spacing w:val="57"/>
        </w:rPr>
        <w:t xml:space="preserve"> </w:t>
      </w:r>
      <w:r>
        <w:t>empresa</w:t>
      </w:r>
      <w:r>
        <w:rPr>
          <w:spacing w:val="57"/>
        </w:rPr>
        <w:t xml:space="preserve"> </w:t>
      </w:r>
      <w:r>
        <w:t>se</w:t>
      </w:r>
      <w:r>
        <w:rPr>
          <w:spacing w:val="57"/>
        </w:rPr>
        <w:t xml:space="preserve"> </w:t>
      </w:r>
      <w:r>
        <w:t>sitúa</w:t>
      </w:r>
      <w:r>
        <w:rPr>
          <w:spacing w:val="57"/>
        </w:rPr>
        <w:t xml:space="preserve"> </w:t>
      </w:r>
      <w:r>
        <w:t>en</w:t>
      </w:r>
      <w:r>
        <w:rPr>
          <w:spacing w:val="57"/>
        </w:rPr>
        <w:t xml:space="preserve"> </w:t>
      </w:r>
      <w:r>
        <w:t>un</w:t>
      </w:r>
      <w:r>
        <w:rPr>
          <w:spacing w:val="57"/>
        </w:rPr>
        <w:t xml:space="preserve"> </w:t>
      </w:r>
      <w:r>
        <w:t>rango</w:t>
      </w:r>
      <w:r>
        <w:rPr>
          <w:spacing w:val="57"/>
        </w:rPr>
        <w:t xml:space="preserve"> </w:t>
      </w:r>
      <w:r>
        <w:t>de</w:t>
      </w:r>
      <w:r>
        <w:rPr>
          <w:spacing w:val="57"/>
        </w:rPr>
        <w:t xml:space="preserve"> </w:t>
      </w:r>
      <w:r>
        <w:t>$196</w:t>
      </w:r>
      <w:r>
        <w:t>,000</w:t>
      </w:r>
      <w:r>
        <w:rPr>
          <w:spacing w:val="57"/>
        </w:rPr>
        <w:t xml:space="preserve"> </w:t>
      </w:r>
      <w:r>
        <w:t>a</w:t>
      </w:r>
    </w:p>
    <w:p w:rsidR="009B4BB4" w:rsidRDefault="00C44001">
      <w:pPr>
        <w:pStyle w:val="Textoindependiente"/>
        <w:spacing w:before="0" w:line="360" w:lineRule="auto"/>
        <w:ind w:left="425" w:right="612"/>
        <w:jc w:val="both"/>
      </w:pPr>
      <w:r>
        <w:t>$235,000 USD. Esta valoración es consistente con</w:t>
      </w:r>
      <w:r>
        <w:rPr>
          <w:spacing w:val="-4"/>
        </w:rPr>
        <w:t xml:space="preserve"> </w:t>
      </w:r>
      <w:r>
        <w:t>los</w:t>
      </w:r>
      <w:r>
        <w:rPr>
          <w:spacing w:val="-4"/>
        </w:rPr>
        <w:t xml:space="preserve"> </w:t>
      </w:r>
      <w:r>
        <w:t>resultados</w:t>
      </w:r>
      <w:r>
        <w:rPr>
          <w:spacing w:val="-4"/>
        </w:rPr>
        <w:t xml:space="preserve"> </w:t>
      </w:r>
      <w:r>
        <w:t>obtenidos</w:t>
      </w:r>
      <w:r>
        <w:rPr>
          <w:spacing w:val="-4"/>
        </w:rPr>
        <w:t xml:space="preserve"> </w:t>
      </w:r>
      <w:r>
        <w:t>en</w:t>
      </w:r>
      <w:r>
        <w:rPr>
          <w:spacing w:val="-4"/>
        </w:rPr>
        <w:t xml:space="preserve"> </w:t>
      </w:r>
      <w:r>
        <w:t>el</w:t>
      </w:r>
      <w:r>
        <w:rPr>
          <w:spacing w:val="-4"/>
        </w:rPr>
        <w:t xml:space="preserve"> </w:t>
      </w:r>
      <w:r>
        <w:t>cálculo del Valor Actual Neto y respalda la solidez financiera del proyecto.</w:t>
      </w:r>
    </w:p>
    <w:p w:rsidR="009B4BB4" w:rsidRDefault="00C44001">
      <w:pPr>
        <w:pStyle w:val="Textoindependiente"/>
        <w:spacing w:line="360" w:lineRule="auto"/>
        <w:ind w:left="425" w:right="606" w:firstLine="720"/>
        <w:jc w:val="both"/>
      </w:pPr>
      <w:r>
        <w:t>En este contexto, el valor de Guardiana no se sustenta en la masificación del volumen, sino en su eficiencia operativa, la gestión de una oferta limitada y la consolidación de un nicho de mercado con alta fidelidad.</w:t>
      </w:r>
    </w:p>
    <w:p w:rsidR="009B4BB4" w:rsidRDefault="009B4BB4">
      <w:pPr>
        <w:pStyle w:val="Textoindependiente"/>
        <w:spacing w:before="27"/>
      </w:pPr>
    </w:p>
    <w:p w:rsidR="009B4BB4" w:rsidRDefault="00C44001" w:rsidP="00C44001">
      <w:pPr>
        <w:pStyle w:val="Ttulo1"/>
        <w:numPr>
          <w:ilvl w:val="1"/>
          <w:numId w:val="14"/>
        </w:numPr>
        <w:tabs>
          <w:tab w:val="left" w:pos="818"/>
        </w:tabs>
        <w:ind w:left="818" w:hanging="363"/>
      </w:pPr>
      <w:bookmarkStart w:id="259" w:name="7.8_Valor_de_marca_y_disposición_a_pagar"/>
      <w:bookmarkStart w:id="260" w:name="h.2sgys413bspr"/>
      <w:bookmarkEnd w:id="259"/>
      <w:bookmarkEnd w:id="260"/>
      <w:r>
        <w:t>Valor</w:t>
      </w:r>
      <w:r>
        <w:rPr>
          <w:spacing w:val="-7"/>
        </w:rPr>
        <w:t xml:space="preserve"> </w:t>
      </w:r>
      <w:r>
        <w:t>de</w:t>
      </w:r>
      <w:r>
        <w:rPr>
          <w:spacing w:val="-6"/>
        </w:rPr>
        <w:t xml:space="preserve"> </w:t>
      </w:r>
      <w:r>
        <w:t>marca</w:t>
      </w:r>
      <w:r>
        <w:rPr>
          <w:spacing w:val="-6"/>
        </w:rPr>
        <w:t xml:space="preserve"> </w:t>
      </w:r>
      <w:r>
        <w:t>y</w:t>
      </w:r>
      <w:r>
        <w:rPr>
          <w:spacing w:val="-6"/>
        </w:rPr>
        <w:t xml:space="preserve"> </w:t>
      </w:r>
      <w:r>
        <w:t>disposición</w:t>
      </w:r>
      <w:r>
        <w:rPr>
          <w:spacing w:val="-6"/>
        </w:rPr>
        <w:t xml:space="preserve"> </w:t>
      </w:r>
      <w:r>
        <w:t>a</w:t>
      </w:r>
      <w:r>
        <w:rPr>
          <w:spacing w:val="-6"/>
        </w:rPr>
        <w:t xml:space="preserve"> </w:t>
      </w:r>
      <w:r>
        <w:rPr>
          <w:spacing w:val="-2"/>
        </w:rPr>
        <w:t>pagar</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4" w:firstLine="720"/>
        <w:jc w:val="both"/>
      </w:pPr>
      <w:r>
        <w:t>E</w:t>
      </w:r>
      <w:r>
        <w:t>l valor terminal proyectado refleja tanto la solidez de los flujos financieros como la capacidad de la marca para capitalizar atributos como la</w:t>
      </w:r>
      <w:r>
        <w:rPr>
          <w:spacing w:val="-3"/>
        </w:rPr>
        <w:t xml:space="preserve"> </w:t>
      </w:r>
      <w:r>
        <w:t>autenticidad,</w:t>
      </w:r>
      <w:r>
        <w:rPr>
          <w:spacing w:val="-3"/>
        </w:rPr>
        <w:t xml:space="preserve"> </w:t>
      </w:r>
      <w:r>
        <w:t>la</w:t>
      </w:r>
      <w:r>
        <w:rPr>
          <w:spacing w:val="-3"/>
        </w:rPr>
        <w:t xml:space="preserve"> </w:t>
      </w:r>
      <w:r>
        <w:t>trazabilidad</w:t>
      </w:r>
      <w:r>
        <w:rPr>
          <w:spacing w:val="-3"/>
        </w:rPr>
        <w:t xml:space="preserve"> </w:t>
      </w:r>
      <w:r>
        <w:t>y el propósito. La referencia del EY Future Consumer Index (2023) confirma un camb</w:t>
      </w:r>
      <w:r>
        <w:t>io estructural en las prioridades del mercado: el 32% de los consumidores globales está dispuesto a pagar un sobreprecio por productos con impacto positivo, mientras que el 44% optaría por alternativas más responsables cuando estas están disponibles.</w:t>
      </w:r>
    </w:p>
    <w:p w:rsidR="009B4BB4" w:rsidRDefault="00C44001">
      <w:pPr>
        <w:pStyle w:val="Textoindependiente"/>
        <w:spacing w:line="360" w:lineRule="auto"/>
        <w:ind w:left="425" w:right="608" w:firstLine="720"/>
        <w:jc w:val="both"/>
      </w:pPr>
      <w:r>
        <w:t>Estas</w:t>
      </w:r>
      <w:r>
        <w:t xml:space="preserve"> tendencias respaldan el posicionamiento </w:t>
      </w:r>
      <w:r>
        <w:rPr>
          <w:rFonts w:ascii="Arial" w:hAnsi="Arial"/>
          <w:i/>
        </w:rPr>
        <w:t xml:space="preserve">premium </w:t>
      </w:r>
      <w:r>
        <w:t>de Guardiana y</w:t>
      </w:r>
      <w:r>
        <w:rPr>
          <w:spacing w:val="40"/>
        </w:rPr>
        <w:t xml:space="preserve"> </w:t>
      </w:r>
      <w:r>
        <w:t>sostienen</w:t>
      </w:r>
      <w:r>
        <w:rPr>
          <w:spacing w:val="40"/>
        </w:rPr>
        <w:t xml:space="preserve"> </w:t>
      </w:r>
      <w:r>
        <w:t>una</w:t>
      </w:r>
      <w:r>
        <w:rPr>
          <w:spacing w:val="40"/>
        </w:rPr>
        <w:t xml:space="preserve"> </w:t>
      </w:r>
      <w:r>
        <w:t>estrategia</w:t>
      </w:r>
      <w:r>
        <w:rPr>
          <w:spacing w:val="40"/>
        </w:rPr>
        <w:t xml:space="preserve"> </w:t>
      </w:r>
      <w:r>
        <w:t>de</w:t>
      </w:r>
      <w:r>
        <w:rPr>
          <w:spacing w:val="40"/>
        </w:rPr>
        <w:t xml:space="preserve"> </w:t>
      </w:r>
      <w:r>
        <w:t>diferenciación</w:t>
      </w:r>
      <w:r>
        <w:rPr>
          <w:spacing w:val="40"/>
        </w:rPr>
        <w:t xml:space="preserve"> </w:t>
      </w:r>
      <w:r>
        <w:t>que</w:t>
      </w:r>
      <w:r>
        <w:rPr>
          <w:spacing w:val="40"/>
        </w:rPr>
        <w:t xml:space="preserve"> </w:t>
      </w:r>
      <w:r>
        <w:t>reduce</w:t>
      </w:r>
      <w:r>
        <w:rPr>
          <w:spacing w:val="26"/>
        </w:rPr>
        <w:t xml:space="preserve"> </w:t>
      </w:r>
      <w:r>
        <w:t>la</w:t>
      </w:r>
      <w:r>
        <w:rPr>
          <w:spacing w:val="26"/>
        </w:rPr>
        <w:t xml:space="preserve"> </w:t>
      </w:r>
      <w:r>
        <w:t>exposición</w:t>
      </w:r>
      <w:r>
        <w:rPr>
          <w:spacing w:val="26"/>
        </w:rPr>
        <w:t xml:space="preserve"> </w:t>
      </w:r>
      <w:r>
        <w:t>a</w:t>
      </w:r>
      <w:r>
        <w:rPr>
          <w:spacing w:val="26"/>
        </w:rPr>
        <w:t xml:space="preserve"> </w:t>
      </w:r>
      <w:r>
        <w:t>la</w:t>
      </w:r>
      <w:r>
        <w:rPr>
          <w:spacing w:val="26"/>
        </w:rPr>
        <w:t xml:space="preserve"> </w:t>
      </w:r>
      <w:r>
        <w:t>competencia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8"/>
        <w:jc w:val="both"/>
      </w:pPr>
      <w:proofErr w:type="gramStart"/>
      <w:r>
        <w:lastRenderedPageBreak/>
        <w:t>basada</w:t>
      </w:r>
      <w:proofErr w:type="gramEnd"/>
      <w:r>
        <w:t xml:space="preserve"> en precio. En</w:t>
      </w:r>
      <w:r>
        <w:rPr>
          <w:spacing w:val="-3"/>
        </w:rPr>
        <w:t xml:space="preserve"> </w:t>
      </w:r>
      <w:r>
        <w:t>este</w:t>
      </w:r>
      <w:r>
        <w:rPr>
          <w:spacing w:val="-3"/>
        </w:rPr>
        <w:t xml:space="preserve"> </w:t>
      </w:r>
      <w:r>
        <w:t>contexto,</w:t>
      </w:r>
      <w:r>
        <w:rPr>
          <w:spacing w:val="-3"/>
        </w:rPr>
        <w:t xml:space="preserve"> </w:t>
      </w:r>
      <w:r>
        <w:t>la</w:t>
      </w:r>
      <w:r>
        <w:rPr>
          <w:spacing w:val="-3"/>
        </w:rPr>
        <w:t xml:space="preserve"> </w:t>
      </w:r>
      <w:r>
        <w:t>marca</w:t>
      </w:r>
      <w:r>
        <w:rPr>
          <w:spacing w:val="-3"/>
        </w:rPr>
        <w:t xml:space="preserve"> </w:t>
      </w:r>
      <w:r>
        <w:t>se</w:t>
      </w:r>
      <w:r>
        <w:rPr>
          <w:spacing w:val="-3"/>
        </w:rPr>
        <w:t xml:space="preserve"> </w:t>
      </w:r>
      <w:r>
        <w:t>ubica</w:t>
      </w:r>
      <w:r>
        <w:rPr>
          <w:spacing w:val="-3"/>
        </w:rPr>
        <w:t xml:space="preserve"> </w:t>
      </w:r>
      <w:r>
        <w:t>en</w:t>
      </w:r>
      <w:r>
        <w:rPr>
          <w:spacing w:val="-3"/>
        </w:rPr>
        <w:t xml:space="preserve"> </w:t>
      </w:r>
      <w:r>
        <w:t>un</w:t>
      </w:r>
      <w:r>
        <w:rPr>
          <w:spacing w:val="-3"/>
        </w:rPr>
        <w:t xml:space="preserve"> </w:t>
      </w:r>
      <w:r>
        <w:t>espacio</w:t>
      </w:r>
      <w:r>
        <w:rPr>
          <w:spacing w:val="-3"/>
        </w:rPr>
        <w:t xml:space="preserve"> </w:t>
      </w:r>
      <w:r>
        <w:t>donde</w:t>
      </w:r>
      <w:r>
        <w:rPr>
          <w:spacing w:val="-3"/>
        </w:rPr>
        <w:t xml:space="preserve"> </w:t>
      </w:r>
      <w:r>
        <w:t>convergen</w:t>
      </w:r>
      <w:r>
        <w:rPr>
          <w:spacing w:val="-3"/>
        </w:rPr>
        <w:t xml:space="preserve"> </w:t>
      </w:r>
      <w:r>
        <w:t>el bienestar funcional y el valor cultural, ofreciendo</w:t>
      </w:r>
      <w:r>
        <w:rPr>
          <w:spacing w:val="-3"/>
        </w:rPr>
        <w:t xml:space="preserve"> </w:t>
      </w:r>
      <w:r>
        <w:t>beneficios</w:t>
      </w:r>
      <w:r>
        <w:rPr>
          <w:spacing w:val="-3"/>
        </w:rPr>
        <w:t xml:space="preserve"> </w:t>
      </w:r>
      <w:r>
        <w:t>tangibles</w:t>
      </w:r>
      <w:r>
        <w:rPr>
          <w:spacing w:val="-3"/>
        </w:rPr>
        <w:t xml:space="preserve"> </w:t>
      </w:r>
      <w:r>
        <w:t>dentro</w:t>
      </w:r>
      <w:r>
        <w:rPr>
          <w:spacing w:val="-3"/>
        </w:rPr>
        <w:t xml:space="preserve"> </w:t>
      </w:r>
      <w:r>
        <w:t>de</w:t>
      </w:r>
      <w:r>
        <w:rPr>
          <w:spacing w:val="-3"/>
        </w:rPr>
        <w:t xml:space="preserve"> </w:t>
      </w:r>
      <w:r>
        <w:t>un</w:t>
      </w:r>
      <w:r>
        <w:rPr>
          <w:spacing w:val="-3"/>
        </w:rPr>
        <w:t xml:space="preserve"> </w:t>
      </w:r>
      <w:r>
        <w:t>marco ético y trazable.</w:t>
      </w:r>
    </w:p>
    <w:p w:rsidR="009B4BB4" w:rsidRDefault="00C44001">
      <w:pPr>
        <w:pStyle w:val="Textoindependiente"/>
        <w:spacing w:line="360" w:lineRule="auto"/>
        <w:ind w:left="425" w:right="607" w:firstLine="720"/>
        <w:jc w:val="both"/>
      </w:pPr>
      <w:r>
        <w:t>La validación financiera, reflejada en una</w:t>
      </w:r>
      <w:r>
        <w:rPr>
          <w:spacing w:val="-3"/>
        </w:rPr>
        <w:t xml:space="preserve"> </w:t>
      </w:r>
      <w:r>
        <w:t>TIR</w:t>
      </w:r>
      <w:r>
        <w:rPr>
          <w:spacing w:val="-3"/>
        </w:rPr>
        <w:t xml:space="preserve"> </w:t>
      </w:r>
      <w:r>
        <w:t>del</w:t>
      </w:r>
      <w:r>
        <w:rPr>
          <w:spacing w:val="-3"/>
        </w:rPr>
        <w:t xml:space="preserve"> </w:t>
      </w:r>
      <w:r>
        <w:t>92%,</w:t>
      </w:r>
      <w:r>
        <w:rPr>
          <w:spacing w:val="-3"/>
        </w:rPr>
        <w:t xml:space="preserve"> </w:t>
      </w:r>
      <w:r>
        <w:t>junto</w:t>
      </w:r>
      <w:r>
        <w:rPr>
          <w:spacing w:val="-3"/>
        </w:rPr>
        <w:t xml:space="preserve"> </w:t>
      </w:r>
      <w:r>
        <w:t>con</w:t>
      </w:r>
      <w:r>
        <w:rPr>
          <w:spacing w:val="-3"/>
        </w:rPr>
        <w:t xml:space="preserve"> </w:t>
      </w:r>
      <w:r>
        <w:t>la</w:t>
      </w:r>
      <w:r>
        <w:rPr>
          <w:spacing w:val="-3"/>
        </w:rPr>
        <w:t xml:space="preserve"> </w:t>
      </w:r>
      <w:r>
        <w:t>valoración</w:t>
      </w:r>
      <w:r>
        <w:rPr>
          <w:spacing w:val="-3"/>
        </w:rPr>
        <w:t xml:space="preserve"> </w:t>
      </w:r>
      <w:r>
        <w:t xml:space="preserve">por múltiplos de mercado, confirma que Guardiana constituye un </w:t>
      </w:r>
      <w:r>
        <w:t>proyecto de inversión</w:t>
      </w:r>
      <w:r>
        <w:rPr>
          <w:spacing w:val="40"/>
        </w:rPr>
        <w:t xml:space="preserve"> </w:t>
      </w:r>
      <w:r>
        <w:t>sólido. Su valor no se explica por escala, sino por la capacidad de capturar valor en un segmento específico, con una propuesta consistente y sostenible en el tiempo.</w:t>
      </w:r>
    </w:p>
    <w:p w:rsidR="009B4BB4" w:rsidRDefault="009B4BB4">
      <w:pPr>
        <w:pStyle w:val="Textoindependiente"/>
        <w:spacing w:before="27"/>
      </w:pPr>
    </w:p>
    <w:p w:rsidR="009B4BB4" w:rsidRDefault="00C44001" w:rsidP="00C44001">
      <w:pPr>
        <w:pStyle w:val="Ttulo1"/>
        <w:numPr>
          <w:ilvl w:val="1"/>
          <w:numId w:val="14"/>
        </w:numPr>
        <w:tabs>
          <w:tab w:val="left" w:pos="818"/>
        </w:tabs>
        <w:ind w:left="818" w:hanging="363"/>
      </w:pPr>
      <w:bookmarkStart w:id="261" w:name="7.9_Estrategia_de_financiamiento_"/>
      <w:bookmarkStart w:id="262" w:name="h.wh3ct1t797cl"/>
      <w:bookmarkEnd w:id="261"/>
      <w:bookmarkEnd w:id="262"/>
      <w:r>
        <w:t>Estrategia</w:t>
      </w:r>
      <w:r>
        <w:rPr>
          <w:spacing w:val="-6"/>
        </w:rPr>
        <w:t xml:space="preserve"> </w:t>
      </w:r>
      <w:r>
        <w:t>de</w:t>
      </w:r>
      <w:r>
        <w:rPr>
          <w:spacing w:val="-6"/>
        </w:rPr>
        <w:t xml:space="preserve"> </w:t>
      </w:r>
      <w:r>
        <w:rPr>
          <w:spacing w:val="-2"/>
        </w:rPr>
        <w:t>financiamiento</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5" w:firstLine="720"/>
        <w:jc w:val="both"/>
      </w:pPr>
      <w:r>
        <w:t>La estructura de capital de Guardiana se diseña bajo un esquema de financiamiento híbrido, orientado a maximizar la viabilidad del</w:t>
      </w:r>
      <w:r>
        <w:rPr>
          <w:spacing w:val="-4"/>
        </w:rPr>
        <w:t xml:space="preserve"> </w:t>
      </w:r>
      <w:r>
        <w:t>proyecto</w:t>
      </w:r>
      <w:r>
        <w:rPr>
          <w:spacing w:val="-4"/>
        </w:rPr>
        <w:t xml:space="preserve"> </w:t>
      </w:r>
      <w:r>
        <w:t>aprovechando</w:t>
      </w:r>
      <w:r>
        <w:rPr>
          <w:spacing w:val="-4"/>
        </w:rPr>
        <w:t xml:space="preserve"> </w:t>
      </w:r>
      <w:r>
        <w:t>su perfil de impacto social. Este enfoque combina el compromiso de los fundadores con un nivel prudente</w:t>
      </w:r>
      <w:r>
        <w:t xml:space="preserve"> de deuda y el acceso a fondos de subvención.</w:t>
      </w:r>
    </w:p>
    <w:p w:rsidR="009B4BB4" w:rsidRDefault="00C44001">
      <w:pPr>
        <w:pStyle w:val="Textoindependiente"/>
        <w:spacing w:line="360" w:lineRule="auto"/>
        <w:ind w:left="425" w:right="603" w:firstLine="720"/>
        <w:jc w:val="both"/>
      </w:pPr>
      <w:r>
        <w:t xml:space="preserve">Para cubrir la inversión inicial de $7,650 USD, se propone una estructura compuesta por 60% de capital propio, 30% de deuda emprendedora y 10% de </w:t>
      </w:r>
      <w:r>
        <w:rPr>
          <w:spacing w:val="-2"/>
        </w:rPr>
        <w:t>subvenciones.</w:t>
      </w:r>
    </w:p>
    <w:p w:rsidR="009B4BB4" w:rsidRDefault="00C44001">
      <w:pPr>
        <w:pStyle w:val="Ttulo1"/>
        <w:spacing w:before="240"/>
        <w:jc w:val="both"/>
      </w:pPr>
      <w:r>
        <w:rPr>
          <w:spacing w:val="-2"/>
        </w:rPr>
        <w:t>Tabla</w:t>
      </w:r>
      <w:r>
        <w:rPr>
          <w:spacing w:val="-13"/>
        </w:rPr>
        <w:t xml:space="preserve"> </w:t>
      </w:r>
      <w:r>
        <w:rPr>
          <w:spacing w:val="-4"/>
        </w:rPr>
        <w:t>7.20</w:t>
      </w:r>
    </w:p>
    <w:p w:rsidR="009B4BB4" w:rsidRDefault="00C44001">
      <w:pPr>
        <w:spacing w:before="126"/>
        <w:ind w:left="455"/>
        <w:jc w:val="both"/>
        <w:rPr>
          <w:rFonts w:ascii="Arial"/>
          <w:i/>
        </w:rPr>
      </w:pPr>
      <w:r>
        <w:rPr>
          <w:rFonts w:ascii="Arial"/>
          <w:i/>
        </w:rPr>
        <w:t>Fuentes</w:t>
      </w:r>
      <w:r>
        <w:rPr>
          <w:rFonts w:ascii="Arial"/>
          <w:i/>
          <w:spacing w:val="-6"/>
        </w:rPr>
        <w:t xml:space="preserve"> </w:t>
      </w:r>
      <w:r>
        <w:rPr>
          <w:rFonts w:ascii="Arial"/>
          <w:i/>
        </w:rPr>
        <w:t>y</w:t>
      </w:r>
      <w:r>
        <w:rPr>
          <w:rFonts w:ascii="Arial"/>
          <w:i/>
          <w:spacing w:val="-4"/>
        </w:rPr>
        <w:t xml:space="preserve"> </w:t>
      </w:r>
      <w:r>
        <w:rPr>
          <w:rFonts w:ascii="Arial"/>
          <w:i/>
        </w:rPr>
        <w:t>usos</w:t>
      </w:r>
      <w:r>
        <w:rPr>
          <w:rFonts w:ascii="Arial"/>
          <w:i/>
          <w:spacing w:val="-4"/>
        </w:rPr>
        <w:t xml:space="preserve"> </w:t>
      </w:r>
      <w:r>
        <w:rPr>
          <w:rFonts w:ascii="Arial"/>
          <w:i/>
        </w:rPr>
        <w:t>de</w:t>
      </w:r>
      <w:r>
        <w:rPr>
          <w:rFonts w:ascii="Arial"/>
          <w:i/>
          <w:spacing w:val="-4"/>
        </w:rPr>
        <w:t xml:space="preserve"> </w:t>
      </w:r>
      <w:r>
        <w:rPr>
          <w:rFonts w:ascii="Arial"/>
          <w:i/>
        </w:rPr>
        <w:t>fondos</w:t>
      </w:r>
      <w:r>
        <w:rPr>
          <w:rFonts w:ascii="Arial"/>
          <w:i/>
          <w:spacing w:val="-4"/>
        </w:rPr>
        <w:t xml:space="preserve"> </w:t>
      </w:r>
      <w:r>
        <w:rPr>
          <w:rFonts w:ascii="Arial"/>
          <w:i/>
        </w:rPr>
        <w:t>para</w:t>
      </w:r>
      <w:r>
        <w:rPr>
          <w:rFonts w:ascii="Arial"/>
          <w:i/>
          <w:spacing w:val="-4"/>
        </w:rPr>
        <w:t xml:space="preserve"> </w:t>
      </w:r>
      <w:r>
        <w:rPr>
          <w:rFonts w:ascii="Arial"/>
          <w:i/>
        </w:rPr>
        <w:t>el</w:t>
      </w:r>
      <w:r>
        <w:rPr>
          <w:rFonts w:ascii="Arial"/>
          <w:i/>
          <w:spacing w:val="-4"/>
        </w:rPr>
        <w:t xml:space="preserve"> </w:t>
      </w:r>
      <w:r>
        <w:rPr>
          <w:rFonts w:ascii="Arial"/>
          <w:i/>
        </w:rPr>
        <w:t>arranq</w:t>
      </w:r>
      <w:r>
        <w:rPr>
          <w:rFonts w:ascii="Arial"/>
          <w:i/>
        </w:rPr>
        <w:t>ue</w:t>
      </w:r>
      <w:r>
        <w:rPr>
          <w:rFonts w:ascii="Arial"/>
          <w:i/>
          <w:spacing w:val="-4"/>
        </w:rPr>
        <w:t xml:space="preserve"> </w:t>
      </w:r>
      <w:r>
        <w:rPr>
          <w:rFonts w:ascii="Arial"/>
          <w:i/>
        </w:rPr>
        <w:t>de</w:t>
      </w:r>
      <w:r>
        <w:rPr>
          <w:rFonts w:ascii="Arial"/>
          <w:i/>
          <w:spacing w:val="-4"/>
        </w:rPr>
        <w:t xml:space="preserve"> </w:t>
      </w:r>
      <w:r>
        <w:rPr>
          <w:rFonts w:ascii="Arial"/>
          <w:i/>
          <w:spacing w:val="-2"/>
        </w:rPr>
        <w:t>operaciones</w:t>
      </w:r>
    </w:p>
    <w:p w:rsidR="009B4BB4" w:rsidRDefault="009B4BB4">
      <w:pPr>
        <w:pStyle w:val="Textoindependiente"/>
        <w:spacing w:before="0"/>
        <w:rPr>
          <w:rFonts w:ascii="Arial"/>
          <w:i/>
          <w:sz w:val="20"/>
        </w:rPr>
      </w:pPr>
    </w:p>
    <w:p w:rsidR="009B4BB4" w:rsidRDefault="009B4BB4">
      <w:pPr>
        <w:pStyle w:val="Textoindependiente"/>
        <w:spacing w:before="36"/>
        <w:rPr>
          <w:rFonts w:ascii="Arial"/>
          <w:i/>
          <w:sz w:val="20"/>
        </w:rPr>
      </w:pPr>
    </w:p>
    <w:tbl>
      <w:tblPr>
        <w:tblStyle w:val="TableNormal"/>
        <w:tblW w:w="0" w:type="auto"/>
        <w:tblInd w:w="432" w:type="dxa"/>
        <w:tblLayout w:type="fixed"/>
        <w:tblLook w:val="01E0" w:firstRow="1" w:lastRow="1" w:firstColumn="1" w:lastColumn="1" w:noHBand="0" w:noVBand="0"/>
      </w:tblPr>
      <w:tblGrid>
        <w:gridCol w:w="2446"/>
        <w:gridCol w:w="2412"/>
        <w:gridCol w:w="1277"/>
        <w:gridCol w:w="2845"/>
      </w:tblGrid>
      <w:tr w:rsidR="009B4BB4">
        <w:trPr>
          <w:trHeight w:val="599"/>
        </w:trPr>
        <w:tc>
          <w:tcPr>
            <w:tcW w:w="2446" w:type="dxa"/>
            <w:tcBorders>
              <w:top w:val="single" w:sz="8" w:space="0" w:color="000000"/>
              <w:bottom w:val="single" w:sz="8" w:space="0" w:color="000000"/>
            </w:tcBorders>
          </w:tcPr>
          <w:p w:rsidR="009B4BB4" w:rsidRDefault="00C44001">
            <w:pPr>
              <w:pStyle w:val="TableParagraph"/>
              <w:spacing w:before="50"/>
              <w:ind w:left="45" w:firstLine="30"/>
              <w:rPr>
                <w:rFonts w:ascii="Arial"/>
                <w:b/>
              </w:rPr>
            </w:pPr>
            <w:r>
              <w:rPr>
                <w:rFonts w:ascii="Arial"/>
                <w:b/>
              </w:rPr>
              <w:t xml:space="preserve">Fuente de </w:t>
            </w:r>
            <w:r>
              <w:rPr>
                <w:rFonts w:ascii="Arial"/>
                <w:b/>
                <w:spacing w:val="-2"/>
              </w:rPr>
              <w:t>Financiamiento</w:t>
            </w:r>
          </w:p>
        </w:tc>
        <w:tc>
          <w:tcPr>
            <w:tcW w:w="2412" w:type="dxa"/>
            <w:tcBorders>
              <w:top w:val="single" w:sz="8" w:space="0" w:color="000000"/>
              <w:bottom w:val="single" w:sz="8" w:space="0" w:color="000000"/>
            </w:tcBorders>
          </w:tcPr>
          <w:p w:rsidR="009B4BB4" w:rsidRDefault="00C44001">
            <w:pPr>
              <w:pStyle w:val="TableParagraph"/>
              <w:spacing w:before="176"/>
              <w:ind w:left="152"/>
              <w:jc w:val="center"/>
              <w:rPr>
                <w:rFonts w:ascii="Arial" w:hAnsi="Arial"/>
                <w:b/>
              </w:rPr>
            </w:pPr>
            <w:r>
              <w:rPr>
                <w:rFonts w:ascii="Arial" w:hAnsi="Arial"/>
                <w:b/>
                <w:spacing w:val="-2"/>
              </w:rPr>
              <w:t>Participación</w:t>
            </w:r>
          </w:p>
        </w:tc>
        <w:tc>
          <w:tcPr>
            <w:tcW w:w="1277" w:type="dxa"/>
            <w:tcBorders>
              <w:top w:val="single" w:sz="8" w:space="0" w:color="000000"/>
              <w:bottom w:val="single" w:sz="8" w:space="0" w:color="000000"/>
            </w:tcBorders>
          </w:tcPr>
          <w:p w:rsidR="009B4BB4" w:rsidRDefault="00C44001">
            <w:pPr>
              <w:pStyle w:val="TableParagraph"/>
              <w:spacing w:before="50"/>
              <w:ind w:left="454" w:right="163" w:hanging="10"/>
              <w:rPr>
                <w:rFonts w:ascii="Arial"/>
                <w:b/>
              </w:rPr>
            </w:pPr>
            <w:r>
              <w:rPr>
                <w:rFonts w:ascii="Arial"/>
                <w:b/>
                <w:spacing w:val="-2"/>
              </w:rPr>
              <w:t>Monto (USD)</w:t>
            </w:r>
          </w:p>
        </w:tc>
        <w:tc>
          <w:tcPr>
            <w:tcW w:w="2845" w:type="dxa"/>
            <w:tcBorders>
              <w:top w:val="single" w:sz="8" w:space="0" w:color="000000"/>
              <w:bottom w:val="single" w:sz="8" w:space="0" w:color="000000"/>
            </w:tcBorders>
          </w:tcPr>
          <w:p w:rsidR="009B4BB4" w:rsidRDefault="00C44001">
            <w:pPr>
              <w:pStyle w:val="TableParagraph"/>
              <w:spacing w:before="176"/>
              <w:ind w:left="240"/>
              <w:rPr>
                <w:rFonts w:ascii="Arial"/>
                <w:b/>
              </w:rPr>
            </w:pPr>
            <w:r>
              <w:rPr>
                <w:rFonts w:ascii="Arial"/>
                <w:b/>
              </w:rPr>
              <w:t>Destino</w:t>
            </w:r>
            <w:r>
              <w:rPr>
                <w:rFonts w:ascii="Arial"/>
                <w:b/>
                <w:spacing w:val="-7"/>
              </w:rPr>
              <w:t xml:space="preserve"> </w:t>
            </w:r>
            <w:r>
              <w:rPr>
                <w:rFonts w:ascii="Arial"/>
                <w:b/>
                <w:spacing w:val="-2"/>
              </w:rPr>
              <w:t>Principal</w:t>
            </w:r>
          </w:p>
        </w:tc>
      </w:tr>
      <w:tr w:rsidR="009B4BB4">
        <w:trPr>
          <w:trHeight w:val="595"/>
        </w:trPr>
        <w:tc>
          <w:tcPr>
            <w:tcW w:w="2446" w:type="dxa"/>
            <w:tcBorders>
              <w:top w:val="single" w:sz="8" w:space="0" w:color="000000"/>
            </w:tcBorders>
          </w:tcPr>
          <w:p w:rsidR="009B4BB4" w:rsidRDefault="00C44001">
            <w:pPr>
              <w:pStyle w:val="TableParagraph"/>
              <w:spacing w:before="41"/>
              <w:ind w:left="45" w:right="801" w:firstLine="30"/>
            </w:pPr>
            <w:r>
              <w:t>Aportes</w:t>
            </w:r>
            <w:r>
              <w:rPr>
                <w:spacing w:val="-16"/>
              </w:rPr>
              <w:t xml:space="preserve"> </w:t>
            </w:r>
            <w:r>
              <w:t xml:space="preserve">Propios </w:t>
            </w:r>
            <w:r>
              <w:rPr>
                <w:spacing w:val="-2"/>
              </w:rPr>
              <w:t>(Equity)</w:t>
            </w:r>
          </w:p>
        </w:tc>
        <w:tc>
          <w:tcPr>
            <w:tcW w:w="2412" w:type="dxa"/>
            <w:tcBorders>
              <w:top w:val="single" w:sz="8" w:space="0" w:color="000000"/>
            </w:tcBorders>
          </w:tcPr>
          <w:p w:rsidR="009B4BB4" w:rsidRDefault="00C44001">
            <w:pPr>
              <w:pStyle w:val="TableParagraph"/>
              <w:spacing w:before="167"/>
              <w:ind w:left="152"/>
              <w:jc w:val="center"/>
            </w:pPr>
            <w:r>
              <w:rPr>
                <w:spacing w:val="-5"/>
              </w:rPr>
              <w:t>60%</w:t>
            </w:r>
          </w:p>
        </w:tc>
        <w:tc>
          <w:tcPr>
            <w:tcW w:w="1277" w:type="dxa"/>
            <w:tcBorders>
              <w:top w:val="single" w:sz="8" w:space="0" w:color="000000"/>
            </w:tcBorders>
          </w:tcPr>
          <w:p w:rsidR="009B4BB4" w:rsidRDefault="00C44001">
            <w:pPr>
              <w:pStyle w:val="TableParagraph"/>
              <w:spacing w:before="167"/>
              <w:ind w:right="163"/>
              <w:jc w:val="right"/>
            </w:pPr>
            <w:r>
              <w:rPr>
                <w:spacing w:val="-2"/>
              </w:rPr>
              <w:t>$4,590</w:t>
            </w:r>
          </w:p>
        </w:tc>
        <w:tc>
          <w:tcPr>
            <w:tcW w:w="2845" w:type="dxa"/>
            <w:tcBorders>
              <w:top w:val="single" w:sz="8" w:space="0" w:color="000000"/>
            </w:tcBorders>
          </w:tcPr>
          <w:p w:rsidR="009B4BB4" w:rsidRDefault="00C44001">
            <w:pPr>
              <w:pStyle w:val="TableParagraph"/>
              <w:spacing w:before="41"/>
              <w:ind w:left="165" w:firstLine="30"/>
            </w:pPr>
            <w:r>
              <w:t>Desarrollo</w:t>
            </w:r>
            <w:r>
              <w:rPr>
                <w:spacing w:val="-13"/>
              </w:rPr>
              <w:t xml:space="preserve"> </w:t>
            </w:r>
            <w:r>
              <w:t>de</w:t>
            </w:r>
            <w:r>
              <w:rPr>
                <w:spacing w:val="-13"/>
              </w:rPr>
              <w:t xml:space="preserve"> </w:t>
            </w:r>
            <w:r>
              <w:t>marca</w:t>
            </w:r>
            <w:r>
              <w:rPr>
                <w:spacing w:val="-13"/>
              </w:rPr>
              <w:t xml:space="preserve"> </w:t>
            </w:r>
            <w:r>
              <w:t>y activos fijos.</w:t>
            </w:r>
          </w:p>
        </w:tc>
      </w:tr>
      <w:tr w:rsidR="009B4BB4">
        <w:trPr>
          <w:trHeight w:val="596"/>
        </w:trPr>
        <w:tc>
          <w:tcPr>
            <w:tcW w:w="2446" w:type="dxa"/>
          </w:tcPr>
          <w:p w:rsidR="009B4BB4" w:rsidRDefault="00C44001">
            <w:pPr>
              <w:pStyle w:val="TableParagraph"/>
              <w:spacing w:before="41"/>
              <w:ind w:left="45" w:firstLine="30"/>
            </w:pPr>
            <w:r>
              <w:rPr>
                <w:spacing w:val="-2"/>
              </w:rPr>
              <w:t>Deuda (Microcrédito/FFF)</w:t>
            </w:r>
          </w:p>
        </w:tc>
        <w:tc>
          <w:tcPr>
            <w:tcW w:w="2412" w:type="dxa"/>
          </w:tcPr>
          <w:p w:rsidR="009B4BB4" w:rsidRDefault="00C44001">
            <w:pPr>
              <w:pStyle w:val="TableParagraph"/>
              <w:spacing w:before="168"/>
              <w:ind w:left="152"/>
              <w:jc w:val="center"/>
            </w:pPr>
            <w:r>
              <w:rPr>
                <w:spacing w:val="-5"/>
              </w:rPr>
              <w:t>30%</w:t>
            </w:r>
          </w:p>
        </w:tc>
        <w:tc>
          <w:tcPr>
            <w:tcW w:w="1277" w:type="dxa"/>
          </w:tcPr>
          <w:p w:rsidR="009B4BB4" w:rsidRDefault="00C44001">
            <w:pPr>
              <w:pStyle w:val="TableParagraph"/>
              <w:spacing w:before="168"/>
              <w:ind w:right="163"/>
              <w:jc w:val="right"/>
            </w:pPr>
            <w:r>
              <w:rPr>
                <w:spacing w:val="-2"/>
              </w:rPr>
              <w:t>$2,295</w:t>
            </w:r>
          </w:p>
        </w:tc>
        <w:tc>
          <w:tcPr>
            <w:tcW w:w="2845" w:type="dxa"/>
          </w:tcPr>
          <w:p w:rsidR="009B4BB4" w:rsidRDefault="00C44001">
            <w:pPr>
              <w:pStyle w:val="TableParagraph"/>
              <w:spacing w:before="41"/>
              <w:ind w:left="165" w:firstLine="30"/>
            </w:pPr>
            <w:r>
              <w:t>Capital</w:t>
            </w:r>
            <w:r>
              <w:rPr>
                <w:spacing w:val="-16"/>
              </w:rPr>
              <w:t xml:space="preserve"> </w:t>
            </w:r>
            <w:r>
              <w:t>de</w:t>
            </w:r>
            <w:r>
              <w:rPr>
                <w:spacing w:val="-15"/>
              </w:rPr>
              <w:t xml:space="preserve"> </w:t>
            </w:r>
            <w:r>
              <w:t xml:space="preserve">Trabajo </w:t>
            </w:r>
            <w:r>
              <w:rPr>
                <w:spacing w:val="-2"/>
              </w:rPr>
              <w:t>(Inventario).</w:t>
            </w:r>
          </w:p>
        </w:tc>
      </w:tr>
      <w:tr w:rsidR="009B4BB4">
        <w:trPr>
          <w:trHeight w:val="588"/>
        </w:trPr>
        <w:tc>
          <w:tcPr>
            <w:tcW w:w="2446" w:type="dxa"/>
            <w:tcBorders>
              <w:bottom w:val="single" w:sz="8" w:space="0" w:color="000000"/>
            </w:tcBorders>
          </w:tcPr>
          <w:p w:rsidR="009B4BB4" w:rsidRDefault="00C44001">
            <w:pPr>
              <w:pStyle w:val="TableParagraph"/>
              <w:spacing w:before="168"/>
              <w:ind w:left="75"/>
            </w:pPr>
            <w:r>
              <w:rPr>
                <w:spacing w:val="-2"/>
              </w:rPr>
              <w:t>Subvenciones</w:t>
            </w:r>
          </w:p>
        </w:tc>
        <w:tc>
          <w:tcPr>
            <w:tcW w:w="2412" w:type="dxa"/>
            <w:tcBorders>
              <w:bottom w:val="single" w:sz="8" w:space="0" w:color="000000"/>
            </w:tcBorders>
          </w:tcPr>
          <w:p w:rsidR="009B4BB4" w:rsidRDefault="00C44001">
            <w:pPr>
              <w:pStyle w:val="TableParagraph"/>
              <w:spacing w:before="168"/>
              <w:ind w:left="152"/>
              <w:jc w:val="center"/>
            </w:pPr>
            <w:r>
              <w:rPr>
                <w:spacing w:val="-5"/>
              </w:rPr>
              <w:t>10%</w:t>
            </w:r>
          </w:p>
        </w:tc>
        <w:tc>
          <w:tcPr>
            <w:tcW w:w="1277" w:type="dxa"/>
            <w:tcBorders>
              <w:bottom w:val="single" w:sz="8" w:space="0" w:color="000000"/>
            </w:tcBorders>
          </w:tcPr>
          <w:p w:rsidR="009B4BB4" w:rsidRDefault="00C44001">
            <w:pPr>
              <w:pStyle w:val="TableParagraph"/>
              <w:spacing w:before="168"/>
              <w:ind w:right="255"/>
              <w:jc w:val="right"/>
            </w:pPr>
            <w:r>
              <w:rPr>
                <w:spacing w:val="-4"/>
              </w:rPr>
              <w:t>$765</w:t>
            </w:r>
          </w:p>
        </w:tc>
        <w:tc>
          <w:tcPr>
            <w:tcW w:w="2845" w:type="dxa"/>
            <w:tcBorders>
              <w:bottom w:val="single" w:sz="8" w:space="0" w:color="000000"/>
            </w:tcBorders>
          </w:tcPr>
          <w:p w:rsidR="009B4BB4" w:rsidRDefault="00C44001">
            <w:pPr>
              <w:pStyle w:val="TableParagraph"/>
              <w:spacing w:before="41"/>
              <w:ind w:left="165" w:right="633" w:firstLine="30"/>
            </w:pPr>
            <w:r>
              <w:t>Certificaciones y capacitación</w:t>
            </w:r>
            <w:r>
              <w:rPr>
                <w:spacing w:val="-16"/>
              </w:rPr>
              <w:t xml:space="preserve"> </w:t>
            </w:r>
            <w:r>
              <w:t>técnica.</w:t>
            </w:r>
          </w:p>
        </w:tc>
      </w:tr>
      <w:tr w:rsidR="009B4BB4">
        <w:trPr>
          <w:trHeight w:val="580"/>
        </w:trPr>
        <w:tc>
          <w:tcPr>
            <w:tcW w:w="2446" w:type="dxa"/>
            <w:tcBorders>
              <w:top w:val="single" w:sz="8" w:space="0" w:color="000000"/>
              <w:bottom w:val="single" w:sz="8" w:space="0" w:color="000000"/>
            </w:tcBorders>
          </w:tcPr>
          <w:p w:rsidR="009B4BB4" w:rsidRDefault="00C44001">
            <w:pPr>
              <w:pStyle w:val="TableParagraph"/>
              <w:spacing w:before="170"/>
              <w:ind w:left="75"/>
              <w:rPr>
                <w:rFonts w:ascii="Arial"/>
                <w:b/>
              </w:rPr>
            </w:pPr>
            <w:r>
              <w:rPr>
                <w:rFonts w:ascii="Arial"/>
                <w:b/>
                <w:spacing w:val="-2"/>
              </w:rPr>
              <w:t>TOTAL</w:t>
            </w:r>
          </w:p>
        </w:tc>
        <w:tc>
          <w:tcPr>
            <w:tcW w:w="2412" w:type="dxa"/>
            <w:tcBorders>
              <w:top w:val="single" w:sz="8" w:space="0" w:color="000000"/>
              <w:bottom w:val="single" w:sz="8" w:space="0" w:color="000000"/>
            </w:tcBorders>
          </w:tcPr>
          <w:p w:rsidR="009B4BB4" w:rsidRDefault="00C44001">
            <w:pPr>
              <w:pStyle w:val="TableParagraph"/>
              <w:spacing w:before="170"/>
              <w:ind w:left="152"/>
              <w:jc w:val="center"/>
              <w:rPr>
                <w:rFonts w:ascii="Arial"/>
                <w:b/>
              </w:rPr>
            </w:pPr>
            <w:r>
              <w:rPr>
                <w:rFonts w:ascii="Arial"/>
                <w:b/>
                <w:spacing w:val="-4"/>
              </w:rPr>
              <w:t>100%</w:t>
            </w:r>
          </w:p>
        </w:tc>
        <w:tc>
          <w:tcPr>
            <w:tcW w:w="1277" w:type="dxa"/>
            <w:tcBorders>
              <w:top w:val="single" w:sz="8" w:space="0" w:color="000000"/>
              <w:bottom w:val="single" w:sz="8" w:space="0" w:color="000000"/>
            </w:tcBorders>
          </w:tcPr>
          <w:p w:rsidR="009B4BB4" w:rsidRDefault="00C44001">
            <w:pPr>
              <w:pStyle w:val="TableParagraph"/>
              <w:spacing w:before="170"/>
              <w:ind w:right="163"/>
              <w:jc w:val="right"/>
              <w:rPr>
                <w:rFonts w:ascii="Arial"/>
                <w:b/>
              </w:rPr>
            </w:pPr>
            <w:r>
              <w:rPr>
                <w:rFonts w:ascii="Arial"/>
                <w:b/>
                <w:spacing w:val="-2"/>
              </w:rPr>
              <w:t>$7,650</w:t>
            </w:r>
          </w:p>
        </w:tc>
        <w:tc>
          <w:tcPr>
            <w:tcW w:w="2845" w:type="dxa"/>
            <w:tcBorders>
              <w:top w:val="single" w:sz="8" w:space="0" w:color="000000"/>
              <w:bottom w:val="single" w:sz="8" w:space="0" w:color="000000"/>
            </w:tcBorders>
          </w:tcPr>
          <w:p w:rsidR="009B4BB4" w:rsidRDefault="00C44001">
            <w:pPr>
              <w:pStyle w:val="TableParagraph"/>
              <w:spacing w:before="43"/>
              <w:ind w:left="210" w:right="1305" w:firstLine="30"/>
              <w:rPr>
                <w:rFonts w:ascii="Arial"/>
                <w:b/>
              </w:rPr>
            </w:pPr>
            <w:r>
              <w:rPr>
                <w:rFonts w:ascii="Arial"/>
                <w:b/>
              </w:rPr>
              <w:t>Arranque</w:t>
            </w:r>
            <w:r>
              <w:rPr>
                <w:rFonts w:ascii="Arial"/>
                <w:b/>
                <w:spacing w:val="-16"/>
              </w:rPr>
              <w:t xml:space="preserve"> </w:t>
            </w:r>
            <w:r>
              <w:rPr>
                <w:rFonts w:ascii="Arial"/>
                <w:b/>
              </w:rPr>
              <w:t xml:space="preserve">de </w:t>
            </w:r>
            <w:r>
              <w:rPr>
                <w:rFonts w:ascii="Arial"/>
                <w:b/>
                <w:spacing w:val="-2"/>
              </w:rPr>
              <w:t>operaciones</w:t>
            </w:r>
          </w:p>
        </w:tc>
      </w:tr>
    </w:tbl>
    <w:p w:rsidR="009B4BB4" w:rsidRDefault="00C44001">
      <w:pPr>
        <w:pStyle w:val="Textoindependiente"/>
        <w:spacing w:before="251" w:line="360" w:lineRule="auto"/>
        <w:ind w:left="425" w:right="606"/>
        <w:jc w:val="both"/>
      </w:pPr>
      <w:r>
        <w:rPr>
          <w:rFonts w:ascii="Arial" w:hAnsi="Arial"/>
          <w:i/>
        </w:rPr>
        <w:t xml:space="preserve">Nota. </w:t>
      </w:r>
      <w:r>
        <w:t>Las subvenciones se proyectan a través de convocatorias de emprendimiento social o premios estatales de innovación que no generan costo financiero ni dilución. Elaboración propia (2025).</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9B4BB4">
      <w:pPr>
        <w:pStyle w:val="Textoindependiente"/>
        <w:spacing w:before="5"/>
      </w:pPr>
    </w:p>
    <w:p w:rsidR="009B4BB4" w:rsidRDefault="00C44001">
      <w:pPr>
        <w:pStyle w:val="Textoindependiente"/>
        <w:spacing w:before="1" w:line="360" w:lineRule="auto"/>
        <w:ind w:left="425" w:right="610" w:firstLine="720"/>
        <w:jc w:val="both"/>
      </w:pPr>
      <w:r>
        <w:t>La elección de esta</w:t>
      </w:r>
      <w:r>
        <w:rPr>
          <w:spacing w:val="-4"/>
        </w:rPr>
        <w:t xml:space="preserve"> </w:t>
      </w:r>
      <w:r>
        <w:t>estructura</w:t>
      </w:r>
      <w:r>
        <w:rPr>
          <w:spacing w:val="-4"/>
        </w:rPr>
        <w:t xml:space="preserve"> </w:t>
      </w:r>
      <w:r>
        <w:t>(60-30-10)</w:t>
      </w:r>
      <w:r>
        <w:rPr>
          <w:spacing w:val="-4"/>
        </w:rPr>
        <w:t xml:space="preserve"> </w:t>
      </w:r>
      <w:r>
        <w:t>responde</w:t>
      </w:r>
      <w:r>
        <w:rPr>
          <w:spacing w:val="-4"/>
        </w:rPr>
        <w:t xml:space="preserve"> </w:t>
      </w:r>
      <w:r>
        <w:t>a</w:t>
      </w:r>
      <w:r>
        <w:rPr>
          <w:spacing w:val="-4"/>
        </w:rPr>
        <w:t xml:space="preserve"> </w:t>
      </w:r>
      <w:r>
        <w:t>tres</w:t>
      </w:r>
      <w:r>
        <w:rPr>
          <w:spacing w:val="-4"/>
        </w:rPr>
        <w:t xml:space="preserve"> </w:t>
      </w:r>
      <w:r>
        <w:t>criterios</w:t>
      </w:r>
      <w:r>
        <w:rPr>
          <w:spacing w:val="-4"/>
        </w:rPr>
        <w:t xml:space="preserve"> </w:t>
      </w:r>
      <w:r>
        <w:t>estratégicos</w:t>
      </w:r>
      <w:r>
        <w:rPr>
          <w:spacing w:val="-4"/>
        </w:rPr>
        <w:t xml:space="preserve"> </w:t>
      </w:r>
      <w:r>
        <w:t>de eficiencia y gestión de riesgo.</w:t>
      </w:r>
    </w:p>
    <w:p w:rsidR="009B4BB4" w:rsidRDefault="00C44001">
      <w:pPr>
        <w:pStyle w:val="Textoindependiente"/>
        <w:spacing w:line="360" w:lineRule="auto"/>
        <w:ind w:left="425" w:right="605" w:firstLine="720"/>
        <w:jc w:val="both"/>
      </w:pPr>
      <w:r>
        <w:t>En primer lugar, la optimización del costo de capital. Al integrar un 10% de recursos provenientes</w:t>
      </w:r>
      <w:r>
        <w:rPr>
          <w:spacing w:val="-3"/>
        </w:rPr>
        <w:t xml:space="preserve"> </w:t>
      </w:r>
      <w:r>
        <w:t>de</w:t>
      </w:r>
      <w:r>
        <w:rPr>
          <w:spacing w:val="-3"/>
        </w:rPr>
        <w:t xml:space="preserve"> </w:t>
      </w:r>
      <w:r>
        <w:t>subvenciones</w:t>
      </w:r>
      <w:r>
        <w:rPr>
          <w:spacing w:val="-3"/>
        </w:rPr>
        <w:t xml:space="preserve"> </w:t>
      </w:r>
      <w:r>
        <w:t>y</w:t>
      </w:r>
      <w:r>
        <w:rPr>
          <w:spacing w:val="-3"/>
        </w:rPr>
        <w:t xml:space="preserve"> </w:t>
      </w:r>
      <w:r>
        <w:t>limitar</w:t>
      </w:r>
      <w:r>
        <w:rPr>
          <w:spacing w:val="-3"/>
        </w:rPr>
        <w:t xml:space="preserve"> </w:t>
      </w:r>
      <w:r>
        <w:t>la</w:t>
      </w:r>
      <w:r>
        <w:rPr>
          <w:spacing w:val="-3"/>
        </w:rPr>
        <w:t xml:space="preserve"> </w:t>
      </w:r>
      <w:r>
        <w:t>deuda</w:t>
      </w:r>
      <w:r>
        <w:rPr>
          <w:spacing w:val="-3"/>
        </w:rPr>
        <w:t xml:space="preserve"> </w:t>
      </w:r>
      <w:r>
        <w:t>al</w:t>
      </w:r>
      <w:r>
        <w:rPr>
          <w:spacing w:val="-3"/>
        </w:rPr>
        <w:t xml:space="preserve"> </w:t>
      </w:r>
      <w:r>
        <w:t>30%,</w:t>
      </w:r>
      <w:r>
        <w:rPr>
          <w:spacing w:val="-3"/>
        </w:rPr>
        <w:t xml:space="preserve"> </w:t>
      </w:r>
      <w:r>
        <w:t>se</w:t>
      </w:r>
      <w:r>
        <w:rPr>
          <w:spacing w:val="-3"/>
        </w:rPr>
        <w:t xml:space="preserve"> </w:t>
      </w:r>
      <w:r>
        <w:t>reduce</w:t>
      </w:r>
      <w:r>
        <w:rPr>
          <w:spacing w:val="-3"/>
        </w:rPr>
        <w:t xml:space="preserve"> </w:t>
      </w:r>
      <w:r>
        <w:t>la</w:t>
      </w:r>
      <w:r>
        <w:rPr>
          <w:spacing w:val="-3"/>
        </w:rPr>
        <w:t xml:space="preserve"> </w:t>
      </w:r>
      <w:r>
        <w:t>presión</w:t>
      </w:r>
      <w:r>
        <w:rPr>
          <w:spacing w:val="-3"/>
        </w:rPr>
        <w:t xml:space="preserve"> </w:t>
      </w:r>
      <w:r>
        <w:t>de los pagos financieros en</w:t>
      </w:r>
      <w:r>
        <w:t xml:space="preserve"> la etapa inicial, permitiendo alcanzar un costo de capital ponderado cercano al 12%.</w:t>
      </w:r>
    </w:p>
    <w:p w:rsidR="009B4BB4" w:rsidRDefault="00C44001">
      <w:pPr>
        <w:pStyle w:val="Textoindependiente"/>
        <w:spacing w:line="360" w:lineRule="auto"/>
        <w:ind w:left="425" w:right="604" w:firstLine="720"/>
        <w:jc w:val="both"/>
      </w:pPr>
      <w:r>
        <w:t>En segundo lugar, la flexibilidad financiera. Mantener un nivel moderado de endeudamiento</w:t>
      </w:r>
      <w:r>
        <w:rPr>
          <w:spacing w:val="-4"/>
        </w:rPr>
        <w:t xml:space="preserve"> </w:t>
      </w:r>
      <w:r>
        <w:t>asegura</w:t>
      </w:r>
      <w:r>
        <w:rPr>
          <w:spacing w:val="-4"/>
        </w:rPr>
        <w:t xml:space="preserve"> </w:t>
      </w:r>
      <w:r>
        <w:t>que</w:t>
      </w:r>
      <w:r>
        <w:rPr>
          <w:spacing w:val="-4"/>
        </w:rPr>
        <w:t xml:space="preserve"> </w:t>
      </w:r>
      <w:r>
        <w:t>el</w:t>
      </w:r>
      <w:r>
        <w:rPr>
          <w:spacing w:val="-4"/>
        </w:rPr>
        <w:t xml:space="preserve"> </w:t>
      </w:r>
      <w:r>
        <w:t>flujo</w:t>
      </w:r>
      <w:r>
        <w:rPr>
          <w:spacing w:val="-4"/>
        </w:rPr>
        <w:t xml:space="preserve"> </w:t>
      </w:r>
      <w:r>
        <w:t>de</w:t>
      </w:r>
      <w:r>
        <w:rPr>
          <w:spacing w:val="-4"/>
        </w:rPr>
        <w:t xml:space="preserve"> </w:t>
      </w:r>
      <w:r>
        <w:t>caja</w:t>
      </w:r>
      <w:r>
        <w:rPr>
          <w:spacing w:val="-4"/>
        </w:rPr>
        <w:t xml:space="preserve"> </w:t>
      </w:r>
      <w:r>
        <w:t>operativo</w:t>
      </w:r>
      <w:r>
        <w:rPr>
          <w:spacing w:val="-4"/>
        </w:rPr>
        <w:t xml:space="preserve"> </w:t>
      </w:r>
      <w:r>
        <w:t>pueda</w:t>
      </w:r>
      <w:r>
        <w:rPr>
          <w:spacing w:val="-4"/>
        </w:rPr>
        <w:t xml:space="preserve"> </w:t>
      </w:r>
      <w:r>
        <w:t>cubrir</w:t>
      </w:r>
      <w:r>
        <w:rPr>
          <w:spacing w:val="-4"/>
        </w:rPr>
        <w:t xml:space="preserve"> </w:t>
      </w:r>
      <w:r>
        <w:t>el</w:t>
      </w:r>
      <w:r>
        <w:rPr>
          <w:spacing w:val="-4"/>
        </w:rPr>
        <w:t xml:space="preserve"> </w:t>
      </w:r>
      <w:r>
        <w:t>servicio</w:t>
      </w:r>
      <w:r>
        <w:rPr>
          <w:spacing w:val="-4"/>
        </w:rPr>
        <w:t xml:space="preserve"> </w:t>
      </w:r>
      <w:r>
        <w:t>de</w:t>
      </w:r>
      <w:r>
        <w:rPr>
          <w:spacing w:val="-4"/>
        </w:rPr>
        <w:t xml:space="preserve"> </w:t>
      </w:r>
      <w:r>
        <w:t>la</w:t>
      </w:r>
      <w:r>
        <w:rPr>
          <w:spacing w:val="-4"/>
        </w:rPr>
        <w:t xml:space="preserve"> </w:t>
      </w:r>
      <w:r>
        <w:t>deuda sin generar tensiones de liquidez, incluso en un contexto de estacionalidad propio del mercado turístico.</w:t>
      </w:r>
    </w:p>
    <w:p w:rsidR="009B4BB4" w:rsidRDefault="00C44001">
      <w:pPr>
        <w:pStyle w:val="Textoindependiente"/>
        <w:spacing w:line="360" w:lineRule="auto"/>
        <w:ind w:left="425" w:right="606" w:firstLine="720"/>
        <w:jc w:val="both"/>
      </w:pPr>
      <w:r>
        <w:t>Finalmente, el aprovechamiento del escudo fiscal. La deuda, aunque contenida, genera intereses deducibles que contribuyen a mejorar la rentabili</w:t>
      </w:r>
      <w:r>
        <w:t xml:space="preserve">dad neta para los </w:t>
      </w:r>
      <w:r>
        <w:rPr>
          <w:spacing w:val="-2"/>
        </w:rPr>
        <w:t>socios.</w:t>
      </w:r>
    </w:p>
    <w:p w:rsidR="009B4BB4" w:rsidRDefault="00C44001">
      <w:pPr>
        <w:pStyle w:val="Textoindependiente"/>
        <w:spacing w:line="360" w:lineRule="auto"/>
        <w:ind w:left="425" w:right="606" w:firstLine="720"/>
        <w:jc w:val="both"/>
      </w:pPr>
      <w:r>
        <w:t>En conjunto, esta configuración permite capturar los beneficios del apalancamiento sin incurrir en niveles de riesgo elevados, al tiempo que posiciona al proyecto como elegible tanto para financiamiento tradicional como para fondo</w:t>
      </w:r>
      <w:r>
        <w:t>s de impacto vinculados al desarrollo regional de Quintana Roo y Yucatán.</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rsidP="00C44001">
      <w:pPr>
        <w:pStyle w:val="Ttulo2"/>
        <w:numPr>
          <w:ilvl w:val="2"/>
          <w:numId w:val="4"/>
        </w:numPr>
        <w:tabs>
          <w:tab w:val="left" w:pos="1000"/>
        </w:tabs>
        <w:spacing w:before="0"/>
        <w:ind w:left="1000" w:hanging="545"/>
      </w:pPr>
      <w:bookmarkStart w:id="263" w:name="7.9.1_Escenarios_de_retorno_al_inversion"/>
      <w:bookmarkStart w:id="264" w:name="h.3l4y9hspe22"/>
      <w:bookmarkEnd w:id="263"/>
      <w:bookmarkEnd w:id="264"/>
      <w:r>
        <w:t>Escenarios</w:t>
      </w:r>
      <w:r>
        <w:rPr>
          <w:spacing w:val="-6"/>
        </w:rPr>
        <w:t xml:space="preserve"> </w:t>
      </w:r>
      <w:r>
        <w:t>de</w:t>
      </w:r>
      <w:r>
        <w:rPr>
          <w:spacing w:val="-5"/>
        </w:rPr>
        <w:t xml:space="preserve"> </w:t>
      </w:r>
      <w:r>
        <w:t>retorno</w:t>
      </w:r>
      <w:r>
        <w:rPr>
          <w:spacing w:val="-5"/>
        </w:rPr>
        <w:t xml:space="preserve"> </w:t>
      </w:r>
      <w:r>
        <w:t>al</w:t>
      </w:r>
      <w:r>
        <w:rPr>
          <w:spacing w:val="-5"/>
        </w:rPr>
        <w:t xml:space="preserve"> </w:t>
      </w:r>
      <w:r>
        <w:rPr>
          <w:spacing w:val="-2"/>
        </w:rPr>
        <w:t>inversionista</w:t>
      </w:r>
    </w:p>
    <w:p w:rsidR="009B4BB4" w:rsidRDefault="009B4BB4">
      <w:pPr>
        <w:pStyle w:val="Textoindependiente"/>
        <w:spacing w:before="113"/>
        <w:rPr>
          <w:rFonts w:ascii="Arial"/>
          <w:b/>
          <w:i/>
        </w:rPr>
      </w:pPr>
    </w:p>
    <w:p w:rsidR="009B4BB4" w:rsidRDefault="00C44001">
      <w:pPr>
        <w:pStyle w:val="Textoindependiente"/>
        <w:spacing w:before="1" w:line="360" w:lineRule="auto"/>
        <w:ind w:left="425" w:right="603" w:firstLine="720"/>
        <w:jc w:val="both"/>
      </w:pPr>
      <w:r>
        <w:t>Para validar la eficiencia de la estructura financiera de Guardiana, se realiza un análisis comparativo entre un escenario de financiamiento tradicional, basado en 100% capital propio, y el esquema de financiamiento híbrido propuesto (60/30/10).</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9B4BB4">
      <w:pPr>
        <w:pStyle w:val="Textoindependiente"/>
        <w:spacing w:before="5"/>
      </w:pPr>
    </w:p>
    <w:p w:rsidR="009B4BB4" w:rsidRDefault="00C44001">
      <w:pPr>
        <w:pStyle w:val="Ttulo1"/>
      </w:pPr>
      <w:r>
        <w:rPr>
          <w:spacing w:val="-2"/>
        </w:rPr>
        <w:t>Tabla</w:t>
      </w:r>
      <w:r>
        <w:rPr>
          <w:spacing w:val="-13"/>
        </w:rPr>
        <w:t xml:space="preserve"> </w:t>
      </w:r>
      <w:r>
        <w:rPr>
          <w:spacing w:val="-4"/>
        </w:rPr>
        <w:t>7.21</w:t>
      </w:r>
    </w:p>
    <w:p w:rsidR="009B4BB4" w:rsidRDefault="00C44001">
      <w:pPr>
        <w:spacing w:before="127"/>
        <w:ind w:left="455"/>
        <w:rPr>
          <w:rFonts w:ascii="Arial" w:hAnsi="Arial"/>
          <w:i/>
        </w:rPr>
      </w:pPr>
      <w:r>
        <w:rPr>
          <w:rFonts w:ascii="Arial" w:hAnsi="Arial"/>
          <w:i/>
        </w:rPr>
        <w:t>Análisis</w:t>
      </w:r>
      <w:r>
        <w:rPr>
          <w:rFonts w:ascii="Arial" w:hAnsi="Arial"/>
          <w:i/>
          <w:spacing w:val="-7"/>
        </w:rPr>
        <w:t xml:space="preserve"> </w:t>
      </w:r>
      <w:r>
        <w:rPr>
          <w:rFonts w:ascii="Arial" w:hAnsi="Arial"/>
          <w:i/>
        </w:rPr>
        <w:t>comparativo</w:t>
      </w:r>
      <w:r>
        <w:rPr>
          <w:rFonts w:ascii="Arial" w:hAnsi="Arial"/>
          <w:i/>
          <w:spacing w:val="-6"/>
        </w:rPr>
        <w:t xml:space="preserve"> </w:t>
      </w:r>
      <w:r>
        <w:rPr>
          <w:rFonts w:ascii="Arial" w:hAnsi="Arial"/>
          <w:i/>
        </w:rPr>
        <w:t>del</w:t>
      </w:r>
      <w:r>
        <w:rPr>
          <w:rFonts w:ascii="Arial" w:hAnsi="Arial"/>
          <w:i/>
          <w:spacing w:val="-7"/>
        </w:rPr>
        <w:t xml:space="preserve"> </w:t>
      </w:r>
      <w:r>
        <w:rPr>
          <w:rFonts w:ascii="Arial" w:hAnsi="Arial"/>
          <w:i/>
        </w:rPr>
        <w:t>rendimiento</w:t>
      </w:r>
      <w:r>
        <w:rPr>
          <w:rFonts w:ascii="Arial" w:hAnsi="Arial"/>
          <w:i/>
          <w:spacing w:val="-6"/>
        </w:rPr>
        <w:t xml:space="preserve"> </w:t>
      </w:r>
      <w:r>
        <w:rPr>
          <w:rFonts w:ascii="Arial" w:hAnsi="Arial"/>
          <w:i/>
        </w:rPr>
        <w:t>para</w:t>
      </w:r>
      <w:r>
        <w:rPr>
          <w:rFonts w:ascii="Arial" w:hAnsi="Arial"/>
          <w:i/>
          <w:spacing w:val="-7"/>
        </w:rPr>
        <w:t xml:space="preserve"> </w:t>
      </w:r>
      <w:r>
        <w:rPr>
          <w:rFonts w:ascii="Arial" w:hAnsi="Arial"/>
          <w:i/>
        </w:rPr>
        <w:t>el</w:t>
      </w:r>
      <w:r>
        <w:rPr>
          <w:rFonts w:ascii="Arial" w:hAnsi="Arial"/>
          <w:i/>
          <w:spacing w:val="-6"/>
        </w:rPr>
        <w:t xml:space="preserve"> </w:t>
      </w:r>
      <w:r>
        <w:rPr>
          <w:rFonts w:ascii="Arial" w:hAnsi="Arial"/>
          <w:i/>
          <w:spacing w:val="-2"/>
        </w:rPr>
        <w:t>accionista</w:t>
      </w:r>
    </w:p>
    <w:p w:rsidR="009B4BB4" w:rsidRDefault="009B4BB4">
      <w:pPr>
        <w:pStyle w:val="Textoindependiente"/>
        <w:spacing w:before="5"/>
        <w:rPr>
          <w:rFonts w:ascii="Arial"/>
          <w:i/>
          <w:sz w:val="9"/>
        </w:rPr>
      </w:pPr>
    </w:p>
    <w:tbl>
      <w:tblPr>
        <w:tblStyle w:val="TableNormal"/>
        <w:tblW w:w="0" w:type="auto"/>
        <w:tblInd w:w="492" w:type="dxa"/>
        <w:tblLayout w:type="fixed"/>
        <w:tblLook w:val="01E0" w:firstRow="1" w:lastRow="1" w:firstColumn="1" w:lastColumn="1" w:noHBand="0" w:noVBand="0"/>
      </w:tblPr>
      <w:tblGrid>
        <w:gridCol w:w="3532"/>
        <w:gridCol w:w="3007"/>
        <w:gridCol w:w="2100"/>
      </w:tblGrid>
      <w:tr w:rsidR="009B4BB4">
        <w:trPr>
          <w:trHeight w:val="1059"/>
        </w:trPr>
        <w:tc>
          <w:tcPr>
            <w:tcW w:w="3532" w:type="dxa"/>
            <w:tcBorders>
              <w:top w:val="single" w:sz="8" w:space="0" w:color="000000"/>
              <w:bottom w:val="single" w:sz="8" w:space="0" w:color="000000"/>
            </w:tcBorders>
          </w:tcPr>
          <w:p w:rsidR="009B4BB4" w:rsidRDefault="009B4BB4">
            <w:pPr>
              <w:pStyle w:val="TableParagraph"/>
              <w:spacing w:before="158"/>
              <w:rPr>
                <w:rFonts w:ascii="Arial"/>
                <w:i/>
              </w:rPr>
            </w:pPr>
          </w:p>
          <w:p w:rsidR="009B4BB4" w:rsidRDefault="00C44001">
            <w:pPr>
              <w:pStyle w:val="TableParagraph"/>
              <w:ind w:right="48"/>
              <w:jc w:val="center"/>
              <w:rPr>
                <w:rFonts w:ascii="Arial"/>
                <w:b/>
              </w:rPr>
            </w:pPr>
            <w:r>
              <w:rPr>
                <w:rFonts w:ascii="Arial"/>
                <w:b/>
                <w:spacing w:val="-2"/>
              </w:rPr>
              <w:t>Indicador</w:t>
            </w:r>
          </w:p>
        </w:tc>
        <w:tc>
          <w:tcPr>
            <w:tcW w:w="3007" w:type="dxa"/>
            <w:tcBorders>
              <w:top w:val="single" w:sz="8" w:space="0" w:color="000000"/>
              <w:bottom w:val="single" w:sz="8" w:space="0" w:color="000000"/>
            </w:tcBorders>
          </w:tcPr>
          <w:p w:rsidR="009B4BB4" w:rsidRDefault="009B4BB4">
            <w:pPr>
              <w:pStyle w:val="TableParagraph"/>
              <w:spacing w:before="32"/>
              <w:rPr>
                <w:rFonts w:ascii="Arial"/>
                <w:i/>
              </w:rPr>
            </w:pPr>
          </w:p>
          <w:p w:rsidR="009B4BB4" w:rsidRDefault="00C44001">
            <w:pPr>
              <w:pStyle w:val="TableParagraph"/>
              <w:ind w:left="690" w:hanging="505"/>
              <w:rPr>
                <w:rFonts w:ascii="Arial"/>
                <w:b/>
              </w:rPr>
            </w:pPr>
            <w:r>
              <w:rPr>
                <w:rFonts w:ascii="Arial"/>
                <w:b/>
              </w:rPr>
              <w:t>Escenario</w:t>
            </w:r>
            <w:r>
              <w:rPr>
                <w:rFonts w:ascii="Arial"/>
                <w:b/>
                <w:spacing w:val="-13"/>
              </w:rPr>
              <w:t xml:space="preserve"> </w:t>
            </w:r>
            <w:r>
              <w:rPr>
                <w:rFonts w:ascii="Arial"/>
                <w:b/>
              </w:rPr>
              <w:t>A:</w:t>
            </w:r>
            <w:r>
              <w:rPr>
                <w:rFonts w:ascii="Arial"/>
                <w:b/>
                <w:spacing w:val="-13"/>
              </w:rPr>
              <w:t xml:space="preserve"> </w:t>
            </w:r>
            <w:r>
              <w:rPr>
                <w:rFonts w:ascii="Arial"/>
                <w:b/>
              </w:rPr>
              <w:t>Sin</w:t>
            </w:r>
            <w:r>
              <w:rPr>
                <w:rFonts w:ascii="Arial"/>
                <w:b/>
                <w:spacing w:val="-13"/>
              </w:rPr>
              <w:t xml:space="preserve"> </w:t>
            </w:r>
            <w:r>
              <w:rPr>
                <w:rFonts w:ascii="Arial"/>
                <w:b/>
              </w:rPr>
              <w:t>Deuda (100% Equity)</w:t>
            </w:r>
          </w:p>
        </w:tc>
        <w:tc>
          <w:tcPr>
            <w:tcW w:w="2100" w:type="dxa"/>
            <w:tcBorders>
              <w:top w:val="single" w:sz="8" w:space="0" w:color="000000"/>
              <w:bottom w:val="single" w:sz="8" w:space="0" w:color="000000"/>
            </w:tcBorders>
          </w:tcPr>
          <w:p w:rsidR="009B4BB4" w:rsidRDefault="00C44001">
            <w:pPr>
              <w:pStyle w:val="TableParagraph"/>
              <w:spacing w:before="158"/>
              <w:ind w:left="342" w:right="411"/>
              <w:jc w:val="center"/>
              <w:rPr>
                <w:rFonts w:ascii="Arial" w:hAnsi="Arial"/>
                <w:b/>
              </w:rPr>
            </w:pPr>
            <w:r>
              <w:rPr>
                <w:rFonts w:ascii="Arial" w:hAnsi="Arial"/>
                <w:b/>
              </w:rPr>
              <w:t>Escenario</w:t>
            </w:r>
            <w:r>
              <w:rPr>
                <w:rFonts w:ascii="Arial" w:hAnsi="Arial"/>
                <w:b/>
                <w:spacing w:val="-16"/>
              </w:rPr>
              <w:t xml:space="preserve"> </w:t>
            </w:r>
            <w:r>
              <w:rPr>
                <w:rFonts w:ascii="Arial" w:hAnsi="Arial"/>
                <w:b/>
              </w:rPr>
              <w:t xml:space="preserve">B: </w:t>
            </w:r>
            <w:r>
              <w:rPr>
                <w:rFonts w:ascii="Arial" w:hAnsi="Arial"/>
                <w:b/>
                <w:spacing w:val="-2"/>
              </w:rPr>
              <w:t>Estratégico (60/30/10)</w:t>
            </w:r>
          </w:p>
        </w:tc>
      </w:tr>
      <w:tr w:rsidR="009B4BB4">
        <w:trPr>
          <w:trHeight w:val="344"/>
        </w:trPr>
        <w:tc>
          <w:tcPr>
            <w:tcW w:w="3532" w:type="dxa"/>
            <w:tcBorders>
              <w:top w:val="single" w:sz="8" w:space="0" w:color="000000"/>
            </w:tcBorders>
          </w:tcPr>
          <w:p w:rsidR="009B4BB4" w:rsidRDefault="00C44001">
            <w:pPr>
              <w:pStyle w:val="TableParagraph"/>
              <w:spacing w:before="43"/>
              <w:ind w:left="75"/>
            </w:pPr>
            <w:r>
              <w:t>Inversión</w:t>
            </w:r>
            <w:r>
              <w:rPr>
                <w:spacing w:val="-5"/>
              </w:rPr>
              <w:t xml:space="preserve"> </w:t>
            </w:r>
            <w:r>
              <w:t>de</w:t>
            </w:r>
            <w:r>
              <w:rPr>
                <w:spacing w:val="-5"/>
              </w:rPr>
              <w:t xml:space="preserve"> </w:t>
            </w:r>
            <w:r>
              <w:t>los</w:t>
            </w:r>
            <w:r>
              <w:rPr>
                <w:spacing w:val="-5"/>
              </w:rPr>
              <w:t xml:space="preserve"> </w:t>
            </w:r>
            <w:r>
              <w:t>Socios</w:t>
            </w:r>
            <w:r>
              <w:rPr>
                <w:spacing w:val="-5"/>
              </w:rPr>
              <w:t xml:space="preserve"> </w:t>
            </w:r>
            <w:r>
              <w:rPr>
                <w:spacing w:val="-2"/>
              </w:rPr>
              <w:t>(Equity)</w:t>
            </w:r>
          </w:p>
        </w:tc>
        <w:tc>
          <w:tcPr>
            <w:tcW w:w="3007" w:type="dxa"/>
            <w:tcBorders>
              <w:top w:val="single" w:sz="8" w:space="0" w:color="000000"/>
            </w:tcBorders>
          </w:tcPr>
          <w:p w:rsidR="009B4BB4" w:rsidRDefault="00C44001">
            <w:pPr>
              <w:pStyle w:val="TableParagraph"/>
              <w:spacing w:before="43"/>
              <w:ind w:right="152"/>
              <w:jc w:val="center"/>
            </w:pPr>
            <w:r>
              <w:t>$7,650</w:t>
            </w:r>
            <w:r>
              <w:rPr>
                <w:spacing w:val="-6"/>
              </w:rPr>
              <w:t xml:space="preserve"> </w:t>
            </w:r>
            <w:r>
              <w:rPr>
                <w:spacing w:val="-5"/>
              </w:rPr>
              <w:t>USD</w:t>
            </w:r>
          </w:p>
        </w:tc>
        <w:tc>
          <w:tcPr>
            <w:tcW w:w="2100" w:type="dxa"/>
            <w:tcBorders>
              <w:top w:val="single" w:sz="8" w:space="0" w:color="000000"/>
            </w:tcBorders>
          </w:tcPr>
          <w:p w:rsidR="009B4BB4" w:rsidRDefault="00C44001">
            <w:pPr>
              <w:pStyle w:val="TableParagraph"/>
              <w:spacing w:before="43"/>
              <w:ind w:right="69"/>
              <w:jc w:val="center"/>
            </w:pPr>
            <w:r>
              <w:t>$4,590</w:t>
            </w:r>
            <w:r>
              <w:rPr>
                <w:spacing w:val="-6"/>
              </w:rPr>
              <w:t xml:space="preserve"> </w:t>
            </w:r>
            <w:r>
              <w:rPr>
                <w:spacing w:val="-5"/>
              </w:rPr>
              <w:t>USD</w:t>
            </w:r>
          </w:p>
        </w:tc>
      </w:tr>
      <w:tr w:rsidR="009B4BB4">
        <w:trPr>
          <w:trHeight w:val="342"/>
        </w:trPr>
        <w:tc>
          <w:tcPr>
            <w:tcW w:w="3532" w:type="dxa"/>
          </w:tcPr>
          <w:p w:rsidR="009B4BB4" w:rsidRDefault="00C44001">
            <w:pPr>
              <w:pStyle w:val="TableParagraph"/>
              <w:spacing w:before="41"/>
              <w:ind w:left="75"/>
            </w:pPr>
            <w:r>
              <w:t>VAN</w:t>
            </w:r>
            <w:r>
              <w:rPr>
                <w:spacing w:val="-10"/>
              </w:rPr>
              <w:t xml:space="preserve"> </w:t>
            </w:r>
            <w:r>
              <w:t>del</w:t>
            </w:r>
            <w:r>
              <w:rPr>
                <w:spacing w:val="-9"/>
              </w:rPr>
              <w:t xml:space="preserve"> </w:t>
            </w:r>
            <w:r>
              <w:t>Proyecto</w:t>
            </w:r>
            <w:r>
              <w:rPr>
                <w:spacing w:val="-9"/>
              </w:rPr>
              <w:t xml:space="preserve"> </w:t>
            </w:r>
            <w:r>
              <w:t>(Flujos</w:t>
            </w:r>
            <w:r>
              <w:rPr>
                <w:spacing w:val="-9"/>
              </w:rPr>
              <w:t xml:space="preserve"> </w:t>
            </w:r>
            <w:r>
              <w:rPr>
                <w:spacing w:val="-2"/>
              </w:rPr>
              <w:t>Totales)</w:t>
            </w:r>
          </w:p>
        </w:tc>
        <w:tc>
          <w:tcPr>
            <w:tcW w:w="3007" w:type="dxa"/>
          </w:tcPr>
          <w:p w:rsidR="009B4BB4" w:rsidRDefault="00C44001">
            <w:pPr>
              <w:pStyle w:val="TableParagraph"/>
              <w:spacing w:before="41"/>
              <w:ind w:right="152"/>
              <w:jc w:val="center"/>
            </w:pPr>
            <w:r>
              <w:rPr>
                <w:spacing w:val="-2"/>
              </w:rPr>
              <w:t>$145,800</w:t>
            </w:r>
          </w:p>
        </w:tc>
        <w:tc>
          <w:tcPr>
            <w:tcW w:w="2100" w:type="dxa"/>
          </w:tcPr>
          <w:p w:rsidR="009B4BB4" w:rsidRDefault="00C44001">
            <w:pPr>
              <w:pStyle w:val="TableParagraph"/>
              <w:spacing w:before="41"/>
              <w:ind w:right="69"/>
              <w:jc w:val="center"/>
            </w:pPr>
            <w:r>
              <w:rPr>
                <w:spacing w:val="-2"/>
              </w:rPr>
              <w:t>$145,800</w:t>
            </w:r>
          </w:p>
        </w:tc>
      </w:tr>
      <w:tr w:rsidR="009B4BB4">
        <w:trPr>
          <w:trHeight w:val="342"/>
        </w:trPr>
        <w:tc>
          <w:tcPr>
            <w:tcW w:w="3532" w:type="dxa"/>
          </w:tcPr>
          <w:p w:rsidR="009B4BB4" w:rsidRDefault="00C44001">
            <w:pPr>
              <w:pStyle w:val="TableParagraph"/>
              <w:spacing w:before="41"/>
              <w:ind w:left="75"/>
            </w:pPr>
            <w:r>
              <w:t>TIR</w:t>
            </w:r>
            <w:r>
              <w:rPr>
                <w:spacing w:val="-3"/>
              </w:rPr>
              <w:t xml:space="preserve"> </w:t>
            </w:r>
            <w:r>
              <w:t>del</w:t>
            </w:r>
            <w:r>
              <w:rPr>
                <w:spacing w:val="-3"/>
              </w:rPr>
              <w:t xml:space="preserve"> </w:t>
            </w:r>
            <w:r>
              <w:rPr>
                <w:spacing w:val="-2"/>
              </w:rPr>
              <w:t>Proyecto</w:t>
            </w:r>
          </w:p>
        </w:tc>
        <w:tc>
          <w:tcPr>
            <w:tcW w:w="3007" w:type="dxa"/>
          </w:tcPr>
          <w:p w:rsidR="009B4BB4" w:rsidRDefault="00C44001">
            <w:pPr>
              <w:pStyle w:val="TableParagraph"/>
              <w:spacing w:before="41"/>
              <w:ind w:right="152"/>
              <w:jc w:val="center"/>
            </w:pPr>
            <w:r>
              <w:rPr>
                <w:spacing w:val="-5"/>
              </w:rPr>
              <w:t>92%</w:t>
            </w:r>
          </w:p>
        </w:tc>
        <w:tc>
          <w:tcPr>
            <w:tcW w:w="2100" w:type="dxa"/>
          </w:tcPr>
          <w:p w:rsidR="009B4BB4" w:rsidRDefault="00C44001">
            <w:pPr>
              <w:pStyle w:val="TableParagraph"/>
              <w:spacing w:before="41"/>
              <w:ind w:right="69"/>
              <w:jc w:val="center"/>
            </w:pPr>
            <w:r>
              <w:rPr>
                <w:spacing w:val="-5"/>
              </w:rPr>
              <w:t>92%</w:t>
            </w:r>
          </w:p>
        </w:tc>
      </w:tr>
      <w:tr w:rsidR="009B4BB4">
        <w:trPr>
          <w:trHeight w:val="514"/>
        </w:trPr>
        <w:tc>
          <w:tcPr>
            <w:tcW w:w="3532" w:type="dxa"/>
          </w:tcPr>
          <w:p w:rsidR="009B4BB4" w:rsidRDefault="00C44001">
            <w:pPr>
              <w:pStyle w:val="TableParagraph"/>
              <w:spacing w:before="41"/>
              <w:ind w:left="75"/>
            </w:pPr>
            <w:r>
              <w:t>TIR</w:t>
            </w:r>
            <w:r>
              <w:rPr>
                <w:spacing w:val="-3"/>
              </w:rPr>
              <w:t xml:space="preserve"> </w:t>
            </w:r>
            <w:r>
              <w:t>del</w:t>
            </w:r>
            <w:r>
              <w:rPr>
                <w:spacing w:val="-3"/>
              </w:rPr>
              <w:t xml:space="preserve"> </w:t>
            </w:r>
            <w:r>
              <w:rPr>
                <w:spacing w:val="-2"/>
              </w:rPr>
              <w:t>Accionista</w:t>
            </w:r>
          </w:p>
        </w:tc>
        <w:tc>
          <w:tcPr>
            <w:tcW w:w="3007" w:type="dxa"/>
          </w:tcPr>
          <w:p w:rsidR="009B4BB4" w:rsidRDefault="00C44001">
            <w:pPr>
              <w:pStyle w:val="TableParagraph"/>
              <w:spacing w:before="41"/>
              <w:ind w:right="152"/>
              <w:jc w:val="center"/>
            </w:pPr>
            <w:r>
              <w:rPr>
                <w:spacing w:val="-5"/>
              </w:rPr>
              <w:t>92%</w:t>
            </w:r>
          </w:p>
        </w:tc>
        <w:tc>
          <w:tcPr>
            <w:tcW w:w="2100" w:type="dxa"/>
          </w:tcPr>
          <w:p w:rsidR="009B4BB4" w:rsidRDefault="00C44001">
            <w:pPr>
              <w:pStyle w:val="TableParagraph"/>
              <w:spacing w:before="41"/>
              <w:ind w:right="69"/>
              <w:jc w:val="center"/>
            </w:pPr>
            <w:r>
              <w:rPr>
                <w:spacing w:val="-2"/>
              </w:rPr>
              <w:t>148%*</w:t>
            </w:r>
          </w:p>
        </w:tc>
      </w:tr>
      <w:tr w:rsidR="009B4BB4">
        <w:trPr>
          <w:trHeight w:val="495"/>
        </w:trPr>
        <w:tc>
          <w:tcPr>
            <w:tcW w:w="3532" w:type="dxa"/>
            <w:tcBorders>
              <w:bottom w:val="single" w:sz="8" w:space="0" w:color="000000"/>
            </w:tcBorders>
          </w:tcPr>
          <w:p w:rsidR="009B4BB4" w:rsidRDefault="00C44001">
            <w:pPr>
              <w:pStyle w:val="TableParagraph"/>
              <w:spacing w:before="213"/>
              <w:ind w:left="75"/>
            </w:pPr>
            <w:r>
              <w:t>Payback</w:t>
            </w:r>
            <w:r>
              <w:rPr>
                <w:spacing w:val="-5"/>
              </w:rPr>
              <w:t xml:space="preserve"> </w:t>
            </w:r>
            <w:r>
              <w:t>para</w:t>
            </w:r>
            <w:r>
              <w:rPr>
                <w:spacing w:val="-4"/>
              </w:rPr>
              <w:t xml:space="preserve"> </w:t>
            </w:r>
            <w:r>
              <w:t>el</w:t>
            </w:r>
            <w:r>
              <w:rPr>
                <w:spacing w:val="-4"/>
              </w:rPr>
              <w:t xml:space="preserve"> </w:t>
            </w:r>
            <w:r>
              <w:rPr>
                <w:spacing w:val="-2"/>
              </w:rPr>
              <w:t>Socio</w:t>
            </w:r>
          </w:p>
        </w:tc>
        <w:tc>
          <w:tcPr>
            <w:tcW w:w="3007" w:type="dxa"/>
            <w:tcBorders>
              <w:bottom w:val="single" w:sz="8" w:space="0" w:color="000000"/>
            </w:tcBorders>
          </w:tcPr>
          <w:p w:rsidR="009B4BB4" w:rsidRDefault="00C44001">
            <w:pPr>
              <w:pStyle w:val="TableParagraph"/>
              <w:spacing w:before="213"/>
              <w:ind w:left="1004"/>
            </w:pPr>
            <w:r>
              <w:t>1.8</w:t>
            </w:r>
            <w:r>
              <w:rPr>
                <w:spacing w:val="-3"/>
              </w:rPr>
              <w:t xml:space="preserve"> </w:t>
            </w:r>
            <w:r>
              <w:rPr>
                <w:spacing w:val="-4"/>
              </w:rPr>
              <w:t>años</w:t>
            </w:r>
          </w:p>
        </w:tc>
        <w:tc>
          <w:tcPr>
            <w:tcW w:w="2100" w:type="dxa"/>
            <w:tcBorders>
              <w:bottom w:val="single" w:sz="8" w:space="0" w:color="000000"/>
            </w:tcBorders>
          </w:tcPr>
          <w:p w:rsidR="009B4BB4" w:rsidRDefault="00C44001">
            <w:pPr>
              <w:pStyle w:val="TableParagraph"/>
              <w:spacing w:before="213"/>
              <w:ind w:left="592"/>
            </w:pPr>
            <w:r>
              <w:t>0.9</w:t>
            </w:r>
            <w:r>
              <w:rPr>
                <w:spacing w:val="-3"/>
              </w:rPr>
              <w:t xml:space="preserve"> </w:t>
            </w:r>
            <w:r>
              <w:rPr>
                <w:spacing w:val="-4"/>
              </w:rPr>
              <w:t>años</w:t>
            </w:r>
          </w:p>
        </w:tc>
      </w:tr>
    </w:tbl>
    <w:p w:rsidR="009B4BB4" w:rsidRDefault="009B4BB4">
      <w:pPr>
        <w:pStyle w:val="Textoindependiente"/>
        <w:spacing w:before="1"/>
        <w:rPr>
          <w:rFonts w:ascii="Arial"/>
          <w:i/>
        </w:rPr>
      </w:pPr>
    </w:p>
    <w:p w:rsidR="009B4BB4" w:rsidRDefault="00C44001">
      <w:pPr>
        <w:pStyle w:val="Textoindependiente"/>
        <w:spacing w:before="0" w:line="360" w:lineRule="auto"/>
        <w:ind w:left="425" w:right="607"/>
        <w:jc w:val="both"/>
      </w:pPr>
      <w:r>
        <w:rPr>
          <w:rFonts w:ascii="Arial" w:hAnsi="Arial"/>
          <w:i/>
        </w:rPr>
        <w:t xml:space="preserve">Nota. </w:t>
      </w:r>
      <w:r>
        <w:t xml:space="preserve">La rentabilidad del accionista se optimiza al reducir el aporte de capital propio mediante el uso de deuda y subvenciones sin dilución de acciones. Elaboración propia </w:t>
      </w:r>
      <w:r>
        <w:rPr>
          <w:spacing w:val="-2"/>
        </w:rPr>
        <w:t>(2025).</w:t>
      </w:r>
    </w:p>
    <w:p w:rsidR="009B4BB4" w:rsidRDefault="00C44001">
      <w:pPr>
        <w:pStyle w:val="Textoindependiente"/>
        <w:spacing w:before="241" w:line="360" w:lineRule="auto"/>
        <w:ind w:left="425" w:right="616" w:firstLine="720"/>
        <w:jc w:val="both"/>
      </w:pPr>
      <w:r>
        <w:t>La comparación evidencia la conveniencia de no financiar el proyecto exclusivamen</w:t>
      </w:r>
      <w:r>
        <w:t>te con capital propio.</w:t>
      </w:r>
    </w:p>
    <w:p w:rsidR="009B4BB4" w:rsidRDefault="00C44001">
      <w:pPr>
        <w:pStyle w:val="Textoindependiente"/>
        <w:spacing w:line="360" w:lineRule="auto"/>
        <w:ind w:left="425" w:right="609" w:firstLine="720"/>
        <w:jc w:val="both"/>
      </w:pPr>
      <w:r>
        <w:t>En el esquema</w:t>
      </w:r>
      <w:r>
        <w:rPr>
          <w:spacing w:val="-3"/>
        </w:rPr>
        <w:t xml:space="preserve"> </w:t>
      </w:r>
      <w:r>
        <w:t>híbrido,</w:t>
      </w:r>
      <w:r>
        <w:rPr>
          <w:spacing w:val="-3"/>
        </w:rPr>
        <w:t xml:space="preserve"> </w:t>
      </w:r>
      <w:r>
        <w:t>la</w:t>
      </w:r>
      <w:r>
        <w:rPr>
          <w:spacing w:val="-3"/>
        </w:rPr>
        <w:t xml:space="preserve"> </w:t>
      </w:r>
      <w:r>
        <w:t>rentabilidad</w:t>
      </w:r>
      <w:r>
        <w:rPr>
          <w:spacing w:val="-3"/>
        </w:rPr>
        <w:t xml:space="preserve"> </w:t>
      </w:r>
      <w:r>
        <w:t>sobre</w:t>
      </w:r>
      <w:r>
        <w:rPr>
          <w:spacing w:val="-3"/>
        </w:rPr>
        <w:t xml:space="preserve"> </w:t>
      </w:r>
      <w:r>
        <w:t>el</w:t>
      </w:r>
      <w:r>
        <w:rPr>
          <w:spacing w:val="-3"/>
        </w:rPr>
        <w:t xml:space="preserve"> </w:t>
      </w:r>
      <w:r>
        <w:t>capital</w:t>
      </w:r>
      <w:r>
        <w:rPr>
          <w:spacing w:val="-3"/>
        </w:rPr>
        <w:t xml:space="preserve"> </w:t>
      </w:r>
      <w:r>
        <w:t>de</w:t>
      </w:r>
      <w:r>
        <w:rPr>
          <w:spacing w:val="-3"/>
        </w:rPr>
        <w:t xml:space="preserve"> </w:t>
      </w:r>
      <w:r>
        <w:t>los</w:t>
      </w:r>
      <w:r>
        <w:rPr>
          <w:spacing w:val="-3"/>
        </w:rPr>
        <w:t xml:space="preserve"> </w:t>
      </w:r>
      <w:r>
        <w:t>socios</w:t>
      </w:r>
      <w:r>
        <w:rPr>
          <w:spacing w:val="-3"/>
        </w:rPr>
        <w:t xml:space="preserve"> </w:t>
      </w:r>
      <w:r>
        <w:t>se</w:t>
      </w:r>
      <w:r>
        <w:rPr>
          <w:spacing w:val="-3"/>
        </w:rPr>
        <w:t xml:space="preserve"> </w:t>
      </w:r>
      <w:r>
        <w:t>incrementa de 92% a 148%, resultado de capturar el total de las utilidades del negocio con una inversión inicial menor, equivalente al 60% del capital requerido</w:t>
      </w:r>
      <w:r>
        <w:t>.</w:t>
      </w:r>
    </w:p>
    <w:p w:rsidR="009B4BB4" w:rsidRDefault="00C44001">
      <w:pPr>
        <w:pStyle w:val="Textoindependiente"/>
        <w:spacing w:line="360" w:lineRule="auto"/>
        <w:ind w:left="425" w:right="603" w:firstLine="720"/>
        <w:jc w:val="both"/>
      </w:pPr>
      <w:r>
        <w:t>Esta reducción</w:t>
      </w:r>
      <w:r>
        <w:rPr>
          <w:spacing w:val="-3"/>
        </w:rPr>
        <w:t xml:space="preserve"> </w:t>
      </w:r>
      <w:r>
        <w:t>en</w:t>
      </w:r>
      <w:r>
        <w:rPr>
          <w:spacing w:val="-3"/>
        </w:rPr>
        <w:t xml:space="preserve"> </w:t>
      </w:r>
      <w:r>
        <w:t>el</w:t>
      </w:r>
      <w:r>
        <w:rPr>
          <w:spacing w:val="-3"/>
        </w:rPr>
        <w:t xml:space="preserve"> </w:t>
      </w:r>
      <w:r>
        <w:t>aporte</w:t>
      </w:r>
      <w:r>
        <w:rPr>
          <w:spacing w:val="-3"/>
        </w:rPr>
        <w:t xml:space="preserve"> </w:t>
      </w:r>
      <w:r>
        <w:t>inicial</w:t>
      </w:r>
      <w:r>
        <w:rPr>
          <w:spacing w:val="-3"/>
        </w:rPr>
        <w:t xml:space="preserve"> </w:t>
      </w:r>
      <w:r>
        <w:t>también</w:t>
      </w:r>
      <w:r>
        <w:rPr>
          <w:spacing w:val="-3"/>
        </w:rPr>
        <w:t xml:space="preserve"> </w:t>
      </w:r>
      <w:r>
        <w:t>acelera</w:t>
      </w:r>
      <w:r>
        <w:rPr>
          <w:spacing w:val="-3"/>
        </w:rPr>
        <w:t xml:space="preserve"> </w:t>
      </w:r>
      <w:r>
        <w:t>la</w:t>
      </w:r>
      <w:r>
        <w:rPr>
          <w:spacing w:val="-3"/>
        </w:rPr>
        <w:t xml:space="preserve"> </w:t>
      </w:r>
      <w:r>
        <w:t>recuperación</w:t>
      </w:r>
      <w:r>
        <w:rPr>
          <w:spacing w:val="-3"/>
        </w:rPr>
        <w:t xml:space="preserve"> </w:t>
      </w:r>
      <w:r>
        <w:t>de</w:t>
      </w:r>
      <w:r>
        <w:rPr>
          <w:spacing w:val="-3"/>
        </w:rPr>
        <w:t xml:space="preserve"> </w:t>
      </w:r>
      <w:r>
        <w:t>la</w:t>
      </w:r>
      <w:r>
        <w:rPr>
          <w:spacing w:val="-3"/>
        </w:rPr>
        <w:t xml:space="preserve"> </w:t>
      </w:r>
      <w:r>
        <w:t>inversión. Con un desembolso de $4,590 USD, el periodo de recuperación se reduce a 0.9 años, mejorando significativamente la liquidez del inversionista frente al escenario de finan</w:t>
      </w:r>
      <w:r>
        <w:t>ciamiento total.</w:t>
      </w:r>
    </w:p>
    <w:p w:rsidR="009B4BB4" w:rsidRDefault="00C44001">
      <w:pPr>
        <w:pStyle w:val="Textoindependiente"/>
        <w:spacing w:line="360" w:lineRule="auto"/>
        <w:ind w:left="425" w:right="603" w:firstLine="720"/>
        <w:jc w:val="both"/>
      </w:pPr>
      <w:r>
        <w:t>Adicionalmente, la incorporación de un 10% de recursos provenientes de subvenciones permite financiar activos clave sin</w:t>
      </w:r>
      <w:r>
        <w:rPr>
          <w:spacing w:val="-4"/>
        </w:rPr>
        <w:t xml:space="preserve"> </w:t>
      </w:r>
      <w:r>
        <w:t>costo</w:t>
      </w:r>
      <w:r>
        <w:rPr>
          <w:spacing w:val="-4"/>
        </w:rPr>
        <w:t xml:space="preserve"> </w:t>
      </w:r>
      <w:r>
        <w:t>financiero</w:t>
      </w:r>
      <w:r>
        <w:rPr>
          <w:spacing w:val="-4"/>
        </w:rPr>
        <w:t xml:space="preserve"> </w:t>
      </w:r>
      <w:r>
        <w:t>ni</w:t>
      </w:r>
      <w:r>
        <w:rPr>
          <w:spacing w:val="-4"/>
        </w:rPr>
        <w:t xml:space="preserve"> </w:t>
      </w:r>
      <w:r>
        <w:t>dilución</w:t>
      </w:r>
      <w:r>
        <w:rPr>
          <w:spacing w:val="-4"/>
        </w:rPr>
        <w:t xml:space="preserve"> </w:t>
      </w:r>
      <w:r>
        <w:t>accionaria,</w:t>
      </w:r>
      <w:r>
        <w:rPr>
          <w:spacing w:val="-4"/>
        </w:rPr>
        <w:t xml:space="preserve"> </w:t>
      </w:r>
      <w:r>
        <w:t>lo que fortalece la estructura de capital sin comprometer el control del proye</w:t>
      </w:r>
      <w:r>
        <w:t>cto.</w:t>
      </w:r>
    </w:p>
    <w:p w:rsidR="009B4BB4" w:rsidRDefault="009B4BB4">
      <w:pPr>
        <w:pStyle w:val="Textoindependiente"/>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425" w:right="614" w:firstLine="720"/>
        <w:jc w:val="both"/>
      </w:pPr>
      <w:r>
        <w:lastRenderedPageBreak/>
        <w:t>En conjunto, esta configuración optimiza el uso del capital propio, incrementa la rentabilidad para los socios y reduce su exposición al riesgo, consolidando un esquema financiero eficiente y alineado con la naturaleza del emprendimi</w:t>
      </w:r>
      <w:r>
        <w:t>ento.</w:t>
      </w:r>
    </w:p>
    <w:p w:rsidR="009B4BB4" w:rsidRDefault="00C44001" w:rsidP="00C44001">
      <w:pPr>
        <w:pStyle w:val="Ttulo1"/>
        <w:numPr>
          <w:ilvl w:val="1"/>
          <w:numId w:val="14"/>
        </w:numPr>
        <w:tabs>
          <w:tab w:val="left" w:pos="940"/>
        </w:tabs>
        <w:spacing w:before="240"/>
        <w:ind w:left="940" w:hanging="485"/>
      </w:pPr>
      <w:bookmarkStart w:id="265" w:name="​​7.10_Riesgos_financieros_y_estrategias"/>
      <w:bookmarkStart w:id="266" w:name="h.feyqm29b2ocf"/>
      <w:bookmarkEnd w:id="265"/>
      <w:bookmarkEnd w:id="266"/>
      <w:r>
        <w:t>Riesgos</w:t>
      </w:r>
      <w:r>
        <w:rPr>
          <w:spacing w:val="-7"/>
        </w:rPr>
        <w:t xml:space="preserve"> </w:t>
      </w:r>
      <w:r>
        <w:t>financieros</w:t>
      </w:r>
      <w:r>
        <w:rPr>
          <w:spacing w:val="-6"/>
        </w:rPr>
        <w:t xml:space="preserve"> </w:t>
      </w:r>
      <w:r>
        <w:t>y</w:t>
      </w:r>
      <w:r>
        <w:rPr>
          <w:spacing w:val="-7"/>
        </w:rPr>
        <w:t xml:space="preserve"> </w:t>
      </w:r>
      <w:r>
        <w:t>estrategias</w:t>
      </w:r>
      <w:r>
        <w:rPr>
          <w:spacing w:val="-6"/>
        </w:rPr>
        <w:t xml:space="preserve"> </w:t>
      </w:r>
      <w:r>
        <w:t>de</w:t>
      </w:r>
      <w:r>
        <w:rPr>
          <w:spacing w:val="-6"/>
        </w:rPr>
        <w:t xml:space="preserve"> </w:t>
      </w:r>
      <w:r>
        <w:rPr>
          <w:spacing w:val="-2"/>
        </w:rPr>
        <w:t>blindaje</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3" w:firstLine="720"/>
        <w:jc w:val="both"/>
      </w:pPr>
      <w:r>
        <w:t>Todo proyecto</w:t>
      </w:r>
      <w:r>
        <w:rPr>
          <w:spacing w:val="-6"/>
        </w:rPr>
        <w:t xml:space="preserve"> </w:t>
      </w:r>
      <w:r>
        <w:t>con</w:t>
      </w:r>
      <w:r>
        <w:rPr>
          <w:spacing w:val="-6"/>
        </w:rPr>
        <w:t xml:space="preserve"> </w:t>
      </w:r>
      <w:r>
        <w:t>alto</w:t>
      </w:r>
      <w:r>
        <w:rPr>
          <w:spacing w:val="-6"/>
        </w:rPr>
        <w:t xml:space="preserve"> </w:t>
      </w:r>
      <w:r>
        <w:t>potencial</w:t>
      </w:r>
      <w:r>
        <w:rPr>
          <w:spacing w:val="-6"/>
        </w:rPr>
        <w:t xml:space="preserve"> </w:t>
      </w:r>
      <w:r>
        <w:t>de</w:t>
      </w:r>
      <w:r>
        <w:rPr>
          <w:spacing w:val="-6"/>
        </w:rPr>
        <w:t xml:space="preserve"> </w:t>
      </w:r>
      <w:r>
        <w:t>valor</w:t>
      </w:r>
      <w:r>
        <w:rPr>
          <w:spacing w:val="-6"/>
        </w:rPr>
        <w:t xml:space="preserve"> </w:t>
      </w:r>
      <w:r>
        <w:t>enfrenta</w:t>
      </w:r>
      <w:r>
        <w:rPr>
          <w:spacing w:val="-6"/>
        </w:rPr>
        <w:t xml:space="preserve"> </w:t>
      </w:r>
      <w:r>
        <w:t>desafíos</w:t>
      </w:r>
      <w:r>
        <w:rPr>
          <w:spacing w:val="-6"/>
        </w:rPr>
        <w:t xml:space="preserve"> </w:t>
      </w:r>
      <w:r>
        <w:t>intrínsecos.</w:t>
      </w:r>
      <w:r>
        <w:rPr>
          <w:spacing w:val="-6"/>
        </w:rPr>
        <w:t xml:space="preserve"> </w:t>
      </w:r>
      <w:r>
        <w:t>En</w:t>
      </w:r>
      <w:r>
        <w:rPr>
          <w:spacing w:val="-6"/>
        </w:rPr>
        <w:t xml:space="preserve"> </w:t>
      </w:r>
      <w:r>
        <w:t>el</w:t>
      </w:r>
      <w:r>
        <w:rPr>
          <w:spacing w:val="-6"/>
        </w:rPr>
        <w:t xml:space="preserve"> </w:t>
      </w:r>
      <w:r>
        <w:t>caso de Guardiana, la rentabilidad no depende únicamente del volumen de ventas, sino de la capacidad de gestionar la incertidumbre asociada al uso de activos biológicos y a la dinámica del sector turístico.</w:t>
      </w:r>
    </w:p>
    <w:p w:rsidR="009B4BB4" w:rsidRDefault="00C44001">
      <w:pPr>
        <w:pStyle w:val="Textoindependiente"/>
        <w:spacing w:line="360" w:lineRule="auto"/>
        <w:ind w:left="425" w:right="614" w:firstLine="720"/>
        <w:jc w:val="both"/>
      </w:pPr>
      <w:r>
        <w:t>A continuación, se presentan los principales factores de riesgo y las estrategias diseñadas para proteger el capital de los inversionistas.</w:t>
      </w:r>
    </w:p>
    <w:p w:rsidR="009B4BB4" w:rsidRDefault="00C44001">
      <w:pPr>
        <w:pStyle w:val="Ttulo1"/>
        <w:spacing w:before="240"/>
      </w:pPr>
      <w:r>
        <w:rPr>
          <w:spacing w:val="-2"/>
        </w:rPr>
        <w:t>Tabla</w:t>
      </w:r>
      <w:r>
        <w:rPr>
          <w:spacing w:val="-13"/>
        </w:rPr>
        <w:t xml:space="preserve"> </w:t>
      </w:r>
      <w:r>
        <w:rPr>
          <w:spacing w:val="-4"/>
        </w:rPr>
        <w:t>7.22</w:t>
      </w:r>
    </w:p>
    <w:p w:rsidR="009B4BB4" w:rsidRDefault="00C44001">
      <w:pPr>
        <w:spacing w:before="126"/>
        <w:ind w:left="455"/>
        <w:rPr>
          <w:rFonts w:ascii="Arial" w:hAnsi="Arial"/>
          <w:i/>
        </w:rPr>
      </w:pPr>
      <w:r>
        <w:rPr>
          <w:rFonts w:ascii="Arial" w:hAnsi="Arial"/>
          <w:i/>
        </w:rPr>
        <w:t>Matriz</w:t>
      </w:r>
      <w:r>
        <w:rPr>
          <w:rFonts w:ascii="Arial" w:hAnsi="Arial"/>
          <w:i/>
          <w:spacing w:val="-8"/>
        </w:rPr>
        <w:t xml:space="preserve"> </w:t>
      </w:r>
      <w:r>
        <w:rPr>
          <w:rFonts w:ascii="Arial" w:hAnsi="Arial"/>
          <w:i/>
        </w:rPr>
        <w:t>de</w:t>
      </w:r>
      <w:r>
        <w:rPr>
          <w:rFonts w:ascii="Arial" w:hAnsi="Arial"/>
          <w:i/>
          <w:spacing w:val="-6"/>
        </w:rPr>
        <w:t xml:space="preserve"> </w:t>
      </w:r>
      <w:r>
        <w:rPr>
          <w:rFonts w:ascii="Arial" w:hAnsi="Arial"/>
          <w:i/>
        </w:rPr>
        <w:t>riesgos</w:t>
      </w:r>
      <w:r>
        <w:rPr>
          <w:rFonts w:ascii="Arial" w:hAnsi="Arial"/>
          <w:i/>
          <w:spacing w:val="-6"/>
        </w:rPr>
        <w:t xml:space="preserve"> </w:t>
      </w:r>
      <w:r>
        <w:rPr>
          <w:rFonts w:ascii="Arial" w:hAnsi="Arial"/>
          <w:i/>
        </w:rPr>
        <w:t>financieros</w:t>
      </w:r>
      <w:r>
        <w:rPr>
          <w:rFonts w:ascii="Arial" w:hAnsi="Arial"/>
          <w:i/>
          <w:spacing w:val="-5"/>
        </w:rPr>
        <w:t xml:space="preserve"> </w:t>
      </w:r>
      <w:r>
        <w:rPr>
          <w:rFonts w:ascii="Arial" w:hAnsi="Arial"/>
          <w:i/>
        </w:rPr>
        <w:t>y</w:t>
      </w:r>
      <w:r>
        <w:rPr>
          <w:rFonts w:ascii="Arial" w:hAnsi="Arial"/>
          <w:i/>
          <w:spacing w:val="-6"/>
        </w:rPr>
        <w:t xml:space="preserve"> </w:t>
      </w:r>
      <w:r>
        <w:rPr>
          <w:rFonts w:ascii="Arial" w:hAnsi="Arial"/>
          <w:i/>
        </w:rPr>
        <w:t>estrategias</w:t>
      </w:r>
      <w:r>
        <w:rPr>
          <w:rFonts w:ascii="Arial" w:hAnsi="Arial"/>
          <w:i/>
          <w:spacing w:val="-6"/>
        </w:rPr>
        <w:t xml:space="preserve"> </w:t>
      </w:r>
      <w:r>
        <w:rPr>
          <w:rFonts w:ascii="Arial" w:hAnsi="Arial"/>
          <w:i/>
        </w:rPr>
        <w:t>de</w:t>
      </w:r>
      <w:r>
        <w:rPr>
          <w:rFonts w:ascii="Arial" w:hAnsi="Arial"/>
          <w:i/>
          <w:spacing w:val="-5"/>
        </w:rPr>
        <w:t xml:space="preserve"> </w:t>
      </w:r>
      <w:r>
        <w:rPr>
          <w:rFonts w:ascii="Arial" w:hAnsi="Arial"/>
          <w:i/>
          <w:spacing w:val="-2"/>
        </w:rPr>
        <w:t>mitigación</w:t>
      </w:r>
    </w:p>
    <w:p w:rsidR="009B4BB4" w:rsidRDefault="009B4BB4">
      <w:pPr>
        <w:pStyle w:val="Textoindependiente"/>
        <w:spacing w:before="4"/>
        <w:rPr>
          <w:rFonts w:ascii="Arial"/>
          <w:i/>
          <w:sz w:val="20"/>
        </w:rPr>
      </w:pPr>
    </w:p>
    <w:tbl>
      <w:tblPr>
        <w:tblStyle w:val="TableNormal"/>
        <w:tblW w:w="0" w:type="auto"/>
        <w:tblInd w:w="432" w:type="dxa"/>
        <w:tblLayout w:type="fixed"/>
        <w:tblLook w:val="01E0" w:firstRow="1" w:lastRow="1" w:firstColumn="1" w:lastColumn="1" w:noHBand="0" w:noVBand="0"/>
      </w:tblPr>
      <w:tblGrid>
        <w:gridCol w:w="1882"/>
        <w:gridCol w:w="1239"/>
        <w:gridCol w:w="3030"/>
        <w:gridCol w:w="2890"/>
      </w:tblGrid>
      <w:tr w:rsidR="009B4BB4">
        <w:trPr>
          <w:trHeight w:val="780"/>
        </w:trPr>
        <w:tc>
          <w:tcPr>
            <w:tcW w:w="1882" w:type="dxa"/>
            <w:tcBorders>
              <w:top w:val="single" w:sz="8" w:space="0" w:color="000000"/>
              <w:bottom w:val="single" w:sz="8" w:space="0" w:color="000000"/>
            </w:tcBorders>
          </w:tcPr>
          <w:p w:rsidR="009B4BB4" w:rsidRDefault="00C44001">
            <w:pPr>
              <w:pStyle w:val="TableParagraph"/>
              <w:spacing w:before="151"/>
              <w:ind w:left="414" w:firstLine="179"/>
              <w:rPr>
                <w:rFonts w:ascii="Arial"/>
                <w:b/>
              </w:rPr>
            </w:pPr>
            <w:r>
              <w:rPr>
                <w:rFonts w:ascii="Arial"/>
                <w:b/>
                <w:spacing w:val="-2"/>
              </w:rPr>
              <w:t>Riesgo Detectado</w:t>
            </w:r>
          </w:p>
        </w:tc>
        <w:tc>
          <w:tcPr>
            <w:tcW w:w="1239" w:type="dxa"/>
            <w:tcBorders>
              <w:top w:val="single" w:sz="8" w:space="0" w:color="000000"/>
              <w:bottom w:val="single" w:sz="8" w:space="0" w:color="000000"/>
            </w:tcBorders>
          </w:tcPr>
          <w:p w:rsidR="009B4BB4" w:rsidRDefault="009B4BB4">
            <w:pPr>
              <w:pStyle w:val="TableParagraph"/>
              <w:spacing w:before="25"/>
              <w:rPr>
                <w:rFonts w:ascii="Arial"/>
                <w:i/>
              </w:rPr>
            </w:pPr>
          </w:p>
          <w:p w:rsidR="009B4BB4" w:rsidRDefault="00C44001">
            <w:pPr>
              <w:pStyle w:val="TableParagraph"/>
              <w:ind w:left="53"/>
              <w:jc w:val="center"/>
              <w:rPr>
                <w:rFonts w:ascii="Arial"/>
                <w:b/>
              </w:rPr>
            </w:pPr>
            <w:r>
              <w:rPr>
                <w:rFonts w:ascii="Arial"/>
                <w:b/>
                <w:spacing w:val="-2"/>
              </w:rPr>
              <w:t>Criticidad</w:t>
            </w:r>
          </w:p>
        </w:tc>
        <w:tc>
          <w:tcPr>
            <w:tcW w:w="3030" w:type="dxa"/>
            <w:tcBorders>
              <w:top w:val="single" w:sz="8" w:space="0" w:color="000000"/>
              <w:bottom w:val="single" w:sz="8" w:space="0" w:color="000000"/>
            </w:tcBorders>
          </w:tcPr>
          <w:p w:rsidR="009B4BB4" w:rsidRDefault="009B4BB4">
            <w:pPr>
              <w:pStyle w:val="TableParagraph"/>
              <w:spacing w:before="25"/>
              <w:rPr>
                <w:rFonts w:ascii="Arial"/>
                <w:i/>
              </w:rPr>
            </w:pPr>
          </w:p>
          <w:p w:rsidR="009B4BB4" w:rsidRDefault="00C44001">
            <w:pPr>
              <w:pStyle w:val="TableParagraph"/>
              <w:ind w:left="589"/>
              <w:rPr>
                <w:rFonts w:ascii="Arial"/>
                <w:b/>
              </w:rPr>
            </w:pPr>
            <w:r>
              <w:rPr>
                <w:rFonts w:ascii="Arial"/>
                <w:b/>
              </w:rPr>
              <w:t>Impacto</w:t>
            </w:r>
            <w:r>
              <w:rPr>
                <w:rFonts w:ascii="Arial"/>
                <w:b/>
                <w:spacing w:val="-7"/>
              </w:rPr>
              <w:t xml:space="preserve"> </w:t>
            </w:r>
            <w:r>
              <w:rPr>
                <w:rFonts w:ascii="Arial"/>
                <w:b/>
                <w:spacing w:val="-2"/>
              </w:rPr>
              <w:t>Potencial</w:t>
            </w:r>
          </w:p>
        </w:tc>
        <w:tc>
          <w:tcPr>
            <w:tcW w:w="2890" w:type="dxa"/>
            <w:tcBorders>
              <w:top w:val="single" w:sz="8" w:space="0" w:color="000000"/>
              <w:bottom w:val="single" w:sz="8" w:space="0" w:color="000000"/>
            </w:tcBorders>
          </w:tcPr>
          <w:p w:rsidR="009B4BB4" w:rsidRDefault="00C44001">
            <w:pPr>
              <w:pStyle w:val="TableParagraph"/>
              <w:spacing w:before="151"/>
              <w:ind w:left="815" w:hanging="517"/>
              <w:rPr>
                <w:rFonts w:ascii="Arial" w:hAnsi="Arial"/>
                <w:b/>
              </w:rPr>
            </w:pPr>
            <w:r>
              <w:rPr>
                <w:rFonts w:ascii="Arial" w:hAnsi="Arial"/>
                <w:b/>
              </w:rPr>
              <w:t>Estrategia</w:t>
            </w:r>
            <w:r>
              <w:rPr>
                <w:rFonts w:ascii="Arial" w:hAnsi="Arial"/>
                <w:b/>
                <w:spacing w:val="-16"/>
              </w:rPr>
              <w:t xml:space="preserve"> </w:t>
            </w:r>
            <w:r>
              <w:rPr>
                <w:rFonts w:ascii="Arial" w:hAnsi="Arial"/>
                <w:b/>
              </w:rPr>
              <w:t>de</w:t>
            </w:r>
            <w:r>
              <w:rPr>
                <w:rFonts w:ascii="Arial" w:hAnsi="Arial"/>
                <w:b/>
                <w:spacing w:val="-15"/>
              </w:rPr>
              <w:t xml:space="preserve"> </w:t>
            </w:r>
            <w:r>
              <w:rPr>
                <w:rFonts w:ascii="Arial" w:hAnsi="Arial"/>
                <w:b/>
              </w:rPr>
              <w:t xml:space="preserve">Blindaje </w:t>
            </w:r>
            <w:r>
              <w:rPr>
                <w:rFonts w:ascii="Arial" w:hAnsi="Arial"/>
                <w:b/>
                <w:spacing w:val="-2"/>
              </w:rPr>
              <w:t>(Mitigación)</w:t>
            </w:r>
          </w:p>
        </w:tc>
      </w:tr>
      <w:tr w:rsidR="009B4BB4">
        <w:trPr>
          <w:trHeight w:val="1386"/>
        </w:trPr>
        <w:tc>
          <w:tcPr>
            <w:tcW w:w="1882" w:type="dxa"/>
            <w:tcBorders>
              <w:top w:val="single" w:sz="8" w:space="0" w:color="000000"/>
            </w:tcBorders>
          </w:tcPr>
          <w:p w:rsidR="009B4BB4" w:rsidRDefault="009B4BB4">
            <w:pPr>
              <w:pStyle w:val="TableParagraph"/>
              <w:rPr>
                <w:rFonts w:ascii="Arial"/>
                <w:i/>
              </w:rPr>
            </w:pPr>
          </w:p>
          <w:p w:rsidR="009B4BB4" w:rsidRDefault="009B4BB4">
            <w:pPr>
              <w:pStyle w:val="TableParagraph"/>
              <w:spacing w:before="29"/>
              <w:rPr>
                <w:rFonts w:ascii="Arial"/>
                <w:i/>
              </w:rPr>
            </w:pPr>
          </w:p>
          <w:p w:rsidR="009B4BB4" w:rsidRDefault="00C44001">
            <w:pPr>
              <w:pStyle w:val="TableParagraph"/>
              <w:ind w:left="178"/>
            </w:pPr>
            <w:r>
              <w:t>Oferta</w:t>
            </w:r>
            <w:r>
              <w:rPr>
                <w:spacing w:val="-8"/>
              </w:rPr>
              <w:t xml:space="preserve"> </w:t>
            </w:r>
            <w:r>
              <w:rPr>
                <w:spacing w:val="-2"/>
              </w:rPr>
              <w:t>Biológica</w:t>
            </w:r>
          </w:p>
        </w:tc>
        <w:tc>
          <w:tcPr>
            <w:tcW w:w="1239" w:type="dxa"/>
            <w:tcBorders>
              <w:top w:val="single" w:sz="8" w:space="0" w:color="000000"/>
            </w:tcBorders>
          </w:tcPr>
          <w:p w:rsidR="009B4BB4" w:rsidRDefault="009B4BB4">
            <w:pPr>
              <w:pStyle w:val="TableParagraph"/>
              <w:rPr>
                <w:rFonts w:ascii="Arial"/>
                <w:i/>
              </w:rPr>
            </w:pPr>
          </w:p>
          <w:p w:rsidR="009B4BB4" w:rsidRDefault="009B4BB4">
            <w:pPr>
              <w:pStyle w:val="TableParagraph"/>
              <w:spacing w:before="29"/>
              <w:rPr>
                <w:rFonts w:ascii="Arial"/>
                <w:i/>
              </w:rPr>
            </w:pPr>
          </w:p>
          <w:p w:rsidR="009B4BB4" w:rsidRDefault="00C44001">
            <w:pPr>
              <w:pStyle w:val="TableParagraph"/>
              <w:ind w:left="53"/>
              <w:jc w:val="center"/>
            </w:pPr>
            <w:r>
              <w:rPr>
                <w:spacing w:val="-4"/>
              </w:rPr>
              <w:t>Alto</w:t>
            </w:r>
          </w:p>
        </w:tc>
        <w:tc>
          <w:tcPr>
            <w:tcW w:w="3030" w:type="dxa"/>
            <w:tcBorders>
              <w:top w:val="single" w:sz="8" w:space="0" w:color="000000"/>
            </w:tcBorders>
          </w:tcPr>
          <w:p w:rsidR="009B4BB4" w:rsidRDefault="009B4BB4">
            <w:pPr>
              <w:pStyle w:val="TableParagraph"/>
              <w:spacing w:before="29"/>
              <w:rPr>
                <w:rFonts w:ascii="Arial"/>
                <w:i/>
              </w:rPr>
            </w:pPr>
          </w:p>
          <w:p w:rsidR="009B4BB4" w:rsidRDefault="00C44001">
            <w:pPr>
              <w:pStyle w:val="TableParagraph"/>
              <w:ind w:left="213" w:right="211" w:firstLine="30"/>
              <w:jc w:val="center"/>
            </w:pPr>
            <w:r>
              <w:t>Variabilidad</w:t>
            </w:r>
            <w:r>
              <w:rPr>
                <w:spacing w:val="-11"/>
              </w:rPr>
              <w:t xml:space="preserve"> </w:t>
            </w:r>
            <w:r>
              <w:t>en</w:t>
            </w:r>
            <w:r>
              <w:rPr>
                <w:spacing w:val="-11"/>
              </w:rPr>
              <w:t xml:space="preserve"> </w:t>
            </w:r>
            <w:r>
              <w:t>la</w:t>
            </w:r>
            <w:r>
              <w:rPr>
                <w:spacing w:val="-11"/>
              </w:rPr>
              <w:t xml:space="preserve"> </w:t>
            </w:r>
            <w:r>
              <w:t>cosecha (0.5</w:t>
            </w:r>
            <w:r>
              <w:rPr>
                <w:spacing w:val="-8"/>
              </w:rPr>
              <w:t xml:space="preserve"> </w:t>
            </w:r>
            <w:r>
              <w:t>-</w:t>
            </w:r>
            <w:r>
              <w:rPr>
                <w:spacing w:val="-8"/>
              </w:rPr>
              <w:t xml:space="preserve"> </w:t>
            </w:r>
            <w:r>
              <w:t>2</w:t>
            </w:r>
            <w:r>
              <w:rPr>
                <w:spacing w:val="-8"/>
              </w:rPr>
              <w:t xml:space="preserve"> </w:t>
            </w:r>
            <w:r>
              <w:t>L/año)</w:t>
            </w:r>
            <w:r>
              <w:rPr>
                <w:spacing w:val="-8"/>
              </w:rPr>
              <w:t xml:space="preserve"> </w:t>
            </w:r>
            <w:r>
              <w:t>por</w:t>
            </w:r>
            <w:r>
              <w:rPr>
                <w:spacing w:val="-8"/>
              </w:rPr>
              <w:t xml:space="preserve"> </w:t>
            </w:r>
            <w:r>
              <w:t xml:space="preserve">factores </w:t>
            </w:r>
            <w:r>
              <w:rPr>
                <w:spacing w:val="-2"/>
              </w:rPr>
              <w:t>climáticos.</w:t>
            </w:r>
          </w:p>
        </w:tc>
        <w:tc>
          <w:tcPr>
            <w:tcW w:w="2890" w:type="dxa"/>
            <w:tcBorders>
              <w:top w:val="single" w:sz="8" w:space="0" w:color="000000"/>
            </w:tcBorders>
          </w:tcPr>
          <w:p w:rsidR="009B4BB4" w:rsidRDefault="00C44001">
            <w:pPr>
              <w:pStyle w:val="TableParagraph"/>
              <w:spacing w:before="156"/>
              <w:ind w:left="7"/>
              <w:jc w:val="center"/>
            </w:pPr>
            <w:r>
              <w:t>Red</w:t>
            </w:r>
            <w:r>
              <w:rPr>
                <w:spacing w:val="-13"/>
              </w:rPr>
              <w:t xml:space="preserve"> </w:t>
            </w:r>
            <w:r>
              <w:t>de</w:t>
            </w:r>
            <w:r>
              <w:rPr>
                <w:spacing w:val="-13"/>
              </w:rPr>
              <w:t xml:space="preserve"> </w:t>
            </w:r>
            <w:r>
              <w:t>Seguridad:</w:t>
            </w:r>
            <w:r>
              <w:rPr>
                <w:spacing w:val="-13"/>
              </w:rPr>
              <w:t xml:space="preserve"> </w:t>
            </w:r>
            <w:r>
              <w:t xml:space="preserve">Alianzas con múltiples familias para crear un inventario buffer </w:t>
            </w:r>
            <w:r>
              <w:rPr>
                <w:spacing w:val="-2"/>
              </w:rPr>
              <w:t>colectivo.</w:t>
            </w:r>
          </w:p>
        </w:tc>
      </w:tr>
      <w:tr w:rsidR="009B4BB4">
        <w:trPr>
          <w:trHeight w:val="1683"/>
        </w:trPr>
        <w:tc>
          <w:tcPr>
            <w:tcW w:w="1882" w:type="dxa"/>
          </w:tcPr>
          <w:p w:rsidR="009B4BB4" w:rsidRDefault="009B4BB4">
            <w:pPr>
              <w:pStyle w:val="TableParagraph"/>
              <w:rPr>
                <w:rFonts w:ascii="Arial"/>
                <w:i/>
              </w:rPr>
            </w:pPr>
          </w:p>
          <w:p w:rsidR="009B4BB4" w:rsidRDefault="009B4BB4">
            <w:pPr>
              <w:pStyle w:val="TableParagraph"/>
              <w:spacing w:before="84"/>
              <w:rPr>
                <w:rFonts w:ascii="Arial"/>
                <w:i/>
              </w:rPr>
            </w:pPr>
          </w:p>
          <w:p w:rsidR="009B4BB4" w:rsidRDefault="00C44001">
            <w:pPr>
              <w:pStyle w:val="TableParagraph"/>
              <w:ind w:left="528" w:hanging="216"/>
            </w:pPr>
            <w:r>
              <w:rPr>
                <w:spacing w:val="-2"/>
              </w:rPr>
              <w:t>Dependencia Turística</w:t>
            </w:r>
          </w:p>
        </w:tc>
        <w:tc>
          <w:tcPr>
            <w:tcW w:w="1239" w:type="dxa"/>
          </w:tcPr>
          <w:p w:rsidR="009B4BB4" w:rsidRDefault="009B4BB4">
            <w:pPr>
              <w:pStyle w:val="TableParagraph"/>
              <w:rPr>
                <w:rFonts w:ascii="Arial"/>
                <w:i/>
              </w:rPr>
            </w:pPr>
          </w:p>
          <w:p w:rsidR="009B4BB4" w:rsidRDefault="009B4BB4">
            <w:pPr>
              <w:pStyle w:val="TableParagraph"/>
              <w:spacing w:before="210"/>
              <w:rPr>
                <w:rFonts w:ascii="Arial"/>
                <w:i/>
              </w:rPr>
            </w:pPr>
          </w:p>
          <w:p w:rsidR="009B4BB4" w:rsidRDefault="00C44001">
            <w:pPr>
              <w:pStyle w:val="TableParagraph"/>
              <w:spacing w:before="1"/>
              <w:ind w:left="53"/>
              <w:jc w:val="center"/>
            </w:pPr>
            <w:r>
              <w:rPr>
                <w:spacing w:val="-4"/>
              </w:rPr>
              <w:t>Alto</w:t>
            </w:r>
          </w:p>
        </w:tc>
        <w:tc>
          <w:tcPr>
            <w:tcW w:w="3030" w:type="dxa"/>
          </w:tcPr>
          <w:p w:rsidR="009B4BB4" w:rsidRDefault="009B4BB4">
            <w:pPr>
              <w:pStyle w:val="TableParagraph"/>
              <w:spacing w:before="210"/>
              <w:rPr>
                <w:rFonts w:ascii="Arial"/>
                <w:i/>
              </w:rPr>
            </w:pPr>
          </w:p>
          <w:p w:rsidR="009B4BB4" w:rsidRDefault="00C44001">
            <w:pPr>
              <w:pStyle w:val="TableParagraph"/>
              <w:spacing w:before="1"/>
              <w:ind w:left="85" w:right="83" w:firstLine="30"/>
              <w:jc w:val="center"/>
            </w:pPr>
            <w:r>
              <w:t>Caída en el flujo de visitantes a la región (huracanes,</w:t>
            </w:r>
            <w:r>
              <w:rPr>
                <w:spacing w:val="-16"/>
              </w:rPr>
              <w:t xml:space="preserve"> </w:t>
            </w:r>
            <w:r>
              <w:t>crisis</w:t>
            </w:r>
            <w:r>
              <w:rPr>
                <w:spacing w:val="-15"/>
              </w:rPr>
              <w:t xml:space="preserve"> </w:t>
            </w:r>
            <w:r>
              <w:t>sanitarias).</w:t>
            </w:r>
          </w:p>
        </w:tc>
        <w:tc>
          <w:tcPr>
            <w:tcW w:w="2890" w:type="dxa"/>
          </w:tcPr>
          <w:p w:rsidR="009B4BB4" w:rsidRDefault="00C44001">
            <w:pPr>
              <w:pStyle w:val="TableParagraph"/>
              <w:spacing w:before="211"/>
              <w:ind w:left="106" w:right="129" w:firstLine="30"/>
              <w:jc w:val="center"/>
            </w:pPr>
            <w:r>
              <w:t>Omnicanalidad:</w:t>
            </w:r>
            <w:r>
              <w:rPr>
                <w:spacing w:val="-8"/>
              </w:rPr>
              <w:t xml:space="preserve"> </w:t>
            </w:r>
            <w:r>
              <w:t>Activación de e-commerce internacional</w:t>
            </w:r>
            <w:r>
              <w:rPr>
                <w:spacing w:val="-16"/>
              </w:rPr>
              <w:t xml:space="preserve"> </w:t>
            </w:r>
            <w:r>
              <w:t>para</w:t>
            </w:r>
            <w:r>
              <w:rPr>
                <w:spacing w:val="-15"/>
              </w:rPr>
              <w:t xml:space="preserve"> </w:t>
            </w:r>
            <w:r>
              <w:t>compras recurrentes desde el país de origen.</w:t>
            </w:r>
          </w:p>
        </w:tc>
      </w:tr>
      <w:tr w:rsidR="009B4BB4">
        <w:trPr>
          <w:trHeight w:val="1465"/>
        </w:trPr>
        <w:tc>
          <w:tcPr>
            <w:tcW w:w="1882" w:type="dxa"/>
          </w:tcPr>
          <w:p w:rsidR="009B4BB4" w:rsidRDefault="009B4BB4">
            <w:pPr>
              <w:pStyle w:val="TableParagraph"/>
              <w:rPr>
                <w:rFonts w:ascii="Arial"/>
                <w:i/>
              </w:rPr>
            </w:pPr>
          </w:p>
          <w:p w:rsidR="009B4BB4" w:rsidRDefault="009B4BB4">
            <w:pPr>
              <w:pStyle w:val="TableParagraph"/>
              <w:spacing w:before="73"/>
              <w:rPr>
                <w:rFonts w:ascii="Arial"/>
                <w:i/>
              </w:rPr>
            </w:pPr>
          </w:p>
          <w:p w:rsidR="009B4BB4" w:rsidRDefault="00C44001">
            <w:pPr>
              <w:pStyle w:val="TableParagraph"/>
              <w:ind w:left="603" w:right="355" w:hanging="206"/>
            </w:pPr>
            <w:r>
              <w:t>Inflación</w:t>
            </w:r>
            <w:r>
              <w:rPr>
                <w:spacing w:val="-16"/>
              </w:rPr>
              <w:t xml:space="preserve"> </w:t>
            </w:r>
            <w:r>
              <w:t xml:space="preserve">de </w:t>
            </w:r>
            <w:r>
              <w:rPr>
                <w:spacing w:val="-2"/>
              </w:rPr>
              <w:t>Costos</w:t>
            </w:r>
          </w:p>
        </w:tc>
        <w:tc>
          <w:tcPr>
            <w:tcW w:w="1239" w:type="dxa"/>
          </w:tcPr>
          <w:p w:rsidR="009B4BB4" w:rsidRDefault="009B4BB4">
            <w:pPr>
              <w:pStyle w:val="TableParagraph"/>
              <w:rPr>
                <w:rFonts w:ascii="Arial"/>
                <w:i/>
              </w:rPr>
            </w:pPr>
          </w:p>
          <w:p w:rsidR="009B4BB4" w:rsidRDefault="009B4BB4">
            <w:pPr>
              <w:pStyle w:val="TableParagraph"/>
              <w:spacing w:before="200"/>
              <w:rPr>
                <w:rFonts w:ascii="Arial"/>
                <w:i/>
              </w:rPr>
            </w:pPr>
          </w:p>
          <w:p w:rsidR="009B4BB4" w:rsidRDefault="00C44001">
            <w:pPr>
              <w:pStyle w:val="TableParagraph"/>
              <w:ind w:left="53"/>
              <w:jc w:val="center"/>
            </w:pPr>
            <w:r>
              <w:rPr>
                <w:spacing w:val="-2"/>
              </w:rPr>
              <w:t>Medio</w:t>
            </w:r>
          </w:p>
        </w:tc>
        <w:tc>
          <w:tcPr>
            <w:tcW w:w="3030" w:type="dxa"/>
          </w:tcPr>
          <w:p w:rsidR="009B4BB4" w:rsidRDefault="009B4BB4">
            <w:pPr>
              <w:pStyle w:val="TableParagraph"/>
              <w:spacing w:before="200"/>
              <w:rPr>
                <w:rFonts w:ascii="Arial"/>
                <w:i/>
              </w:rPr>
            </w:pPr>
          </w:p>
          <w:p w:rsidR="009B4BB4" w:rsidRDefault="00C44001">
            <w:pPr>
              <w:pStyle w:val="TableParagraph"/>
              <w:ind w:left="353" w:right="352" w:firstLine="30"/>
              <w:jc w:val="center"/>
            </w:pPr>
            <w:r>
              <w:t>Aumento en insumos (envases,</w:t>
            </w:r>
            <w:r>
              <w:rPr>
                <w:spacing w:val="-16"/>
              </w:rPr>
              <w:t xml:space="preserve"> </w:t>
            </w:r>
            <w:r>
              <w:t>logística)</w:t>
            </w:r>
            <w:r>
              <w:rPr>
                <w:spacing w:val="-15"/>
              </w:rPr>
              <w:t xml:space="preserve"> </w:t>
            </w:r>
            <w:r>
              <w:t>que erosione la utilidad.</w:t>
            </w:r>
          </w:p>
        </w:tc>
        <w:tc>
          <w:tcPr>
            <w:tcW w:w="2890" w:type="dxa"/>
          </w:tcPr>
          <w:p w:rsidR="009B4BB4" w:rsidRDefault="00C44001">
            <w:pPr>
              <w:pStyle w:val="TableParagraph"/>
              <w:spacing w:before="180" w:line="250" w:lineRule="atLeast"/>
              <w:ind w:left="188" w:right="212" w:firstLine="29"/>
              <w:jc w:val="center"/>
            </w:pPr>
            <w:r>
              <w:t>Margen de Defensa: El margen</w:t>
            </w:r>
            <w:r>
              <w:rPr>
                <w:spacing w:val="-16"/>
              </w:rPr>
              <w:t xml:space="preserve"> </w:t>
            </w:r>
            <w:r>
              <w:t>operativo</w:t>
            </w:r>
            <w:r>
              <w:rPr>
                <w:spacing w:val="-15"/>
              </w:rPr>
              <w:t xml:space="preserve"> </w:t>
            </w:r>
            <w:r>
              <w:t>(&gt;35%) permite absorber incrementos</w:t>
            </w:r>
            <w:r>
              <w:rPr>
                <w:spacing w:val="-11"/>
              </w:rPr>
              <w:t xml:space="preserve"> </w:t>
            </w:r>
            <w:r>
              <w:t>sin</w:t>
            </w:r>
            <w:r>
              <w:rPr>
                <w:spacing w:val="-11"/>
              </w:rPr>
              <w:t xml:space="preserve"> </w:t>
            </w:r>
            <w:r>
              <w:t>entrar</w:t>
            </w:r>
            <w:r>
              <w:rPr>
                <w:spacing w:val="-11"/>
              </w:rPr>
              <w:t xml:space="preserve"> </w:t>
            </w:r>
            <w:r>
              <w:t>en zona de pérdidas.</w:t>
            </w:r>
          </w:p>
        </w:tc>
      </w:tr>
    </w:tbl>
    <w:p w:rsidR="009B4BB4" w:rsidRDefault="009B4BB4">
      <w:pPr>
        <w:pStyle w:val="TableParagraph"/>
        <w:spacing w:line="250" w:lineRule="atLeast"/>
        <w:jc w:val="center"/>
        <w:sectPr w:rsidR="009B4BB4">
          <w:pgSz w:w="11920" w:h="16840"/>
          <w:pgMar w:top="1500" w:right="850" w:bottom="1940" w:left="1275" w:header="0" w:footer="1747" w:gutter="0"/>
          <w:cols w:space="720"/>
        </w:sectPr>
      </w:pPr>
    </w:p>
    <w:p w:rsidR="009B4BB4" w:rsidRDefault="009B4BB4">
      <w:pPr>
        <w:pStyle w:val="Textoindependiente"/>
        <w:spacing w:before="1"/>
        <w:rPr>
          <w:rFonts w:ascii="Arial"/>
          <w:i/>
          <w:sz w:val="11"/>
        </w:rPr>
      </w:pPr>
    </w:p>
    <w:tbl>
      <w:tblPr>
        <w:tblStyle w:val="TableNormal"/>
        <w:tblW w:w="0" w:type="auto"/>
        <w:tblInd w:w="432" w:type="dxa"/>
        <w:tblLayout w:type="fixed"/>
        <w:tblLook w:val="01E0" w:firstRow="1" w:lastRow="1" w:firstColumn="1" w:lastColumn="1" w:noHBand="0" w:noVBand="0"/>
      </w:tblPr>
      <w:tblGrid>
        <w:gridCol w:w="1899"/>
        <w:gridCol w:w="1127"/>
        <w:gridCol w:w="3105"/>
        <w:gridCol w:w="2909"/>
      </w:tblGrid>
      <w:tr w:rsidR="009B4BB4">
        <w:trPr>
          <w:trHeight w:val="1284"/>
        </w:trPr>
        <w:tc>
          <w:tcPr>
            <w:tcW w:w="1899" w:type="dxa"/>
          </w:tcPr>
          <w:p w:rsidR="009B4BB4" w:rsidRDefault="00C44001">
            <w:pPr>
              <w:pStyle w:val="TableParagraph"/>
              <w:spacing w:before="246"/>
              <w:ind w:left="304" w:firstLine="314"/>
            </w:pPr>
            <w:r>
              <w:rPr>
                <w:spacing w:val="-2"/>
              </w:rPr>
              <w:t>Riesgo Reputacional</w:t>
            </w:r>
          </w:p>
        </w:tc>
        <w:tc>
          <w:tcPr>
            <w:tcW w:w="1127" w:type="dxa"/>
          </w:tcPr>
          <w:p w:rsidR="009B4BB4" w:rsidRDefault="009B4BB4">
            <w:pPr>
              <w:pStyle w:val="TableParagraph"/>
              <w:spacing w:before="119"/>
              <w:rPr>
                <w:rFonts w:ascii="Arial"/>
                <w:i/>
              </w:rPr>
            </w:pPr>
          </w:p>
          <w:p w:rsidR="009B4BB4" w:rsidRDefault="00C44001">
            <w:pPr>
              <w:pStyle w:val="TableParagraph"/>
              <w:ind w:right="178"/>
              <w:jc w:val="right"/>
            </w:pPr>
            <w:r>
              <w:rPr>
                <w:spacing w:val="-2"/>
              </w:rPr>
              <w:t>Crítico</w:t>
            </w:r>
          </w:p>
        </w:tc>
        <w:tc>
          <w:tcPr>
            <w:tcW w:w="3105" w:type="dxa"/>
          </w:tcPr>
          <w:p w:rsidR="009B4BB4" w:rsidRDefault="00C44001">
            <w:pPr>
              <w:pStyle w:val="TableParagraph"/>
              <w:ind w:left="179" w:right="63" w:firstLine="30"/>
              <w:jc w:val="center"/>
            </w:pPr>
            <w:r>
              <w:t>Percepción de "Greenwashing"</w:t>
            </w:r>
            <w:r>
              <w:t xml:space="preserve"> o falta de pureza,</w:t>
            </w:r>
            <w:r>
              <w:rPr>
                <w:spacing w:val="-14"/>
              </w:rPr>
              <w:t xml:space="preserve"> </w:t>
            </w:r>
            <w:r>
              <w:t>destruyendo</w:t>
            </w:r>
            <w:r>
              <w:rPr>
                <w:spacing w:val="-14"/>
              </w:rPr>
              <w:t xml:space="preserve"> </w:t>
            </w:r>
            <w:r>
              <w:t>el</w:t>
            </w:r>
            <w:r>
              <w:rPr>
                <w:spacing w:val="-14"/>
              </w:rPr>
              <w:t xml:space="preserve"> </w:t>
            </w:r>
            <w:r>
              <w:t xml:space="preserve">brand </w:t>
            </w:r>
            <w:r>
              <w:rPr>
                <w:spacing w:val="-2"/>
              </w:rPr>
              <w:t>equity.</w:t>
            </w:r>
          </w:p>
        </w:tc>
        <w:tc>
          <w:tcPr>
            <w:tcW w:w="2909" w:type="dxa"/>
          </w:tcPr>
          <w:p w:rsidR="009B4BB4" w:rsidRDefault="00C44001">
            <w:pPr>
              <w:pStyle w:val="TableParagraph"/>
              <w:ind w:left="65" w:right="67" w:firstLine="29"/>
              <w:jc w:val="center"/>
            </w:pPr>
            <w:r>
              <w:t>Transparencia Radical: Trazabilidad mediante códigos</w:t>
            </w:r>
            <w:r>
              <w:rPr>
                <w:spacing w:val="-13"/>
              </w:rPr>
              <w:t xml:space="preserve"> </w:t>
            </w:r>
            <w:r>
              <w:t>QR</w:t>
            </w:r>
            <w:r>
              <w:rPr>
                <w:spacing w:val="-13"/>
              </w:rPr>
              <w:t xml:space="preserve"> </w:t>
            </w:r>
            <w:r>
              <w:t>y</w:t>
            </w:r>
            <w:r>
              <w:rPr>
                <w:spacing w:val="-13"/>
              </w:rPr>
              <w:t xml:space="preserve"> </w:t>
            </w:r>
            <w:r>
              <w:t>certificaciones externas (Sello Orgánico).</w:t>
            </w:r>
          </w:p>
        </w:tc>
      </w:tr>
      <w:tr w:rsidR="009B4BB4">
        <w:trPr>
          <w:trHeight w:val="1577"/>
        </w:trPr>
        <w:tc>
          <w:tcPr>
            <w:tcW w:w="1899" w:type="dxa"/>
            <w:tcBorders>
              <w:bottom w:val="single" w:sz="8" w:space="0" w:color="000000"/>
            </w:tcBorders>
          </w:tcPr>
          <w:p w:rsidR="009B4BB4" w:rsidRDefault="009B4BB4">
            <w:pPr>
              <w:pStyle w:val="TableParagraph"/>
              <w:rPr>
                <w:rFonts w:ascii="Arial"/>
                <w:i/>
              </w:rPr>
            </w:pPr>
          </w:p>
          <w:p w:rsidR="009B4BB4" w:rsidRDefault="009B4BB4">
            <w:pPr>
              <w:pStyle w:val="TableParagraph"/>
              <w:spacing w:before="145"/>
              <w:rPr>
                <w:rFonts w:ascii="Arial"/>
                <w:i/>
              </w:rPr>
            </w:pPr>
          </w:p>
          <w:p w:rsidR="009B4BB4" w:rsidRDefault="00C44001">
            <w:pPr>
              <w:pStyle w:val="TableParagraph"/>
              <w:ind w:left="536" w:right="378" w:hanging="132"/>
            </w:pPr>
            <w:r>
              <w:t>Brechas</w:t>
            </w:r>
            <w:r>
              <w:rPr>
                <w:spacing w:val="-16"/>
              </w:rPr>
              <w:t xml:space="preserve"> </w:t>
            </w:r>
            <w:r>
              <w:t xml:space="preserve">de </w:t>
            </w:r>
            <w:r>
              <w:rPr>
                <w:spacing w:val="-2"/>
              </w:rPr>
              <w:t>Liquidez</w:t>
            </w:r>
          </w:p>
        </w:tc>
        <w:tc>
          <w:tcPr>
            <w:tcW w:w="1127" w:type="dxa"/>
            <w:tcBorders>
              <w:bottom w:val="single" w:sz="8" w:space="0" w:color="000000"/>
            </w:tcBorders>
          </w:tcPr>
          <w:p w:rsidR="009B4BB4" w:rsidRDefault="009B4BB4">
            <w:pPr>
              <w:pStyle w:val="TableParagraph"/>
              <w:rPr>
                <w:rFonts w:ascii="Arial"/>
                <w:i/>
              </w:rPr>
            </w:pPr>
          </w:p>
          <w:p w:rsidR="009B4BB4" w:rsidRDefault="009B4BB4">
            <w:pPr>
              <w:pStyle w:val="TableParagraph"/>
              <w:rPr>
                <w:rFonts w:ascii="Arial"/>
                <w:i/>
              </w:rPr>
            </w:pPr>
          </w:p>
          <w:p w:rsidR="009B4BB4" w:rsidRDefault="009B4BB4">
            <w:pPr>
              <w:pStyle w:val="TableParagraph"/>
              <w:spacing w:before="19"/>
              <w:rPr>
                <w:rFonts w:ascii="Arial"/>
                <w:i/>
              </w:rPr>
            </w:pPr>
          </w:p>
          <w:p w:rsidR="009B4BB4" w:rsidRDefault="00C44001">
            <w:pPr>
              <w:pStyle w:val="TableParagraph"/>
              <w:ind w:right="196"/>
              <w:jc w:val="right"/>
            </w:pPr>
            <w:r>
              <w:rPr>
                <w:spacing w:val="-2"/>
              </w:rPr>
              <w:t>Medio</w:t>
            </w:r>
          </w:p>
        </w:tc>
        <w:tc>
          <w:tcPr>
            <w:tcW w:w="3105" w:type="dxa"/>
            <w:tcBorders>
              <w:bottom w:val="single" w:sz="8" w:space="0" w:color="000000"/>
            </w:tcBorders>
          </w:tcPr>
          <w:p w:rsidR="009B4BB4" w:rsidRDefault="009B4BB4">
            <w:pPr>
              <w:pStyle w:val="TableParagraph"/>
              <w:rPr>
                <w:rFonts w:ascii="Arial"/>
                <w:i/>
              </w:rPr>
            </w:pPr>
          </w:p>
          <w:p w:rsidR="009B4BB4" w:rsidRDefault="009B4BB4">
            <w:pPr>
              <w:pStyle w:val="TableParagraph"/>
              <w:spacing w:before="19"/>
              <w:rPr>
                <w:rFonts w:ascii="Arial"/>
                <w:i/>
              </w:rPr>
            </w:pPr>
          </w:p>
          <w:p w:rsidR="009B4BB4" w:rsidRDefault="00C44001">
            <w:pPr>
              <w:pStyle w:val="TableParagraph"/>
              <w:ind w:left="228" w:right="112" w:firstLine="30"/>
              <w:jc w:val="center"/>
            </w:pPr>
            <w:r>
              <w:t>Desfase entre el pago inmediato</w:t>
            </w:r>
            <w:r>
              <w:rPr>
                <w:spacing w:val="-10"/>
              </w:rPr>
              <w:t xml:space="preserve"> </w:t>
            </w:r>
            <w:r>
              <w:t>a</w:t>
            </w:r>
            <w:r>
              <w:rPr>
                <w:spacing w:val="-10"/>
              </w:rPr>
              <w:t xml:space="preserve"> </w:t>
            </w:r>
            <w:r>
              <w:t>productores</w:t>
            </w:r>
            <w:r>
              <w:rPr>
                <w:spacing w:val="-10"/>
              </w:rPr>
              <w:t xml:space="preserve"> </w:t>
            </w:r>
            <w:r>
              <w:t>y</w:t>
            </w:r>
            <w:r>
              <w:rPr>
                <w:spacing w:val="-10"/>
              </w:rPr>
              <w:t xml:space="preserve"> </w:t>
            </w:r>
            <w:r>
              <w:t>el cobro de ventas.</w:t>
            </w:r>
          </w:p>
        </w:tc>
        <w:tc>
          <w:tcPr>
            <w:tcW w:w="2909" w:type="dxa"/>
            <w:tcBorders>
              <w:bottom w:val="single" w:sz="8" w:space="0" w:color="000000"/>
            </w:tcBorders>
          </w:tcPr>
          <w:p w:rsidR="009B4BB4" w:rsidRDefault="009B4BB4">
            <w:pPr>
              <w:pStyle w:val="TableParagraph"/>
              <w:spacing w:before="19"/>
              <w:rPr>
                <w:rFonts w:ascii="Arial"/>
                <w:i/>
              </w:rPr>
            </w:pPr>
          </w:p>
          <w:p w:rsidR="009B4BB4" w:rsidRDefault="00C44001">
            <w:pPr>
              <w:pStyle w:val="TableParagraph"/>
              <w:ind w:left="95" w:right="98" w:firstLine="30"/>
              <w:jc w:val="center"/>
            </w:pPr>
            <w:r>
              <w:t>Fondo de Maniobra: Reserva del 10% de la inversión inicial exclusivamente</w:t>
            </w:r>
            <w:r>
              <w:rPr>
                <w:spacing w:val="-16"/>
              </w:rPr>
              <w:t xml:space="preserve"> </w:t>
            </w:r>
            <w:r>
              <w:t>para</w:t>
            </w:r>
            <w:r>
              <w:rPr>
                <w:spacing w:val="-15"/>
              </w:rPr>
              <w:t xml:space="preserve"> </w:t>
            </w:r>
            <w:r>
              <w:t>capital de trabajo operativo.</w:t>
            </w:r>
          </w:p>
        </w:tc>
      </w:tr>
    </w:tbl>
    <w:p w:rsidR="009B4BB4" w:rsidRDefault="00C44001">
      <w:pPr>
        <w:pStyle w:val="Textoindependiente"/>
        <w:spacing w:before="220" w:line="360" w:lineRule="auto"/>
        <w:ind w:left="425" w:right="671" w:firstLine="30"/>
      </w:pPr>
      <w:r>
        <w:rPr>
          <w:rFonts w:ascii="Arial" w:hAnsi="Arial"/>
          <w:i/>
        </w:rPr>
        <w:t xml:space="preserve">Nota. </w:t>
      </w:r>
      <w:r>
        <w:t>La criticidad se determina con base en la probabilidad de ocurrencia y el impacto directo en el VAN del proyecto. Elaboración propia (2025).</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rsidP="00C44001">
      <w:pPr>
        <w:pStyle w:val="Ttulo2"/>
        <w:numPr>
          <w:ilvl w:val="2"/>
          <w:numId w:val="3"/>
        </w:numPr>
        <w:tabs>
          <w:tab w:val="left" w:pos="1121"/>
        </w:tabs>
        <w:spacing w:before="1"/>
        <w:ind w:left="1121" w:hanging="666"/>
      </w:pPr>
      <w:bookmarkStart w:id="267" w:name="7.10.1_Análisis_de_riesgos_críticos_"/>
      <w:bookmarkStart w:id="268" w:name="h.oowb24e6memd"/>
      <w:bookmarkEnd w:id="267"/>
      <w:bookmarkEnd w:id="268"/>
      <w:r>
        <w:t>Análisis</w:t>
      </w:r>
      <w:r>
        <w:rPr>
          <w:spacing w:val="-6"/>
        </w:rPr>
        <w:t xml:space="preserve"> </w:t>
      </w:r>
      <w:r>
        <w:t>de</w:t>
      </w:r>
      <w:r>
        <w:rPr>
          <w:spacing w:val="-6"/>
        </w:rPr>
        <w:t xml:space="preserve"> </w:t>
      </w:r>
      <w:r>
        <w:t>riesgos</w:t>
      </w:r>
      <w:r>
        <w:rPr>
          <w:spacing w:val="-5"/>
        </w:rPr>
        <w:t xml:space="preserve"> </w:t>
      </w:r>
      <w:r>
        <w:rPr>
          <w:spacing w:val="-2"/>
        </w:rPr>
        <w:t>críticos</w:t>
      </w:r>
    </w:p>
    <w:p w:rsidR="009B4BB4" w:rsidRDefault="009B4BB4">
      <w:pPr>
        <w:pStyle w:val="Textoindependiente"/>
        <w:spacing w:before="113"/>
        <w:rPr>
          <w:rFonts w:ascii="Arial"/>
          <w:b/>
          <w:i/>
        </w:rPr>
      </w:pPr>
    </w:p>
    <w:p w:rsidR="009B4BB4" w:rsidRDefault="00C44001" w:rsidP="00C44001">
      <w:pPr>
        <w:pStyle w:val="Prrafodelista"/>
        <w:numPr>
          <w:ilvl w:val="3"/>
          <w:numId w:val="3"/>
        </w:numPr>
        <w:tabs>
          <w:tab w:val="left" w:pos="1145"/>
        </w:tabs>
        <w:spacing w:before="0" w:line="360" w:lineRule="auto"/>
        <w:ind w:right="602"/>
        <w:jc w:val="both"/>
      </w:pPr>
      <w:r>
        <w:rPr>
          <w:rFonts w:ascii="Arial" w:hAnsi="Arial"/>
          <w:b/>
        </w:rPr>
        <w:t xml:space="preserve">El desafío de la naturaleza (Riesgo de oferta): </w:t>
      </w:r>
      <w:r>
        <w:t>El riesgo financiero más relevante es la imprevisibilidad biológica. A diferencia de un proceso industrial,</w:t>
      </w:r>
      <w:r>
        <w:rPr>
          <w:spacing w:val="-4"/>
        </w:rPr>
        <w:t xml:space="preserve"> </w:t>
      </w:r>
      <w:r>
        <w:t>la producción de</w:t>
      </w:r>
      <w:r>
        <w:rPr>
          <w:spacing w:val="-5"/>
        </w:rPr>
        <w:t xml:space="preserve"> </w:t>
      </w:r>
      <w:r>
        <w:t>miel</w:t>
      </w:r>
      <w:r>
        <w:rPr>
          <w:spacing w:val="-5"/>
        </w:rPr>
        <w:t xml:space="preserve"> </w:t>
      </w:r>
      <w:r>
        <w:t>melipona</w:t>
      </w:r>
      <w:r>
        <w:rPr>
          <w:spacing w:val="-5"/>
        </w:rPr>
        <w:t xml:space="preserve"> </w:t>
      </w:r>
      <w:r>
        <w:t>no</w:t>
      </w:r>
      <w:r>
        <w:rPr>
          <w:spacing w:val="-5"/>
        </w:rPr>
        <w:t xml:space="preserve"> </w:t>
      </w:r>
      <w:r>
        <w:t>puede</w:t>
      </w:r>
      <w:r>
        <w:rPr>
          <w:spacing w:val="-5"/>
        </w:rPr>
        <w:t xml:space="preserve"> </w:t>
      </w:r>
      <w:r>
        <w:t>escalarse</w:t>
      </w:r>
      <w:r>
        <w:rPr>
          <w:spacing w:val="-5"/>
        </w:rPr>
        <w:t xml:space="preserve"> </w:t>
      </w:r>
      <w:r>
        <w:t>bajo</w:t>
      </w:r>
      <w:r>
        <w:rPr>
          <w:spacing w:val="-5"/>
        </w:rPr>
        <w:t xml:space="preserve"> </w:t>
      </w:r>
      <w:r>
        <w:t>demanda.</w:t>
      </w:r>
      <w:r>
        <w:rPr>
          <w:spacing w:val="-5"/>
        </w:rPr>
        <w:t xml:space="preserve"> </w:t>
      </w:r>
      <w:r>
        <w:t>Guardiana</w:t>
      </w:r>
      <w:r>
        <w:rPr>
          <w:spacing w:val="-5"/>
        </w:rPr>
        <w:t xml:space="preserve"> </w:t>
      </w:r>
      <w:r>
        <w:t>mitiga este riesgo mediante un tope estratégico de 3,000 unidades. Al no</w:t>
      </w:r>
      <w:r>
        <w:rPr>
          <w:spacing w:val="40"/>
        </w:rPr>
        <w:t xml:space="preserve"> </w:t>
      </w:r>
      <w:r>
        <w:t>comprometerse con volúmenes industriales, la demanda de miel se mantiene manejable y sostenible, permitiendo acumular inventario en temporadas de alta producción para cubrir</w:t>
      </w:r>
      <w:r>
        <w:t xml:space="preserve"> periodos de escasez.</w:t>
      </w:r>
    </w:p>
    <w:p w:rsidR="009B4BB4" w:rsidRDefault="00C44001" w:rsidP="00C44001">
      <w:pPr>
        <w:pStyle w:val="Prrafodelista"/>
        <w:numPr>
          <w:ilvl w:val="3"/>
          <w:numId w:val="3"/>
        </w:numPr>
        <w:tabs>
          <w:tab w:val="left" w:pos="1145"/>
        </w:tabs>
        <w:spacing w:line="360" w:lineRule="auto"/>
        <w:ind w:right="604"/>
        <w:jc w:val="both"/>
      </w:pPr>
      <w:r>
        <w:rPr>
          <w:rFonts w:ascii="Arial" w:hAnsi="Arial"/>
          <w:b/>
        </w:rPr>
        <w:t xml:space="preserve">Turismo a la baja (Desafío del mercado): </w:t>
      </w:r>
      <w:r>
        <w:t>Depender exclusivamente del flujo físico en Valladolid implica un riesgo de concentración. La estrategia consiste en convertir al turista ocasional en un cliente recurrente digital. El visitant</w:t>
      </w:r>
      <w:r>
        <w:t>e adquiere su primer producto en el punto de venta local, mientras que las recompras se realizan vía e-commerce desde mercados internacionales, como Nueva York o Berlín. De esta forma,</w:t>
      </w:r>
      <w:r>
        <w:rPr>
          <w:spacing w:val="-3"/>
        </w:rPr>
        <w:t xml:space="preserve"> </w:t>
      </w:r>
      <w:r>
        <w:t>el</w:t>
      </w:r>
      <w:r>
        <w:rPr>
          <w:spacing w:val="-3"/>
        </w:rPr>
        <w:t xml:space="preserve"> </w:t>
      </w:r>
      <w:r>
        <w:t>canal</w:t>
      </w:r>
      <w:r>
        <w:rPr>
          <w:spacing w:val="-3"/>
        </w:rPr>
        <w:t xml:space="preserve"> </w:t>
      </w:r>
      <w:r>
        <w:t>digital</w:t>
      </w:r>
      <w:r>
        <w:rPr>
          <w:spacing w:val="-3"/>
        </w:rPr>
        <w:t xml:space="preserve"> </w:t>
      </w:r>
      <w:r>
        <w:t>funciona</w:t>
      </w:r>
      <w:r>
        <w:rPr>
          <w:spacing w:val="-3"/>
        </w:rPr>
        <w:t xml:space="preserve"> </w:t>
      </w:r>
      <w:r>
        <w:t>como</w:t>
      </w:r>
      <w:r>
        <w:rPr>
          <w:spacing w:val="-3"/>
        </w:rPr>
        <w:t xml:space="preserve"> </w:t>
      </w:r>
      <w:r>
        <w:t>un</w:t>
      </w:r>
      <w:r>
        <w:rPr>
          <w:spacing w:val="-3"/>
        </w:rPr>
        <w:t xml:space="preserve"> </w:t>
      </w:r>
      <w:r>
        <w:t>mecanismo</w:t>
      </w:r>
      <w:r>
        <w:rPr>
          <w:spacing w:val="-3"/>
        </w:rPr>
        <w:t xml:space="preserve"> </w:t>
      </w:r>
      <w:r>
        <w:t>de</w:t>
      </w:r>
      <w:r>
        <w:rPr>
          <w:spacing w:val="-3"/>
        </w:rPr>
        <w:t xml:space="preserve"> </w:t>
      </w:r>
      <w:r>
        <w:t>estabilidad frente a crisis locales o regionales.</w:t>
      </w:r>
    </w:p>
    <w:p w:rsidR="009B4BB4" w:rsidRDefault="00C44001" w:rsidP="00C44001">
      <w:pPr>
        <w:pStyle w:val="Prrafodelista"/>
        <w:numPr>
          <w:ilvl w:val="3"/>
          <w:numId w:val="3"/>
        </w:numPr>
        <w:tabs>
          <w:tab w:val="left" w:pos="1145"/>
        </w:tabs>
        <w:spacing w:line="360" w:lineRule="auto"/>
        <w:ind w:right="605"/>
        <w:jc w:val="both"/>
      </w:pPr>
      <w:r>
        <w:rPr>
          <w:rFonts w:ascii="Arial" w:hAnsi="Arial"/>
          <w:b/>
        </w:rPr>
        <w:t xml:space="preserve">El desafío de la confianza (Reputación): </w:t>
      </w:r>
      <w:r>
        <w:t xml:space="preserve">En el segmento </w:t>
      </w:r>
      <w:r>
        <w:rPr>
          <w:rFonts w:ascii="Arial" w:hAnsi="Arial"/>
          <w:i/>
        </w:rPr>
        <w:t>premium</w:t>
      </w:r>
      <w:r>
        <w:t>, la credibilidad es el principal activo de la marca. Cualquier duda</w:t>
      </w:r>
      <w:r>
        <w:rPr>
          <w:spacing w:val="-3"/>
        </w:rPr>
        <w:t xml:space="preserve"> </w:t>
      </w:r>
      <w:r>
        <w:t>sobre</w:t>
      </w:r>
      <w:r>
        <w:rPr>
          <w:spacing w:val="-3"/>
        </w:rPr>
        <w:t xml:space="preserve"> </w:t>
      </w:r>
      <w:r>
        <w:t>la</w:t>
      </w:r>
      <w:r>
        <w:rPr>
          <w:spacing w:val="-3"/>
        </w:rPr>
        <w:t xml:space="preserve"> </w:t>
      </w:r>
      <w:r>
        <w:t>pureza</w:t>
      </w:r>
      <w:r>
        <w:rPr>
          <w:spacing w:val="-3"/>
        </w:rPr>
        <w:t xml:space="preserve"> </w:t>
      </w:r>
      <w:r>
        <w:t>del</w:t>
      </w:r>
    </w:p>
    <w:p w:rsidR="009B4BB4" w:rsidRDefault="009B4BB4">
      <w:pPr>
        <w:pStyle w:val="Prrafodelista"/>
        <w:spacing w:line="360" w:lineRule="auto"/>
        <w:jc w:val="both"/>
        <w:sectPr w:rsidR="009B4BB4">
          <w:pgSz w:w="11920" w:h="16840"/>
          <w:pgMar w:top="1940" w:right="850" w:bottom="1940" w:left="1275" w:header="0" w:footer="1747" w:gutter="0"/>
          <w:cols w:space="720"/>
        </w:sectPr>
      </w:pPr>
    </w:p>
    <w:p w:rsidR="009B4BB4" w:rsidRDefault="00C44001">
      <w:pPr>
        <w:pStyle w:val="Textoindependiente"/>
        <w:spacing w:before="79" w:line="360" w:lineRule="auto"/>
        <w:ind w:left="1145" w:right="607"/>
        <w:jc w:val="both"/>
      </w:pPr>
      <w:proofErr w:type="gramStart"/>
      <w:r>
        <w:lastRenderedPageBreak/>
        <w:t>producto</w:t>
      </w:r>
      <w:proofErr w:type="gramEnd"/>
      <w:r>
        <w:t xml:space="preserve"> o el trato justo a</w:t>
      </w:r>
      <w:r>
        <w:rPr>
          <w:spacing w:val="-4"/>
        </w:rPr>
        <w:t xml:space="preserve"> </w:t>
      </w:r>
      <w:r>
        <w:t>los</w:t>
      </w:r>
      <w:r>
        <w:rPr>
          <w:spacing w:val="-4"/>
        </w:rPr>
        <w:t xml:space="preserve"> </w:t>
      </w:r>
      <w:r>
        <w:t>prod</w:t>
      </w:r>
      <w:r>
        <w:t>uctores</w:t>
      </w:r>
      <w:r>
        <w:rPr>
          <w:spacing w:val="-4"/>
        </w:rPr>
        <w:t xml:space="preserve"> </w:t>
      </w:r>
      <w:r>
        <w:t>impactaría</w:t>
      </w:r>
      <w:r>
        <w:rPr>
          <w:spacing w:val="-4"/>
        </w:rPr>
        <w:t xml:space="preserve"> </w:t>
      </w:r>
      <w:r>
        <w:t>directamente</w:t>
      </w:r>
      <w:r>
        <w:rPr>
          <w:spacing w:val="-4"/>
        </w:rPr>
        <w:t xml:space="preserve"> </w:t>
      </w:r>
      <w:r>
        <w:t>en</w:t>
      </w:r>
      <w:r>
        <w:rPr>
          <w:spacing w:val="-4"/>
        </w:rPr>
        <w:t xml:space="preserve"> </w:t>
      </w:r>
      <w:r>
        <w:t>su</w:t>
      </w:r>
      <w:r>
        <w:rPr>
          <w:spacing w:val="-4"/>
        </w:rPr>
        <w:t xml:space="preserve"> </w:t>
      </w:r>
      <w:r>
        <w:t>valor.</w:t>
      </w:r>
      <w:r>
        <w:rPr>
          <w:spacing w:val="-4"/>
        </w:rPr>
        <w:t xml:space="preserve"> </w:t>
      </w:r>
      <w:r>
        <w:t>La respuesta de Guardiana no es únicamente comunicacional, sino verificable: la trazabilidad y las certificaciones actúan</w:t>
      </w:r>
      <w:r>
        <w:rPr>
          <w:spacing w:val="-4"/>
        </w:rPr>
        <w:t xml:space="preserve"> </w:t>
      </w:r>
      <w:r>
        <w:t>como</w:t>
      </w:r>
      <w:r>
        <w:rPr>
          <w:spacing w:val="-4"/>
        </w:rPr>
        <w:t xml:space="preserve"> </w:t>
      </w:r>
      <w:r>
        <w:t>un</w:t>
      </w:r>
      <w:r>
        <w:rPr>
          <w:spacing w:val="-4"/>
        </w:rPr>
        <w:t xml:space="preserve"> </w:t>
      </w:r>
      <w:r>
        <w:t>sistema</w:t>
      </w:r>
      <w:r>
        <w:rPr>
          <w:spacing w:val="-4"/>
        </w:rPr>
        <w:t xml:space="preserve"> </w:t>
      </w:r>
      <w:r>
        <w:t>de</w:t>
      </w:r>
      <w:r>
        <w:rPr>
          <w:spacing w:val="-4"/>
        </w:rPr>
        <w:t xml:space="preserve"> </w:t>
      </w:r>
      <w:r>
        <w:t>respaldo</w:t>
      </w:r>
      <w:r>
        <w:rPr>
          <w:spacing w:val="-4"/>
        </w:rPr>
        <w:t xml:space="preserve"> </w:t>
      </w:r>
      <w:r>
        <w:t>que</w:t>
      </w:r>
      <w:r>
        <w:rPr>
          <w:spacing w:val="-4"/>
        </w:rPr>
        <w:t xml:space="preserve"> </w:t>
      </w:r>
      <w:r>
        <w:t xml:space="preserve">protege el posicionamiento </w:t>
      </w:r>
      <w:r>
        <w:rPr>
          <w:rFonts w:ascii="Arial" w:hAnsi="Arial"/>
          <w:i/>
        </w:rPr>
        <w:t xml:space="preserve">premium </w:t>
      </w:r>
      <w:r>
        <w:t>y fortalece la confian</w:t>
      </w:r>
      <w:r>
        <w:t>za del consumidor.</w:t>
      </w:r>
    </w:p>
    <w:p w:rsidR="009B4BB4" w:rsidRDefault="00C44001">
      <w:pPr>
        <w:pStyle w:val="Textoindependiente"/>
        <w:spacing w:line="360" w:lineRule="auto"/>
        <w:ind w:left="425" w:right="602" w:firstLine="720"/>
        <w:jc w:val="both"/>
      </w:pPr>
      <w:r>
        <w:t>Este análisis confirma que, aunque Guardiana opera en un entorno biológico incierto, su estructura financiera es resiliente. El alto margen de contribución funciona como</w:t>
      </w:r>
      <w:r>
        <w:rPr>
          <w:spacing w:val="24"/>
        </w:rPr>
        <w:t xml:space="preserve"> </w:t>
      </w:r>
      <w:r>
        <w:t>un</w:t>
      </w:r>
      <w:r>
        <w:rPr>
          <w:spacing w:val="24"/>
        </w:rPr>
        <w:t xml:space="preserve"> </w:t>
      </w:r>
      <w:r>
        <w:t>amortiguador, mientras que la diversificación de la red de produ</w:t>
      </w:r>
      <w:r>
        <w:t>ctores asegura la continuidad operativa ante variaciones climáticas o de mercado.</w:t>
      </w:r>
    </w:p>
    <w:p w:rsidR="009B4BB4" w:rsidRDefault="009B4BB4">
      <w:pPr>
        <w:pStyle w:val="Textoindependiente"/>
        <w:spacing w:before="27"/>
      </w:pPr>
    </w:p>
    <w:p w:rsidR="009B4BB4" w:rsidRDefault="00C44001" w:rsidP="00C44001">
      <w:pPr>
        <w:pStyle w:val="Ttulo1"/>
        <w:numPr>
          <w:ilvl w:val="1"/>
          <w:numId w:val="14"/>
        </w:numPr>
        <w:tabs>
          <w:tab w:val="left" w:pos="928"/>
        </w:tabs>
        <w:ind w:left="928" w:hanging="473"/>
      </w:pPr>
      <w:bookmarkStart w:id="269" w:name="7.11_Viabilidad_social_y_ambiental_"/>
      <w:bookmarkStart w:id="270" w:name="h.rrwipm518hbs"/>
      <w:bookmarkEnd w:id="269"/>
      <w:bookmarkEnd w:id="270"/>
      <w:r>
        <w:t>Viabilidad</w:t>
      </w:r>
      <w:r>
        <w:rPr>
          <w:spacing w:val="-7"/>
        </w:rPr>
        <w:t xml:space="preserve"> </w:t>
      </w:r>
      <w:r>
        <w:t>social</w:t>
      </w:r>
      <w:r>
        <w:rPr>
          <w:spacing w:val="-7"/>
        </w:rPr>
        <w:t xml:space="preserve"> </w:t>
      </w:r>
      <w:r>
        <w:t>y</w:t>
      </w:r>
      <w:r>
        <w:rPr>
          <w:spacing w:val="-7"/>
        </w:rPr>
        <w:t xml:space="preserve"> </w:t>
      </w:r>
      <w:r>
        <w:rPr>
          <w:spacing w:val="-2"/>
        </w:rPr>
        <w:t>ambiental</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9" w:firstLine="720"/>
        <w:jc w:val="both"/>
      </w:pPr>
      <w:r>
        <w:t>La viabilidad de Guardiana constituye el</w:t>
      </w:r>
      <w:r>
        <w:rPr>
          <w:spacing w:val="-3"/>
        </w:rPr>
        <w:t xml:space="preserve"> </w:t>
      </w:r>
      <w:r>
        <w:t>fundamento</w:t>
      </w:r>
      <w:r>
        <w:rPr>
          <w:spacing w:val="-3"/>
        </w:rPr>
        <w:t xml:space="preserve"> </w:t>
      </w:r>
      <w:r>
        <w:t>de</w:t>
      </w:r>
      <w:r>
        <w:rPr>
          <w:spacing w:val="-3"/>
        </w:rPr>
        <w:t xml:space="preserve"> </w:t>
      </w:r>
      <w:r>
        <w:t>su</w:t>
      </w:r>
      <w:r>
        <w:rPr>
          <w:spacing w:val="-3"/>
        </w:rPr>
        <w:t xml:space="preserve"> </w:t>
      </w:r>
      <w:r>
        <w:t>modelo</w:t>
      </w:r>
      <w:r>
        <w:rPr>
          <w:spacing w:val="-3"/>
        </w:rPr>
        <w:t xml:space="preserve"> </w:t>
      </w:r>
      <w:r>
        <w:t>de</w:t>
      </w:r>
      <w:r>
        <w:rPr>
          <w:spacing w:val="-3"/>
        </w:rPr>
        <w:t xml:space="preserve"> </w:t>
      </w:r>
      <w:r>
        <w:t>negocio.</w:t>
      </w:r>
      <w:r>
        <w:rPr>
          <w:spacing w:val="-3"/>
        </w:rPr>
        <w:t xml:space="preserve"> </w:t>
      </w:r>
      <w:r>
        <w:t>El proyecto se estructura bajo la lógica de Valor Compartido (Porter &amp; Kramer, 2011), en</w:t>
      </w:r>
      <w:r>
        <w:rPr>
          <w:spacing w:val="-5"/>
        </w:rPr>
        <w:t xml:space="preserve"> </w:t>
      </w:r>
      <w:r>
        <w:t>la que la rentabilidad corporativa y el desarrollo comunitario se refuerzan mutuamente. Asimismo, se alinea con la perspectiva de Blended Value (Emerson, 2003), integr</w:t>
      </w:r>
      <w:r>
        <w:t>ando retornos económicos, sociales y ambientales en un mismo esquema de desempeño.</w:t>
      </w:r>
    </w:p>
    <w:p w:rsidR="009B4BB4" w:rsidRDefault="00C44001" w:rsidP="00C44001">
      <w:pPr>
        <w:pStyle w:val="Ttulo2"/>
        <w:numPr>
          <w:ilvl w:val="2"/>
          <w:numId w:val="2"/>
        </w:numPr>
        <w:tabs>
          <w:tab w:val="left" w:pos="1105"/>
        </w:tabs>
        <w:ind w:left="1105" w:hanging="650"/>
      </w:pPr>
      <w:bookmarkStart w:id="271" w:name="7.11.1_Alineación_con_los_Objetivos_de_D"/>
      <w:bookmarkStart w:id="272" w:name="h.182uf3p5gyku"/>
      <w:bookmarkEnd w:id="271"/>
      <w:bookmarkEnd w:id="272"/>
      <w:r>
        <w:t>Alineación</w:t>
      </w:r>
      <w:r>
        <w:rPr>
          <w:spacing w:val="-7"/>
        </w:rPr>
        <w:t xml:space="preserve"> </w:t>
      </w:r>
      <w:r>
        <w:t>con</w:t>
      </w:r>
      <w:r>
        <w:rPr>
          <w:spacing w:val="-7"/>
        </w:rPr>
        <w:t xml:space="preserve"> </w:t>
      </w:r>
      <w:r>
        <w:t>los</w:t>
      </w:r>
      <w:r>
        <w:rPr>
          <w:spacing w:val="-7"/>
        </w:rPr>
        <w:t xml:space="preserve"> </w:t>
      </w:r>
      <w:r>
        <w:t>Objetivos</w:t>
      </w:r>
      <w:r>
        <w:rPr>
          <w:spacing w:val="-6"/>
        </w:rPr>
        <w:t xml:space="preserve"> </w:t>
      </w:r>
      <w:r>
        <w:t>de</w:t>
      </w:r>
      <w:r>
        <w:rPr>
          <w:spacing w:val="-7"/>
        </w:rPr>
        <w:t xml:space="preserve"> </w:t>
      </w:r>
      <w:r>
        <w:t>Desarrollo</w:t>
      </w:r>
      <w:r>
        <w:rPr>
          <w:spacing w:val="-7"/>
        </w:rPr>
        <w:t xml:space="preserve"> </w:t>
      </w:r>
      <w:r>
        <w:t>Sostenible</w:t>
      </w:r>
      <w:r>
        <w:rPr>
          <w:spacing w:val="-6"/>
        </w:rPr>
        <w:t xml:space="preserve"> </w:t>
      </w:r>
      <w:r>
        <w:rPr>
          <w:spacing w:val="-2"/>
        </w:rPr>
        <w:t>(ODS)</w:t>
      </w:r>
    </w:p>
    <w:p w:rsidR="009B4BB4" w:rsidRDefault="009B4BB4">
      <w:pPr>
        <w:pStyle w:val="Textoindependiente"/>
        <w:spacing w:before="113"/>
        <w:rPr>
          <w:rFonts w:ascii="Arial"/>
          <w:b/>
          <w:i/>
        </w:rPr>
      </w:pPr>
    </w:p>
    <w:p w:rsidR="009B4BB4" w:rsidRDefault="00C44001">
      <w:pPr>
        <w:pStyle w:val="Textoindependiente"/>
        <w:spacing w:before="0" w:line="360" w:lineRule="auto"/>
        <w:ind w:left="425" w:right="609" w:firstLine="720"/>
        <w:jc w:val="both"/>
      </w:pPr>
      <w:r>
        <w:t>El proyecto impacta directamente en cuatro ejes de la Agenda 2030, transformando la comercialización de miel mel</w:t>
      </w:r>
      <w:r>
        <w:t xml:space="preserve">ipona en un motor de regeneración </w:t>
      </w:r>
      <w:r>
        <w:rPr>
          <w:spacing w:val="-2"/>
        </w:rPr>
        <w:t>biocultural:</w:t>
      </w:r>
    </w:p>
    <w:p w:rsidR="009B4BB4" w:rsidRDefault="00C44001" w:rsidP="00C44001">
      <w:pPr>
        <w:pStyle w:val="Prrafodelista"/>
        <w:numPr>
          <w:ilvl w:val="3"/>
          <w:numId w:val="2"/>
        </w:numPr>
        <w:tabs>
          <w:tab w:val="left" w:pos="1145"/>
        </w:tabs>
        <w:spacing w:line="360" w:lineRule="auto"/>
        <w:ind w:right="603"/>
        <w:jc w:val="both"/>
      </w:pPr>
      <w:r>
        <w:rPr>
          <w:rFonts w:ascii="Arial" w:hAnsi="Arial"/>
          <w:b/>
        </w:rPr>
        <w:t xml:space="preserve">ODS 3 - Salud y Bienestar: </w:t>
      </w:r>
      <w:r>
        <w:t>La propuesta de valor se centra en la salud preventiva. La miel melipona, respaldada por evidencia científica y tradición médica ancestral, presenta propiedades antibacterianas, anti</w:t>
      </w:r>
      <w:r>
        <w:t xml:space="preserve">oxidantes y antiinflamatorias (Stafford et al., 2014). Guardiana operacionaliza este beneficio promoviendo su uso como alternativa de bienestar basada en la biodiversidad </w:t>
      </w:r>
      <w:r>
        <w:rPr>
          <w:spacing w:val="-2"/>
        </w:rPr>
        <w:t>local.</w:t>
      </w:r>
    </w:p>
    <w:p w:rsidR="009B4BB4" w:rsidRDefault="00C44001" w:rsidP="00C44001">
      <w:pPr>
        <w:pStyle w:val="Prrafodelista"/>
        <w:numPr>
          <w:ilvl w:val="3"/>
          <w:numId w:val="2"/>
        </w:numPr>
        <w:tabs>
          <w:tab w:val="left" w:pos="1145"/>
        </w:tabs>
        <w:spacing w:line="360" w:lineRule="auto"/>
        <w:ind w:right="602"/>
        <w:jc w:val="both"/>
      </w:pPr>
      <w:r>
        <w:rPr>
          <w:rFonts w:ascii="Arial" w:hAnsi="Arial"/>
          <w:b/>
        </w:rPr>
        <w:t xml:space="preserve">ODS 8 - Trabajo Decente y Crecimiento Económico: </w:t>
      </w:r>
      <w:r>
        <w:t>La sostenibilidad de la caden</w:t>
      </w:r>
      <w:r>
        <w:t>a de suministro depende del bienestar del productor. El modelo establece relaciones de comercio justo con comunidades meliponicultoras,</w:t>
      </w:r>
      <w:r>
        <w:rPr>
          <w:spacing w:val="-4"/>
        </w:rPr>
        <w:t xml:space="preserve"> </w:t>
      </w:r>
      <w:r>
        <w:t>fortaleciendo</w:t>
      </w:r>
      <w:r>
        <w:rPr>
          <w:spacing w:val="-4"/>
        </w:rPr>
        <w:t xml:space="preserve"> </w:t>
      </w:r>
      <w:r>
        <w:t>las cadenas</w:t>
      </w:r>
      <w:r>
        <w:rPr>
          <w:spacing w:val="26"/>
        </w:rPr>
        <w:t xml:space="preserve"> </w:t>
      </w:r>
      <w:r>
        <w:t>de</w:t>
      </w:r>
      <w:r>
        <w:rPr>
          <w:spacing w:val="26"/>
        </w:rPr>
        <w:t xml:space="preserve"> </w:t>
      </w:r>
      <w:r>
        <w:t>valor</w:t>
      </w:r>
      <w:r>
        <w:rPr>
          <w:spacing w:val="26"/>
        </w:rPr>
        <w:t xml:space="preserve"> </w:t>
      </w:r>
      <w:r>
        <w:t>rurales</w:t>
      </w:r>
      <w:r>
        <w:rPr>
          <w:spacing w:val="26"/>
        </w:rPr>
        <w:t xml:space="preserve"> </w:t>
      </w:r>
      <w:r>
        <w:t>y</w:t>
      </w:r>
      <w:r>
        <w:rPr>
          <w:spacing w:val="26"/>
        </w:rPr>
        <w:t xml:space="preserve"> </w:t>
      </w:r>
      <w:r>
        <w:t>generando</w:t>
      </w:r>
      <w:r>
        <w:rPr>
          <w:spacing w:val="26"/>
        </w:rPr>
        <w:t xml:space="preserve"> </w:t>
      </w:r>
      <w:r>
        <w:t>ingresos</w:t>
      </w:r>
      <w:r>
        <w:rPr>
          <w:spacing w:val="26"/>
        </w:rPr>
        <w:t xml:space="preserve"> </w:t>
      </w:r>
      <w:r>
        <w:t>dignos por encima del promedio</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71"/>
      </w:pPr>
      <w:proofErr w:type="gramStart"/>
      <w:r>
        <w:lastRenderedPageBreak/>
        <w:t>regiona</w:t>
      </w:r>
      <w:r>
        <w:t>l</w:t>
      </w:r>
      <w:proofErr w:type="gramEnd"/>
      <w:r>
        <w:t>. Esta estrategia contribuye a la continuidad de los oficios tradicionales y fomenta la formalización de las actividades económicas locales.</w:t>
      </w:r>
    </w:p>
    <w:p w:rsidR="009B4BB4" w:rsidRDefault="00C44001" w:rsidP="00C44001">
      <w:pPr>
        <w:pStyle w:val="Prrafodelista"/>
        <w:numPr>
          <w:ilvl w:val="3"/>
          <w:numId w:val="2"/>
        </w:numPr>
        <w:tabs>
          <w:tab w:val="left" w:pos="1145"/>
        </w:tabs>
        <w:spacing w:line="360" w:lineRule="auto"/>
        <w:ind w:right="610"/>
        <w:jc w:val="both"/>
      </w:pPr>
      <w:r>
        <w:rPr>
          <w:rFonts w:ascii="Arial" w:hAnsi="Arial"/>
          <w:b/>
        </w:rPr>
        <w:t xml:space="preserve">ODS 12 - Producción y Consumo Responsable: </w:t>
      </w:r>
      <w:r>
        <w:t>La legitimidad</w:t>
      </w:r>
      <w:r>
        <w:rPr>
          <w:spacing w:val="-4"/>
        </w:rPr>
        <w:t xml:space="preserve"> </w:t>
      </w:r>
      <w:r>
        <w:t>del</w:t>
      </w:r>
      <w:r>
        <w:rPr>
          <w:spacing w:val="-4"/>
        </w:rPr>
        <w:t xml:space="preserve"> </w:t>
      </w:r>
      <w:r>
        <w:t>proyecto</w:t>
      </w:r>
      <w:r>
        <w:rPr>
          <w:spacing w:val="-4"/>
        </w:rPr>
        <w:t xml:space="preserve"> </w:t>
      </w:r>
      <w:r>
        <w:t xml:space="preserve">se sustenta en su bajo impacto ambiental y </w:t>
      </w:r>
      <w:r>
        <w:t>en una política</w:t>
      </w:r>
      <w:r>
        <w:rPr>
          <w:spacing w:val="-3"/>
        </w:rPr>
        <w:t xml:space="preserve"> </w:t>
      </w:r>
      <w:r>
        <w:t>de</w:t>
      </w:r>
      <w:r>
        <w:rPr>
          <w:spacing w:val="-3"/>
        </w:rPr>
        <w:t xml:space="preserve"> </w:t>
      </w:r>
      <w:r>
        <w:t>escasez</w:t>
      </w:r>
      <w:r>
        <w:rPr>
          <w:spacing w:val="-3"/>
        </w:rPr>
        <w:t xml:space="preserve"> </w:t>
      </w:r>
      <w:r>
        <w:t>programada. Guardiana incorpora principios de economía circular mediante empaques sostenibles, trazabilidad total y una narrativa que promueve decisiones de consumo informadas.</w:t>
      </w:r>
    </w:p>
    <w:p w:rsidR="009B4BB4" w:rsidRDefault="00C44001" w:rsidP="00C44001">
      <w:pPr>
        <w:pStyle w:val="Prrafodelista"/>
        <w:numPr>
          <w:ilvl w:val="3"/>
          <w:numId w:val="2"/>
        </w:numPr>
        <w:tabs>
          <w:tab w:val="left" w:pos="1145"/>
        </w:tabs>
        <w:spacing w:line="360" w:lineRule="auto"/>
        <w:ind w:right="602"/>
        <w:jc w:val="both"/>
      </w:pPr>
      <w:r>
        <w:rPr>
          <w:rFonts w:ascii="Arial" w:hAnsi="Arial"/>
          <w:b/>
        </w:rPr>
        <w:t xml:space="preserve">ODS 15 - Vida de Ecosistemas Terrestres: </w:t>
      </w:r>
      <w:r>
        <w:t xml:space="preserve">La base biológica del negocio es la preservación del hábitat. La </w:t>
      </w:r>
      <w:r>
        <w:rPr>
          <w:rFonts w:ascii="Arial" w:hAnsi="Arial"/>
          <w:i/>
        </w:rPr>
        <w:t xml:space="preserve">Melipona beecheii </w:t>
      </w:r>
      <w:r>
        <w:t>es un polinizador clave en la Península de Yucatán, cuya conservación contribuye</w:t>
      </w:r>
      <w:r>
        <w:rPr>
          <w:spacing w:val="-6"/>
        </w:rPr>
        <w:t xml:space="preserve"> </w:t>
      </w:r>
      <w:r>
        <w:t>directamente</w:t>
      </w:r>
      <w:r>
        <w:rPr>
          <w:spacing w:val="-6"/>
        </w:rPr>
        <w:t xml:space="preserve"> </w:t>
      </w:r>
      <w:r>
        <w:t>al</w:t>
      </w:r>
      <w:r>
        <w:rPr>
          <w:spacing w:val="-6"/>
        </w:rPr>
        <w:t xml:space="preserve"> </w:t>
      </w:r>
      <w:r>
        <w:t>equilibrio</w:t>
      </w:r>
      <w:r>
        <w:rPr>
          <w:spacing w:val="-6"/>
        </w:rPr>
        <w:t xml:space="preserve"> </w:t>
      </w:r>
      <w:r>
        <w:t>de los ecosistemas tropicales. Al generar incentivos económicos p</w:t>
      </w:r>
      <w:r>
        <w:t>ara las comunidades, Guardiana impulsa un mecanismo de conservación activa de la biodiversidad y la selva maya.</w:t>
      </w:r>
    </w:p>
    <w:p w:rsidR="009B4BB4" w:rsidRDefault="00C44001">
      <w:pPr>
        <w:pStyle w:val="Ttulo1"/>
        <w:spacing w:before="240"/>
        <w:ind w:left="425"/>
      </w:pPr>
      <w:r>
        <w:rPr>
          <w:spacing w:val="-2"/>
        </w:rPr>
        <w:t>Tabla</w:t>
      </w:r>
      <w:r>
        <w:rPr>
          <w:spacing w:val="-13"/>
        </w:rPr>
        <w:t xml:space="preserve"> </w:t>
      </w:r>
      <w:r>
        <w:rPr>
          <w:spacing w:val="-4"/>
        </w:rPr>
        <w:t>7.23</w:t>
      </w:r>
    </w:p>
    <w:p w:rsidR="009B4BB4" w:rsidRDefault="00C44001">
      <w:pPr>
        <w:spacing w:before="127"/>
        <w:ind w:left="455"/>
        <w:rPr>
          <w:rFonts w:ascii="Arial"/>
          <w:i/>
        </w:rPr>
      </w:pPr>
      <w:r>
        <w:rPr>
          <w:rFonts w:ascii="Arial"/>
          <w:i/>
        </w:rPr>
        <w:t>Matriz</w:t>
      </w:r>
      <w:r>
        <w:rPr>
          <w:rFonts w:ascii="Arial"/>
          <w:i/>
          <w:spacing w:val="-9"/>
        </w:rPr>
        <w:t xml:space="preserve"> </w:t>
      </w:r>
      <w:r>
        <w:rPr>
          <w:rFonts w:ascii="Arial"/>
          <w:i/>
        </w:rPr>
        <w:t>de</w:t>
      </w:r>
      <w:r>
        <w:rPr>
          <w:rFonts w:ascii="Arial"/>
          <w:i/>
          <w:spacing w:val="-6"/>
        </w:rPr>
        <w:t xml:space="preserve"> </w:t>
      </w:r>
      <w:r>
        <w:rPr>
          <w:rFonts w:ascii="Arial"/>
          <w:i/>
        </w:rPr>
        <w:t>indicadores</w:t>
      </w:r>
      <w:r>
        <w:rPr>
          <w:rFonts w:ascii="Arial"/>
          <w:i/>
          <w:spacing w:val="-6"/>
        </w:rPr>
        <w:t xml:space="preserve"> </w:t>
      </w:r>
      <w:r>
        <w:rPr>
          <w:rFonts w:ascii="Arial"/>
          <w:i/>
        </w:rPr>
        <w:t>de</w:t>
      </w:r>
      <w:r>
        <w:rPr>
          <w:rFonts w:ascii="Arial"/>
          <w:i/>
          <w:spacing w:val="-6"/>
        </w:rPr>
        <w:t xml:space="preserve"> </w:t>
      </w:r>
      <w:r>
        <w:rPr>
          <w:rFonts w:ascii="Arial"/>
          <w:i/>
        </w:rPr>
        <w:t>impacto</w:t>
      </w:r>
      <w:r>
        <w:rPr>
          <w:rFonts w:ascii="Arial"/>
          <w:i/>
          <w:spacing w:val="-7"/>
        </w:rPr>
        <w:t xml:space="preserve"> </w:t>
      </w:r>
      <w:r>
        <w:rPr>
          <w:rFonts w:ascii="Arial"/>
          <w:i/>
        </w:rPr>
        <w:t>social</w:t>
      </w:r>
      <w:r>
        <w:rPr>
          <w:rFonts w:ascii="Arial"/>
          <w:i/>
          <w:spacing w:val="-6"/>
        </w:rPr>
        <w:t xml:space="preserve"> </w:t>
      </w:r>
      <w:r>
        <w:rPr>
          <w:rFonts w:ascii="Arial"/>
          <w:i/>
        </w:rPr>
        <w:t>y</w:t>
      </w:r>
      <w:r>
        <w:rPr>
          <w:rFonts w:ascii="Arial"/>
          <w:i/>
          <w:spacing w:val="-6"/>
        </w:rPr>
        <w:t xml:space="preserve"> </w:t>
      </w:r>
      <w:r>
        <w:rPr>
          <w:rFonts w:ascii="Arial"/>
          <w:i/>
        </w:rPr>
        <w:t>ambiental</w:t>
      </w:r>
      <w:r>
        <w:rPr>
          <w:rFonts w:ascii="Arial"/>
          <w:i/>
          <w:spacing w:val="-6"/>
        </w:rPr>
        <w:t xml:space="preserve"> </w:t>
      </w:r>
      <w:r>
        <w:rPr>
          <w:rFonts w:ascii="Arial"/>
          <w:i/>
        </w:rPr>
        <w:t>(2026-</w:t>
      </w:r>
      <w:r>
        <w:rPr>
          <w:rFonts w:ascii="Arial"/>
          <w:i/>
          <w:spacing w:val="-2"/>
        </w:rPr>
        <w:t>2030)</w:t>
      </w:r>
    </w:p>
    <w:p w:rsidR="009B4BB4" w:rsidRDefault="009B4BB4">
      <w:pPr>
        <w:pStyle w:val="Textoindependiente"/>
        <w:spacing w:before="0"/>
        <w:rPr>
          <w:rFonts w:ascii="Arial"/>
          <w:i/>
          <w:sz w:val="20"/>
        </w:rPr>
      </w:pPr>
    </w:p>
    <w:p w:rsidR="009B4BB4" w:rsidRDefault="009B4BB4">
      <w:pPr>
        <w:pStyle w:val="Textoindependiente"/>
        <w:spacing w:before="34" w:after="1"/>
        <w:rPr>
          <w:rFonts w:ascii="Arial"/>
          <w:i/>
          <w:sz w:val="20"/>
        </w:rPr>
      </w:pPr>
    </w:p>
    <w:tbl>
      <w:tblPr>
        <w:tblStyle w:val="TableNormal"/>
        <w:tblW w:w="0" w:type="auto"/>
        <w:tblInd w:w="432" w:type="dxa"/>
        <w:tblLayout w:type="fixed"/>
        <w:tblLook w:val="01E0" w:firstRow="1" w:lastRow="1" w:firstColumn="1" w:lastColumn="1" w:noHBand="0" w:noVBand="0"/>
      </w:tblPr>
      <w:tblGrid>
        <w:gridCol w:w="4152"/>
        <w:gridCol w:w="1963"/>
        <w:gridCol w:w="1180"/>
        <w:gridCol w:w="1927"/>
      </w:tblGrid>
      <w:tr w:rsidR="009B4BB4">
        <w:trPr>
          <w:trHeight w:val="899"/>
        </w:trPr>
        <w:tc>
          <w:tcPr>
            <w:tcW w:w="4152" w:type="dxa"/>
            <w:tcBorders>
              <w:top w:val="single" w:sz="8" w:space="0" w:color="000000"/>
              <w:bottom w:val="single" w:sz="8" w:space="0" w:color="000000"/>
            </w:tcBorders>
          </w:tcPr>
          <w:p w:rsidR="009B4BB4" w:rsidRDefault="009B4BB4">
            <w:pPr>
              <w:pStyle w:val="TableParagraph"/>
              <w:spacing w:before="76"/>
              <w:rPr>
                <w:rFonts w:ascii="Arial"/>
                <w:i/>
              </w:rPr>
            </w:pPr>
          </w:p>
          <w:p w:rsidR="009B4BB4" w:rsidRDefault="00C44001">
            <w:pPr>
              <w:pStyle w:val="TableParagraph"/>
              <w:ind w:left="75"/>
              <w:rPr>
                <w:rFonts w:ascii="Arial"/>
                <w:b/>
              </w:rPr>
            </w:pPr>
            <w:r>
              <w:rPr>
                <w:rFonts w:ascii="Arial"/>
                <w:b/>
                <w:spacing w:val="-2"/>
              </w:rPr>
              <w:t>Indicador</w:t>
            </w:r>
          </w:p>
        </w:tc>
        <w:tc>
          <w:tcPr>
            <w:tcW w:w="1963" w:type="dxa"/>
            <w:tcBorders>
              <w:top w:val="single" w:sz="8" w:space="0" w:color="000000"/>
              <w:bottom w:val="single" w:sz="8" w:space="0" w:color="000000"/>
            </w:tcBorders>
          </w:tcPr>
          <w:p w:rsidR="009B4BB4" w:rsidRDefault="009B4BB4">
            <w:pPr>
              <w:pStyle w:val="TableParagraph"/>
              <w:spacing w:before="76"/>
              <w:rPr>
                <w:rFonts w:ascii="Arial"/>
                <w:i/>
              </w:rPr>
            </w:pPr>
          </w:p>
          <w:p w:rsidR="009B4BB4" w:rsidRDefault="00C44001">
            <w:pPr>
              <w:pStyle w:val="TableParagraph"/>
              <w:ind w:left="88"/>
              <w:rPr>
                <w:rFonts w:ascii="Arial"/>
                <w:b/>
              </w:rPr>
            </w:pPr>
            <w:r>
              <w:rPr>
                <w:rFonts w:ascii="Arial"/>
                <w:b/>
              </w:rPr>
              <w:t>Impacto</w:t>
            </w:r>
            <w:r>
              <w:rPr>
                <w:rFonts w:ascii="Arial"/>
                <w:b/>
                <w:spacing w:val="-7"/>
              </w:rPr>
              <w:t xml:space="preserve"> </w:t>
            </w:r>
            <w:r>
              <w:rPr>
                <w:rFonts w:ascii="Arial"/>
                <w:b/>
                <w:spacing w:val="-2"/>
              </w:rPr>
              <w:t>Directo</w:t>
            </w:r>
          </w:p>
        </w:tc>
        <w:tc>
          <w:tcPr>
            <w:tcW w:w="1180" w:type="dxa"/>
            <w:tcBorders>
              <w:top w:val="single" w:sz="8" w:space="0" w:color="000000"/>
              <w:bottom w:val="single" w:sz="8" w:space="0" w:color="000000"/>
            </w:tcBorders>
          </w:tcPr>
          <w:p w:rsidR="009B4BB4" w:rsidRDefault="00C44001">
            <w:pPr>
              <w:pStyle w:val="TableParagraph"/>
              <w:spacing w:before="203"/>
              <w:ind w:left="212" w:right="206" w:firstLine="88"/>
              <w:rPr>
                <w:rFonts w:ascii="Arial" w:hAnsi="Arial"/>
                <w:b/>
              </w:rPr>
            </w:pPr>
            <w:r>
              <w:rPr>
                <w:rFonts w:ascii="Arial" w:hAnsi="Arial"/>
                <w:b/>
              </w:rPr>
              <w:t xml:space="preserve">Año 1 </w:t>
            </w:r>
            <w:r>
              <w:rPr>
                <w:rFonts w:ascii="Arial" w:hAnsi="Arial"/>
                <w:b/>
                <w:spacing w:val="-2"/>
              </w:rPr>
              <w:t>(Piloto)</w:t>
            </w:r>
          </w:p>
        </w:tc>
        <w:tc>
          <w:tcPr>
            <w:tcW w:w="1927" w:type="dxa"/>
            <w:tcBorders>
              <w:top w:val="single" w:sz="8" w:space="0" w:color="000000"/>
              <w:bottom w:val="single" w:sz="8" w:space="0" w:color="000000"/>
            </w:tcBorders>
          </w:tcPr>
          <w:p w:rsidR="009B4BB4" w:rsidRDefault="00C44001">
            <w:pPr>
              <w:pStyle w:val="TableParagraph"/>
              <w:spacing w:before="203"/>
              <w:ind w:left="192" w:firstLine="540"/>
              <w:rPr>
                <w:rFonts w:ascii="Arial" w:hAnsi="Arial"/>
                <w:b/>
              </w:rPr>
            </w:pPr>
            <w:r>
              <w:rPr>
                <w:rFonts w:ascii="Arial" w:hAnsi="Arial"/>
                <w:b/>
              </w:rPr>
              <w:t xml:space="preserve">Año 5 </w:t>
            </w:r>
            <w:r>
              <w:rPr>
                <w:rFonts w:ascii="Arial" w:hAnsi="Arial"/>
                <w:b/>
                <w:spacing w:val="-2"/>
              </w:rPr>
              <w:t>(Consolidación)</w:t>
            </w:r>
          </w:p>
        </w:tc>
      </w:tr>
      <w:tr w:rsidR="009B4BB4">
        <w:trPr>
          <w:trHeight w:val="600"/>
        </w:trPr>
        <w:tc>
          <w:tcPr>
            <w:tcW w:w="4152" w:type="dxa"/>
            <w:tcBorders>
              <w:top w:val="single" w:sz="8" w:space="0" w:color="000000"/>
            </w:tcBorders>
          </w:tcPr>
          <w:p w:rsidR="009B4BB4" w:rsidRDefault="00C44001">
            <w:pPr>
              <w:pStyle w:val="TableParagraph"/>
              <w:spacing w:before="172"/>
              <w:ind w:left="75"/>
            </w:pPr>
            <w:r>
              <w:t>Familias</w:t>
            </w:r>
            <w:r>
              <w:rPr>
                <w:spacing w:val="-10"/>
              </w:rPr>
              <w:t xml:space="preserve"> </w:t>
            </w:r>
            <w:r>
              <w:t>productoras</w:t>
            </w:r>
            <w:r>
              <w:rPr>
                <w:spacing w:val="-9"/>
              </w:rPr>
              <w:t xml:space="preserve"> </w:t>
            </w:r>
            <w:r>
              <w:rPr>
                <w:spacing w:val="-2"/>
              </w:rPr>
              <w:t>vinculadas</w:t>
            </w:r>
          </w:p>
        </w:tc>
        <w:tc>
          <w:tcPr>
            <w:tcW w:w="1963" w:type="dxa"/>
            <w:tcBorders>
              <w:top w:val="single" w:sz="8" w:space="0" w:color="000000"/>
            </w:tcBorders>
          </w:tcPr>
          <w:p w:rsidR="009B4BB4" w:rsidRDefault="00C44001">
            <w:pPr>
              <w:pStyle w:val="TableParagraph"/>
              <w:spacing w:before="46"/>
              <w:ind w:left="500" w:right="421" w:hanging="200"/>
            </w:pPr>
            <w:r>
              <w:rPr>
                <w:spacing w:val="-2"/>
              </w:rPr>
              <w:t>Tejido</w:t>
            </w:r>
            <w:r>
              <w:rPr>
                <w:spacing w:val="-14"/>
              </w:rPr>
              <w:t xml:space="preserve"> </w:t>
            </w:r>
            <w:r>
              <w:rPr>
                <w:spacing w:val="-2"/>
              </w:rPr>
              <w:t xml:space="preserve">Social </w:t>
            </w:r>
            <w:r>
              <w:t>(ODS 8)</w:t>
            </w:r>
          </w:p>
        </w:tc>
        <w:tc>
          <w:tcPr>
            <w:tcW w:w="1180" w:type="dxa"/>
            <w:tcBorders>
              <w:top w:val="single" w:sz="8" w:space="0" w:color="000000"/>
            </w:tcBorders>
          </w:tcPr>
          <w:p w:rsidR="009B4BB4" w:rsidRDefault="00C44001">
            <w:pPr>
              <w:pStyle w:val="TableParagraph"/>
              <w:spacing w:before="172"/>
              <w:ind w:left="31"/>
              <w:jc w:val="center"/>
            </w:pPr>
            <w:r>
              <w:rPr>
                <w:spacing w:val="-5"/>
              </w:rPr>
              <w:t>10</w:t>
            </w:r>
          </w:p>
        </w:tc>
        <w:tc>
          <w:tcPr>
            <w:tcW w:w="1927" w:type="dxa"/>
            <w:tcBorders>
              <w:top w:val="single" w:sz="8" w:space="0" w:color="000000"/>
            </w:tcBorders>
          </w:tcPr>
          <w:p w:rsidR="009B4BB4" w:rsidRDefault="00C44001">
            <w:pPr>
              <w:pStyle w:val="TableParagraph"/>
              <w:spacing w:before="172"/>
              <w:ind w:left="149"/>
              <w:jc w:val="center"/>
            </w:pPr>
            <w:r>
              <w:rPr>
                <w:spacing w:val="-5"/>
              </w:rPr>
              <w:t>50+</w:t>
            </w:r>
          </w:p>
        </w:tc>
      </w:tr>
      <w:tr w:rsidR="009B4BB4">
        <w:trPr>
          <w:trHeight w:val="596"/>
        </w:trPr>
        <w:tc>
          <w:tcPr>
            <w:tcW w:w="4152" w:type="dxa"/>
          </w:tcPr>
          <w:p w:rsidR="009B4BB4" w:rsidRDefault="00C44001">
            <w:pPr>
              <w:pStyle w:val="TableParagraph"/>
              <w:spacing w:before="167"/>
              <w:ind w:left="75"/>
            </w:pPr>
            <w:r>
              <w:t>Colmenas</w:t>
            </w:r>
            <w:r>
              <w:rPr>
                <w:spacing w:val="-8"/>
              </w:rPr>
              <w:t xml:space="preserve"> </w:t>
            </w:r>
            <w:r>
              <w:rPr>
                <w:spacing w:val="-2"/>
              </w:rPr>
              <w:t>preservadas</w:t>
            </w:r>
          </w:p>
        </w:tc>
        <w:tc>
          <w:tcPr>
            <w:tcW w:w="1963" w:type="dxa"/>
          </w:tcPr>
          <w:p w:rsidR="009B4BB4" w:rsidRDefault="00C44001">
            <w:pPr>
              <w:pStyle w:val="TableParagraph"/>
              <w:spacing w:before="41"/>
              <w:ind w:left="439" w:hanging="181"/>
            </w:pPr>
            <w:r>
              <w:rPr>
                <w:spacing w:val="-2"/>
              </w:rPr>
              <w:t xml:space="preserve">Biodiversidad </w:t>
            </w:r>
            <w:r>
              <w:t>(ODS 15)</w:t>
            </w:r>
          </w:p>
        </w:tc>
        <w:tc>
          <w:tcPr>
            <w:tcW w:w="1180" w:type="dxa"/>
          </w:tcPr>
          <w:p w:rsidR="009B4BB4" w:rsidRDefault="00C44001">
            <w:pPr>
              <w:pStyle w:val="TableParagraph"/>
              <w:spacing w:before="167"/>
              <w:ind w:left="31"/>
              <w:jc w:val="center"/>
            </w:pPr>
            <w:r>
              <w:rPr>
                <w:spacing w:val="-5"/>
              </w:rPr>
              <w:t>70</w:t>
            </w:r>
          </w:p>
        </w:tc>
        <w:tc>
          <w:tcPr>
            <w:tcW w:w="1927" w:type="dxa"/>
          </w:tcPr>
          <w:p w:rsidR="009B4BB4" w:rsidRDefault="00C44001">
            <w:pPr>
              <w:pStyle w:val="TableParagraph"/>
              <w:spacing w:before="167"/>
              <w:ind w:left="149"/>
              <w:jc w:val="center"/>
            </w:pPr>
            <w:r>
              <w:rPr>
                <w:spacing w:val="-4"/>
              </w:rPr>
              <w:t>300+</w:t>
            </w:r>
          </w:p>
        </w:tc>
      </w:tr>
      <w:tr w:rsidR="009B4BB4">
        <w:trPr>
          <w:trHeight w:val="595"/>
        </w:trPr>
        <w:tc>
          <w:tcPr>
            <w:tcW w:w="4152" w:type="dxa"/>
          </w:tcPr>
          <w:p w:rsidR="009B4BB4" w:rsidRDefault="00C44001">
            <w:pPr>
              <w:pStyle w:val="TableParagraph"/>
              <w:tabs>
                <w:tab w:val="left" w:pos="1487"/>
                <w:tab w:val="left" w:pos="2446"/>
                <w:tab w:val="left" w:pos="3207"/>
              </w:tabs>
              <w:spacing w:before="41"/>
              <w:ind w:left="45" w:right="86" w:firstLine="30"/>
            </w:pPr>
            <w:r>
              <w:rPr>
                <w:spacing w:val="-2"/>
              </w:rPr>
              <w:t>Sobreprecio</w:t>
            </w:r>
            <w:r>
              <w:tab/>
            </w:r>
            <w:r>
              <w:rPr>
                <w:spacing w:val="-2"/>
              </w:rPr>
              <w:t>pagado</w:t>
            </w:r>
            <w:r>
              <w:tab/>
            </w:r>
            <w:r>
              <w:rPr>
                <w:spacing w:val="-2"/>
              </w:rPr>
              <w:t>sobre</w:t>
            </w:r>
            <w:r>
              <w:tab/>
            </w:r>
            <w:r>
              <w:rPr>
                <w:spacing w:val="-2"/>
              </w:rPr>
              <w:t>mercado informal</w:t>
            </w:r>
          </w:p>
        </w:tc>
        <w:tc>
          <w:tcPr>
            <w:tcW w:w="1963" w:type="dxa"/>
          </w:tcPr>
          <w:p w:rsidR="009B4BB4" w:rsidRDefault="00C44001">
            <w:pPr>
              <w:pStyle w:val="TableParagraph"/>
              <w:spacing w:before="41"/>
              <w:ind w:left="500" w:right="252" w:hanging="371"/>
            </w:pPr>
            <w:r>
              <w:t>Economía</w:t>
            </w:r>
            <w:r>
              <w:rPr>
                <w:spacing w:val="-16"/>
              </w:rPr>
              <w:t xml:space="preserve"> </w:t>
            </w:r>
            <w:r>
              <w:t>Local (ODS 8)</w:t>
            </w:r>
          </w:p>
        </w:tc>
        <w:tc>
          <w:tcPr>
            <w:tcW w:w="1180" w:type="dxa"/>
          </w:tcPr>
          <w:p w:rsidR="009B4BB4" w:rsidRDefault="00C44001">
            <w:pPr>
              <w:pStyle w:val="TableParagraph"/>
              <w:spacing w:before="167"/>
              <w:ind w:left="31"/>
              <w:jc w:val="center"/>
            </w:pPr>
            <w:r>
              <w:rPr>
                <w:spacing w:val="-2"/>
              </w:rPr>
              <w:t>15-</w:t>
            </w:r>
            <w:r>
              <w:rPr>
                <w:spacing w:val="-5"/>
              </w:rPr>
              <w:t>25%</w:t>
            </w:r>
          </w:p>
        </w:tc>
        <w:tc>
          <w:tcPr>
            <w:tcW w:w="1927" w:type="dxa"/>
          </w:tcPr>
          <w:p w:rsidR="009B4BB4" w:rsidRDefault="00C44001">
            <w:pPr>
              <w:pStyle w:val="TableParagraph"/>
              <w:spacing w:before="167"/>
              <w:ind w:left="149"/>
              <w:jc w:val="center"/>
            </w:pPr>
            <w:r>
              <w:t>&gt;25%</w:t>
            </w:r>
            <w:r>
              <w:rPr>
                <w:spacing w:val="-4"/>
              </w:rPr>
              <w:t xml:space="preserve"> </w:t>
            </w:r>
            <w:r>
              <w:rPr>
                <w:spacing w:val="-2"/>
              </w:rPr>
              <w:t>sostenido</w:t>
            </w:r>
          </w:p>
        </w:tc>
      </w:tr>
      <w:tr w:rsidR="009B4BB4">
        <w:trPr>
          <w:trHeight w:val="595"/>
        </w:trPr>
        <w:tc>
          <w:tcPr>
            <w:tcW w:w="4152" w:type="dxa"/>
          </w:tcPr>
          <w:p w:rsidR="009B4BB4" w:rsidRDefault="00C44001">
            <w:pPr>
              <w:pStyle w:val="TableParagraph"/>
              <w:spacing w:before="168"/>
              <w:ind w:left="75"/>
            </w:pPr>
            <w:r>
              <w:t>Empleos</w:t>
            </w:r>
            <w:r>
              <w:rPr>
                <w:spacing w:val="-8"/>
              </w:rPr>
              <w:t xml:space="preserve"> </w:t>
            </w:r>
            <w:r>
              <w:t>directos</w:t>
            </w:r>
            <w:r>
              <w:rPr>
                <w:spacing w:val="-7"/>
              </w:rPr>
              <w:t xml:space="preserve"> </w:t>
            </w:r>
            <w:r>
              <w:rPr>
                <w:spacing w:val="-2"/>
              </w:rPr>
              <w:t>generados</w:t>
            </w:r>
          </w:p>
        </w:tc>
        <w:tc>
          <w:tcPr>
            <w:tcW w:w="1963" w:type="dxa"/>
          </w:tcPr>
          <w:p w:rsidR="009B4BB4" w:rsidRDefault="00C44001">
            <w:pPr>
              <w:pStyle w:val="TableParagraph"/>
              <w:spacing w:before="41"/>
              <w:ind w:left="500" w:right="346" w:hanging="269"/>
            </w:pPr>
            <w:r>
              <w:t>Trabajo</w:t>
            </w:r>
            <w:r>
              <w:rPr>
                <w:spacing w:val="-16"/>
              </w:rPr>
              <w:t xml:space="preserve"> </w:t>
            </w:r>
            <w:r>
              <w:t>Digno (ODS 8)</w:t>
            </w:r>
          </w:p>
        </w:tc>
        <w:tc>
          <w:tcPr>
            <w:tcW w:w="1180" w:type="dxa"/>
          </w:tcPr>
          <w:p w:rsidR="009B4BB4" w:rsidRDefault="00C44001">
            <w:pPr>
              <w:pStyle w:val="TableParagraph"/>
              <w:spacing w:before="168"/>
              <w:ind w:left="31"/>
              <w:jc w:val="center"/>
            </w:pPr>
            <w:r>
              <w:rPr>
                <w:spacing w:val="-2"/>
              </w:rPr>
              <w:t>3–</w:t>
            </w:r>
            <w:r>
              <w:rPr>
                <w:spacing w:val="-10"/>
              </w:rPr>
              <w:t>5</w:t>
            </w:r>
          </w:p>
        </w:tc>
        <w:tc>
          <w:tcPr>
            <w:tcW w:w="1927" w:type="dxa"/>
          </w:tcPr>
          <w:p w:rsidR="009B4BB4" w:rsidRDefault="00C44001">
            <w:pPr>
              <w:pStyle w:val="TableParagraph"/>
              <w:spacing w:before="168"/>
              <w:ind w:left="149"/>
              <w:jc w:val="center"/>
            </w:pPr>
            <w:r>
              <w:rPr>
                <w:spacing w:val="-5"/>
              </w:rPr>
              <w:t>15+</w:t>
            </w:r>
          </w:p>
        </w:tc>
      </w:tr>
      <w:tr w:rsidR="009B4BB4">
        <w:trPr>
          <w:trHeight w:val="591"/>
        </w:trPr>
        <w:tc>
          <w:tcPr>
            <w:tcW w:w="4152" w:type="dxa"/>
            <w:tcBorders>
              <w:bottom w:val="single" w:sz="8" w:space="0" w:color="000000"/>
            </w:tcBorders>
          </w:tcPr>
          <w:p w:rsidR="009B4BB4" w:rsidRDefault="00C44001">
            <w:pPr>
              <w:pStyle w:val="TableParagraph"/>
              <w:spacing w:before="168"/>
              <w:ind w:left="75"/>
            </w:pPr>
            <w:r>
              <w:rPr>
                <w:spacing w:val="-2"/>
              </w:rPr>
              <w:t>Ventas</w:t>
            </w:r>
            <w:r>
              <w:rPr>
                <w:spacing w:val="-6"/>
              </w:rPr>
              <w:t xml:space="preserve"> </w:t>
            </w:r>
            <w:r>
              <w:rPr>
                <w:spacing w:val="-2"/>
              </w:rPr>
              <w:t>internacionales</w:t>
            </w:r>
          </w:p>
        </w:tc>
        <w:tc>
          <w:tcPr>
            <w:tcW w:w="1963" w:type="dxa"/>
            <w:tcBorders>
              <w:bottom w:val="single" w:sz="8" w:space="0" w:color="000000"/>
            </w:tcBorders>
          </w:tcPr>
          <w:p w:rsidR="009B4BB4" w:rsidRDefault="00C44001">
            <w:pPr>
              <w:pStyle w:val="TableParagraph"/>
              <w:spacing w:before="41"/>
              <w:ind w:left="439" w:right="441" w:hanging="112"/>
            </w:pPr>
            <w:r>
              <w:rPr>
                <w:spacing w:val="-2"/>
              </w:rPr>
              <w:t xml:space="preserve">Valorización </w:t>
            </w:r>
            <w:r>
              <w:t>(ODS 12)</w:t>
            </w:r>
          </w:p>
        </w:tc>
        <w:tc>
          <w:tcPr>
            <w:tcW w:w="1180" w:type="dxa"/>
            <w:tcBorders>
              <w:bottom w:val="single" w:sz="8" w:space="0" w:color="000000"/>
            </w:tcBorders>
          </w:tcPr>
          <w:p w:rsidR="009B4BB4" w:rsidRDefault="00C44001">
            <w:pPr>
              <w:pStyle w:val="TableParagraph"/>
              <w:spacing w:before="168"/>
              <w:ind w:left="31"/>
              <w:jc w:val="center"/>
            </w:pPr>
            <w:r>
              <w:rPr>
                <w:spacing w:val="-5"/>
              </w:rPr>
              <w:t>0%</w:t>
            </w:r>
          </w:p>
        </w:tc>
        <w:tc>
          <w:tcPr>
            <w:tcW w:w="1927" w:type="dxa"/>
            <w:tcBorders>
              <w:bottom w:val="single" w:sz="8" w:space="0" w:color="000000"/>
            </w:tcBorders>
          </w:tcPr>
          <w:p w:rsidR="009B4BB4" w:rsidRDefault="00C44001">
            <w:pPr>
              <w:pStyle w:val="TableParagraph"/>
              <w:spacing w:before="168"/>
              <w:ind w:left="149"/>
              <w:jc w:val="center"/>
            </w:pPr>
            <w:r>
              <w:rPr>
                <w:spacing w:val="-4"/>
              </w:rPr>
              <w:t>&gt;30%</w:t>
            </w:r>
          </w:p>
        </w:tc>
      </w:tr>
    </w:tbl>
    <w:p w:rsidR="009B4BB4" w:rsidRDefault="00C44001">
      <w:pPr>
        <w:pStyle w:val="Textoindependiente"/>
        <w:spacing w:before="194" w:line="276" w:lineRule="auto"/>
        <w:ind w:left="425" w:right="633"/>
      </w:pPr>
      <w:r>
        <w:rPr>
          <w:rFonts w:ascii="Arial" w:hAnsi="Arial"/>
          <w:i/>
        </w:rPr>
        <w:t xml:space="preserve">Nota. </w:t>
      </w:r>
      <w:r>
        <w:t>Las proyecciones de impacto escalan proporcionalmente a la capacidad</w:t>
      </w:r>
      <w:r>
        <w:rPr>
          <w:spacing w:val="-4"/>
        </w:rPr>
        <w:t xml:space="preserve"> </w:t>
      </w:r>
      <w:r>
        <w:t>de</w:t>
      </w:r>
      <w:r>
        <w:rPr>
          <w:spacing w:val="-4"/>
        </w:rPr>
        <w:t xml:space="preserve"> </w:t>
      </w:r>
      <w:r>
        <w:t>acopio</w:t>
      </w:r>
      <w:r>
        <w:rPr>
          <w:spacing w:val="40"/>
        </w:rPr>
        <w:t xml:space="preserve"> </w:t>
      </w:r>
      <w:r>
        <w:t>y la maduración de la red de meliponicultores. Elaboración propia (2025).</w:t>
      </w:r>
    </w:p>
    <w:p w:rsidR="009B4BB4" w:rsidRDefault="009B4BB4">
      <w:pPr>
        <w:pStyle w:val="Textoindependiente"/>
        <w:spacing w:line="276" w:lineRule="auto"/>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right="603" w:firstLine="720"/>
        <w:jc w:val="both"/>
      </w:pPr>
      <w:r>
        <w:lastRenderedPageBreak/>
        <w:t>El impacto social y ambiental constituye el núcleo de la estrategia competitiva</w:t>
      </w:r>
      <w:r>
        <w:rPr>
          <w:spacing w:val="-3"/>
        </w:rPr>
        <w:t xml:space="preserve"> </w:t>
      </w:r>
      <w:r>
        <w:t>de Guardiana. El valor económico surge de su capacidad para ofrecer un producto diferenciado por su origen, autenticidad y coherencia con el desarrollo local. Este alineamiento</w:t>
      </w:r>
      <w:r>
        <w:t xml:space="preserve"> fortalece su legitimidad en el mercado </w:t>
      </w:r>
      <w:r>
        <w:rPr>
          <w:rFonts w:ascii="Arial" w:hAnsi="Arial"/>
          <w:i/>
        </w:rPr>
        <w:t xml:space="preserve">premium </w:t>
      </w:r>
      <w:r>
        <w:t>turístico y cultural, posicionando la sostenibilidad como un activo de marca tangible.</w:t>
      </w:r>
    </w:p>
    <w:p w:rsidR="009B4BB4" w:rsidRDefault="00C44001">
      <w:pPr>
        <w:pStyle w:val="Textoindependiente"/>
        <w:spacing w:line="360" w:lineRule="auto"/>
        <w:ind w:left="425" w:right="603" w:firstLine="720"/>
        <w:jc w:val="both"/>
      </w:pPr>
      <w:r>
        <w:t>Desde la perspectiva financiera, los resultados confirman que la responsabilidad social no compromete la rentabilidad, si</w:t>
      </w:r>
      <w:r>
        <w:t>no que la impulsa. Es el factor que permite sostener precios superiores,</w:t>
      </w:r>
      <w:r>
        <w:rPr>
          <w:spacing w:val="-3"/>
        </w:rPr>
        <w:t xml:space="preserve"> </w:t>
      </w:r>
      <w:r>
        <w:t>fortalecer</w:t>
      </w:r>
      <w:r>
        <w:rPr>
          <w:spacing w:val="-3"/>
        </w:rPr>
        <w:t xml:space="preserve"> </w:t>
      </w:r>
      <w:r>
        <w:t>la</w:t>
      </w:r>
      <w:r>
        <w:rPr>
          <w:spacing w:val="-3"/>
        </w:rPr>
        <w:t xml:space="preserve"> </w:t>
      </w:r>
      <w:r>
        <w:t>lealtad</w:t>
      </w:r>
      <w:r>
        <w:rPr>
          <w:spacing w:val="-3"/>
        </w:rPr>
        <w:t xml:space="preserve"> </w:t>
      </w:r>
      <w:r>
        <w:t>del</w:t>
      </w:r>
      <w:r>
        <w:rPr>
          <w:spacing w:val="-3"/>
        </w:rPr>
        <w:t xml:space="preserve"> </w:t>
      </w:r>
      <w:r>
        <w:t>cliente</w:t>
      </w:r>
      <w:r>
        <w:rPr>
          <w:spacing w:val="-3"/>
        </w:rPr>
        <w:t xml:space="preserve"> </w:t>
      </w:r>
      <w:r>
        <w:t>y</w:t>
      </w:r>
      <w:r>
        <w:rPr>
          <w:spacing w:val="-3"/>
        </w:rPr>
        <w:t xml:space="preserve"> </w:t>
      </w:r>
      <w:r>
        <w:t>acceder</w:t>
      </w:r>
      <w:r>
        <w:rPr>
          <w:spacing w:val="-3"/>
        </w:rPr>
        <w:t xml:space="preserve"> </w:t>
      </w:r>
      <w:r>
        <w:t>a</w:t>
      </w:r>
      <w:r>
        <w:rPr>
          <w:spacing w:val="-3"/>
        </w:rPr>
        <w:t xml:space="preserve"> </w:t>
      </w:r>
      <w:r>
        <w:t>canales</w:t>
      </w:r>
      <w:r>
        <w:rPr>
          <w:spacing w:val="-3"/>
        </w:rPr>
        <w:t xml:space="preserve"> </w:t>
      </w:r>
      <w:r>
        <w:t>de</w:t>
      </w:r>
      <w:r>
        <w:rPr>
          <w:spacing w:val="-3"/>
        </w:rPr>
        <w:t xml:space="preserve"> </w:t>
      </w:r>
      <w:r>
        <w:t>mayor valor agregado. El modelo no</w:t>
      </w:r>
      <w:r>
        <w:rPr>
          <w:spacing w:val="-4"/>
        </w:rPr>
        <w:t xml:space="preserve"> </w:t>
      </w:r>
      <w:r>
        <w:t>presenta</w:t>
      </w:r>
      <w:r>
        <w:rPr>
          <w:spacing w:val="-4"/>
        </w:rPr>
        <w:t xml:space="preserve"> </w:t>
      </w:r>
      <w:r>
        <w:t>una</w:t>
      </w:r>
      <w:r>
        <w:rPr>
          <w:spacing w:val="-4"/>
        </w:rPr>
        <w:t xml:space="preserve"> </w:t>
      </w:r>
      <w:r>
        <w:t>tensión</w:t>
      </w:r>
      <w:r>
        <w:rPr>
          <w:spacing w:val="-4"/>
        </w:rPr>
        <w:t xml:space="preserve"> </w:t>
      </w:r>
      <w:r>
        <w:t>entre</w:t>
      </w:r>
      <w:r>
        <w:rPr>
          <w:spacing w:val="-4"/>
        </w:rPr>
        <w:t xml:space="preserve"> </w:t>
      </w:r>
      <w:r>
        <w:t>propósito</w:t>
      </w:r>
      <w:r>
        <w:rPr>
          <w:spacing w:val="-4"/>
        </w:rPr>
        <w:t xml:space="preserve"> </w:t>
      </w:r>
      <w:r>
        <w:t>y</w:t>
      </w:r>
      <w:r>
        <w:rPr>
          <w:spacing w:val="-4"/>
        </w:rPr>
        <w:t xml:space="preserve"> </w:t>
      </w:r>
      <w:r>
        <w:t>ganancias,</w:t>
      </w:r>
      <w:r>
        <w:rPr>
          <w:spacing w:val="-4"/>
        </w:rPr>
        <w:t xml:space="preserve"> </w:t>
      </w:r>
      <w:r>
        <w:t>sino</w:t>
      </w:r>
      <w:r>
        <w:rPr>
          <w:spacing w:val="-4"/>
        </w:rPr>
        <w:t xml:space="preserve"> </w:t>
      </w:r>
      <w:r>
        <w:t>una relación complementaria que pote</w:t>
      </w:r>
      <w:r>
        <w:t>ncia la eficiencia operativa.</w:t>
      </w:r>
    </w:p>
    <w:p w:rsidR="009B4BB4" w:rsidRDefault="00C44001">
      <w:pPr>
        <w:pStyle w:val="Textoindependiente"/>
        <w:spacing w:line="360" w:lineRule="auto"/>
        <w:ind w:left="425" w:right="607" w:firstLine="720"/>
        <w:jc w:val="both"/>
      </w:pPr>
      <w:r>
        <w:t>En conjunto, la integración de desempeño financiero y valor</w:t>
      </w:r>
      <w:r>
        <w:rPr>
          <w:spacing w:val="-4"/>
        </w:rPr>
        <w:t xml:space="preserve"> </w:t>
      </w:r>
      <w:r>
        <w:t>compartido</w:t>
      </w:r>
      <w:r>
        <w:rPr>
          <w:spacing w:val="-4"/>
        </w:rPr>
        <w:t xml:space="preserve"> </w:t>
      </w:r>
      <w:r>
        <w:t>validan</w:t>
      </w:r>
      <w:r>
        <w:rPr>
          <w:spacing w:val="-4"/>
        </w:rPr>
        <w:t xml:space="preserve"> </w:t>
      </w:r>
      <w:r>
        <w:t xml:space="preserve">a Guardiana como un proyecto viable, coherente y sostenible. Su propuesta combina rentabilidad con impacto positivo, configurando una ventaja competitiva frente a alternativas convencionales y una opción atractiva para inversionistas alineados con modelos </w:t>
      </w:r>
      <w:r>
        <w:t>de regeneración biocultural.</w:t>
      </w:r>
    </w:p>
    <w:p w:rsidR="009B4BB4" w:rsidRDefault="00C44001" w:rsidP="00C44001">
      <w:pPr>
        <w:pStyle w:val="Ttulo1"/>
        <w:numPr>
          <w:ilvl w:val="1"/>
          <w:numId w:val="14"/>
        </w:numPr>
        <w:tabs>
          <w:tab w:val="left" w:pos="940"/>
        </w:tabs>
        <w:spacing w:before="240"/>
        <w:ind w:left="940" w:hanging="485"/>
      </w:pPr>
      <w:bookmarkStart w:id="273" w:name="7.12_Dictamen_de_viabilidad_económica_y_"/>
      <w:bookmarkStart w:id="274" w:name="h.8lr28trm6awk"/>
      <w:bookmarkEnd w:id="273"/>
      <w:bookmarkEnd w:id="274"/>
      <w:r>
        <w:t>Dictamen</w:t>
      </w:r>
      <w:r>
        <w:rPr>
          <w:spacing w:val="-6"/>
        </w:rPr>
        <w:t xml:space="preserve"> </w:t>
      </w:r>
      <w:r>
        <w:t>de</w:t>
      </w:r>
      <w:r>
        <w:rPr>
          <w:spacing w:val="-6"/>
        </w:rPr>
        <w:t xml:space="preserve"> </w:t>
      </w:r>
      <w:r>
        <w:t>viabilidad</w:t>
      </w:r>
      <w:r>
        <w:rPr>
          <w:spacing w:val="-6"/>
        </w:rPr>
        <w:t xml:space="preserve"> </w:t>
      </w:r>
      <w:r>
        <w:t>económica</w:t>
      </w:r>
      <w:r>
        <w:rPr>
          <w:spacing w:val="-6"/>
        </w:rPr>
        <w:t xml:space="preserve"> </w:t>
      </w:r>
      <w:r>
        <w:t>y</w:t>
      </w:r>
      <w:r>
        <w:rPr>
          <w:spacing w:val="-6"/>
        </w:rPr>
        <w:t xml:space="preserve"> </w:t>
      </w:r>
      <w:r>
        <w:rPr>
          <w:spacing w:val="-2"/>
        </w:rPr>
        <w:t>financiera</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7" w:firstLine="720"/>
        <w:jc w:val="both"/>
      </w:pPr>
      <w:r>
        <w:t>El análisis financiero es concluyente: los resultados confirman que el modelo de negocio de Guardiana es sólido, rentable y resiliente. Tras someter las proyecciones a pruebas de sensibilidad y escenarios adversos, el dictamen favorable se sustenta en cuat</w:t>
      </w:r>
      <w:r>
        <w:t>ro pilares estratégicos:</w:t>
      </w:r>
    </w:p>
    <w:p w:rsidR="009B4BB4" w:rsidRDefault="00C44001" w:rsidP="00C44001">
      <w:pPr>
        <w:pStyle w:val="Prrafodelista"/>
        <w:numPr>
          <w:ilvl w:val="0"/>
          <w:numId w:val="1"/>
        </w:numPr>
        <w:tabs>
          <w:tab w:val="left" w:pos="1145"/>
        </w:tabs>
        <w:spacing w:line="360" w:lineRule="auto"/>
        <w:ind w:right="604"/>
        <w:jc w:val="both"/>
      </w:pPr>
      <w:r>
        <w:rPr>
          <w:rFonts w:ascii="Arial" w:hAnsi="Arial"/>
          <w:b/>
        </w:rPr>
        <w:t xml:space="preserve">Inversión eficiente (modelo </w:t>
      </w:r>
      <w:r>
        <w:rPr>
          <w:rFonts w:ascii="Arial" w:hAnsi="Arial"/>
          <w:b/>
          <w:i/>
        </w:rPr>
        <w:t>asset-light)</w:t>
      </w:r>
      <w:r>
        <w:rPr>
          <w:rFonts w:ascii="Arial" w:hAnsi="Arial"/>
          <w:b/>
        </w:rPr>
        <w:t xml:space="preserve">: </w:t>
      </w:r>
      <w:r>
        <w:t>El modelo evita la inmovilización de capital en infraestructura intensiva.</w:t>
      </w:r>
      <w:r>
        <w:rPr>
          <w:spacing w:val="-3"/>
        </w:rPr>
        <w:t xml:space="preserve"> </w:t>
      </w:r>
      <w:r>
        <w:t>Al</w:t>
      </w:r>
      <w:r>
        <w:rPr>
          <w:spacing w:val="-3"/>
        </w:rPr>
        <w:t xml:space="preserve"> </w:t>
      </w:r>
      <w:r>
        <w:t>iniciar</w:t>
      </w:r>
      <w:r>
        <w:rPr>
          <w:spacing w:val="-3"/>
        </w:rPr>
        <w:t xml:space="preserve"> </w:t>
      </w:r>
      <w:r>
        <w:t>con</w:t>
      </w:r>
      <w:r>
        <w:rPr>
          <w:spacing w:val="-3"/>
        </w:rPr>
        <w:t xml:space="preserve"> </w:t>
      </w:r>
      <w:r>
        <w:t>una</w:t>
      </w:r>
      <w:r>
        <w:rPr>
          <w:spacing w:val="-3"/>
        </w:rPr>
        <w:t xml:space="preserve"> </w:t>
      </w:r>
      <w:r>
        <w:t>inversión</w:t>
      </w:r>
      <w:r>
        <w:rPr>
          <w:spacing w:val="-3"/>
        </w:rPr>
        <w:t xml:space="preserve"> </w:t>
      </w:r>
      <w:r>
        <w:t>de</w:t>
      </w:r>
      <w:r>
        <w:rPr>
          <w:spacing w:val="-3"/>
        </w:rPr>
        <w:t xml:space="preserve"> </w:t>
      </w:r>
      <w:r>
        <w:t>$7,650</w:t>
      </w:r>
      <w:r>
        <w:rPr>
          <w:spacing w:val="-3"/>
        </w:rPr>
        <w:t xml:space="preserve"> </w:t>
      </w:r>
      <w:r>
        <w:t>USD,</w:t>
      </w:r>
      <w:r>
        <w:rPr>
          <w:spacing w:val="-3"/>
        </w:rPr>
        <w:t xml:space="preserve"> </w:t>
      </w:r>
      <w:r>
        <w:t>se reduce el riesgo de entrada y se prioriza la asignación de recursos</w:t>
      </w:r>
      <w:r>
        <w:t xml:space="preserve"> hacia los elementos que generan valor, como el</w:t>
      </w:r>
      <w:r>
        <w:rPr>
          <w:spacing w:val="-5"/>
        </w:rPr>
        <w:t xml:space="preserve"> </w:t>
      </w:r>
      <w:r>
        <w:t>posicionamiento</w:t>
      </w:r>
      <w:r>
        <w:rPr>
          <w:spacing w:val="-5"/>
        </w:rPr>
        <w:t xml:space="preserve"> </w:t>
      </w:r>
      <w:r>
        <w:t>de</w:t>
      </w:r>
      <w:r>
        <w:rPr>
          <w:spacing w:val="-5"/>
        </w:rPr>
        <w:t xml:space="preserve"> </w:t>
      </w:r>
      <w:r>
        <w:t>marca</w:t>
      </w:r>
      <w:r>
        <w:rPr>
          <w:spacing w:val="-5"/>
        </w:rPr>
        <w:t xml:space="preserve"> </w:t>
      </w:r>
      <w:r>
        <w:t>y</w:t>
      </w:r>
      <w:r>
        <w:rPr>
          <w:spacing w:val="-5"/>
        </w:rPr>
        <w:t xml:space="preserve"> </w:t>
      </w:r>
      <w:r>
        <w:t>la</w:t>
      </w:r>
      <w:r>
        <w:rPr>
          <w:spacing w:val="-5"/>
        </w:rPr>
        <w:t xml:space="preserve"> </w:t>
      </w:r>
      <w:r>
        <w:t>penetración de mercado.</w:t>
      </w:r>
    </w:p>
    <w:p w:rsidR="009B4BB4" w:rsidRDefault="00C44001" w:rsidP="00C44001">
      <w:pPr>
        <w:pStyle w:val="Prrafodelista"/>
        <w:numPr>
          <w:ilvl w:val="0"/>
          <w:numId w:val="1"/>
        </w:numPr>
        <w:tabs>
          <w:tab w:val="left" w:pos="1145"/>
        </w:tabs>
        <w:spacing w:line="360" w:lineRule="auto"/>
        <w:ind w:right="603"/>
        <w:jc w:val="both"/>
      </w:pPr>
      <w:r>
        <w:rPr>
          <w:rFonts w:ascii="Arial" w:hAnsi="Arial"/>
          <w:b/>
        </w:rPr>
        <w:t xml:space="preserve">Retorno acelerado y uso estratégico del apalancamiento: </w:t>
      </w:r>
      <w:r>
        <w:t>La estructura de financiamiento híbrido, que combina capital propio, deuda y subvenciones, increme</w:t>
      </w:r>
      <w:r>
        <w:t>nta la rentabilidad para los socios, alcanzando una TIR del accionista</w:t>
      </w:r>
      <w:r>
        <w:rPr>
          <w:spacing w:val="-3"/>
        </w:rPr>
        <w:t xml:space="preserve"> </w:t>
      </w:r>
      <w:r>
        <w:t>del</w:t>
      </w:r>
    </w:p>
    <w:p w:rsidR="009B4BB4" w:rsidRDefault="009B4BB4">
      <w:pPr>
        <w:pStyle w:val="Prrafodelista"/>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1145" w:right="633"/>
      </w:pPr>
      <w:r>
        <w:lastRenderedPageBreak/>
        <w:t>148%. Esto permite recuperar la inversión propia en aproximadamente 0.9 años, superando los estándares del sector agroindustrial tradicional.</w:t>
      </w:r>
    </w:p>
    <w:p w:rsidR="009B4BB4" w:rsidRDefault="00C44001" w:rsidP="00C44001">
      <w:pPr>
        <w:pStyle w:val="Prrafodelista"/>
        <w:numPr>
          <w:ilvl w:val="0"/>
          <w:numId w:val="1"/>
        </w:numPr>
        <w:tabs>
          <w:tab w:val="left" w:pos="1145"/>
        </w:tabs>
        <w:spacing w:line="360" w:lineRule="auto"/>
        <w:ind w:right="609"/>
        <w:jc w:val="both"/>
      </w:pPr>
      <w:r>
        <w:rPr>
          <w:rFonts w:ascii="Arial" w:hAnsi="Arial"/>
          <w:b/>
        </w:rPr>
        <w:t>Seguridad operativa</w:t>
      </w:r>
      <w:r>
        <w:rPr>
          <w:rFonts w:ascii="Arial" w:hAnsi="Arial"/>
          <w:b/>
          <w:spacing w:val="-4"/>
        </w:rPr>
        <w:t xml:space="preserve"> </w:t>
      </w:r>
      <w:r>
        <w:rPr>
          <w:rFonts w:ascii="Arial" w:hAnsi="Arial"/>
          <w:b/>
        </w:rPr>
        <w:t>y</w:t>
      </w:r>
      <w:r>
        <w:rPr>
          <w:rFonts w:ascii="Arial" w:hAnsi="Arial"/>
          <w:b/>
          <w:spacing w:val="-4"/>
        </w:rPr>
        <w:t xml:space="preserve"> </w:t>
      </w:r>
      <w:r>
        <w:rPr>
          <w:rFonts w:ascii="Arial" w:hAnsi="Arial"/>
          <w:b/>
        </w:rPr>
        <w:t>margen</w:t>
      </w:r>
      <w:r>
        <w:rPr>
          <w:rFonts w:ascii="Arial" w:hAnsi="Arial"/>
          <w:b/>
          <w:spacing w:val="-4"/>
        </w:rPr>
        <w:t xml:space="preserve"> </w:t>
      </w:r>
      <w:r>
        <w:rPr>
          <w:rFonts w:ascii="Arial" w:hAnsi="Arial"/>
          <w:b/>
        </w:rPr>
        <w:t>de</w:t>
      </w:r>
      <w:r>
        <w:rPr>
          <w:rFonts w:ascii="Arial" w:hAnsi="Arial"/>
          <w:b/>
          <w:spacing w:val="-4"/>
        </w:rPr>
        <w:t xml:space="preserve"> </w:t>
      </w:r>
      <w:r>
        <w:rPr>
          <w:rFonts w:ascii="Arial" w:hAnsi="Arial"/>
          <w:b/>
        </w:rPr>
        <w:t>maniobra:</w:t>
      </w:r>
      <w:r>
        <w:rPr>
          <w:rFonts w:ascii="Arial" w:hAnsi="Arial"/>
          <w:b/>
          <w:spacing w:val="-4"/>
        </w:rPr>
        <w:t xml:space="preserve"> </w:t>
      </w:r>
      <w:r>
        <w:t>El</w:t>
      </w:r>
      <w:r>
        <w:rPr>
          <w:spacing w:val="-4"/>
        </w:rPr>
        <w:t xml:space="preserve"> </w:t>
      </w:r>
      <w:r>
        <w:t>negocio</w:t>
      </w:r>
      <w:r>
        <w:rPr>
          <w:spacing w:val="-4"/>
        </w:rPr>
        <w:t xml:space="preserve"> </w:t>
      </w:r>
      <w:r>
        <w:t>presenta</w:t>
      </w:r>
      <w:r>
        <w:rPr>
          <w:spacing w:val="-4"/>
        </w:rPr>
        <w:t xml:space="preserve"> </w:t>
      </w:r>
      <w:r>
        <w:t>un</w:t>
      </w:r>
      <w:r>
        <w:rPr>
          <w:spacing w:val="-4"/>
        </w:rPr>
        <w:t xml:space="preserve"> </w:t>
      </w:r>
      <w:r>
        <w:t>margen</w:t>
      </w:r>
      <w:r>
        <w:rPr>
          <w:spacing w:val="-4"/>
        </w:rPr>
        <w:t xml:space="preserve"> </w:t>
      </w:r>
      <w:r>
        <w:t>de seguridad amplio. El punto de equilibrio se alcanza con la</w:t>
      </w:r>
      <w:r>
        <w:rPr>
          <w:spacing w:val="-3"/>
        </w:rPr>
        <w:t xml:space="preserve"> </w:t>
      </w:r>
      <w:r>
        <w:t>venta</w:t>
      </w:r>
      <w:r>
        <w:rPr>
          <w:spacing w:val="-3"/>
        </w:rPr>
        <w:t xml:space="preserve"> </w:t>
      </w:r>
      <w:r>
        <w:t>de</w:t>
      </w:r>
      <w:r>
        <w:rPr>
          <w:spacing w:val="-3"/>
        </w:rPr>
        <w:t xml:space="preserve"> </w:t>
      </w:r>
      <w:r>
        <w:t>216</w:t>
      </w:r>
      <w:r>
        <w:rPr>
          <w:spacing w:val="-3"/>
        </w:rPr>
        <w:t xml:space="preserve"> </w:t>
      </w:r>
      <w:r>
        <w:t>unidades anuales, lo que representa una proporción reducida frente al potencial de crecimiento. Esta estructura permite cubrir los</w:t>
      </w:r>
      <w:r>
        <w:t xml:space="preserve"> costos fijos incluso en escenarios de baja tracción inicial.</w:t>
      </w:r>
    </w:p>
    <w:p w:rsidR="009B4BB4" w:rsidRDefault="00C44001" w:rsidP="00C44001">
      <w:pPr>
        <w:pStyle w:val="Prrafodelista"/>
        <w:numPr>
          <w:ilvl w:val="0"/>
          <w:numId w:val="1"/>
        </w:numPr>
        <w:tabs>
          <w:tab w:val="left" w:pos="1145"/>
        </w:tabs>
        <w:spacing w:line="360" w:lineRule="auto"/>
        <w:ind w:right="602"/>
        <w:jc w:val="both"/>
      </w:pPr>
      <w:r>
        <w:rPr>
          <w:rFonts w:ascii="Arial" w:hAnsi="Arial"/>
          <w:b/>
        </w:rPr>
        <w:t>Creación de valor en el largo</w:t>
      </w:r>
      <w:r>
        <w:rPr>
          <w:rFonts w:ascii="Arial" w:hAnsi="Arial"/>
          <w:b/>
          <w:spacing w:val="-3"/>
        </w:rPr>
        <w:t xml:space="preserve"> </w:t>
      </w:r>
      <w:r>
        <w:rPr>
          <w:rFonts w:ascii="Arial" w:hAnsi="Arial"/>
          <w:b/>
        </w:rPr>
        <w:t>plazo:</w:t>
      </w:r>
      <w:r>
        <w:rPr>
          <w:rFonts w:ascii="Arial" w:hAnsi="Arial"/>
          <w:b/>
          <w:spacing w:val="-3"/>
        </w:rPr>
        <w:t xml:space="preserve"> </w:t>
      </w:r>
      <w:r>
        <w:t>Guardiana</w:t>
      </w:r>
      <w:r>
        <w:rPr>
          <w:spacing w:val="-3"/>
        </w:rPr>
        <w:t xml:space="preserve"> </w:t>
      </w:r>
      <w:r>
        <w:t>no</w:t>
      </w:r>
      <w:r>
        <w:rPr>
          <w:spacing w:val="-3"/>
        </w:rPr>
        <w:t xml:space="preserve"> </w:t>
      </w:r>
      <w:r>
        <w:t>solo</w:t>
      </w:r>
      <w:r>
        <w:rPr>
          <w:spacing w:val="-3"/>
        </w:rPr>
        <w:t xml:space="preserve"> </w:t>
      </w:r>
      <w:r>
        <w:t>genera</w:t>
      </w:r>
      <w:r>
        <w:rPr>
          <w:spacing w:val="-3"/>
        </w:rPr>
        <w:t xml:space="preserve"> </w:t>
      </w:r>
      <w:r>
        <w:t>flujo</w:t>
      </w:r>
      <w:r>
        <w:rPr>
          <w:spacing w:val="-3"/>
        </w:rPr>
        <w:t xml:space="preserve"> </w:t>
      </w:r>
      <w:r>
        <w:t>de</w:t>
      </w:r>
      <w:r>
        <w:rPr>
          <w:spacing w:val="-3"/>
        </w:rPr>
        <w:t xml:space="preserve"> </w:t>
      </w:r>
      <w:r>
        <w:t>efectivo, sino que construye un activo estratégico con capacidad de valorización. La combinación de impacto social, trazabilidad y escasez controlada fortalece su atractivo para inversionistas, con un valor estimado superior a los $200,000</w:t>
      </w:r>
      <w:r>
        <w:rPr>
          <w:spacing w:val="-3"/>
        </w:rPr>
        <w:t xml:space="preserve"> </w:t>
      </w:r>
      <w:r>
        <w:t>USD al quinto añ</w:t>
      </w:r>
      <w:r>
        <w:t>o.</w:t>
      </w:r>
    </w:p>
    <w:p w:rsidR="009B4BB4" w:rsidRDefault="00C44001">
      <w:pPr>
        <w:pStyle w:val="Textoindependiente"/>
        <w:spacing w:line="360" w:lineRule="auto"/>
        <w:ind w:left="425" w:right="608" w:firstLine="720"/>
        <w:jc w:val="both"/>
      </w:pPr>
      <w:r>
        <w:t>En conjunto, el perfil de riesgo es contenido y el potencial de retorno</w:t>
      </w:r>
      <w:r>
        <w:rPr>
          <w:spacing w:val="-3"/>
        </w:rPr>
        <w:t xml:space="preserve"> </w:t>
      </w:r>
      <w:r>
        <w:t>es</w:t>
      </w:r>
      <w:r>
        <w:rPr>
          <w:spacing w:val="-3"/>
        </w:rPr>
        <w:t xml:space="preserve"> </w:t>
      </w:r>
      <w:r>
        <w:t>elevado. Los indicadores financieros, respaldados por la viabilidad social y ambiental del modelo, sustentan la decisión de inversión y la puesta en marcha del proyecto Guardiana.</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line="360" w:lineRule="auto"/>
        <w:ind w:left="4117" w:right="4233" w:hanging="32"/>
        <w:jc w:val="center"/>
      </w:pPr>
      <w:bookmarkStart w:id="275" w:name="Capítulo_8​_Conclusiones_"/>
      <w:bookmarkStart w:id="276" w:name="h.kerlkngmeyaa"/>
      <w:bookmarkEnd w:id="275"/>
      <w:bookmarkEnd w:id="276"/>
      <w:r>
        <w:lastRenderedPageBreak/>
        <w:t xml:space="preserve">Capítulo 8 </w:t>
      </w:r>
      <w:r>
        <w:rPr>
          <w:spacing w:val="-2"/>
        </w:rPr>
        <w:t>Conclusiones</w:t>
      </w:r>
    </w:p>
    <w:p w:rsidR="009B4BB4" w:rsidRDefault="00C44001">
      <w:pPr>
        <w:pStyle w:val="Textoindependiente"/>
        <w:spacing w:line="360" w:lineRule="auto"/>
        <w:ind w:left="425" w:right="602" w:firstLine="720"/>
        <w:jc w:val="both"/>
      </w:pPr>
      <w:r>
        <w:t>El presente documento constituye l</w:t>
      </w:r>
      <w:r>
        <w:t>a propuesta formal de un plan de negocios para la implementación de Guardiana, un modelo comercial especializado en la comercialización de miel de abeja melipona (Melipona beecheii) en nodos turísticos estratégicos de Yucatán y Quintana Roo. A partir del d</w:t>
      </w:r>
      <w:r>
        <w:t xml:space="preserve">esarrollo y análisis integral de las distintas áreas del proyecto, se concluye que la propuesta es factible y presenta una oportunidad de mercado con un balance sólido entre rentabilidad financiera e impacto </w:t>
      </w:r>
      <w:r>
        <w:rPr>
          <w:spacing w:val="-2"/>
        </w:rPr>
        <w:t>social.</w:t>
      </w:r>
    </w:p>
    <w:p w:rsidR="009B4BB4" w:rsidRDefault="00C44001">
      <w:pPr>
        <w:pStyle w:val="Ttulo1"/>
        <w:spacing w:before="240"/>
        <w:ind w:left="1145"/>
      </w:pPr>
      <w:r>
        <w:t>Confirmación</w:t>
      </w:r>
      <w:r>
        <w:rPr>
          <w:spacing w:val="-6"/>
        </w:rPr>
        <w:t xml:space="preserve"> </w:t>
      </w:r>
      <w:r>
        <w:t>de</w:t>
      </w:r>
      <w:r>
        <w:rPr>
          <w:spacing w:val="-5"/>
        </w:rPr>
        <w:t xml:space="preserve"> </w:t>
      </w:r>
      <w:r>
        <w:t>la</w:t>
      </w:r>
      <w:r>
        <w:rPr>
          <w:spacing w:val="-5"/>
        </w:rPr>
        <w:t xml:space="preserve"> </w:t>
      </w:r>
      <w:r>
        <w:rPr>
          <w:spacing w:val="-2"/>
        </w:rPr>
        <w:t>hipótesis</w:t>
      </w:r>
    </w:p>
    <w:p w:rsidR="009B4BB4" w:rsidRDefault="009B4BB4">
      <w:pPr>
        <w:pStyle w:val="Textoindependiente"/>
        <w:spacing w:before="114"/>
        <w:rPr>
          <w:rFonts w:ascii="Arial"/>
          <w:b/>
        </w:rPr>
      </w:pPr>
    </w:p>
    <w:p w:rsidR="009B4BB4" w:rsidRDefault="00C44001">
      <w:pPr>
        <w:pStyle w:val="Textoindependiente"/>
        <w:spacing w:before="0" w:line="360" w:lineRule="auto"/>
        <w:ind w:left="425" w:right="602" w:firstLine="720"/>
        <w:jc w:val="both"/>
      </w:pPr>
      <w:r>
        <w:t>El desarro</w:t>
      </w:r>
      <w:r>
        <w:t>llo del plan de negocios permite confirmar la hipótesis planteada: la implementación de un modelo basado en miel melipona, en formatos prácticos y de alto valor percibido, dirigido a</w:t>
      </w:r>
      <w:r>
        <w:rPr>
          <w:spacing w:val="-4"/>
        </w:rPr>
        <w:t xml:space="preserve"> </w:t>
      </w:r>
      <w:r>
        <w:t>nichos</w:t>
      </w:r>
      <w:r>
        <w:rPr>
          <w:spacing w:val="-4"/>
        </w:rPr>
        <w:t xml:space="preserve"> </w:t>
      </w:r>
      <w:r>
        <w:t>turísticos</w:t>
      </w:r>
      <w:r>
        <w:rPr>
          <w:spacing w:val="-4"/>
        </w:rPr>
        <w:t xml:space="preserve"> </w:t>
      </w:r>
      <w:r>
        <w:t>y</w:t>
      </w:r>
      <w:r>
        <w:rPr>
          <w:spacing w:val="-4"/>
        </w:rPr>
        <w:t xml:space="preserve"> </w:t>
      </w:r>
      <w:r>
        <w:t>consumidores</w:t>
      </w:r>
      <w:r>
        <w:rPr>
          <w:spacing w:val="-4"/>
        </w:rPr>
        <w:t xml:space="preserve"> </w:t>
      </w:r>
      <w:r>
        <w:t>conscientes,</w:t>
      </w:r>
      <w:r>
        <w:rPr>
          <w:spacing w:val="-4"/>
        </w:rPr>
        <w:t xml:space="preserve"> </w:t>
      </w:r>
      <w:r>
        <w:t>resulta</w:t>
      </w:r>
      <w:r>
        <w:rPr>
          <w:spacing w:val="-4"/>
        </w:rPr>
        <w:t xml:space="preserve"> </w:t>
      </w:r>
      <w:r>
        <w:t>rentable</w:t>
      </w:r>
      <w:r>
        <w:rPr>
          <w:spacing w:val="-4"/>
        </w:rPr>
        <w:t xml:space="preserve"> </w:t>
      </w:r>
      <w:r>
        <w:t>y sostenib</w:t>
      </w:r>
      <w:r>
        <w:t>le en valor. Al mismo tiempo, demuestra su capacidad para generar impacto positivo en las economías locales, contribuir a la conservación ambiental y preservar prácticas tradicionales asociadas a la meliponicultura.</w:t>
      </w:r>
    </w:p>
    <w:p w:rsidR="009B4BB4" w:rsidRDefault="00C44001">
      <w:pPr>
        <w:pStyle w:val="Textoindependiente"/>
        <w:spacing w:line="360" w:lineRule="auto"/>
        <w:ind w:left="425" w:right="605" w:firstLine="720"/>
        <w:jc w:val="both"/>
      </w:pPr>
      <w:r>
        <w:t>Los resultados muestran con claridad que</w:t>
      </w:r>
      <w:r>
        <w:t xml:space="preserve"> existe una oportunidad real de diferenciación en el mercado, sustentada en la escasez estructural del recurso, su valor biocultural y sus atributos funcionales. Asimismo, el análisis del contexto turístico de Valladolid confirma su idoneidad como nodo est</w:t>
      </w:r>
      <w:r>
        <w:t>ratégico para la comercialización, al concentrar flujos de consumidores con afinidad hacia propuestas auténticas, sostenibles</w:t>
      </w:r>
      <w:r>
        <w:rPr>
          <w:spacing w:val="40"/>
        </w:rPr>
        <w:t xml:space="preserve"> </w:t>
      </w:r>
      <w:r>
        <w:t>y con alto valor simbólico.</w:t>
      </w:r>
    </w:p>
    <w:p w:rsidR="009B4BB4" w:rsidRDefault="00C44001">
      <w:pPr>
        <w:pStyle w:val="Textoindependiente"/>
        <w:spacing w:before="239" w:line="360" w:lineRule="auto"/>
        <w:ind w:left="425" w:right="605" w:firstLine="720"/>
        <w:jc w:val="both"/>
      </w:pPr>
      <w:r>
        <w:t>En línea con los</w:t>
      </w:r>
      <w:r>
        <w:rPr>
          <w:spacing w:val="-4"/>
        </w:rPr>
        <w:t xml:space="preserve"> </w:t>
      </w:r>
      <w:r>
        <w:t>objetivos</w:t>
      </w:r>
      <w:r>
        <w:rPr>
          <w:spacing w:val="-4"/>
        </w:rPr>
        <w:t xml:space="preserve"> </w:t>
      </w:r>
      <w:r>
        <w:t>específicos,</w:t>
      </w:r>
      <w:r>
        <w:rPr>
          <w:spacing w:val="-4"/>
        </w:rPr>
        <w:t xml:space="preserve"> </w:t>
      </w:r>
      <w:r>
        <w:t>se</w:t>
      </w:r>
      <w:r>
        <w:rPr>
          <w:spacing w:val="-4"/>
        </w:rPr>
        <w:t xml:space="preserve"> </w:t>
      </w:r>
      <w:r>
        <w:t>confirma</w:t>
      </w:r>
      <w:r>
        <w:rPr>
          <w:spacing w:val="-4"/>
        </w:rPr>
        <w:t xml:space="preserve"> </w:t>
      </w:r>
      <w:r>
        <w:t>la</w:t>
      </w:r>
      <w:r>
        <w:rPr>
          <w:spacing w:val="-4"/>
        </w:rPr>
        <w:t xml:space="preserve"> </w:t>
      </w:r>
      <w:r>
        <w:t>existencia</w:t>
      </w:r>
      <w:r>
        <w:rPr>
          <w:spacing w:val="-4"/>
        </w:rPr>
        <w:t xml:space="preserve"> </w:t>
      </w:r>
      <w:r>
        <w:t>de</w:t>
      </w:r>
      <w:r>
        <w:rPr>
          <w:spacing w:val="-4"/>
        </w:rPr>
        <w:t xml:space="preserve"> </w:t>
      </w:r>
      <w:r>
        <w:t>un</w:t>
      </w:r>
      <w:r>
        <w:rPr>
          <w:spacing w:val="-4"/>
        </w:rPr>
        <w:t xml:space="preserve"> </w:t>
      </w:r>
      <w:r>
        <w:t>consumidor dispuesto a pagar por productos con origen</w:t>
      </w:r>
      <w:r>
        <w:rPr>
          <w:spacing w:val="-3"/>
        </w:rPr>
        <w:t xml:space="preserve"> </w:t>
      </w:r>
      <w:r>
        <w:t>cultural</w:t>
      </w:r>
      <w:r>
        <w:rPr>
          <w:spacing w:val="-3"/>
        </w:rPr>
        <w:t xml:space="preserve"> </w:t>
      </w:r>
      <w:r>
        <w:t>y</w:t>
      </w:r>
      <w:r>
        <w:rPr>
          <w:spacing w:val="-3"/>
        </w:rPr>
        <w:t xml:space="preserve"> </w:t>
      </w:r>
      <w:r>
        <w:t>trazabilidad</w:t>
      </w:r>
      <w:r>
        <w:rPr>
          <w:spacing w:val="-3"/>
        </w:rPr>
        <w:t xml:space="preserve"> </w:t>
      </w:r>
      <w:r>
        <w:t>verificable,</w:t>
      </w:r>
      <w:r>
        <w:rPr>
          <w:spacing w:val="-3"/>
        </w:rPr>
        <w:t xml:space="preserve"> </w:t>
      </w:r>
      <w:r>
        <w:t>así</w:t>
      </w:r>
      <w:r>
        <w:rPr>
          <w:spacing w:val="-3"/>
        </w:rPr>
        <w:t xml:space="preserve"> </w:t>
      </w:r>
      <w:r>
        <w:t>como</w:t>
      </w:r>
      <w:r>
        <w:rPr>
          <w:spacing w:val="-3"/>
        </w:rPr>
        <w:t xml:space="preserve"> </w:t>
      </w:r>
      <w:r>
        <w:t>la pertinencia de formatos orientados a maximizar el valor por unidad. A esto se suma</w:t>
      </w:r>
      <w:r>
        <w:rPr>
          <w:spacing w:val="-3"/>
        </w:rPr>
        <w:t xml:space="preserve"> </w:t>
      </w:r>
      <w:r>
        <w:t>que</w:t>
      </w:r>
      <w:r>
        <w:rPr>
          <w:spacing w:val="40"/>
        </w:rPr>
        <w:t xml:space="preserve"> </w:t>
      </w:r>
      <w:r>
        <w:t>el análisis económico-financiero respalda la viabilidad del modelo</w:t>
      </w:r>
      <w:r>
        <w:t xml:space="preserve"> y su potencial de crecimiento bajo una lógica de captura de valor, más que de expansión por volumen.</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1145"/>
      </w:pPr>
      <w:r>
        <w:lastRenderedPageBreak/>
        <w:t>Hallazgos</w:t>
      </w:r>
      <w:r>
        <w:rPr>
          <w:spacing w:val="-9"/>
        </w:rPr>
        <w:t xml:space="preserve"> </w:t>
      </w:r>
      <w:r>
        <w:rPr>
          <w:spacing w:val="-2"/>
        </w:rPr>
        <w:t>principales</w:t>
      </w:r>
    </w:p>
    <w:p w:rsidR="009B4BB4" w:rsidRDefault="009B4BB4">
      <w:pPr>
        <w:pStyle w:val="Textoindependiente"/>
        <w:spacing w:before="113"/>
        <w:rPr>
          <w:rFonts w:ascii="Arial"/>
          <w:b/>
        </w:rPr>
      </w:pPr>
    </w:p>
    <w:p w:rsidR="009B4BB4" w:rsidRDefault="00C44001">
      <w:pPr>
        <w:pStyle w:val="Textoindependiente"/>
        <w:spacing w:before="0" w:line="360" w:lineRule="auto"/>
        <w:ind w:left="425" w:right="609" w:firstLine="720"/>
        <w:jc w:val="both"/>
      </w:pPr>
      <w:r>
        <w:t>El análisis del mercado permite identificar una oportunidad clara en el segmento de bienes premium y bienestar, impulsada por una demanda creciente de productos auténticos, trazables y con valor cultural. En</w:t>
      </w:r>
      <w:r>
        <w:rPr>
          <w:spacing w:val="-4"/>
        </w:rPr>
        <w:t xml:space="preserve"> </w:t>
      </w:r>
      <w:r>
        <w:t>este</w:t>
      </w:r>
      <w:r>
        <w:rPr>
          <w:spacing w:val="-4"/>
        </w:rPr>
        <w:t xml:space="preserve"> </w:t>
      </w:r>
      <w:r>
        <w:t>contexto,</w:t>
      </w:r>
      <w:r>
        <w:rPr>
          <w:spacing w:val="-4"/>
        </w:rPr>
        <w:t xml:space="preserve"> </w:t>
      </w:r>
      <w:r>
        <w:t>Guardiana</w:t>
      </w:r>
      <w:r>
        <w:rPr>
          <w:spacing w:val="-4"/>
        </w:rPr>
        <w:t xml:space="preserve"> </w:t>
      </w:r>
      <w:r>
        <w:t>logra</w:t>
      </w:r>
      <w:r>
        <w:rPr>
          <w:spacing w:val="-4"/>
        </w:rPr>
        <w:t xml:space="preserve"> </w:t>
      </w:r>
      <w:r>
        <w:t>posicionarse medi</w:t>
      </w:r>
      <w:r>
        <w:t>ante una propuesta diferenciada basada en exclusividad y significado.</w:t>
      </w:r>
    </w:p>
    <w:p w:rsidR="009B4BB4" w:rsidRDefault="00C44001">
      <w:pPr>
        <w:pStyle w:val="Textoindependiente"/>
        <w:spacing w:before="241" w:line="360" w:lineRule="auto"/>
        <w:ind w:left="425" w:right="604" w:firstLine="720"/>
        <w:jc w:val="both"/>
      </w:pPr>
      <w:r>
        <w:t>A nivel operativo, el modelo demuestra</w:t>
      </w:r>
      <w:r>
        <w:rPr>
          <w:spacing w:val="-4"/>
        </w:rPr>
        <w:t xml:space="preserve"> </w:t>
      </w:r>
      <w:r>
        <w:t>ser</w:t>
      </w:r>
      <w:r>
        <w:rPr>
          <w:spacing w:val="-4"/>
        </w:rPr>
        <w:t xml:space="preserve"> </w:t>
      </w:r>
      <w:r>
        <w:t>viable</w:t>
      </w:r>
      <w:r>
        <w:rPr>
          <w:spacing w:val="-4"/>
        </w:rPr>
        <w:t xml:space="preserve"> </w:t>
      </w:r>
      <w:r>
        <w:t>gracias</w:t>
      </w:r>
      <w:r>
        <w:rPr>
          <w:spacing w:val="-4"/>
        </w:rPr>
        <w:t xml:space="preserve"> </w:t>
      </w:r>
      <w:r>
        <w:t>a</w:t>
      </w:r>
      <w:r>
        <w:rPr>
          <w:spacing w:val="-4"/>
        </w:rPr>
        <w:t xml:space="preserve"> </w:t>
      </w:r>
      <w:r>
        <w:t>una</w:t>
      </w:r>
      <w:r>
        <w:rPr>
          <w:spacing w:val="-4"/>
        </w:rPr>
        <w:t xml:space="preserve"> </w:t>
      </w:r>
      <w:r>
        <w:t>estructura</w:t>
      </w:r>
      <w:r>
        <w:rPr>
          <w:spacing w:val="-4"/>
        </w:rPr>
        <w:t xml:space="preserve"> </w:t>
      </w:r>
      <w:r>
        <w:t>flexible que prioriza la inversión en marca y comercialización, evitando la necesidad de activos fijos intensiv</w:t>
      </w:r>
      <w:r>
        <w:t xml:space="preserve">os. Este enfoque se complementa con alianzas con cooperativas meliponicultoras, fortaleciendo la cadena de suministro bajo principios de valor </w:t>
      </w:r>
      <w:r>
        <w:rPr>
          <w:spacing w:val="-2"/>
        </w:rPr>
        <w:t>compartido.</w:t>
      </w:r>
    </w:p>
    <w:p w:rsidR="009B4BB4" w:rsidRDefault="00C44001">
      <w:pPr>
        <w:pStyle w:val="Textoindependiente"/>
        <w:spacing w:line="360" w:lineRule="auto"/>
        <w:ind w:left="425" w:right="608" w:firstLine="720"/>
        <w:jc w:val="both"/>
      </w:pPr>
      <w:r>
        <w:t>En términos</w:t>
      </w:r>
      <w:r>
        <w:rPr>
          <w:spacing w:val="-4"/>
        </w:rPr>
        <w:t xml:space="preserve"> </w:t>
      </w:r>
      <w:r>
        <w:t>financieros,</w:t>
      </w:r>
      <w:r>
        <w:rPr>
          <w:spacing w:val="-4"/>
        </w:rPr>
        <w:t xml:space="preserve"> </w:t>
      </w:r>
      <w:r>
        <w:t>el</w:t>
      </w:r>
      <w:r>
        <w:rPr>
          <w:spacing w:val="-4"/>
        </w:rPr>
        <w:t xml:space="preserve"> </w:t>
      </w:r>
      <w:r>
        <w:t>proyecto</w:t>
      </w:r>
      <w:r>
        <w:rPr>
          <w:spacing w:val="-4"/>
        </w:rPr>
        <w:t xml:space="preserve"> </w:t>
      </w:r>
      <w:r>
        <w:t>presenta</w:t>
      </w:r>
      <w:r>
        <w:rPr>
          <w:spacing w:val="-4"/>
        </w:rPr>
        <w:t xml:space="preserve"> </w:t>
      </w:r>
      <w:r>
        <w:t>indicadores</w:t>
      </w:r>
      <w:r>
        <w:rPr>
          <w:spacing w:val="-4"/>
        </w:rPr>
        <w:t xml:space="preserve"> </w:t>
      </w:r>
      <w:r>
        <w:t>sólidos,</w:t>
      </w:r>
      <w:r>
        <w:rPr>
          <w:spacing w:val="-4"/>
        </w:rPr>
        <w:t xml:space="preserve"> </w:t>
      </w:r>
      <w:r>
        <w:t>con</w:t>
      </w:r>
      <w:r>
        <w:rPr>
          <w:spacing w:val="-4"/>
        </w:rPr>
        <w:t xml:space="preserve"> </w:t>
      </w:r>
      <w:r>
        <w:t>una</w:t>
      </w:r>
      <w:r>
        <w:rPr>
          <w:spacing w:val="-4"/>
        </w:rPr>
        <w:t xml:space="preserve"> </w:t>
      </w:r>
      <w:r>
        <w:t>TIR</w:t>
      </w:r>
      <w:r>
        <w:rPr>
          <w:spacing w:val="-4"/>
        </w:rPr>
        <w:t xml:space="preserve"> </w:t>
      </w:r>
      <w:r>
        <w:t>del proyecto del 92% y</w:t>
      </w:r>
      <w:r>
        <w:t xml:space="preserve"> una TIR del accionista del 148%, un punto de equilibrio bajo de 216 unidades y</w:t>
      </w:r>
      <w:r>
        <w:rPr>
          <w:spacing w:val="-3"/>
        </w:rPr>
        <w:t xml:space="preserve"> </w:t>
      </w:r>
      <w:r>
        <w:t>un</w:t>
      </w:r>
      <w:r>
        <w:rPr>
          <w:spacing w:val="-3"/>
        </w:rPr>
        <w:t xml:space="preserve"> </w:t>
      </w:r>
      <w:r>
        <w:t>periodo</w:t>
      </w:r>
      <w:r>
        <w:rPr>
          <w:spacing w:val="-3"/>
        </w:rPr>
        <w:t xml:space="preserve"> </w:t>
      </w:r>
      <w:r>
        <w:t>de</w:t>
      </w:r>
      <w:r>
        <w:rPr>
          <w:spacing w:val="-3"/>
        </w:rPr>
        <w:t xml:space="preserve"> </w:t>
      </w:r>
      <w:r>
        <w:t>recuperación</w:t>
      </w:r>
      <w:r>
        <w:rPr>
          <w:spacing w:val="-3"/>
        </w:rPr>
        <w:t xml:space="preserve"> </w:t>
      </w:r>
      <w:r>
        <w:t>cercano</w:t>
      </w:r>
      <w:r>
        <w:rPr>
          <w:spacing w:val="-3"/>
        </w:rPr>
        <w:t xml:space="preserve"> </w:t>
      </w:r>
      <w:r>
        <w:t>a</w:t>
      </w:r>
      <w:r>
        <w:rPr>
          <w:spacing w:val="-3"/>
        </w:rPr>
        <w:t xml:space="preserve"> </w:t>
      </w:r>
      <w:r>
        <w:t>0.9</w:t>
      </w:r>
      <w:r>
        <w:rPr>
          <w:spacing w:val="-3"/>
        </w:rPr>
        <w:t xml:space="preserve"> </w:t>
      </w:r>
      <w:r>
        <w:t>años.</w:t>
      </w:r>
      <w:r>
        <w:rPr>
          <w:spacing w:val="-3"/>
        </w:rPr>
        <w:t xml:space="preserve"> </w:t>
      </w:r>
      <w:r>
        <w:t>En</w:t>
      </w:r>
      <w:r>
        <w:rPr>
          <w:spacing w:val="-3"/>
        </w:rPr>
        <w:t xml:space="preserve"> </w:t>
      </w:r>
      <w:r>
        <w:t>conjunto,</w:t>
      </w:r>
      <w:r>
        <w:rPr>
          <w:spacing w:val="-3"/>
        </w:rPr>
        <w:t xml:space="preserve"> </w:t>
      </w:r>
      <w:r>
        <w:t>estos</w:t>
      </w:r>
      <w:r>
        <w:rPr>
          <w:spacing w:val="-3"/>
        </w:rPr>
        <w:t xml:space="preserve"> </w:t>
      </w:r>
      <w:r>
        <w:t>resultados reflejan un modelo resiliente y con alta capacidad de generación de valor.</w:t>
      </w:r>
    </w:p>
    <w:p w:rsidR="009B4BB4" w:rsidRDefault="00C44001">
      <w:pPr>
        <w:pStyle w:val="Textoindependiente"/>
        <w:spacing w:line="360" w:lineRule="auto"/>
        <w:ind w:left="425" w:right="607" w:firstLine="720"/>
        <w:jc w:val="both"/>
      </w:pPr>
      <w:r>
        <w:t>Un hallazgo clave es que la principal fuente de valor no radica en el volumen de ventas, sino en la capacidad de capturar valor a partir de la escasez,</w:t>
      </w:r>
      <w:r>
        <w:rPr>
          <w:spacing w:val="-3"/>
        </w:rPr>
        <w:t xml:space="preserve"> </w:t>
      </w:r>
      <w:r>
        <w:t>la</w:t>
      </w:r>
      <w:r>
        <w:rPr>
          <w:spacing w:val="-3"/>
        </w:rPr>
        <w:t xml:space="preserve"> </w:t>
      </w:r>
      <w:r>
        <w:t>autenticidad</w:t>
      </w:r>
      <w:r>
        <w:rPr>
          <w:spacing w:val="-3"/>
        </w:rPr>
        <w:t xml:space="preserve"> </w:t>
      </w:r>
      <w:r>
        <w:t>y</w:t>
      </w:r>
      <w:r>
        <w:rPr>
          <w:spacing w:val="-3"/>
        </w:rPr>
        <w:t xml:space="preserve"> </w:t>
      </w:r>
      <w:r>
        <w:t>la diferenciación. Este enfoque permite sostener márgenes elevados y construir una pro</w:t>
      </w:r>
      <w:r>
        <w:t>puesta difícil de replicar, donde el precio está determinado por el significado del producto más que por su función básica.</w:t>
      </w:r>
    </w:p>
    <w:p w:rsidR="009B4BB4" w:rsidRDefault="009B4BB4">
      <w:pPr>
        <w:pStyle w:val="Textoindependiente"/>
        <w:spacing w:before="0"/>
      </w:pPr>
    </w:p>
    <w:p w:rsidR="009B4BB4" w:rsidRDefault="009B4BB4">
      <w:pPr>
        <w:pStyle w:val="Textoindependiente"/>
        <w:spacing w:before="0"/>
      </w:pPr>
    </w:p>
    <w:p w:rsidR="009B4BB4" w:rsidRDefault="009B4BB4">
      <w:pPr>
        <w:pStyle w:val="Textoindependiente"/>
        <w:spacing w:before="100"/>
      </w:pPr>
    </w:p>
    <w:p w:rsidR="009B4BB4" w:rsidRDefault="00C44001">
      <w:pPr>
        <w:pStyle w:val="Ttulo1"/>
        <w:ind w:left="1145"/>
      </w:pPr>
      <w:r>
        <w:t>Implicancias</w:t>
      </w:r>
      <w:r>
        <w:rPr>
          <w:spacing w:val="-12"/>
        </w:rPr>
        <w:t xml:space="preserve"> </w:t>
      </w:r>
      <w:r>
        <w:rPr>
          <w:spacing w:val="-2"/>
        </w:rPr>
        <w:t>prácticas</w:t>
      </w:r>
    </w:p>
    <w:p w:rsidR="009B4BB4" w:rsidRDefault="009B4BB4">
      <w:pPr>
        <w:pStyle w:val="Textoindependiente"/>
        <w:spacing w:before="113"/>
        <w:rPr>
          <w:rFonts w:ascii="Arial"/>
          <w:b/>
        </w:rPr>
      </w:pPr>
    </w:p>
    <w:p w:rsidR="009B4BB4" w:rsidRDefault="00C44001">
      <w:pPr>
        <w:pStyle w:val="Textoindependiente"/>
        <w:spacing w:before="1" w:line="360" w:lineRule="auto"/>
        <w:ind w:left="425" w:right="604" w:firstLine="720"/>
        <w:jc w:val="both"/>
      </w:pPr>
      <w:r>
        <w:t>Los resultados obtenidos sugieren que la ejecución del proyecto debe iniciar mediante un lanzamiento pilo</w:t>
      </w:r>
      <w:r>
        <w:t>tado en Valladolid, Yucatán, lo que permitirá validar la operación, la aceptación del producto y la eficiencia del modelo antes de escalar hacia otros destinos.</w:t>
      </w:r>
    </w:p>
    <w:p w:rsidR="009B4BB4" w:rsidRDefault="00C44001">
      <w:pPr>
        <w:pStyle w:val="Textoindependiente"/>
        <w:spacing w:line="360" w:lineRule="auto"/>
        <w:ind w:left="425" w:right="612" w:firstLine="720"/>
        <w:jc w:val="both"/>
      </w:pPr>
      <w:r>
        <w:t>Asimismo, resulta clave proteger el posicionamiento de la marca mediante el registro de propied</w:t>
      </w:r>
      <w:r>
        <w:t>ad intelectual y el desarrollo de certificaciones que respalden la autenticidad del producto. De forma complementaria, la implementación temprana de un</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extoindependiente"/>
        <w:spacing w:before="79" w:line="360" w:lineRule="auto"/>
        <w:ind w:left="425"/>
      </w:pPr>
      <w:proofErr w:type="gramStart"/>
      <w:r>
        <w:lastRenderedPageBreak/>
        <w:t>canal</w:t>
      </w:r>
      <w:proofErr w:type="gramEnd"/>
      <w:r>
        <w:rPr>
          <w:spacing w:val="40"/>
        </w:rPr>
        <w:t xml:space="preserve"> </w:t>
      </w:r>
      <w:r>
        <w:t>de</w:t>
      </w:r>
      <w:r>
        <w:rPr>
          <w:spacing w:val="40"/>
        </w:rPr>
        <w:t xml:space="preserve"> </w:t>
      </w:r>
      <w:r>
        <w:t>e-commerce</w:t>
      </w:r>
      <w:r>
        <w:rPr>
          <w:spacing w:val="40"/>
        </w:rPr>
        <w:t xml:space="preserve"> </w:t>
      </w:r>
      <w:r>
        <w:t>permitirá</w:t>
      </w:r>
      <w:r>
        <w:rPr>
          <w:spacing w:val="40"/>
        </w:rPr>
        <w:t xml:space="preserve"> </w:t>
      </w:r>
      <w:r>
        <w:t>capturar</w:t>
      </w:r>
      <w:r>
        <w:rPr>
          <w:spacing w:val="40"/>
        </w:rPr>
        <w:t xml:space="preserve"> </w:t>
      </w:r>
      <w:r>
        <w:t>valor</w:t>
      </w:r>
      <w:r>
        <w:rPr>
          <w:spacing w:val="40"/>
        </w:rPr>
        <w:t xml:space="preserve"> </w:t>
      </w:r>
      <w:r>
        <w:t>a</w:t>
      </w:r>
      <w:r>
        <w:rPr>
          <w:spacing w:val="40"/>
        </w:rPr>
        <w:t xml:space="preserve"> </w:t>
      </w:r>
      <w:r>
        <w:t>través</w:t>
      </w:r>
      <w:r>
        <w:rPr>
          <w:spacing w:val="40"/>
        </w:rPr>
        <w:t xml:space="preserve"> </w:t>
      </w:r>
      <w:r>
        <w:t>de</w:t>
      </w:r>
      <w:r>
        <w:rPr>
          <w:spacing w:val="26"/>
        </w:rPr>
        <w:t xml:space="preserve"> </w:t>
      </w:r>
      <w:r>
        <w:t>la</w:t>
      </w:r>
      <w:r>
        <w:rPr>
          <w:spacing w:val="26"/>
        </w:rPr>
        <w:t xml:space="preserve"> </w:t>
      </w:r>
      <w:r>
        <w:t>recompra</w:t>
      </w:r>
      <w:r>
        <w:rPr>
          <w:spacing w:val="26"/>
        </w:rPr>
        <w:t xml:space="preserve"> </w:t>
      </w:r>
      <w:r>
        <w:t>internacional</w:t>
      </w:r>
      <w:r>
        <w:rPr>
          <w:spacing w:val="26"/>
        </w:rPr>
        <w:t xml:space="preserve"> </w:t>
      </w:r>
      <w:r>
        <w:t>y extender la relación con el cliente más allá del punto de venta turístico.</w:t>
      </w:r>
    </w:p>
    <w:p w:rsidR="009B4BB4" w:rsidRDefault="00C44001">
      <w:pPr>
        <w:pStyle w:val="Textoindependiente"/>
        <w:spacing w:line="360" w:lineRule="auto"/>
        <w:ind w:left="425" w:right="610" w:firstLine="720"/>
        <w:jc w:val="both"/>
      </w:pPr>
      <w:r>
        <w:t>En conjunto, estas</w:t>
      </w:r>
      <w:r>
        <w:rPr>
          <w:spacing w:val="-4"/>
        </w:rPr>
        <w:t xml:space="preserve"> </w:t>
      </w:r>
      <w:r>
        <w:t>implicancias</w:t>
      </w:r>
      <w:r>
        <w:rPr>
          <w:spacing w:val="-4"/>
        </w:rPr>
        <w:t xml:space="preserve"> </w:t>
      </w:r>
      <w:r>
        <w:t>orientan</w:t>
      </w:r>
      <w:r>
        <w:rPr>
          <w:spacing w:val="-4"/>
        </w:rPr>
        <w:t xml:space="preserve"> </w:t>
      </w:r>
      <w:r>
        <w:t>la</w:t>
      </w:r>
      <w:r>
        <w:rPr>
          <w:spacing w:val="-4"/>
        </w:rPr>
        <w:t xml:space="preserve"> </w:t>
      </w:r>
      <w:r>
        <w:t>transición</w:t>
      </w:r>
      <w:r>
        <w:rPr>
          <w:spacing w:val="-4"/>
        </w:rPr>
        <w:t xml:space="preserve"> </w:t>
      </w:r>
      <w:r>
        <w:t>del</w:t>
      </w:r>
      <w:r>
        <w:rPr>
          <w:spacing w:val="-4"/>
        </w:rPr>
        <w:t xml:space="preserve"> </w:t>
      </w:r>
      <w:r>
        <w:t>modelo</w:t>
      </w:r>
      <w:r>
        <w:rPr>
          <w:spacing w:val="-4"/>
        </w:rPr>
        <w:t xml:space="preserve"> </w:t>
      </w:r>
      <w:r>
        <w:t>conceptual</w:t>
      </w:r>
      <w:r>
        <w:rPr>
          <w:spacing w:val="-4"/>
        </w:rPr>
        <w:t xml:space="preserve"> </w:t>
      </w:r>
      <w:r>
        <w:t>hacia su implementación, confirmando que Guardiana puede consolidarse como un proyecto financieramente</w:t>
      </w:r>
      <w:r>
        <w:t xml:space="preserve"> sólido, operativamente viable y alineado con las tendencias contemporáneas de consumo.</w:t>
      </w:r>
    </w:p>
    <w:p w:rsidR="009B4BB4" w:rsidRDefault="009B4BB4">
      <w:pPr>
        <w:pStyle w:val="Textoindependiente"/>
        <w:spacing w:line="360" w:lineRule="auto"/>
        <w:jc w:val="both"/>
        <w:sectPr w:rsidR="009B4BB4">
          <w:pgSz w:w="11920" w:h="16840"/>
          <w:pgMar w:top="1500" w:right="850" w:bottom="1940" w:left="1275" w:header="0" w:footer="1747" w:gutter="0"/>
          <w:cols w:space="720"/>
        </w:sectPr>
      </w:pPr>
    </w:p>
    <w:p w:rsidR="009B4BB4" w:rsidRDefault="00C44001">
      <w:pPr>
        <w:pStyle w:val="Ttulo1"/>
        <w:spacing w:before="79"/>
        <w:ind w:left="237" w:right="413"/>
        <w:jc w:val="center"/>
      </w:pPr>
      <w:bookmarkStart w:id="277" w:name="Bibliografía_"/>
      <w:bookmarkStart w:id="278" w:name="h.ypxfw9qn9lj6"/>
      <w:bookmarkEnd w:id="277"/>
      <w:bookmarkEnd w:id="278"/>
      <w:r>
        <w:rPr>
          <w:spacing w:val="-2"/>
        </w:rPr>
        <w:lastRenderedPageBreak/>
        <w:t>Bibliografía</w:t>
      </w:r>
    </w:p>
    <w:p w:rsidR="009B4BB4" w:rsidRDefault="009B4BB4">
      <w:pPr>
        <w:pStyle w:val="Textoindependiente"/>
        <w:rPr>
          <w:rFonts w:ascii="Arial"/>
          <w:b/>
        </w:rPr>
      </w:pPr>
    </w:p>
    <w:p w:rsidR="009B4BB4" w:rsidRDefault="00C44001">
      <w:pPr>
        <w:pStyle w:val="Textoindependiente"/>
        <w:spacing w:before="0"/>
        <w:ind w:left="425"/>
      </w:pPr>
      <w:r>
        <w:t>Aaker,</w:t>
      </w:r>
      <w:r>
        <w:rPr>
          <w:spacing w:val="-8"/>
        </w:rPr>
        <w:t xml:space="preserve"> </w:t>
      </w:r>
      <w:r>
        <w:t>D.</w:t>
      </w:r>
      <w:r>
        <w:rPr>
          <w:spacing w:val="-6"/>
        </w:rPr>
        <w:t xml:space="preserve"> </w:t>
      </w:r>
      <w:r>
        <w:t>A.</w:t>
      </w:r>
      <w:r>
        <w:rPr>
          <w:spacing w:val="-5"/>
        </w:rPr>
        <w:t xml:space="preserve"> </w:t>
      </w:r>
      <w:r>
        <w:t>(1991).</w:t>
      </w:r>
      <w:r>
        <w:rPr>
          <w:spacing w:val="-6"/>
        </w:rPr>
        <w:t xml:space="preserve"> </w:t>
      </w:r>
      <w:r>
        <w:t>Managing</w:t>
      </w:r>
      <w:r>
        <w:rPr>
          <w:spacing w:val="-6"/>
        </w:rPr>
        <w:t xml:space="preserve"> </w:t>
      </w:r>
      <w:r>
        <w:t>brand</w:t>
      </w:r>
      <w:r>
        <w:rPr>
          <w:spacing w:val="-5"/>
        </w:rPr>
        <w:t xml:space="preserve"> </w:t>
      </w:r>
      <w:r>
        <w:t>equity:</w:t>
      </w:r>
      <w:r>
        <w:rPr>
          <w:spacing w:val="-6"/>
        </w:rPr>
        <w:t xml:space="preserve"> </w:t>
      </w:r>
      <w:r>
        <w:t>Capitalizing</w:t>
      </w:r>
      <w:r>
        <w:rPr>
          <w:spacing w:val="-6"/>
        </w:rPr>
        <w:t xml:space="preserve"> </w:t>
      </w:r>
      <w:r>
        <w:t>on</w:t>
      </w:r>
      <w:r>
        <w:rPr>
          <w:spacing w:val="-5"/>
        </w:rPr>
        <w:t xml:space="preserve"> </w:t>
      </w:r>
      <w:r>
        <w:t>the</w:t>
      </w:r>
      <w:r>
        <w:rPr>
          <w:spacing w:val="-6"/>
        </w:rPr>
        <w:t xml:space="preserve"> </w:t>
      </w:r>
      <w:r>
        <w:t>value</w:t>
      </w:r>
      <w:r>
        <w:rPr>
          <w:spacing w:val="-6"/>
        </w:rPr>
        <w:t xml:space="preserve"> </w:t>
      </w:r>
      <w:r>
        <w:t>of</w:t>
      </w:r>
      <w:r>
        <w:rPr>
          <w:spacing w:val="-5"/>
        </w:rPr>
        <w:t xml:space="preserve"> </w:t>
      </w:r>
      <w:r>
        <w:t>a</w:t>
      </w:r>
      <w:r>
        <w:rPr>
          <w:spacing w:val="-6"/>
        </w:rPr>
        <w:t xml:space="preserve"> </w:t>
      </w:r>
      <w:r>
        <w:t>brand</w:t>
      </w:r>
      <w:r>
        <w:rPr>
          <w:spacing w:val="-5"/>
        </w:rPr>
        <w:t xml:space="preserve"> </w:t>
      </w:r>
      <w:r>
        <w:rPr>
          <w:spacing w:val="-2"/>
        </w:rPr>
        <w:t>name.</w:t>
      </w:r>
    </w:p>
    <w:p w:rsidR="009B4BB4" w:rsidRDefault="00C44001">
      <w:pPr>
        <w:pStyle w:val="Textoindependiente"/>
        <w:spacing w:before="38"/>
        <w:ind w:left="1145"/>
      </w:pPr>
      <w:r>
        <w:t>Free</w:t>
      </w:r>
      <w:r>
        <w:rPr>
          <w:spacing w:val="-4"/>
        </w:rPr>
        <w:t xml:space="preserve"> </w:t>
      </w:r>
      <w:r>
        <w:rPr>
          <w:spacing w:val="-2"/>
        </w:rPr>
        <w:t>Press.</w:t>
      </w:r>
    </w:p>
    <w:p w:rsidR="009B4BB4" w:rsidRDefault="009B4BB4">
      <w:pPr>
        <w:pStyle w:val="Textoindependiente"/>
        <w:spacing w:before="25"/>
      </w:pPr>
    </w:p>
    <w:p w:rsidR="009B4BB4" w:rsidRDefault="00C44001">
      <w:pPr>
        <w:pStyle w:val="Textoindependiente"/>
        <w:spacing w:before="0"/>
        <w:ind w:left="425"/>
      </w:pPr>
      <w:r>
        <w:t>Aaker,</w:t>
      </w:r>
      <w:r>
        <w:rPr>
          <w:spacing w:val="-9"/>
        </w:rPr>
        <w:t xml:space="preserve"> </w:t>
      </w:r>
      <w:r>
        <w:t>D.</w:t>
      </w:r>
      <w:r>
        <w:rPr>
          <w:spacing w:val="-7"/>
        </w:rPr>
        <w:t xml:space="preserve"> </w:t>
      </w:r>
      <w:r>
        <w:t>A.</w:t>
      </w:r>
      <w:r>
        <w:rPr>
          <w:spacing w:val="-7"/>
        </w:rPr>
        <w:t xml:space="preserve"> </w:t>
      </w:r>
      <w:r>
        <w:t>(1996).</w:t>
      </w:r>
      <w:r>
        <w:rPr>
          <w:spacing w:val="-6"/>
        </w:rPr>
        <w:t xml:space="preserve"> </w:t>
      </w:r>
      <w:r>
        <w:t>Building</w:t>
      </w:r>
      <w:r>
        <w:rPr>
          <w:spacing w:val="-7"/>
        </w:rPr>
        <w:t xml:space="preserve"> </w:t>
      </w:r>
      <w:r>
        <w:t>strong</w:t>
      </w:r>
      <w:r>
        <w:rPr>
          <w:spacing w:val="-7"/>
        </w:rPr>
        <w:t xml:space="preserve"> </w:t>
      </w:r>
      <w:r>
        <w:t>brands.</w:t>
      </w:r>
      <w:r>
        <w:rPr>
          <w:spacing w:val="-7"/>
        </w:rPr>
        <w:t xml:space="preserve"> </w:t>
      </w:r>
      <w:r>
        <w:t>Free</w:t>
      </w:r>
      <w:r>
        <w:rPr>
          <w:spacing w:val="-6"/>
        </w:rPr>
        <w:t xml:space="preserve"> </w:t>
      </w:r>
      <w:r>
        <w:rPr>
          <w:spacing w:val="-2"/>
        </w:rPr>
        <w:t>Press.</w:t>
      </w:r>
    </w:p>
    <w:p w:rsidR="009B4BB4" w:rsidRDefault="009B4BB4">
      <w:pPr>
        <w:pStyle w:val="Textoindependiente"/>
        <w:spacing w:before="25"/>
      </w:pPr>
    </w:p>
    <w:p w:rsidR="009B4BB4" w:rsidRDefault="00C44001">
      <w:pPr>
        <w:pStyle w:val="Textoindependiente"/>
        <w:spacing w:before="0" w:line="276" w:lineRule="auto"/>
        <w:ind w:left="1145" w:right="671" w:hanging="720"/>
      </w:pPr>
      <w:r>
        <w:t>Arulingam,</w:t>
      </w:r>
      <w:r>
        <w:rPr>
          <w:spacing w:val="-6"/>
        </w:rPr>
        <w:t xml:space="preserve"> </w:t>
      </w:r>
      <w:r>
        <w:t>I.,</w:t>
      </w:r>
      <w:r>
        <w:rPr>
          <w:spacing w:val="-6"/>
        </w:rPr>
        <w:t xml:space="preserve"> </w:t>
      </w:r>
      <w:r>
        <w:t>Pingali,</w:t>
      </w:r>
      <w:r>
        <w:rPr>
          <w:spacing w:val="-6"/>
        </w:rPr>
        <w:t xml:space="preserve"> </w:t>
      </w:r>
      <w:r>
        <w:t>P.,</w:t>
      </w:r>
      <w:r>
        <w:rPr>
          <w:spacing w:val="-6"/>
        </w:rPr>
        <w:t xml:space="preserve"> </w:t>
      </w:r>
      <w:r>
        <w:t>Spielman,</w:t>
      </w:r>
      <w:r>
        <w:rPr>
          <w:spacing w:val="-6"/>
        </w:rPr>
        <w:t xml:space="preserve"> </w:t>
      </w:r>
      <w:r>
        <w:t>D.,</w:t>
      </w:r>
      <w:r>
        <w:rPr>
          <w:spacing w:val="-6"/>
        </w:rPr>
        <w:t xml:space="preserve"> </w:t>
      </w:r>
      <w:r>
        <w:t>&amp;</w:t>
      </w:r>
      <w:r>
        <w:rPr>
          <w:spacing w:val="-6"/>
        </w:rPr>
        <w:t xml:space="preserve"> </w:t>
      </w:r>
      <w:r>
        <w:t>Bhatt,</w:t>
      </w:r>
      <w:r>
        <w:rPr>
          <w:spacing w:val="-6"/>
        </w:rPr>
        <w:t xml:space="preserve"> </w:t>
      </w:r>
      <w:r>
        <w:t>S.</w:t>
      </w:r>
      <w:r>
        <w:rPr>
          <w:spacing w:val="-6"/>
        </w:rPr>
        <w:t xml:space="preserve"> </w:t>
      </w:r>
      <w:r>
        <w:t>(2022).</w:t>
      </w:r>
      <w:r>
        <w:rPr>
          <w:spacing w:val="-6"/>
        </w:rPr>
        <w:t xml:space="preserve"> </w:t>
      </w:r>
      <w:r>
        <w:t>Small-scale</w:t>
      </w:r>
      <w:r>
        <w:rPr>
          <w:spacing w:val="-6"/>
        </w:rPr>
        <w:t xml:space="preserve"> </w:t>
      </w:r>
      <w:r>
        <w:t>producers</w:t>
      </w:r>
      <w:r>
        <w:rPr>
          <w:spacing w:val="-6"/>
        </w:rPr>
        <w:t xml:space="preserve"> </w:t>
      </w:r>
      <w:r>
        <w:t xml:space="preserve">in sustainable agrifood systems transformation. FAO. </w:t>
      </w:r>
      <w:hyperlink r:id="rId41">
        <w:r>
          <w:rPr>
            <w:spacing w:val="-2"/>
          </w:rPr>
          <w:t>https://doi.org/10.4060/cc0821en</w:t>
        </w:r>
      </w:hyperlink>
    </w:p>
    <w:p w:rsidR="009B4BB4" w:rsidRDefault="00C44001">
      <w:pPr>
        <w:pStyle w:val="Textoindependiente"/>
        <w:spacing w:line="276" w:lineRule="auto"/>
        <w:ind w:left="1145" w:right="671" w:hanging="720"/>
      </w:pPr>
      <w:r>
        <w:t>Ayala,</w:t>
      </w:r>
      <w:r>
        <w:rPr>
          <w:spacing w:val="-4"/>
        </w:rPr>
        <w:t xml:space="preserve"> </w:t>
      </w:r>
      <w:r>
        <w:t>R.</w:t>
      </w:r>
      <w:r>
        <w:rPr>
          <w:spacing w:val="-4"/>
        </w:rPr>
        <w:t xml:space="preserve"> </w:t>
      </w:r>
      <w:r>
        <w:t>(1</w:t>
      </w:r>
      <w:r>
        <w:t>999).</w:t>
      </w:r>
      <w:r>
        <w:rPr>
          <w:spacing w:val="-4"/>
        </w:rPr>
        <w:t xml:space="preserve"> </w:t>
      </w:r>
      <w:r>
        <w:t>Revisión</w:t>
      </w:r>
      <w:r>
        <w:rPr>
          <w:spacing w:val="-4"/>
        </w:rPr>
        <w:t xml:space="preserve"> </w:t>
      </w:r>
      <w:r>
        <w:t>de</w:t>
      </w:r>
      <w:r>
        <w:rPr>
          <w:spacing w:val="-4"/>
        </w:rPr>
        <w:t xml:space="preserve"> </w:t>
      </w:r>
      <w:r>
        <w:t>las</w:t>
      </w:r>
      <w:r>
        <w:rPr>
          <w:spacing w:val="-4"/>
        </w:rPr>
        <w:t xml:space="preserve"> </w:t>
      </w:r>
      <w:r>
        <w:t>abejas</w:t>
      </w:r>
      <w:r>
        <w:rPr>
          <w:spacing w:val="-4"/>
        </w:rPr>
        <w:t xml:space="preserve"> </w:t>
      </w:r>
      <w:r>
        <w:t>sin</w:t>
      </w:r>
      <w:r>
        <w:rPr>
          <w:spacing w:val="-4"/>
        </w:rPr>
        <w:t xml:space="preserve"> </w:t>
      </w:r>
      <w:r>
        <w:t>aguijón</w:t>
      </w:r>
      <w:r>
        <w:rPr>
          <w:spacing w:val="-4"/>
        </w:rPr>
        <w:t xml:space="preserve"> </w:t>
      </w:r>
      <w:r>
        <w:t>en</w:t>
      </w:r>
      <w:r>
        <w:rPr>
          <w:spacing w:val="-4"/>
        </w:rPr>
        <w:t xml:space="preserve"> </w:t>
      </w:r>
      <w:r>
        <w:t>México</w:t>
      </w:r>
      <w:r>
        <w:rPr>
          <w:spacing w:val="-4"/>
        </w:rPr>
        <w:t xml:space="preserve"> </w:t>
      </w:r>
      <w:r>
        <w:t>(Hymenoptera:</w:t>
      </w:r>
      <w:r>
        <w:rPr>
          <w:spacing w:val="-4"/>
        </w:rPr>
        <w:t xml:space="preserve"> </w:t>
      </w:r>
      <w:r>
        <w:t>Apidae: Meliponini). Universidad Nacional Autónoma de México.</w:t>
      </w:r>
    </w:p>
    <w:p w:rsidR="009B4BB4" w:rsidRDefault="00C44001">
      <w:pPr>
        <w:pStyle w:val="Textoindependiente"/>
        <w:spacing w:line="276" w:lineRule="auto"/>
        <w:ind w:left="1145" w:right="671" w:hanging="720"/>
      </w:pPr>
      <w:r>
        <w:t>Bacab</w:t>
      </w:r>
      <w:r>
        <w:rPr>
          <w:spacing w:val="-4"/>
        </w:rPr>
        <w:t xml:space="preserve"> </w:t>
      </w:r>
      <w:r>
        <w:t>Canto,</w:t>
      </w:r>
      <w:r>
        <w:rPr>
          <w:spacing w:val="-4"/>
        </w:rPr>
        <w:t xml:space="preserve"> </w:t>
      </w:r>
      <w:r>
        <w:t>R.</w:t>
      </w:r>
      <w:r>
        <w:rPr>
          <w:spacing w:val="-4"/>
        </w:rPr>
        <w:t xml:space="preserve"> </w:t>
      </w:r>
      <w:r>
        <w:t>(2020).</w:t>
      </w:r>
      <w:r>
        <w:rPr>
          <w:spacing w:val="-4"/>
        </w:rPr>
        <w:t xml:space="preserve"> </w:t>
      </w:r>
      <w:r>
        <w:t>La</w:t>
      </w:r>
      <w:r>
        <w:rPr>
          <w:spacing w:val="-4"/>
        </w:rPr>
        <w:t xml:space="preserve"> </w:t>
      </w:r>
      <w:r>
        <w:t>abeja</w:t>
      </w:r>
      <w:r>
        <w:rPr>
          <w:spacing w:val="-4"/>
        </w:rPr>
        <w:t xml:space="preserve"> </w:t>
      </w:r>
      <w:r>
        <w:t>melipona</w:t>
      </w:r>
      <w:r>
        <w:rPr>
          <w:spacing w:val="-4"/>
        </w:rPr>
        <w:t xml:space="preserve"> </w:t>
      </w:r>
      <w:r>
        <w:t>en</w:t>
      </w:r>
      <w:r>
        <w:rPr>
          <w:spacing w:val="-4"/>
        </w:rPr>
        <w:t xml:space="preserve"> </w:t>
      </w:r>
      <w:r>
        <w:t>la</w:t>
      </w:r>
      <w:r>
        <w:rPr>
          <w:spacing w:val="-4"/>
        </w:rPr>
        <w:t xml:space="preserve"> </w:t>
      </w:r>
      <w:r>
        <w:t>cultura</w:t>
      </w:r>
      <w:r>
        <w:rPr>
          <w:spacing w:val="-4"/>
        </w:rPr>
        <w:t xml:space="preserve"> </w:t>
      </w:r>
      <w:r>
        <w:t>maya.</w:t>
      </w:r>
      <w:r>
        <w:rPr>
          <w:spacing w:val="-4"/>
        </w:rPr>
        <w:t xml:space="preserve"> </w:t>
      </w:r>
      <w:r>
        <w:t>Centro</w:t>
      </w:r>
      <w:r>
        <w:rPr>
          <w:spacing w:val="-4"/>
        </w:rPr>
        <w:t xml:space="preserve"> </w:t>
      </w:r>
      <w:r>
        <w:t>de</w:t>
      </w:r>
      <w:r>
        <w:rPr>
          <w:spacing w:val="-4"/>
        </w:rPr>
        <w:t xml:space="preserve"> </w:t>
      </w:r>
      <w:r>
        <w:t>Investigación Científica de Yucatán.</w:t>
      </w:r>
    </w:p>
    <w:p w:rsidR="009B4BB4" w:rsidRDefault="00C44001">
      <w:pPr>
        <w:pStyle w:val="Textoindependiente"/>
        <w:spacing w:line="276" w:lineRule="auto"/>
        <w:ind w:left="1145" w:right="671" w:hanging="720"/>
      </w:pPr>
      <w:r>
        <w:t>Barney,</w:t>
      </w:r>
      <w:r>
        <w:rPr>
          <w:spacing w:val="-6"/>
        </w:rPr>
        <w:t xml:space="preserve"> </w:t>
      </w:r>
      <w:r>
        <w:t>J.</w:t>
      </w:r>
      <w:r>
        <w:rPr>
          <w:spacing w:val="-6"/>
        </w:rPr>
        <w:t xml:space="preserve"> </w:t>
      </w:r>
      <w:r>
        <w:t>B.</w:t>
      </w:r>
      <w:r>
        <w:rPr>
          <w:spacing w:val="-6"/>
        </w:rPr>
        <w:t xml:space="preserve"> </w:t>
      </w:r>
      <w:r>
        <w:t>(1991).</w:t>
      </w:r>
      <w:r>
        <w:rPr>
          <w:spacing w:val="-6"/>
        </w:rPr>
        <w:t xml:space="preserve"> </w:t>
      </w:r>
      <w:r>
        <w:t>Firm</w:t>
      </w:r>
      <w:r>
        <w:rPr>
          <w:spacing w:val="-6"/>
        </w:rPr>
        <w:t xml:space="preserve"> </w:t>
      </w:r>
      <w:r>
        <w:t>resources</w:t>
      </w:r>
      <w:r>
        <w:rPr>
          <w:spacing w:val="-6"/>
        </w:rPr>
        <w:t xml:space="preserve"> </w:t>
      </w:r>
      <w:r>
        <w:t>and</w:t>
      </w:r>
      <w:r>
        <w:rPr>
          <w:spacing w:val="-6"/>
        </w:rPr>
        <w:t xml:space="preserve"> </w:t>
      </w:r>
      <w:r>
        <w:t>sustained</w:t>
      </w:r>
      <w:r>
        <w:rPr>
          <w:spacing w:val="-6"/>
        </w:rPr>
        <w:t xml:space="preserve"> </w:t>
      </w:r>
      <w:r>
        <w:t>competitive</w:t>
      </w:r>
      <w:r>
        <w:rPr>
          <w:spacing w:val="-6"/>
        </w:rPr>
        <w:t xml:space="preserve"> </w:t>
      </w:r>
      <w:r>
        <w:t>advantage.</w:t>
      </w:r>
      <w:r>
        <w:rPr>
          <w:spacing w:val="-6"/>
        </w:rPr>
        <w:t xml:space="preserve"> </w:t>
      </w:r>
      <w:r>
        <w:t>Journal</w:t>
      </w:r>
      <w:r>
        <w:rPr>
          <w:spacing w:val="-6"/>
        </w:rPr>
        <w:t xml:space="preserve"> </w:t>
      </w:r>
      <w:r>
        <w:t>of Management, 17(1), 99–120.</w:t>
      </w:r>
    </w:p>
    <w:p w:rsidR="009B4BB4" w:rsidRDefault="00C44001">
      <w:pPr>
        <w:pStyle w:val="Textoindependiente"/>
        <w:spacing w:line="276" w:lineRule="auto"/>
        <w:ind w:left="1145" w:right="825" w:hanging="720"/>
      </w:pPr>
      <w:r>
        <w:t>Barney,</w:t>
      </w:r>
      <w:r>
        <w:rPr>
          <w:spacing w:val="-8"/>
        </w:rPr>
        <w:t xml:space="preserve"> </w:t>
      </w:r>
      <w:r>
        <w:t>J.</w:t>
      </w:r>
      <w:r>
        <w:rPr>
          <w:spacing w:val="-8"/>
        </w:rPr>
        <w:t xml:space="preserve"> </w:t>
      </w:r>
      <w:r>
        <w:t>B.,</w:t>
      </w:r>
      <w:r>
        <w:rPr>
          <w:spacing w:val="-8"/>
        </w:rPr>
        <w:t xml:space="preserve"> </w:t>
      </w:r>
      <w:r>
        <w:t>&amp;</w:t>
      </w:r>
      <w:r>
        <w:rPr>
          <w:spacing w:val="-8"/>
        </w:rPr>
        <w:t xml:space="preserve"> </w:t>
      </w:r>
      <w:r>
        <w:t>Hesterly,</w:t>
      </w:r>
      <w:r>
        <w:rPr>
          <w:spacing w:val="-8"/>
        </w:rPr>
        <w:t xml:space="preserve"> </w:t>
      </w:r>
      <w:r>
        <w:t>W.</w:t>
      </w:r>
      <w:r>
        <w:rPr>
          <w:spacing w:val="-8"/>
        </w:rPr>
        <w:t xml:space="preserve"> </w:t>
      </w:r>
      <w:r>
        <w:t>S.</w:t>
      </w:r>
      <w:r>
        <w:rPr>
          <w:spacing w:val="-8"/>
        </w:rPr>
        <w:t xml:space="preserve"> </w:t>
      </w:r>
      <w:r>
        <w:t>(2015).</w:t>
      </w:r>
      <w:r>
        <w:rPr>
          <w:spacing w:val="-8"/>
        </w:rPr>
        <w:t xml:space="preserve"> </w:t>
      </w:r>
      <w:r>
        <w:t>Strategic</w:t>
      </w:r>
      <w:r>
        <w:rPr>
          <w:spacing w:val="-8"/>
        </w:rPr>
        <w:t xml:space="preserve"> </w:t>
      </w:r>
      <w:r>
        <w:t>management</w:t>
      </w:r>
      <w:r>
        <w:rPr>
          <w:spacing w:val="-8"/>
        </w:rPr>
        <w:t xml:space="preserve"> </w:t>
      </w:r>
      <w:r>
        <w:t>and</w:t>
      </w:r>
      <w:r>
        <w:rPr>
          <w:spacing w:val="-8"/>
        </w:rPr>
        <w:t xml:space="preserve"> </w:t>
      </w:r>
      <w:r>
        <w:t>competitive advantage: Concepts and cases (5</w:t>
      </w:r>
      <w:proofErr w:type="gramStart"/>
      <w:r>
        <w:t>.ª</w:t>
      </w:r>
      <w:proofErr w:type="gramEnd"/>
      <w:r>
        <w:t xml:space="preserve"> ed.). Pearson.</w:t>
      </w:r>
    </w:p>
    <w:p w:rsidR="009B4BB4" w:rsidRDefault="00C44001">
      <w:pPr>
        <w:pStyle w:val="Textoindependiente"/>
        <w:spacing w:line="276" w:lineRule="auto"/>
        <w:ind w:left="1145" w:right="671" w:hanging="720"/>
      </w:pPr>
      <w:r>
        <w:t>Chopra,</w:t>
      </w:r>
      <w:r>
        <w:rPr>
          <w:spacing w:val="-6"/>
        </w:rPr>
        <w:t xml:space="preserve"> </w:t>
      </w:r>
      <w:r>
        <w:t>S.,</w:t>
      </w:r>
      <w:r>
        <w:rPr>
          <w:spacing w:val="-6"/>
        </w:rPr>
        <w:t xml:space="preserve"> </w:t>
      </w:r>
      <w:r>
        <w:t>&amp;</w:t>
      </w:r>
      <w:r>
        <w:rPr>
          <w:spacing w:val="-6"/>
        </w:rPr>
        <w:t xml:space="preserve"> </w:t>
      </w:r>
      <w:r>
        <w:t>Meindl,</w:t>
      </w:r>
      <w:r>
        <w:rPr>
          <w:spacing w:val="-6"/>
        </w:rPr>
        <w:t xml:space="preserve"> </w:t>
      </w:r>
      <w:r>
        <w:t>P.</w:t>
      </w:r>
      <w:r>
        <w:rPr>
          <w:spacing w:val="-6"/>
        </w:rPr>
        <w:t xml:space="preserve"> </w:t>
      </w:r>
      <w:r>
        <w:t>(2013).</w:t>
      </w:r>
      <w:r>
        <w:rPr>
          <w:spacing w:val="-6"/>
        </w:rPr>
        <w:t xml:space="preserve"> </w:t>
      </w:r>
      <w:r>
        <w:t>Administración</w:t>
      </w:r>
      <w:r>
        <w:rPr>
          <w:spacing w:val="-6"/>
        </w:rPr>
        <w:t xml:space="preserve"> </w:t>
      </w:r>
      <w:r>
        <w:t>de</w:t>
      </w:r>
      <w:r>
        <w:rPr>
          <w:spacing w:val="-6"/>
        </w:rPr>
        <w:t xml:space="preserve"> </w:t>
      </w:r>
      <w:r>
        <w:t>la</w:t>
      </w:r>
      <w:r>
        <w:rPr>
          <w:spacing w:val="-6"/>
        </w:rPr>
        <w:t xml:space="preserve"> </w:t>
      </w:r>
      <w:r>
        <w:t>cadena</w:t>
      </w:r>
      <w:r>
        <w:rPr>
          <w:spacing w:val="-6"/>
        </w:rPr>
        <w:t xml:space="preserve"> </w:t>
      </w:r>
      <w:r>
        <w:t>de</w:t>
      </w:r>
      <w:r>
        <w:rPr>
          <w:spacing w:val="-6"/>
        </w:rPr>
        <w:t xml:space="preserve"> </w:t>
      </w:r>
      <w:r>
        <w:t>suministro:</w:t>
      </w:r>
      <w:r>
        <w:rPr>
          <w:spacing w:val="-6"/>
        </w:rPr>
        <w:t xml:space="preserve"> </w:t>
      </w:r>
      <w:r>
        <w:t>Estrategia, planeación y operación (5</w:t>
      </w:r>
      <w:proofErr w:type="gramStart"/>
      <w:r>
        <w:t>.ª</w:t>
      </w:r>
      <w:proofErr w:type="gramEnd"/>
      <w:r>
        <w:t xml:space="preserve"> ed.). Pearson Educación.</w:t>
      </w:r>
    </w:p>
    <w:p w:rsidR="009B4BB4" w:rsidRDefault="00C44001">
      <w:pPr>
        <w:pStyle w:val="Textoindependiente"/>
        <w:spacing w:line="276" w:lineRule="auto"/>
        <w:ind w:left="1145" w:right="671" w:hanging="720"/>
      </w:pPr>
      <w:r>
        <w:t>Christopher,</w:t>
      </w:r>
      <w:r>
        <w:rPr>
          <w:spacing w:val="-5"/>
        </w:rPr>
        <w:t xml:space="preserve"> </w:t>
      </w:r>
      <w:r>
        <w:t>M.,</w:t>
      </w:r>
      <w:r>
        <w:rPr>
          <w:spacing w:val="-5"/>
        </w:rPr>
        <w:t xml:space="preserve"> </w:t>
      </w:r>
      <w:r>
        <w:t>&amp;</w:t>
      </w:r>
      <w:r>
        <w:rPr>
          <w:spacing w:val="-5"/>
        </w:rPr>
        <w:t xml:space="preserve"> </w:t>
      </w:r>
      <w:r>
        <w:t>Peck,</w:t>
      </w:r>
      <w:r>
        <w:rPr>
          <w:spacing w:val="-5"/>
        </w:rPr>
        <w:t xml:space="preserve"> </w:t>
      </w:r>
      <w:r>
        <w:t>H.</w:t>
      </w:r>
      <w:r>
        <w:rPr>
          <w:spacing w:val="-5"/>
        </w:rPr>
        <w:t xml:space="preserve"> </w:t>
      </w:r>
      <w:r>
        <w:t>(2004).</w:t>
      </w:r>
      <w:r>
        <w:rPr>
          <w:spacing w:val="-5"/>
        </w:rPr>
        <w:t xml:space="preserve"> </w:t>
      </w:r>
      <w:r>
        <w:t>Building</w:t>
      </w:r>
      <w:r>
        <w:rPr>
          <w:spacing w:val="-5"/>
        </w:rPr>
        <w:t xml:space="preserve"> </w:t>
      </w:r>
      <w:r>
        <w:t>the</w:t>
      </w:r>
      <w:r>
        <w:rPr>
          <w:spacing w:val="-5"/>
        </w:rPr>
        <w:t xml:space="preserve"> </w:t>
      </w:r>
      <w:r>
        <w:t>resilient</w:t>
      </w:r>
      <w:r>
        <w:rPr>
          <w:spacing w:val="-5"/>
        </w:rPr>
        <w:t xml:space="preserve"> </w:t>
      </w:r>
      <w:r>
        <w:t>supply</w:t>
      </w:r>
      <w:r>
        <w:rPr>
          <w:spacing w:val="-5"/>
        </w:rPr>
        <w:t xml:space="preserve"> </w:t>
      </w:r>
      <w:r>
        <w:t>chain.</w:t>
      </w:r>
      <w:r>
        <w:rPr>
          <w:spacing w:val="-5"/>
        </w:rPr>
        <w:t xml:space="preserve"> </w:t>
      </w:r>
      <w:r>
        <w:t>International Journal of Logistics Management, 15(2), 1–13.</w:t>
      </w:r>
    </w:p>
    <w:p w:rsidR="009B4BB4" w:rsidRDefault="00C44001">
      <w:pPr>
        <w:pStyle w:val="Textoindependiente"/>
        <w:spacing w:line="276" w:lineRule="auto"/>
        <w:ind w:left="1145" w:right="531" w:hanging="720"/>
      </w:pPr>
      <w:r>
        <w:t>Copeland,</w:t>
      </w:r>
      <w:r>
        <w:rPr>
          <w:spacing w:val="-10"/>
        </w:rPr>
        <w:t xml:space="preserve"> </w:t>
      </w:r>
      <w:r>
        <w:t>T.,</w:t>
      </w:r>
      <w:r>
        <w:rPr>
          <w:spacing w:val="-10"/>
        </w:rPr>
        <w:t xml:space="preserve"> </w:t>
      </w:r>
      <w:r>
        <w:t>Koller,</w:t>
      </w:r>
      <w:r>
        <w:rPr>
          <w:spacing w:val="-10"/>
        </w:rPr>
        <w:t xml:space="preserve"> </w:t>
      </w:r>
      <w:r>
        <w:t>T.,</w:t>
      </w:r>
      <w:r>
        <w:rPr>
          <w:spacing w:val="-10"/>
        </w:rPr>
        <w:t xml:space="preserve"> </w:t>
      </w:r>
      <w:r>
        <w:t>&amp;</w:t>
      </w:r>
      <w:r>
        <w:rPr>
          <w:spacing w:val="-10"/>
        </w:rPr>
        <w:t xml:space="preserve"> </w:t>
      </w:r>
      <w:r>
        <w:t>Murrin,</w:t>
      </w:r>
      <w:r>
        <w:rPr>
          <w:spacing w:val="-10"/>
        </w:rPr>
        <w:t xml:space="preserve"> </w:t>
      </w:r>
      <w:r>
        <w:t>J.</w:t>
      </w:r>
      <w:r>
        <w:rPr>
          <w:spacing w:val="-10"/>
        </w:rPr>
        <w:t xml:space="preserve"> </w:t>
      </w:r>
      <w:r>
        <w:t>(2000).</w:t>
      </w:r>
      <w:r>
        <w:rPr>
          <w:spacing w:val="-10"/>
        </w:rPr>
        <w:t xml:space="preserve"> </w:t>
      </w:r>
      <w:r>
        <w:t>Valuation:</w:t>
      </w:r>
      <w:r>
        <w:rPr>
          <w:spacing w:val="-10"/>
        </w:rPr>
        <w:t xml:space="preserve"> </w:t>
      </w:r>
      <w:r>
        <w:t>Measuring</w:t>
      </w:r>
      <w:r>
        <w:rPr>
          <w:spacing w:val="-10"/>
        </w:rPr>
        <w:t xml:space="preserve"> </w:t>
      </w:r>
      <w:r>
        <w:t>and</w:t>
      </w:r>
      <w:r>
        <w:rPr>
          <w:spacing w:val="-10"/>
        </w:rPr>
        <w:t xml:space="preserve"> </w:t>
      </w:r>
      <w:r>
        <w:t>managing</w:t>
      </w:r>
      <w:r>
        <w:rPr>
          <w:spacing w:val="-10"/>
        </w:rPr>
        <w:t xml:space="preserve"> </w:t>
      </w:r>
      <w:r>
        <w:t>the</w:t>
      </w:r>
      <w:r>
        <w:rPr>
          <w:spacing w:val="-10"/>
        </w:rPr>
        <w:t xml:space="preserve"> </w:t>
      </w:r>
      <w:r>
        <w:t>value of companies (3</w:t>
      </w:r>
      <w:proofErr w:type="gramStart"/>
      <w:r>
        <w:t>.ª</w:t>
      </w:r>
      <w:proofErr w:type="gramEnd"/>
      <w:r>
        <w:t xml:space="preserve"> ed.). Wiley.</w:t>
      </w:r>
    </w:p>
    <w:p w:rsidR="009B4BB4" w:rsidRDefault="00C44001">
      <w:pPr>
        <w:pStyle w:val="Textoindependiente"/>
        <w:spacing w:line="276" w:lineRule="auto"/>
        <w:ind w:left="1145" w:right="671" w:hanging="720"/>
      </w:pPr>
      <w:r>
        <w:t>Creswell,</w:t>
      </w:r>
      <w:r>
        <w:rPr>
          <w:spacing w:val="-6"/>
        </w:rPr>
        <w:t xml:space="preserve"> </w:t>
      </w:r>
      <w:r>
        <w:t>J.</w:t>
      </w:r>
      <w:r>
        <w:rPr>
          <w:spacing w:val="-6"/>
        </w:rPr>
        <w:t xml:space="preserve"> </w:t>
      </w:r>
      <w:r>
        <w:t>W.</w:t>
      </w:r>
      <w:r>
        <w:rPr>
          <w:spacing w:val="-6"/>
        </w:rPr>
        <w:t xml:space="preserve"> </w:t>
      </w:r>
      <w:r>
        <w:t>(2009).</w:t>
      </w:r>
      <w:r>
        <w:rPr>
          <w:spacing w:val="-6"/>
        </w:rPr>
        <w:t xml:space="preserve"> </w:t>
      </w:r>
      <w:r>
        <w:t>Research</w:t>
      </w:r>
      <w:r>
        <w:rPr>
          <w:spacing w:val="-6"/>
        </w:rPr>
        <w:t xml:space="preserve"> </w:t>
      </w:r>
      <w:r>
        <w:t>design:</w:t>
      </w:r>
      <w:r>
        <w:rPr>
          <w:spacing w:val="-6"/>
        </w:rPr>
        <w:t xml:space="preserve"> </w:t>
      </w:r>
      <w:r>
        <w:t>Qualitative,</w:t>
      </w:r>
      <w:r>
        <w:rPr>
          <w:spacing w:val="-6"/>
        </w:rPr>
        <w:t xml:space="preserve"> </w:t>
      </w:r>
      <w:r>
        <w:t>quantitative,</w:t>
      </w:r>
      <w:r>
        <w:rPr>
          <w:spacing w:val="-6"/>
        </w:rPr>
        <w:t xml:space="preserve"> </w:t>
      </w:r>
      <w:r>
        <w:t>and</w:t>
      </w:r>
      <w:r>
        <w:rPr>
          <w:spacing w:val="-6"/>
        </w:rPr>
        <w:t xml:space="preserve"> </w:t>
      </w:r>
      <w:r>
        <w:t>mixed</w:t>
      </w:r>
      <w:r>
        <w:rPr>
          <w:spacing w:val="-6"/>
        </w:rPr>
        <w:t xml:space="preserve"> </w:t>
      </w:r>
      <w:r>
        <w:t>methods approaches (3</w:t>
      </w:r>
      <w:proofErr w:type="gramStart"/>
      <w:r>
        <w:t>.ª</w:t>
      </w:r>
      <w:proofErr w:type="gramEnd"/>
      <w:r>
        <w:t xml:space="preserve"> ed.). SAGE Publications.</w:t>
      </w:r>
    </w:p>
    <w:p w:rsidR="009B4BB4" w:rsidRDefault="00C44001">
      <w:pPr>
        <w:pStyle w:val="Textoindependiente"/>
        <w:spacing w:line="276" w:lineRule="auto"/>
        <w:ind w:left="1145" w:right="671" w:hanging="720"/>
      </w:pPr>
      <w:r>
        <w:t>Damodar</w:t>
      </w:r>
      <w:r>
        <w:t xml:space="preserve">an, A. (2024). Country risk premiums. Stern School of Business, NYU. </w:t>
      </w:r>
      <w:hyperlink r:id="rId42">
        <w:r>
          <w:rPr>
            <w:spacing w:val="-2"/>
          </w:rPr>
          <w:t>https://pages.stern.nyu.edu/~adamodar/New_Home_Page/datafile/ctryprem.html</w:t>
        </w:r>
      </w:hyperlink>
    </w:p>
    <w:p w:rsidR="009B4BB4" w:rsidRDefault="00C44001">
      <w:pPr>
        <w:pStyle w:val="Textoindependiente"/>
        <w:spacing w:line="276" w:lineRule="auto"/>
        <w:ind w:left="1145" w:right="825" w:hanging="720"/>
      </w:pPr>
      <w:r>
        <w:t>DataMéxico.</w:t>
      </w:r>
      <w:r>
        <w:rPr>
          <w:spacing w:val="-6"/>
        </w:rPr>
        <w:t xml:space="preserve"> </w:t>
      </w:r>
      <w:r>
        <w:t>(2024).</w:t>
      </w:r>
      <w:r>
        <w:rPr>
          <w:spacing w:val="-6"/>
        </w:rPr>
        <w:t xml:space="preserve"> </w:t>
      </w:r>
      <w:r>
        <w:t>Natural</w:t>
      </w:r>
      <w:r>
        <w:rPr>
          <w:spacing w:val="-6"/>
        </w:rPr>
        <w:t xml:space="preserve"> </w:t>
      </w:r>
      <w:r>
        <w:t>honey:</w:t>
      </w:r>
      <w:r>
        <w:rPr>
          <w:spacing w:val="-6"/>
        </w:rPr>
        <w:t xml:space="preserve"> </w:t>
      </w:r>
      <w:r>
        <w:t>Commercial</w:t>
      </w:r>
      <w:r>
        <w:rPr>
          <w:spacing w:val="-6"/>
        </w:rPr>
        <w:t xml:space="preserve"> </w:t>
      </w:r>
      <w:r>
        <w:t>exchange,</w:t>
      </w:r>
      <w:r>
        <w:rPr>
          <w:spacing w:val="-6"/>
        </w:rPr>
        <w:t xml:space="preserve"> </w:t>
      </w:r>
      <w:r>
        <w:t>international</w:t>
      </w:r>
      <w:r>
        <w:rPr>
          <w:spacing w:val="-6"/>
        </w:rPr>
        <w:t xml:space="preserve"> </w:t>
      </w:r>
      <w:r>
        <w:t>purchases</w:t>
      </w:r>
      <w:r>
        <w:rPr>
          <w:spacing w:val="-6"/>
        </w:rPr>
        <w:t xml:space="preserve"> </w:t>
      </w:r>
      <w:r>
        <w:t xml:space="preserve">and sales. Secretaría de Economía. </w:t>
      </w:r>
      <w:hyperlink r:id="rId43">
        <w:r>
          <w:rPr>
            <w:spacing w:val="-2"/>
          </w:rPr>
          <w:t>https://www.datamexico.org/es/profile/product/natural-honey</w:t>
        </w:r>
      </w:hyperlink>
    </w:p>
    <w:p w:rsidR="009B4BB4" w:rsidRDefault="00C44001">
      <w:pPr>
        <w:pStyle w:val="Textoindependiente"/>
        <w:ind w:left="425"/>
      </w:pPr>
      <w:r>
        <w:t>David,</w:t>
      </w:r>
      <w:r>
        <w:rPr>
          <w:spacing w:val="-11"/>
        </w:rPr>
        <w:t xml:space="preserve"> </w:t>
      </w:r>
      <w:r>
        <w:t>F.</w:t>
      </w:r>
      <w:r>
        <w:rPr>
          <w:spacing w:val="-9"/>
        </w:rPr>
        <w:t xml:space="preserve"> </w:t>
      </w:r>
      <w:r>
        <w:t>R.</w:t>
      </w:r>
      <w:r>
        <w:rPr>
          <w:spacing w:val="-9"/>
        </w:rPr>
        <w:t xml:space="preserve"> </w:t>
      </w:r>
      <w:r>
        <w:t>(</w:t>
      </w:r>
      <w:r>
        <w:t>2013).</w:t>
      </w:r>
      <w:r>
        <w:rPr>
          <w:spacing w:val="-8"/>
        </w:rPr>
        <w:t xml:space="preserve"> </w:t>
      </w:r>
      <w:r>
        <w:t>Conceptos</w:t>
      </w:r>
      <w:r>
        <w:rPr>
          <w:spacing w:val="-9"/>
        </w:rPr>
        <w:t xml:space="preserve"> </w:t>
      </w:r>
      <w:r>
        <w:t>de</w:t>
      </w:r>
      <w:r>
        <w:rPr>
          <w:spacing w:val="-9"/>
        </w:rPr>
        <w:t xml:space="preserve"> </w:t>
      </w:r>
      <w:r>
        <w:t>administración</w:t>
      </w:r>
      <w:r>
        <w:rPr>
          <w:spacing w:val="-8"/>
        </w:rPr>
        <w:t xml:space="preserve"> </w:t>
      </w:r>
      <w:r>
        <w:t>estratégica</w:t>
      </w:r>
      <w:r>
        <w:rPr>
          <w:spacing w:val="-9"/>
        </w:rPr>
        <w:t xml:space="preserve"> </w:t>
      </w:r>
      <w:r>
        <w:t>(13</w:t>
      </w:r>
      <w:proofErr w:type="gramStart"/>
      <w:r>
        <w:t>.ª</w:t>
      </w:r>
      <w:proofErr w:type="gramEnd"/>
      <w:r>
        <w:rPr>
          <w:spacing w:val="-9"/>
        </w:rPr>
        <w:t xml:space="preserve"> </w:t>
      </w:r>
      <w:r>
        <w:t>ed.).</w:t>
      </w:r>
      <w:r>
        <w:rPr>
          <w:spacing w:val="-8"/>
        </w:rPr>
        <w:t xml:space="preserve"> </w:t>
      </w:r>
      <w:r>
        <w:rPr>
          <w:spacing w:val="-2"/>
        </w:rPr>
        <w:t>Pearson.</w:t>
      </w:r>
    </w:p>
    <w:p w:rsidR="009B4BB4" w:rsidRDefault="009B4BB4">
      <w:pPr>
        <w:pStyle w:val="Textoindependiente"/>
        <w:sectPr w:rsidR="009B4BB4">
          <w:pgSz w:w="11920" w:h="16840"/>
          <w:pgMar w:top="1500" w:right="850" w:bottom="1940" w:left="1275" w:header="0" w:footer="1747" w:gutter="0"/>
          <w:cols w:space="720"/>
        </w:sectPr>
      </w:pPr>
    </w:p>
    <w:p w:rsidR="009B4BB4" w:rsidRDefault="00C44001">
      <w:pPr>
        <w:pStyle w:val="Textoindependiente"/>
        <w:spacing w:before="79" w:line="276" w:lineRule="auto"/>
        <w:ind w:left="1145" w:right="825" w:hanging="720"/>
      </w:pPr>
      <w:r>
        <w:lastRenderedPageBreak/>
        <w:t>Elkington, J. (1994). Towards the sustainable corporation: Win–win–win business strategies</w:t>
      </w:r>
      <w:r>
        <w:rPr>
          <w:spacing w:val="-8"/>
        </w:rPr>
        <w:t xml:space="preserve"> </w:t>
      </w:r>
      <w:r>
        <w:t>for</w:t>
      </w:r>
      <w:r>
        <w:rPr>
          <w:spacing w:val="-8"/>
        </w:rPr>
        <w:t xml:space="preserve"> </w:t>
      </w:r>
      <w:r>
        <w:t>sustainable</w:t>
      </w:r>
      <w:r>
        <w:rPr>
          <w:spacing w:val="-8"/>
        </w:rPr>
        <w:t xml:space="preserve"> </w:t>
      </w:r>
      <w:r>
        <w:t>development.</w:t>
      </w:r>
      <w:r>
        <w:rPr>
          <w:spacing w:val="-8"/>
        </w:rPr>
        <w:t xml:space="preserve"> </w:t>
      </w:r>
      <w:r>
        <w:t>California</w:t>
      </w:r>
      <w:r>
        <w:rPr>
          <w:spacing w:val="-8"/>
        </w:rPr>
        <w:t xml:space="preserve"> </w:t>
      </w:r>
      <w:r>
        <w:t>Management</w:t>
      </w:r>
      <w:r>
        <w:rPr>
          <w:spacing w:val="-8"/>
        </w:rPr>
        <w:t xml:space="preserve"> </w:t>
      </w:r>
      <w:r>
        <w:t>Review,</w:t>
      </w:r>
      <w:r>
        <w:rPr>
          <w:spacing w:val="-8"/>
        </w:rPr>
        <w:t xml:space="preserve"> </w:t>
      </w:r>
      <w:r>
        <w:t xml:space="preserve">36(2), </w:t>
      </w:r>
      <w:r>
        <w:rPr>
          <w:spacing w:val="-2"/>
        </w:rPr>
        <w:t>90–100.</w:t>
      </w:r>
    </w:p>
    <w:p w:rsidR="009B4BB4" w:rsidRDefault="00C44001">
      <w:pPr>
        <w:pStyle w:val="Textoindependiente"/>
        <w:ind w:left="425"/>
      </w:pPr>
      <w:r>
        <w:t>Elkin</w:t>
      </w:r>
      <w:r>
        <w:t>gton,</w:t>
      </w:r>
      <w:r>
        <w:rPr>
          <w:spacing w:val="-6"/>
        </w:rPr>
        <w:t xml:space="preserve"> </w:t>
      </w:r>
      <w:r>
        <w:t>J.</w:t>
      </w:r>
      <w:r>
        <w:rPr>
          <w:spacing w:val="-5"/>
        </w:rPr>
        <w:t xml:space="preserve"> </w:t>
      </w:r>
      <w:r>
        <w:t>(1997).</w:t>
      </w:r>
      <w:r>
        <w:rPr>
          <w:spacing w:val="-6"/>
        </w:rPr>
        <w:t xml:space="preserve"> </w:t>
      </w:r>
      <w:r>
        <w:t>Cannibals</w:t>
      </w:r>
      <w:r>
        <w:rPr>
          <w:spacing w:val="-5"/>
        </w:rPr>
        <w:t xml:space="preserve"> </w:t>
      </w:r>
      <w:r>
        <w:t>with</w:t>
      </w:r>
      <w:r>
        <w:rPr>
          <w:spacing w:val="-5"/>
        </w:rPr>
        <w:t xml:space="preserve"> </w:t>
      </w:r>
      <w:r>
        <w:t>forks:</w:t>
      </w:r>
      <w:r>
        <w:rPr>
          <w:spacing w:val="-6"/>
        </w:rPr>
        <w:t xml:space="preserve"> </w:t>
      </w:r>
      <w:r>
        <w:t>The</w:t>
      </w:r>
      <w:r>
        <w:rPr>
          <w:spacing w:val="-5"/>
        </w:rPr>
        <w:t xml:space="preserve"> </w:t>
      </w:r>
      <w:r>
        <w:t>triple</w:t>
      </w:r>
      <w:r>
        <w:rPr>
          <w:spacing w:val="-6"/>
        </w:rPr>
        <w:t xml:space="preserve"> </w:t>
      </w:r>
      <w:r>
        <w:t>bottom</w:t>
      </w:r>
      <w:r>
        <w:rPr>
          <w:spacing w:val="-5"/>
        </w:rPr>
        <w:t xml:space="preserve"> </w:t>
      </w:r>
      <w:r>
        <w:t>line</w:t>
      </w:r>
      <w:r>
        <w:rPr>
          <w:spacing w:val="-5"/>
        </w:rPr>
        <w:t xml:space="preserve"> </w:t>
      </w:r>
      <w:r>
        <w:t>of</w:t>
      </w:r>
      <w:r>
        <w:rPr>
          <w:spacing w:val="-6"/>
        </w:rPr>
        <w:t xml:space="preserve"> </w:t>
      </w:r>
      <w:r>
        <w:t>21st</w:t>
      </w:r>
      <w:r>
        <w:rPr>
          <w:spacing w:val="-5"/>
        </w:rPr>
        <w:t xml:space="preserve"> </w:t>
      </w:r>
      <w:r>
        <w:t>century</w:t>
      </w:r>
      <w:r>
        <w:rPr>
          <w:spacing w:val="-5"/>
        </w:rPr>
        <w:t xml:space="preserve"> </w:t>
      </w:r>
      <w:r>
        <w:rPr>
          <w:spacing w:val="-2"/>
        </w:rPr>
        <w:t>business.</w:t>
      </w:r>
    </w:p>
    <w:p w:rsidR="009B4BB4" w:rsidRDefault="00C44001">
      <w:pPr>
        <w:pStyle w:val="Textoindependiente"/>
        <w:spacing w:before="38"/>
        <w:ind w:left="1145"/>
      </w:pPr>
      <w:r>
        <w:rPr>
          <w:spacing w:val="-2"/>
        </w:rPr>
        <w:t>Capstone.</w:t>
      </w:r>
    </w:p>
    <w:p w:rsidR="009B4BB4" w:rsidRDefault="009B4BB4">
      <w:pPr>
        <w:pStyle w:val="Textoindependiente"/>
        <w:spacing w:before="25"/>
      </w:pPr>
    </w:p>
    <w:p w:rsidR="009B4BB4" w:rsidRDefault="00C44001">
      <w:pPr>
        <w:pStyle w:val="Textoindependiente"/>
        <w:spacing w:before="0" w:line="276" w:lineRule="auto"/>
        <w:ind w:left="1145" w:right="671" w:hanging="720"/>
      </w:pPr>
      <w:r>
        <w:t>Emerson,</w:t>
      </w:r>
      <w:r>
        <w:rPr>
          <w:spacing w:val="-5"/>
        </w:rPr>
        <w:t xml:space="preserve"> </w:t>
      </w:r>
      <w:r>
        <w:t>J.</w:t>
      </w:r>
      <w:r>
        <w:rPr>
          <w:spacing w:val="-5"/>
        </w:rPr>
        <w:t xml:space="preserve"> </w:t>
      </w:r>
      <w:r>
        <w:t>(2003).</w:t>
      </w:r>
      <w:r>
        <w:rPr>
          <w:spacing w:val="-5"/>
        </w:rPr>
        <w:t xml:space="preserve"> </w:t>
      </w:r>
      <w:r>
        <w:t>The</w:t>
      </w:r>
      <w:r>
        <w:rPr>
          <w:spacing w:val="-5"/>
        </w:rPr>
        <w:t xml:space="preserve"> </w:t>
      </w:r>
      <w:r>
        <w:t>blended</w:t>
      </w:r>
      <w:r>
        <w:rPr>
          <w:spacing w:val="-5"/>
        </w:rPr>
        <w:t xml:space="preserve"> </w:t>
      </w:r>
      <w:r>
        <w:t>value</w:t>
      </w:r>
      <w:r>
        <w:rPr>
          <w:spacing w:val="-5"/>
        </w:rPr>
        <w:t xml:space="preserve"> </w:t>
      </w:r>
      <w:r>
        <w:t>proposition:</w:t>
      </w:r>
      <w:r>
        <w:rPr>
          <w:spacing w:val="-5"/>
        </w:rPr>
        <w:t xml:space="preserve"> </w:t>
      </w:r>
      <w:r>
        <w:t>Integrating</w:t>
      </w:r>
      <w:r>
        <w:rPr>
          <w:spacing w:val="-5"/>
        </w:rPr>
        <w:t xml:space="preserve"> </w:t>
      </w:r>
      <w:r>
        <w:t>social</w:t>
      </w:r>
      <w:r>
        <w:rPr>
          <w:spacing w:val="-5"/>
        </w:rPr>
        <w:t xml:space="preserve"> </w:t>
      </w:r>
      <w:r>
        <w:t>and</w:t>
      </w:r>
      <w:r>
        <w:rPr>
          <w:spacing w:val="-5"/>
        </w:rPr>
        <w:t xml:space="preserve"> </w:t>
      </w:r>
      <w:r>
        <w:t>financial returns. California Management Review, 45(4), 35–51.</w:t>
      </w:r>
    </w:p>
    <w:p w:rsidR="009B4BB4" w:rsidRDefault="00C44001">
      <w:pPr>
        <w:pStyle w:val="Textoindependiente"/>
        <w:spacing w:line="276" w:lineRule="auto"/>
        <w:ind w:left="1145" w:right="671" w:hanging="720"/>
      </w:pPr>
      <w:r>
        <w:t>Ernst</w:t>
      </w:r>
      <w:r>
        <w:rPr>
          <w:spacing w:val="-5"/>
        </w:rPr>
        <w:t xml:space="preserve"> </w:t>
      </w:r>
      <w:r>
        <w:t>&amp;</w:t>
      </w:r>
      <w:r>
        <w:rPr>
          <w:spacing w:val="-5"/>
        </w:rPr>
        <w:t xml:space="preserve"> </w:t>
      </w:r>
      <w:r>
        <w:t>Young.</w:t>
      </w:r>
      <w:r>
        <w:rPr>
          <w:spacing w:val="-5"/>
        </w:rPr>
        <w:t xml:space="preserve"> </w:t>
      </w:r>
      <w:r>
        <w:t>(2023).</w:t>
      </w:r>
      <w:r>
        <w:rPr>
          <w:spacing w:val="-5"/>
        </w:rPr>
        <w:t xml:space="preserve"> </w:t>
      </w:r>
      <w:r>
        <w:t>EY</w:t>
      </w:r>
      <w:r>
        <w:rPr>
          <w:spacing w:val="-5"/>
        </w:rPr>
        <w:t xml:space="preserve"> </w:t>
      </w:r>
      <w:r>
        <w:t>future</w:t>
      </w:r>
      <w:r>
        <w:rPr>
          <w:spacing w:val="-5"/>
        </w:rPr>
        <w:t xml:space="preserve"> </w:t>
      </w:r>
      <w:r>
        <w:t>consumer</w:t>
      </w:r>
      <w:r>
        <w:rPr>
          <w:spacing w:val="-5"/>
        </w:rPr>
        <w:t xml:space="preserve"> </w:t>
      </w:r>
      <w:r>
        <w:t>index:</w:t>
      </w:r>
      <w:r>
        <w:rPr>
          <w:spacing w:val="-5"/>
        </w:rPr>
        <w:t xml:space="preserve"> </w:t>
      </w:r>
      <w:r>
        <w:t>When</w:t>
      </w:r>
      <w:r>
        <w:rPr>
          <w:spacing w:val="-5"/>
        </w:rPr>
        <w:t xml:space="preserve"> </w:t>
      </w:r>
      <w:r>
        <w:t>talk</w:t>
      </w:r>
      <w:r>
        <w:rPr>
          <w:spacing w:val="-5"/>
        </w:rPr>
        <w:t xml:space="preserve"> </w:t>
      </w:r>
      <w:r>
        <w:t>turns</w:t>
      </w:r>
      <w:r>
        <w:rPr>
          <w:spacing w:val="-5"/>
        </w:rPr>
        <w:t xml:space="preserve"> </w:t>
      </w:r>
      <w:r>
        <w:t>into</w:t>
      </w:r>
      <w:r>
        <w:rPr>
          <w:spacing w:val="-5"/>
        </w:rPr>
        <w:t xml:space="preserve"> </w:t>
      </w:r>
      <w:r>
        <w:t>action,</w:t>
      </w:r>
      <w:r>
        <w:rPr>
          <w:spacing w:val="-5"/>
        </w:rPr>
        <w:t xml:space="preserve"> </w:t>
      </w:r>
      <w:r>
        <w:t>be</w:t>
      </w:r>
      <w:r>
        <w:rPr>
          <w:spacing w:val="-5"/>
        </w:rPr>
        <w:t xml:space="preserve"> </w:t>
      </w:r>
      <w:r>
        <w:t>set</w:t>
      </w:r>
      <w:r>
        <w:rPr>
          <w:spacing w:val="-5"/>
        </w:rPr>
        <w:t xml:space="preserve"> </w:t>
      </w:r>
      <w:r>
        <w:t>for change. EY Global.</w:t>
      </w:r>
    </w:p>
    <w:p w:rsidR="009B4BB4" w:rsidRDefault="00C44001">
      <w:pPr>
        <w:pStyle w:val="Textoindependiente"/>
        <w:spacing w:before="0" w:line="276" w:lineRule="auto"/>
        <w:ind w:left="1145" w:right="684"/>
      </w:pPr>
      <w:hyperlink r:id="rId44">
        <w:r>
          <w:rPr>
            <w:spacing w:val="-2"/>
          </w:rPr>
          <w:t>https://www.ey.com/en_gl/insights/consumer-products/future-consumer-index-whe</w:t>
        </w:r>
      </w:hyperlink>
      <w:r>
        <w:rPr>
          <w:spacing w:val="-2"/>
        </w:rPr>
        <w:t xml:space="preserve"> n-talk-turns-into-action-be-set-for-change</w:t>
      </w:r>
    </w:p>
    <w:p w:rsidR="009B4BB4" w:rsidRDefault="00C44001">
      <w:pPr>
        <w:pStyle w:val="Textoindependiente"/>
        <w:ind w:left="425"/>
      </w:pPr>
      <w:r>
        <w:t>Euromonitor</w:t>
      </w:r>
      <w:r>
        <w:rPr>
          <w:spacing w:val="-12"/>
        </w:rPr>
        <w:t xml:space="preserve"> </w:t>
      </w:r>
      <w:r>
        <w:t>International.</w:t>
      </w:r>
      <w:r>
        <w:rPr>
          <w:spacing w:val="-9"/>
        </w:rPr>
        <w:t xml:space="preserve"> </w:t>
      </w:r>
      <w:r>
        <w:t>(2023).</w:t>
      </w:r>
      <w:r>
        <w:rPr>
          <w:spacing w:val="-9"/>
        </w:rPr>
        <w:t xml:space="preserve"> </w:t>
      </w:r>
      <w:r>
        <w:t>Innovating</w:t>
      </w:r>
      <w:r>
        <w:rPr>
          <w:spacing w:val="-9"/>
        </w:rPr>
        <w:t xml:space="preserve"> </w:t>
      </w:r>
      <w:r>
        <w:t>around</w:t>
      </w:r>
      <w:r>
        <w:rPr>
          <w:spacing w:val="-10"/>
        </w:rPr>
        <w:t xml:space="preserve"> </w:t>
      </w:r>
      <w:r>
        <w:t>premiumisation</w:t>
      </w:r>
      <w:r>
        <w:rPr>
          <w:spacing w:val="-9"/>
        </w:rPr>
        <w:t xml:space="preserve"> </w:t>
      </w:r>
      <w:r>
        <w:t>in</w:t>
      </w:r>
      <w:r>
        <w:rPr>
          <w:spacing w:val="-9"/>
        </w:rPr>
        <w:t xml:space="preserve"> </w:t>
      </w:r>
      <w:r>
        <w:t>today’s</w:t>
      </w:r>
      <w:r>
        <w:rPr>
          <w:spacing w:val="-9"/>
        </w:rPr>
        <w:t xml:space="preserve"> </w:t>
      </w:r>
      <w:r>
        <w:rPr>
          <w:spacing w:val="-2"/>
        </w:rPr>
        <w:t>economy.</w:t>
      </w:r>
    </w:p>
    <w:p w:rsidR="009B4BB4" w:rsidRDefault="00C44001">
      <w:pPr>
        <w:pStyle w:val="Textoindependiente"/>
        <w:spacing w:before="38"/>
        <w:ind w:left="1145"/>
      </w:pPr>
      <w:r>
        <w:t>Euromonitor</w:t>
      </w:r>
      <w:r>
        <w:rPr>
          <w:spacing w:val="-11"/>
        </w:rPr>
        <w:t xml:space="preserve"> </w:t>
      </w:r>
      <w:r>
        <w:rPr>
          <w:spacing w:val="-2"/>
        </w:rPr>
        <w:t>International.</w:t>
      </w:r>
    </w:p>
    <w:p w:rsidR="009B4BB4" w:rsidRDefault="00C44001">
      <w:pPr>
        <w:pStyle w:val="Textoindependiente"/>
        <w:spacing w:before="38" w:line="276" w:lineRule="auto"/>
        <w:ind w:left="1145" w:right="633"/>
      </w:pPr>
      <w:hyperlink r:id="rId45">
        <w:r>
          <w:rPr>
            <w:spacing w:val="-2"/>
          </w:rPr>
          <w:t>https://www.euromonitor.com/innovating-around-premiumisation-in-todays-econom y/report</w:t>
        </w:r>
      </w:hyperlink>
    </w:p>
    <w:p w:rsidR="009B4BB4" w:rsidRDefault="00C44001">
      <w:pPr>
        <w:pStyle w:val="Textoindependiente"/>
        <w:spacing w:line="276" w:lineRule="auto"/>
        <w:ind w:left="1145" w:right="635" w:hanging="720"/>
      </w:pPr>
      <w:r>
        <w:t>Euromonitor International. (2025). Health and wellness in Mexico: Market analysis an</w:t>
      </w:r>
      <w:r>
        <w:t xml:space="preserve">d forecasts to 2026. Euromonitor International. </w:t>
      </w:r>
      <w:hyperlink r:id="rId46">
        <w:r>
          <w:rPr>
            <w:spacing w:val="-2"/>
          </w:rPr>
          <w:t>https://www.marketresearch.com/Euromonitor-International-v746/Health-Wellness-Mexico-43568176/</w:t>
        </w:r>
      </w:hyperlink>
    </w:p>
    <w:p w:rsidR="009B4BB4" w:rsidRDefault="00C44001">
      <w:pPr>
        <w:pStyle w:val="Textoindependiente"/>
        <w:spacing w:line="276" w:lineRule="auto"/>
        <w:ind w:left="1145" w:right="1070" w:hanging="720"/>
      </w:pPr>
      <w:r>
        <w:t>ExpertoAnimal.</w:t>
      </w:r>
      <w:r>
        <w:rPr>
          <w:spacing w:val="-6"/>
        </w:rPr>
        <w:t xml:space="preserve"> </w:t>
      </w:r>
      <w:r>
        <w:t>(2024).</w:t>
      </w:r>
      <w:r>
        <w:rPr>
          <w:spacing w:val="-6"/>
        </w:rPr>
        <w:t xml:space="preserve"> </w:t>
      </w:r>
      <w:r>
        <w:t>Abeja</w:t>
      </w:r>
      <w:r>
        <w:rPr>
          <w:spacing w:val="-6"/>
        </w:rPr>
        <w:t xml:space="preserve"> </w:t>
      </w:r>
      <w:r>
        <w:t>melipona</w:t>
      </w:r>
      <w:r>
        <w:rPr>
          <w:spacing w:val="-6"/>
        </w:rPr>
        <w:t xml:space="preserve"> </w:t>
      </w:r>
      <w:r>
        <w:t>(Melipona</w:t>
      </w:r>
      <w:r>
        <w:rPr>
          <w:spacing w:val="-6"/>
        </w:rPr>
        <w:t xml:space="preserve"> </w:t>
      </w:r>
      <w:r>
        <w:t>beecheii):</w:t>
      </w:r>
      <w:r>
        <w:rPr>
          <w:spacing w:val="-6"/>
        </w:rPr>
        <w:t xml:space="preserve"> </w:t>
      </w:r>
      <w:r>
        <w:t>características</w:t>
      </w:r>
      <w:r>
        <w:rPr>
          <w:spacing w:val="-6"/>
        </w:rPr>
        <w:t xml:space="preserve"> </w:t>
      </w:r>
      <w:r>
        <w:t>y</w:t>
      </w:r>
      <w:r>
        <w:rPr>
          <w:spacing w:val="-6"/>
        </w:rPr>
        <w:t xml:space="preserve"> </w:t>
      </w:r>
      <w:r>
        <w:t xml:space="preserve">hábitat. </w:t>
      </w:r>
      <w:hyperlink r:id="rId47">
        <w:r>
          <w:rPr>
            <w:spacing w:val="-2"/>
          </w:rPr>
          <w:t>https://www.expertoanimal.com/abejas/abeja-melipona.html</w:t>
        </w:r>
      </w:hyperlink>
    </w:p>
    <w:p w:rsidR="009B4BB4" w:rsidRDefault="00C44001">
      <w:pPr>
        <w:pStyle w:val="Textoindependiente"/>
        <w:spacing w:line="276" w:lineRule="auto"/>
        <w:ind w:left="1145" w:right="671" w:hanging="720"/>
      </w:pPr>
      <w:r>
        <w:t>FAO</w:t>
      </w:r>
      <w:r>
        <w:rPr>
          <w:spacing w:val="-5"/>
        </w:rPr>
        <w:t xml:space="preserve"> </w:t>
      </w:r>
      <w:r>
        <w:t>&amp;</w:t>
      </w:r>
      <w:r>
        <w:rPr>
          <w:spacing w:val="-5"/>
        </w:rPr>
        <w:t xml:space="preserve"> </w:t>
      </w:r>
      <w:r>
        <w:t>WHO.</w:t>
      </w:r>
      <w:r>
        <w:rPr>
          <w:spacing w:val="-5"/>
        </w:rPr>
        <w:t xml:space="preserve"> </w:t>
      </w:r>
      <w:r>
        <w:t>(2023).</w:t>
      </w:r>
      <w:r>
        <w:rPr>
          <w:spacing w:val="-5"/>
        </w:rPr>
        <w:t xml:space="preserve"> </w:t>
      </w:r>
      <w:r>
        <w:t>General</w:t>
      </w:r>
      <w:r>
        <w:rPr>
          <w:spacing w:val="-5"/>
        </w:rPr>
        <w:t xml:space="preserve"> </w:t>
      </w:r>
      <w:r>
        <w:t>principle</w:t>
      </w:r>
      <w:r>
        <w:t>s</w:t>
      </w:r>
      <w:r>
        <w:rPr>
          <w:spacing w:val="-5"/>
        </w:rPr>
        <w:t xml:space="preserve"> </w:t>
      </w:r>
      <w:r>
        <w:t>of</w:t>
      </w:r>
      <w:r>
        <w:rPr>
          <w:spacing w:val="-5"/>
        </w:rPr>
        <w:t xml:space="preserve"> </w:t>
      </w:r>
      <w:r>
        <w:t>food</w:t>
      </w:r>
      <w:r>
        <w:rPr>
          <w:spacing w:val="-5"/>
        </w:rPr>
        <w:t xml:space="preserve"> </w:t>
      </w:r>
      <w:r>
        <w:t>hygiene:</w:t>
      </w:r>
      <w:r>
        <w:rPr>
          <w:spacing w:val="-5"/>
        </w:rPr>
        <w:t xml:space="preserve"> </w:t>
      </w:r>
      <w:r>
        <w:t>Codex</w:t>
      </w:r>
      <w:r>
        <w:rPr>
          <w:spacing w:val="-5"/>
        </w:rPr>
        <w:t xml:space="preserve"> </w:t>
      </w:r>
      <w:r>
        <w:t>Alimentarius</w:t>
      </w:r>
      <w:r>
        <w:rPr>
          <w:spacing w:val="-5"/>
        </w:rPr>
        <w:t xml:space="preserve"> </w:t>
      </w:r>
      <w:r>
        <w:t>Code</w:t>
      </w:r>
      <w:r>
        <w:rPr>
          <w:spacing w:val="-5"/>
        </w:rPr>
        <w:t xml:space="preserve"> </w:t>
      </w:r>
      <w:r>
        <w:t xml:space="preserve">of Practice No. CXC 1-1969. FAO/WHO. </w:t>
      </w:r>
      <w:hyperlink r:id="rId48">
        <w:r>
          <w:t>https://doi.org/10.4060/cc6125en</w:t>
        </w:r>
      </w:hyperlink>
    </w:p>
    <w:p w:rsidR="009B4BB4" w:rsidRDefault="00C44001">
      <w:pPr>
        <w:pStyle w:val="Textoindependiente"/>
        <w:spacing w:line="276" w:lineRule="auto"/>
        <w:ind w:left="1145" w:right="671" w:hanging="720"/>
      </w:pPr>
      <w:r>
        <w:t>Fairtrade</w:t>
      </w:r>
      <w:r>
        <w:rPr>
          <w:spacing w:val="-5"/>
        </w:rPr>
        <w:t xml:space="preserve"> </w:t>
      </w:r>
      <w:r>
        <w:t>International.</w:t>
      </w:r>
      <w:r>
        <w:rPr>
          <w:spacing w:val="-5"/>
        </w:rPr>
        <w:t xml:space="preserve"> </w:t>
      </w:r>
      <w:r>
        <w:t>(2023).</w:t>
      </w:r>
      <w:r>
        <w:rPr>
          <w:spacing w:val="-5"/>
        </w:rPr>
        <w:t xml:space="preserve"> </w:t>
      </w:r>
      <w:r>
        <w:t>Fairtrade</w:t>
      </w:r>
      <w:r>
        <w:rPr>
          <w:spacing w:val="-5"/>
        </w:rPr>
        <w:t xml:space="preserve"> </w:t>
      </w:r>
      <w:r>
        <w:t>living</w:t>
      </w:r>
      <w:r>
        <w:rPr>
          <w:spacing w:val="-5"/>
        </w:rPr>
        <w:t xml:space="preserve"> </w:t>
      </w:r>
      <w:r>
        <w:t>income</w:t>
      </w:r>
      <w:r>
        <w:rPr>
          <w:spacing w:val="-5"/>
        </w:rPr>
        <w:t xml:space="preserve"> </w:t>
      </w:r>
      <w:r>
        <w:t>progress</w:t>
      </w:r>
      <w:r>
        <w:rPr>
          <w:spacing w:val="-5"/>
        </w:rPr>
        <w:t xml:space="preserve"> </w:t>
      </w:r>
      <w:r>
        <w:t>report</w:t>
      </w:r>
      <w:r>
        <w:rPr>
          <w:spacing w:val="-5"/>
        </w:rPr>
        <w:t xml:space="preserve"> </w:t>
      </w:r>
      <w:r>
        <w:t>2023.</w:t>
      </w:r>
      <w:r>
        <w:rPr>
          <w:spacing w:val="-5"/>
        </w:rPr>
        <w:t xml:space="preserve"> </w:t>
      </w:r>
      <w:r>
        <w:t xml:space="preserve">Fairtrade </w:t>
      </w:r>
      <w:r>
        <w:rPr>
          <w:spacing w:val="-2"/>
        </w:rPr>
        <w:t>In</w:t>
      </w:r>
      <w:r>
        <w:rPr>
          <w:spacing w:val="-2"/>
        </w:rPr>
        <w:t>ternational.</w:t>
      </w:r>
    </w:p>
    <w:p w:rsidR="009B4BB4" w:rsidRDefault="00C44001">
      <w:pPr>
        <w:pStyle w:val="Textoindependiente"/>
        <w:spacing w:before="0"/>
        <w:ind w:left="1145"/>
      </w:pPr>
      <w:hyperlink r:id="rId49">
        <w:r>
          <w:rPr>
            <w:spacing w:val="-2"/>
          </w:rPr>
          <w:t>https://www.fairtrade.net/library/fairtrade-living-income-progress-report-</w:t>
        </w:r>
        <w:r>
          <w:rPr>
            <w:spacing w:val="-4"/>
          </w:rPr>
          <w:t>2023</w:t>
        </w:r>
      </w:hyperlink>
    </w:p>
    <w:p w:rsidR="009B4BB4" w:rsidRDefault="009B4BB4">
      <w:pPr>
        <w:pStyle w:val="Textoindependiente"/>
        <w:spacing w:before="25"/>
      </w:pPr>
    </w:p>
    <w:p w:rsidR="009B4BB4" w:rsidRDefault="00C44001">
      <w:pPr>
        <w:pStyle w:val="Textoindependiente"/>
        <w:spacing w:before="0"/>
        <w:ind w:left="425"/>
      </w:pPr>
      <w:r>
        <w:t>Fog,</w:t>
      </w:r>
      <w:r>
        <w:rPr>
          <w:spacing w:val="-10"/>
        </w:rPr>
        <w:t xml:space="preserve"> </w:t>
      </w:r>
      <w:r>
        <w:t>K.,</w:t>
      </w:r>
      <w:r>
        <w:rPr>
          <w:spacing w:val="-7"/>
        </w:rPr>
        <w:t xml:space="preserve"> </w:t>
      </w:r>
      <w:r>
        <w:t>Budtz,</w:t>
      </w:r>
      <w:r>
        <w:rPr>
          <w:spacing w:val="-8"/>
        </w:rPr>
        <w:t xml:space="preserve"> </w:t>
      </w:r>
      <w:r>
        <w:t>C.,</w:t>
      </w:r>
      <w:r>
        <w:rPr>
          <w:spacing w:val="-7"/>
        </w:rPr>
        <w:t xml:space="preserve"> </w:t>
      </w:r>
      <w:r>
        <w:t>Munch,</w:t>
      </w:r>
      <w:r>
        <w:rPr>
          <w:spacing w:val="-8"/>
        </w:rPr>
        <w:t xml:space="preserve"> </w:t>
      </w:r>
      <w:r>
        <w:t>P.,</w:t>
      </w:r>
      <w:r>
        <w:rPr>
          <w:spacing w:val="-7"/>
        </w:rPr>
        <w:t xml:space="preserve"> </w:t>
      </w:r>
      <w:r>
        <w:t>&amp;</w:t>
      </w:r>
      <w:r>
        <w:rPr>
          <w:spacing w:val="-8"/>
        </w:rPr>
        <w:t xml:space="preserve"> </w:t>
      </w:r>
      <w:r>
        <w:t>Blanchette,</w:t>
      </w:r>
      <w:r>
        <w:rPr>
          <w:spacing w:val="-7"/>
        </w:rPr>
        <w:t xml:space="preserve"> </w:t>
      </w:r>
      <w:r>
        <w:t>S.</w:t>
      </w:r>
      <w:r>
        <w:rPr>
          <w:spacing w:val="-8"/>
        </w:rPr>
        <w:t xml:space="preserve"> </w:t>
      </w:r>
      <w:r>
        <w:t>(2010).</w:t>
      </w:r>
      <w:r>
        <w:rPr>
          <w:spacing w:val="-7"/>
        </w:rPr>
        <w:t xml:space="preserve"> </w:t>
      </w:r>
      <w:r>
        <w:t>Storytelling:</w:t>
      </w:r>
      <w:r>
        <w:rPr>
          <w:spacing w:val="-8"/>
        </w:rPr>
        <w:t xml:space="preserve"> </w:t>
      </w:r>
      <w:r>
        <w:t>Branding</w:t>
      </w:r>
      <w:r>
        <w:rPr>
          <w:spacing w:val="-7"/>
        </w:rPr>
        <w:t xml:space="preserve"> </w:t>
      </w:r>
      <w:r>
        <w:t>in</w:t>
      </w:r>
      <w:r>
        <w:rPr>
          <w:spacing w:val="-7"/>
        </w:rPr>
        <w:t xml:space="preserve"> </w:t>
      </w:r>
      <w:r>
        <w:rPr>
          <w:spacing w:val="-2"/>
        </w:rPr>
        <w:t>practice.</w:t>
      </w:r>
    </w:p>
    <w:p w:rsidR="009B4BB4" w:rsidRDefault="00C44001">
      <w:pPr>
        <w:pStyle w:val="Textoindependiente"/>
        <w:spacing w:before="38"/>
        <w:ind w:left="1145"/>
      </w:pPr>
      <w:r>
        <w:rPr>
          <w:spacing w:val="-2"/>
        </w:rPr>
        <w:t>Springer.</w:t>
      </w:r>
    </w:p>
    <w:p w:rsidR="009B4BB4" w:rsidRDefault="009B4BB4">
      <w:pPr>
        <w:pStyle w:val="Textoindependiente"/>
        <w:spacing w:before="25"/>
      </w:pPr>
    </w:p>
    <w:p w:rsidR="009B4BB4" w:rsidRDefault="00C44001">
      <w:pPr>
        <w:pStyle w:val="Textoindependiente"/>
        <w:spacing w:before="0"/>
        <w:ind w:left="425"/>
      </w:pPr>
      <w:r>
        <w:t>Fortune</w:t>
      </w:r>
      <w:r>
        <w:rPr>
          <w:spacing w:val="-9"/>
        </w:rPr>
        <w:t xml:space="preserve"> </w:t>
      </w:r>
      <w:r>
        <w:t>Business</w:t>
      </w:r>
      <w:r>
        <w:rPr>
          <w:spacing w:val="-6"/>
        </w:rPr>
        <w:t xml:space="preserve"> </w:t>
      </w:r>
      <w:r>
        <w:t>Insights.</w:t>
      </w:r>
      <w:r>
        <w:rPr>
          <w:spacing w:val="-7"/>
        </w:rPr>
        <w:t xml:space="preserve"> </w:t>
      </w:r>
      <w:r>
        <w:t>(2024).</w:t>
      </w:r>
      <w:r>
        <w:rPr>
          <w:spacing w:val="-6"/>
        </w:rPr>
        <w:t xml:space="preserve"> </w:t>
      </w:r>
      <w:r>
        <w:t>Honey</w:t>
      </w:r>
      <w:r>
        <w:rPr>
          <w:spacing w:val="-7"/>
        </w:rPr>
        <w:t xml:space="preserve"> </w:t>
      </w:r>
      <w:r>
        <w:t>market</w:t>
      </w:r>
      <w:r>
        <w:rPr>
          <w:spacing w:val="-6"/>
        </w:rPr>
        <w:t xml:space="preserve"> </w:t>
      </w:r>
      <w:r>
        <w:t>size,</w:t>
      </w:r>
      <w:r>
        <w:rPr>
          <w:spacing w:val="-7"/>
        </w:rPr>
        <w:t xml:space="preserve"> </w:t>
      </w:r>
      <w:r>
        <w:t>share,</w:t>
      </w:r>
      <w:r>
        <w:rPr>
          <w:spacing w:val="-6"/>
        </w:rPr>
        <w:t xml:space="preserve"> </w:t>
      </w:r>
      <w:r>
        <w:t>trends,</w:t>
      </w:r>
      <w:r>
        <w:rPr>
          <w:spacing w:val="-7"/>
        </w:rPr>
        <w:t xml:space="preserve"> </w:t>
      </w:r>
      <w:r>
        <w:t>and</w:t>
      </w:r>
      <w:r>
        <w:rPr>
          <w:spacing w:val="-6"/>
        </w:rPr>
        <w:t xml:space="preserve"> </w:t>
      </w:r>
      <w:r>
        <w:t>forecast</w:t>
      </w:r>
      <w:r>
        <w:rPr>
          <w:spacing w:val="-6"/>
        </w:rPr>
        <w:t xml:space="preserve"> </w:t>
      </w:r>
      <w:r>
        <w:rPr>
          <w:spacing w:val="-2"/>
        </w:rPr>
        <w:t>2032.</w:t>
      </w:r>
    </w:p>
    <w:p w:rsidR="009B4BB4" w:rsidRDefault="00C44001">
      <w:pPr>
        <w:pStyle w:val="Textoindependiente"/>
        <w:spacing w:before="38"/>
        <w:ind w:left="1145"/>
      </w:pPr>
      <w:r>
        <w:t>Fortune</w:t>
      </w:r>
      <w:r>
        <w:rPr>
          <w:spacing w:val="-8"/>
        </w:rPr>
        <w:t xml:space="preserve"> </w:t>
      </w:r>
      <w:r>
        <w:t>Business</w:t>
      </w:r>
      <w:r>
        <w:rPr>
          <w:spacing w:val="-7"/>
        </w:rPr>
        <w:t xml:space="preserve"> </w:t>
      </w:r>
      <w:r>
        <w:rPr>
          <w:spacing w:val="-2"/>
        </w:rPr>
        <w:t>Insights.</w:t>
      </w:r>
    </w:p>
    <w:p w:rsidR="009B4BB4" w:rsidRDefault="00C44001">
      <w:pPr>
        <w:pStyle w:val="Textoindependiente"/>
        <w:spacing w:before="38" w:line="504" w:lineRule="auto"/>
        <w:ind w:left="425" w:right="671" w:firstLine="720"/>
      </w:pPr>
      <w:hyperlink r:id="rId50">
        <w:r>
          <w:rPr>
            <w:spacing w:val="-2"/>
          </w:rPr>
          <w:t>https://www.fortunebusinessinsights.com/industry-reports/honey-market-100551</w:t>
        </w:r>
      </w:hyperlink>
      <w:r>
        <w:rPr>
          <w:spacing w:val="-2"/>
        </w:rPr>
        <w:t xml:space="preserve"> </w:t>
      </w:r>
      <w:r>
        <w:t>Fowler, F. J. (2014). Survey research methods (5</w:t>
      </w:r>
      <w:proofErr w:type="gramStart"/>
      <w:r>
        <w:t>.ª</w:t>
      </w:r>
      <w:proofErr w:type="gramEnd"/>
      <w:r>
        <w:t xml:space="preserve"> ed.). SAGE Publications.</w:t>
      </w:r>
    </w:p>
    <w:p w:rsidR="009B4BB4" w:rsidRDefault="009B4BB4">
      <w:pPr>
        <w:pStyle w:val="Textoindependiente"/>
        <w:spacing w:line="504" w:lineRule="auto"/>
        <w:sectPr w:rsidR="009B4BB4">
          <w:pgSz w:w="11920" w:h="16840"/>
          <w:pgMar w:top="1500" w:right="850" w:bottom="1940" w:left="1275" w:header="0" w:footer="1747" w:gutter="0"/>
          <w:cols w:space="720"/>
        </w:sectPr>
      </w:pPr>
    </w:p>
    <w:p w:rsidR="009B4BB4" w:rsidRDefault="00C44001">
      <w:pPr>
        <w:pStyle w:val="Textoindependiente"/>
        <w:spacing w:before="79" w:line="276" w:lineRule="auto"/>
        <w:ind w:left="1145" w:right="671" w:hanging="720"/>
      </w:pPr>
      <w:r>
        <w:lastRenderedPageBreak/>
        <w:t>Góngora-Ovando, M. E., Díaz-Díaz, H. A., Jiménez-Baños, J., &amp; García-Galindo, J. (2025).</w:t>
      </w:r>
      <w:r>
        <w:rPr>
          <w:spacing w:val="-4"/>
        </w:rPr>
        <w:t xml:space="preserve"> </w:t>
      </w:r>
      <w:r>
        <w:t>Innovaciones</w:t>
      </w:r>
      <w:r>
        <w:rPr>
          <w:spacing w:val="-4"/>
        </w:rPr>
        <w:t xml:space="preserve"> </w:t>
      </w:r>
      <w:r>
        <w:t>en</w:t>
      </w:r>
      <w:r>
        <w:rPr>
          <w:spacing w:val="-4"/>
        </w:rPr>
        <w:t xml:space="preserve"> </w:t>
      </w:r>
      <w:r>
        <w:t>la</w:t>
      </w:r>
      <w:r>
        <w:rPr>
          <w:spacing w:val="-4"/>
        </w:rPr>
        <w:t xml:space="preserve"> </w:t>
      </w:r>
      <w:r>
        <w:t>cadena</w:t>
      </w:r>
      <w:r>
        <w:rPr>
          <w:spacing w:val="-4"/>
        </w:rPr>
        <w:t xml:space="preserve"> </w:t>
      </w:r>
      <w:r>
        <w:t>de</w:t>
      </w:r>
      <w:r>
        <w:rPr>
          <w:spacing w:val="-4"/>
        </w:rPr>
        <w:t xml:space="preserve"> </w:t>
      </w:r>
      <w:r>
        <w:t>valor</w:t>
      </w:r>
      <w:r>
        <w:rPr>
          <w:spacing w:val="-4"/>
        </w:rPr>
        <w:t xml:space="preserve"> </w:t>
      </w:r>
      <w:r>
        <w:t>de</w:t>
      </w:r>
      <w:r>
        <w:rPr>
          <w:spacing w:val="-4"/>
        </w:rPr>
        <w:t xml:space="preserve"> </w:t>
      </w:r>
      <w:r>
        <w:t>la</w:t>
      </w:r>
      <w:r>
        <w:rPr>
          <w:spacing w:val="-4"/>
        </w:rPr>
        <w:t xml:space="preserve"> </w:t>
      </w:r>
      <w:r>
        <w:t>miel</w:t>
      </w:r>
      <w:r>
        <w:rPr>
          <w:spacing w:val="-4"/>
        </w:rPr>
        <w:t xml:space="preserve"> </w:t>
      </w:r>
      <w:r>
        <w:t>de</w:t>
      </w:r>
      <w:r>
        <w:rPr>
          <w:spacing w:val="-4"/>
        </w:rPr>
        <w:t xml:space="preserve"> </w:t>
      </w:r>
      <w:r>
        <w:t>Melipona</w:t>
      </w:r>
      <w:r>
        <w:rPr>
          <w:spacing w:val="-4"/>
        </w:rPr>
        <w:t xml:space="preserve"> </w:t>
      </w:r>
      <w:r>
        <w:t>beecheii:</w:t>
      </w:r>
      <w:r>
        <w:rPr>
          <w:spacing w:val="-4"/>
        </w:rPr>
        <w:t xml:space="preserve"> </w:t>
      </w:r>
      <w:r>
        <w:t>Un enfoque de triple impacto en el sureste mexicano. European Scientific Journal</w:t>
      </w:r>
      <w:r>
        <w:t xml:space="preserve"> (ESJ), 21(4), 112–138. </w:t>
      </w:r>
      <w:hyperlink r:id="rId51">
        <w:r>
          <w:t>https://eujournal.org/index.php/esj/article/view/19297</w:t>
        </w:r>
      </w:hyperlink>
    </w:p>
    <w:p w:rsidR="009B4BB4" w:rsidRDefault="00C44001">
      <w:pPr>
        <w:pStyle w:val="Textoindependiente"/>
        <w:spacing w:line="276" w:lineRule="auto"/>
        <w:ind w:left="1145" w:right="671" w:hanging="720"/>
      </w:pPr>
      <w:r>
        <w:t>GIZ. (2023). Sistematización de experiencias de la cadena de valor de miel de los estados</w:t>
      </w:r>
      <w:r>
        <w:rPr>
          <w:spacing w:val="-5"/>
        </w:rPr>
        <w:t xml:space="preserve"> </w:t>
      </w:r>
      <w:r>
        <w:t>de</w:t>
      </w:r>
      <w:r>
        <w:rPr>
          <w:spacing w:val="-5"/>
        </w:rPr>
        <w:t xml:space="preserve"> </w:t>
      </w:r>
      <w:r>
        <w:t>Campeche</w:t>
      </w:r>
      <w:r>
        <w:rPr>
          <w:spacing w:val="-5"/>
        </w:rPr>
        <w:t xml:space="preserve"> </w:t>
      </w:r>
      <w:r>
        <w:t>y</w:t>
      </w:r>
      <w:r>
        <w:rPr>
          <w:spacing w:val="-5"/>
        </w:rPr>
        <w:t xml:space="preserve"> </w:t>
      </w:r>
      <w:r>
        <w:t>Quintana</w:t>
      </w:r>
      <w:r>
        <w:rPr>
          <w:spacing w:val="-5"/>
        </w:rPr>
        <w:t xml:space="preserve"> </w:t>
      </w:r>
      <w:r>
        <w:t>Roo.</w:t>
      </w:r>
      <w:r>
        <w:rPr>
          <w:spacing w:val="-5"/>
        </w:rPr>
        <w:t xml:space="preserve"> </w:t>
      </w:r>
      <w:r>
        <w:t>Deutsche</w:t>
      </w:r>
      <w:r>
        <w:rPr>
          <w:spacing w:val="-5"/>
        </w:rPr>
        <w:t xml:space="preserve"> </w:t>
      </w:r>
      <w:r>
        <w:t>Gesellschaft</w:t>
      </w:r>
      <w:r>
        <w:rPr>
          <w:spacing w:val="-5"/>
        </w:rPr>
        <w:t xml:space="preserve"> </w:t>
      </w:r>
      <w:r>
        <w:t>für</w:t>
      </w:r>
      <w:r>
        <w:rPr>
          <w:spacing w:val="-5"/>
        </w:rPr>
        <w:t xml:space="preserve"> </w:t>
      </w:r>
      <w:r>
        <w:t xml:space="preserve">Internationale </w:t>
      </w:r>
      <w:r>
        <w:rPr>
          <w:spacing w:val="-2"/>
        </w:rPr>
        <w:t>Zusammenarbeit.</w:t>
      </w:r>
    </w:p>
    <w:p w:rsidR="009B4BB4" w:rsidRDefault="00C44001">
      <w:pPr>
        <w:pStyle w:val="Textoindependiente"/>
        <w:spacing w:before="0"/>
        <w:ind w:left="1145"/>
      </w:pPr>
      <w:hyperlink r:id="rId52">
        <w:r>
          <w:rPr>
            <w:spacing w:val="-2"/>
          </w:rPr>
          <w:t>https://www.giz.de/en/downloads/giz2023-mx-cadenas-valor-miel.pdf</w:t>
        </w:r>
      </w:hyperlink>
    </w:p>
    <w:p w:rsidR="009B4BB4" w:rsidRDefault="009B4BB4">
      <w:pPr>
        <w:pStyle w:val="Textoindependiente"/>
        <w:spacing w:before="25"/>
      </w:pPr>
    </w:p>
    <w:p w:rsidR="009B4BB4" w:rsidRDefault="00C44001">
      <w:pPr>
        <w:pStyle w:val="Textoindependiente"/>
        <w:spacing w:before="0" w:line="276" w:lineRule="auto"/>
        <w:ind w:left="1145" w:right="1131" w:hanging="720"/>
      </w:pPr>
      <w:r>
        <w:t>Global</w:t>
      </w:r>
      <w:r>
        <w:rPr>
          <w:spacing w:val="-5"/>
        </w:rPr>
        <w:t xml:space="preserve"> </w:t>
      </w:r>
      <w:r>
        <w:t>Market</w:t>
      </w:r>
      <w:r>
        <w:rPr>
          <w:spacing w:val="-5"/>
        </w:rPr>
        <w:t xml:space="preserve"> </w:t>
      </w:r>
      <w:r>
        <w:t>Insights.</w:t>
      </w:r>
      <w:r>
        <w:rPr>
          <w:spacing w:val="-5"/>
        </w:rPr>
        <w:t xml:space="preserve"> </w:t>
      </w:r>
      <w:r>
        <w:t>(2024).</w:t>
      </w:r>
      <w:r>
        <w:rPr>
          <w:spacing w:val="-5"/>
        </w:rPr>
        <w:t xml:space="preserve"> </w:t>
      </w:r>
      <w:r>
        <w:t>Honey</w:t>
      </w:r>
      <w:r>
        <w:rPr>
          <w:spacing w:val="-5"/>
        </w:rPr>
        <w:t xml:space="preserve"> </w:t>
      </w:r>
      <w:r>
        <w:t>market</w:t>
      </w:r>
      <w:r>
        <w:rPr>
          <w:spacing w:val="-5"/>
        </w:rPr>
        <w:t xml:space="preserve"> </w:t>
      </w:r>
      <w:r>
        <w:t>size,</w:t>
      </w:r>
      <w:r>
        <w:rPr>
          <w:spacing w:val="-5"/>
        </w:rPr>
        <w:t xml:space="preserve"> </w:t>
      </w:r>
      <w:r>
        <w:t>by</w:t>
      </w:r>
      <w:r>
        <w:rPr>
          <w:spacing w:val="-5"/>
        </w:rPr>
        <w:t xml:space="preserve"> </w:t>
      </w:r>
      <w:r>
        <w:t>type,</w:t>
      </w:r>
      <w:r>
        <w:rPr>
          <w:spacing w:val="-5"/>
        </w:rPr>
        <w:t xml:space="preserve"> </w:t>
      </w:r>
      <w:r>
        <w:t>2021–2034.</w:t>
      </w:r>
      <w:r>
        <w:rPr>
          <w:spacing w:val="-5"/>
        </w:rPr>
        <w:t xml:space="preserve"> </w:t>
      </w:r>
      <w:r>
        <w:t xml:space="preserve">GMInsights. </w:t>
      </w:r>
      <w:hyperlink r:id="rId53">
        <w:r>
          <w:rPr>
            <w:spacing w:val="-2"/>
          </w:rPr>
          <w:t>https://www.gminsights.com/industry-analysis/honey-market</w:t>
        </w:r>
      </w:hyperlink>
    </w:p>
    <w:p w:rsidR="009B4BB4" w:rsidRDefault="00C44001">
      <w:pPr>
        <w:pStyle w:val="Textoindependiente"/>
        <w:spacing w:line="276" w:lineRule="auto"/>
        <w:ind w:left="1145" w:right="671" w:hanging="720"/>
      </w:pPr>
      <w:r>
        <w:t>González</w:t>
      </w:r>
      <w:r>
        <w:rPr>
          <w:spacing w:val="-2"/>
        </w:rPr>
        <w:t xml:space="preserve"> </w:t>
      </w:r>
      <w:r>
        <w:t>Acereto,</w:t>
      </w:r>
      <w:r>
        <w:rPr>
          <w:spacing w:val="-2"/>
        </w:rPr>
        <w:t xml:space="preserve"> </w:t>
      </w:r>
      <w:r>
        <w:t>J.</w:t>
      </w:r>
      <w:r>
        <w:rPr>
          <w:spacing w:val="-2"/>
        </w:rPr>
        <w:t xml:space="preserve"> </w:t>
      </w:r>
      <w:r>
        <w:t>A.,</w:t>
      </w:r>
      <w:r>
        <w:rPr>
          <w:spacing w:val="-2"/>
        </w:rPr>
        <w:t xml:space="preserve"> </w:t>
      </w:r>
      <w:r>
        <w:t>&amp;</w:t>
      </w:r>
      <w:r>
        <w:rPr>
          <w:spacing w:val="-2"/>
        </w:rPr>
        <w:t xml:space="preserve"> </w:t>
      </w:r>
      <w:r>
        <w:t>Quezada-Euán,</w:t>
      </w:r>
      <w:r>
        <w:rPr>
          <w:spacing w:val="-2"/>
        </w:rPr>
        <w:t xml:space="preserve"> </w:t>
      </w:r>
      <w:r>
        <w:t>J.</w:t>
      </w:r>
      <w:r>
        <w:rPr>
          <w:spacing w:val="-2"/>
        </w:rPr>
        <w:t xml:space="preserve"> </w:t>
      </w:r>
      <w:r>
        <w:t>J.</w:t>
      </w:r>
      <w:r>
        <w:rPr>
          <w:spacing w:val="-2"/>
        </w:rPr>
        <w:t xml:space="preserve"> </w:t>
      </w:r>
      <w:r>
        <w:t>(2010).</w:t>
      </w:r>
      <w:r>
        <w:rPr>
          <w:spacing w:val="-2"/>
        </w:rPr>
        <w:t xml:space="preserve"> </w:t>
      </w:r>
      <w:r>
        <w:t>Producción</w:t>
      </w:r>
      <w:r>
        <w:rPr>
          <w:spacing w:val="-2"/>
        </w:rPr>
        <w:t xml:space="preserve"> </w:t>
      </w:r>
      <w:r>
        <w:t>trad</w:t>
      </w:r>
      <w:r>
        <w:t>icional</w:t>
      </w:r>
      <w:r>
        <w:rPr>
          <w:spacing w:val="-2"/>
        </w:rPr>
        <w:t xml:space="preserve"> </w:t>
      </w:r>
      <w:r>
        <w:t>de</w:t>
      </w:r>
      <w:r>
        <w:rPr>
          <w:spacing w:val="-2"/>
        </w:rPr>
        <w:t xml:space="preserve"> </w:t>
      </w:r>
      <w:r>
        <w:t>miel: abejas nativas sin aguijón (trigonas y meliponas). En R. Durán &amp; M. Méndez (Eds.),</w:t>
      </w:r>
      <w:r>
        <w:rPr>
          <w:spacing w:val="-6"/>
        </w:rPr>
        <w:t xml:space="preserve"> </w:t>
      </w:r>
      <w:r>
        <w:t>Biodiversidad</w:t>
      </w:r>
      <w:r>
        <w:rPr>
          <w:spacing w:val="-6"/>
        </w:rPr>
        <w:t xml:space="preserve"> </w:t>
      </w:r>
      <w:r>
        <w:t>y</w:t>
      </w:r>
      <w:r>
        <w:rPr>
          <w:spacing w:val="-6"/>
        </w:rPr>
        <w:t xml:space="preserve"> </w:t>
      </w:r>
      <w:r>
        <w:t>desarrollo</w:t>
      </w:r>
      <w:r>
        <w:rPr>
          <w:spacing w:val="-6"/>
        </w:rPr>
        <w:t xml:space="preserve"> </w:t>
      </w:r>
      <w:r>
        <w:t>humano</w:t>
      </w:r>
      <w:r>
        <w:rPr>
          <w:spacing w:val="-6"/>
        </w:rPr>
        <w:t xml:space="preserve"> </w:t>
      </w:r>
      <w:r>
        <w:t>en</w:t>
      </w:r>
      <w:r>
        <w:rPr>
          <w:spacing w:val="-6"/>
        </w:rPr>
        <w:t xml:space="preserve"> </w:t>
      </w:r>
      <w:r>
        <w:t>Yucatán</w:t>
      </w:r>
      <w:r>
        <w:rPr>
          <w:spacing w:val="-6"/>
        </w:rPr>
        <w:t xml:space="preserve"> </w:t>
      </w:r>
      <w:r>
        <w:t>(pp.</w:t>
      </w:r>
      <w:r>
        <w:rPr>
          <w:spacing w:val="-6"/>
        </w:rPr>
        <w:t xml:space="preserve"> </w:t>
      </w:r>
      <w:r>
        <w:t>382–384).</w:t>
      </w:r>
      <w:r>
        <w:rPr>
          <w:spacing w:val="-6"/>
        </w:rPr>
        <w:t xml:space="preserve"> </w:t>
      </w:r>
      <w:r>
        <w:t>Centro</w:t>
      </w:r>
      <w:r>
        <w:rPr>
          <w:spacing w:val="-6"/>
        </w:rPr>
        <w:t xml:space="preserve"> </w:t>
      </w:r>
      <w:r>
        <w:t>de Investigación Científica de Yucatán (CICY); CONABIO; SEDUMA.</w:t>
      </w:r>
    </w:p>
    <w:p w:rsidR="009B4BB4" w:rsidRDefault="00C44001">
      <w:pPr>
        <w:pStyle w:val="Textoindependiente"/>
        <w:spacing w:line="276" w:lineRule="auto"/>
        <w:ind w:left="1145" w:right="671" w:hanging="720"/>
      </w:pPr>
      <w:r>
        <w:t>González-Burguete, I., Díaz-Díaz, H. A., &amp; Jiménez, J. (2020). Effects of phenolic and protein</w:t>
      </w:r>
      <w:r>
        <w:rPr>
          <w:spacing w:val="-4"/>
        </w:rPr>
        <w:t xml:space="preserve"> </w:t>
      </w:r>
      <w:r>
        <w:t>extracts</w:t>
      </w:r>
      <w:r>
        <w:rPr>
          <w:spacing w:val="-4"/>
        </w:rPr>
        <w:t xml:space="preserve"> </w:t>
      </w:r>
      <w:r>
        <w:t>from</w:t>
      </w:r>
      <w:r>
        <w:rPr>
          <w:spacing w:val="-4"/>
        </w:rPr>
        <w:t xml:space="preserve"> </w:t>
      </w:r>
      <w:r>
        <w:t>Melipona</w:t>
      </w:r>
      <w:r>
        <w:rPr>
          <w:spacing w:val="-4"/>
        </w:rPr>
        <w:t xml:space="preserve"> </w:t>
      </w:r>
      <w:r>
        <w:t>beecheii</w:t>
      </w:r>
      <w:r>
        <w:rPr>
          <w:spacing w:val="-4"/>
        </w:rPr>
        <w:t xml:space="preserve"> </w:t>
      </w:r>
      <w:r>
        <w:t>honey</w:t>
      </w:r>
      <w:r>
        <w:rPr>
          <w:spacing w:val="-4"/>
        </w:rPr>
        <w:t xml:space="preserve"> </w:t>
      </w:r>
      <w:r>
        <w:t>on</w:t>
      </w:r>
      <w:r>
        <w:rPr>
          <w:spacing w:val="-4"/>
        </w:rPr>
        <w:t xml:space="preserve"> </w:t>
      </w:r>
      <w:r>
        <w:t>E.</w:t>
      </w:r>
      <w:r>
        <w:rPr>
          <w:spacing w:val="-4"/>
        </w:rPr>
        <w:t xml:space="preserve"> </w:t>
      </w:r>
      <w:r>
        <w:t>coli</w:t>
      </w:r>
      <w:r>
        <w:rPr>
          <w:spacing w:val="-4"/>
        </w:rPr>
        <w:t xml:space="preserve"> </w:t>
      </w:r>
      <w:r>
        <w:t>and</w:t>
      </w:r>
      <w:r>
        <w:rPr>
          <w:spacing w:val="-4"/>
        </w:rPr>
        <w:t xml:space="preserve"> </w:t>
      </w:r>
      <w:r>
        <w:t>S.</w:t>
      </w:r>
      <w:r>
        <w:rPr>
          <w:spacing w:val="-4"/>
        </w:rPr>
        <w:t xml:space="preserve"> </w:t>
      </w:r>
      <w:r>
        <w:t>aureus.</w:t>
      </w:r>
      <w:r>
        <w:rPr>
          <w:spacing w:val="-4"/>
        </w:rPr>
        <w:t xml:space="preserve"> </w:t>
      </w:r>
      <w:r>
        <w:t xml:space="preserve">Frontiers in Microbiology, 11, 315. </w:t>
      </w:r>
      <w:hyperlink r:id="rId54">
        <w:r>
          <w:t>h</w:t>
        </w:r>
        <w:r>
          <w:t>ttps://doi.org/10.3389/fmicb.2020.00315</w:t>
        </w:r>
      </w:hyperlink>
    </w:p>
    <w:p w:rsidR="009B4BB4" w:rsidRDefault="00C44001">
      <w:pPr>
        <w:pStyle w:val="Textoindependiente"/>
        <w:ind w:left="425"/>
      </w:pPr>
      <w:r>
        <w:t>Grant,</w:t>
      </w:r>
      <w:r>
        <w:rPr>
          <w:spacing w:val="-7"/>
        </w:rPr>
        <w:t xml:space="preserve"> </w:t>
      </w:r>
      <w:r>
        <w:t>R.</w:t>
      </w:r>
      <w:r>
        <w:rPr>
          <w:spacing w:val="-6"/>
        </w:rPr>
        <w:t xml:space="preserve"> </w:t>
      </w:r>
      <w:r>
        <w:t>M.</w:t>
      </w:r>
      <w:r>
        <w:rPr>
          <w:spacing w:val="-6"/>
        </w:rPr>
        <w:t xml:space="preserve"> </w:t>
      </w:r>
      <w:r>
        <w:t>(2019).</w:t>
      </w:r>
      <w:r>
        <w:rPr>
          <w:spacing w:val="-6"/>
        </w:rPr>
        <w:t xml:space="preserve"> </w:t>
      </w:r>
      <w:r>
        <w:t>Contemporary</w:t>
      </w:r>
      <w:r>
        <w:rPr>
          <w:spacing w:val="-6"/>
        </w:rPr>
        <w:t xml:space="preserve"> </w:t>
      </w:r>
      <w:r>
        <w:t>strategy</w:t>
      </w:r>
      <w:r>
        <w:rPr>
          <w:spacing w:val="-6"/>
        </w:rPr>
        <w:t xml:space="preserve"> </w:t>
      </w:r>
      <w:r>
        <w:t>analysis</w:t>
      </w:r>
      <w:r>
        <w:rPr>
          <w:spacing w:val="-6"/>
        </w:rPr>
        <w:t xml:space="preserve"> </w:t>
      </w:r>
      <w:r>
        <w:t>(10</w:t>
      </w:r>
      <w:proofErr w:type="gramStart"/>
      <w:r>
        <w:t>.ª</w:t>
      </w:r>
      <w:proofErr w:type="gramEnd"/>
      <w:r>
        <w:rPr>
          <w:spacing w:val="-6"/>
        </w:rPr>
        <w:t xml:space="preserve"> </w:t>
      </w:r>
      <w:r>
        <w:t>ed.).</w:t>
      </w:r>
      <w:r>
        <w:rPr>
          <w:spacing w:val="-6"/>
        </w:rPr>
        <w:t xml:space="preserve"> </w:t>
      </w:r>
      <w:r>
        <w:rPr>
          <w:spacing w:val="-2"/>
        </w:rPr>
        <w:t>Wiley.</w:t>
      </w:r>
    </w:p>
    <w:p w:rsidR="009B4BB4" w:rsidRDefault="009B4BB4">
      <w:pPr>
        <w:pStyle w:val="Textoindependiente"/>
        <w:spacing w:before="25"/>
      </w:pPr>
    </w:p>
    <w:p w:rsidR="009B4BB4" w:rsidRDefault="00C44001">
      <w:pPr>
        <w:pStyle w:val="Textoindependiente"/>
        <w:spacing w:before="0" w:line="276" w:lineRule="auto"/>
        <w:ind w:left="1145" w:right="531" w:hanging="720"/>
      </w:pPr>
      <w:r>
        <w:t>Hernández</w:t>
      </w:r>
      <w:r>
        <w:rPr>
          <w:spacing w:val="-7"/>
        </w:rPr>
        <w:t xml:space="preserve"> </w:t>
      </w:r>
      <w:r>
        <w:t>Sampieri,</w:t>
      </w:r>
      <w:r>
        <w:rPr>
          <w:spacing w:val="-7"/>
        </w:rPr>
        <w:t xml:space="preserve"> </w:t>
      </w:r>
      <w:r>
        <w:t>R.,</w:t>
      </w:r>
      <w:r>
        <w:rPr>
          <w:spacing w:val="-7"/>
        </w:rPr>
        <w:t xml:space="preserve"> </w:t>
      </w:r>
      <w:r>
        <w:t>Fernández</w:t>
      </w:r>
      <w:r>
        <w:rPr>
          <w:spacing w:val="-7"/>
        </w:rPr>
        <w:t xml:space="preserve"> </w:t>
      </w:r>
      <w:r>
        <w:t>Collado,</w:t>
      </w:r>
      <w:r>
        <w:rPr>
          <w:spacing w:val="-7"/>
        </w:rPr>
        <w:t xml:space="preserve"> </w:t>
      </w:r>
      <w:r>
        <w:t>C.,</w:t>
      </w:r>
      <w:r>
        <w:rPr>
          <w:spacing w:val="-7"/>
        </w:rPr>
        <w:t xml:space="preserve"> </w:t>
      </w:r>
      <w:r>
        <w:t>&amp;</w:t>
      </w:r>
      <w:r>
        <w:rPr>
          <w:spacing w:val="-7"/>
        </w:rPr>
        <w:t xml:space="preserve"> </w:t>
      </w:r>
      <w:r>
        <w:t>Baptista</w:t>
      </w:r>
      <w:r>
        <w:rPr>
          <w:spacing w:val="-7"/>
        </w:rPr>
        <w:t xml:space="preserve"> </w:t>
      </w:r>
      <w:r>
        <w:t>Lucio,</w:t>
      </w:r>
      <w:r>
        <w:rPr>
          <w:spacing w:val="-7"/>
        </w:rPr>
        <w:t xml:space="preserve"> </w:t>
      </w:r>
      <w:r>
        <w:t>P.</w:t>
      </w:r>
      <w:r>
        <w:rPr>
          <w:spacing w:val="-7"/>
        </w:rPr>
        <w:t xml:space="preserve"> </w:t>
      </w:r>
      <w:r>
        <w:t>(2014).</w:t>
      </w:r>
      <w:r>
        <w:rPr>
          <w:spacing w:val="-7"/>
        </w:rPr>
        <w:t xml:space="preserve"> </w:t>
      </w:r>
      <w:r>
        <w:t>Metodología de la investigación (6</w:t>
      </w:r>
      <w:proofErr w:type="gramStart"/>
      <w:r>
        <w:t>.ª</w:t>
      </w:r>
      <w:proofErr w:type="gramEnd"/>
      <w:r>
        <w:t xml:space="preserve"> ed.). McGraw-Hill.</w:t>
      </w:r>
    </w:p>
    <w:p w:rsidR="009B4BB4" w:rsidRDefault="00C44001">
      <w:pPr>
        <w:pStyle w:val="Textoindependiente"/>
        <w:ind w:left="425"/>
      </w:pPr>
      <w:r>
        <w:t>Hisrich,</w:t>
      </w:r>
      <w:r>
        <w:rPr>
          <w:spacing w:val="-8"/>
        </w:rPr>
        <w:t xml:space="preserve"> </w:t>
      </w:r>
      <w:r>
        <w:t>R.</w:t>
      </w:r>
      <w:r>
        <w:rPr>
          <w:spacing w:val="-7"/>
        </w:rPr>
        <w:t xml:space="preserve"> </w:t>
      </w:r>
      <w:r>
        <w:t>D.,</w:t>
      </w:r>
      <w:r>
        <w:rPr>
          <w:spacing w:val="-7"/>
        </w:rPr>
        <w:t xml:space="preserve"> </w:t>
      </w:r>
      <w:r>
        <w:t>Peters,</w:t>
      </w:r>
      <w:r>
        <w:rPr>
          <w:spacing w:val="-8"/>
        </w:rPr>
        <w:t xml:space="preserve"> </w:t>
      </w:r>
      <w:r>
        <w:t>M.</w:t>
      </w:r>
      <w:r>
        <w:rPr>
          <w:spacing w:val="-7"/>
        </w:rPr>
        <w:t xml:space="preserve"> </w:t>
      </w:r>
      <w:r>
        <w:t>P.,</w:t>
      </w:r>
      <w:r>
        <w:rPr>
          <w:spacing w:val="-7"/>
        </w:rPr>
        <w:t xml:space="preserve"> </w:t>
      </w:r>
      <w:r>
        <w:t>&amp;</w:t>
      </w:r>
      <w:r>
        <w:rPr>
          <w:spacing w:val="-8"/>
        </w:rPr>
        <w:t xml:space="preserve"> </w:t>
      </w:r>
      <w:r>
        <w:t>Shepherd,</w:t>
      </w:r>
      <w:r>
        <w:rPr>
          <w:spacing w:val="-7"/>
        </w:rPr>
        <w:t xml:space="preserve"> </w:t>
      </w:r>
      <w:r>
        <w:t>D.</w:t>
      </w:r>
      <w:r>
        <w:rPr>
          <w:spacing w:val="-7"/>
        </w:rPr>
        <w:t xml:space="preserve"> </w:t>
      </w:r>
      <w:r>
        <w:t>A.</w:t>
      </w:r>
      <w:r>
        <w:rPr>
          <w:spacing w:val="-8"/>
        </w:rPr>
        <w:t xml:space="preserve"> </w:t>
      </w:r>
      <w:r>
        <w:t>(2017).</w:t>
      </w:r>
      <w:r>
        <w:rPr>
          <w:spacing w:val="-7"/>
        </w:rPr>
        <w:t xml:space="preserve"> </w:t>
      </w:r>
      <w:r>
        <w:t>Entrepreneurship</w:t>
      </w:r>
      <w:r>
        <w:rPr>
          <w:spacing w:val="-7"/>
        </w:rPr>
        <w:t xml:space="preserve"> </w:t>
      </w:r>
      <w:r>
        <w:t>(10th</w:t>
      </w:r>
      <w:r>
        <w:rPr>
          <w:spacing w:val="-7"/>
        </w:rPr>
        <w:t xml:space="preserve"> </w:t>
      </w:r>
      <w:r>
        <w:rPr>
          <w:spacing w:val="-2"/>
        </w:rPr>
        <w:t>ed.).</w:t>
      </w:r>
    </w:p>
    <w:p w:rsidR="009B4BB4" w:rsidRDefault="00C44001">
      <w:pPr>
        <w:pStyle w:val="Textoindependiente"/>
        <w:spacing w:before="38"/>
        <w:ind w:left="1145"/>
      </w:pPr>
      <w:r>
        <w:rPr>
          <w:spacing w:val="-2"/>
        </w:rPr>
        <w:t>McGraw-Hill.</w:t>
      </w:r>
    </w:p>
    <w:p w:rsidR="009B4BB4" w:rsidRDefault="009B4BB4">
      <w:pPr>
        <w:pStyle w:val="Textoindependiente"/>
        <w:spacing w:before="25"/>
      </w:pPr>
    </w:p>
    <w:p w:rsidR="009B4BB4" w:rsidRDefault="00C44001">
      <w:pPr>
        <w:pStyle w:val="Textoindependiente"/>
        <w:spacing w:before="0" w:line="276" w:lineRule="auto"/>
        <w:ind w:left="1145" w:right="671" w:hanging="720"/>
      </w:pPr>
      <w:r>
        <w:t xml:space="preserve">INEGI. (2022). Sala de prensa: Día Mundial de las Abejas. Instituto Nacional de Estadística y Geografía. </w:t>
      </w:r>
      <w:hyperlink r:id="rId55">
        <w:r>
          <w:rPr>
            <w:spacing w:val="-2"/>
          </w:rPr>
          <w:t>https://www.inegi.org.mx/contenidos/sala_prensa/aproposito/2022/EAP_Abejas22</w:t>
        </w:r>
      </w:hyperlink>
      <w:r>
        <w:rPr>
          <w:spacing w:val="-2"/>
        </w:rPr>
        <w:t xml:space="preserve">. </w:t>
      </w:r>
      <w:proofErr w:type="gramStart"/>
      <w:r>
        <w:rPr>
          <w:spacing w:val="-4"/>
        </w:rPr>
        <w:t>pdf</w:t>
      </w:r>
      <w:proofErr w:type="gramEnd"/>
    </w:p>
    <w:p w:rsidR="009B4BB4" w:rsidRDefault="00C44001">
      <w:pPr>
        <w:pStyle w:val="Textoindependiente"/>
        <w:spacing w:line="276" w:lineRule="auto"/>
        <w:ind w:left="1145" w:right="671" w:hanging="720"/>
      </w:pPr>
      <w:r>
        <w:t>INEGI.</w:t>
      </w:r>
      <w:r>
        <w:rPr>
          <w:spacing w:val="-5"/>
        </w:rPr>
        <w:t xml:space="preserve"> </w:t>
      </w:r>
      <w:r>
        <w:t>(2024).</w:t>
      </w:r>
      <w:r>
        <w:rPr>
          <w:spacing w:val="-5"/>
        </w:rPr>
        <w:t xml:space="preserve"> </w:t>
      </w:r>
      <w:r>
        <w:t>Estadísticas</w:t>
      </w:r>
      <w:r>
        <w:rPr>
          <w:spacing w:val="-5"/>
        </w:rPr>
        <w:t xml:space="preserve"> </w:t>
      </w:r>
      <w:r>
        <w:t>de</w:t>
      </w:r>
      <w:r>
        <w:rPr>
          <w:spacing w:val="-5"/>
        </w:rPr>
        <w:t xml:space="preserve"> </w:t>
      </w:r>
      <w:r>
        <w:t>turismo</w:t>
      </w:r>
      <w:r>
        <w:rPr>
          <w:spacing w:val="-5"/>
        </w:rPr>
        <w:t xml:space="preserve"> </w:t>
      </w:r>
      <w:r>
        <w:t>y</w:t>
      </w:r>
      <w:r>
        <w:rPr>
          <w:spacing w:val="-5"/>
        </w:rPr>
        <w:t xml:space="preserve"> </w:t>
      </w:r>
      <w:r>
        <w:t>producción</w:t>
      </w:r>
      <w:r>
        <w:rPr>
          <w:spacing w:val="-5"/>
        </w:rPr>
        <w:t xml:space="preserve"> </w:t>
      </w:r>
      <w:r>
        <w:t>agropecuaria</w:t>
      </w:r>
      <w:r>
        <w:rPr>
          <w:spacing w:val="-5"/>
        </w:rPr>
        <w:t xml:space="preserve"> </w:t>
      </w:r>
      <w:r>
        <w:t>en</w:t>
      </w:r>
      <w:r>
        <w:rPr>
          <w:spacing w:val="-5"/>
        </w:rPr>
        <w:t xml:space="preserve"> </w:t>
      </w:r>
      <w:r>
        <w:t>México.</w:t>
      </w:r>
      <w:r>
        <w:rPr>
          <w:spacing w:val="-5"/>
        </w:rPr>
        <w:t xml:space="preserve"> </w:t>
      </w:r>
      <w:r>
        <w:t>Inst</w:t>
      </w:r>
      <w:r>
        <w:t xml:space="preserve">ituto Nacional de Estadística y Geografía. </w:t>
      </w:r>
      <w:hyperlink r:id="rId56">
        <w:r>
          <w:rPr>
            <w:color w:val="1154CC"/>
            <w:u w:val="thick" w:color="1154CC"/>
          </w:rPr>
          <w:t>https://nube.siap.gob.mx/cierreagricola/</w:t>
        </w:r>
      </w:hyperlink>
    </w:p>
    <w:p w:rsidR="009B4BB4" w:rsidRDefault="00C44001">
      <w:pPr>
        <w:pStyle w:val="Textoindependiente"/>
        <w:spacing w:line="276" w:lineRule="auto"/>
        <w:ind w:left="1145" w:right="655" w:hanging="720"/>
      </w:pPr>
      <w:r>
        <w:t>INIFAP. (2024). Indicadores del mercado apícola en México. Instituto Nacional de Investigaciones Forestales, Agr</w:t>
      </w:r>
      <w:r>
        <w:t xml:space="preserve">ícolas y Pecuarias. </w:t>
      </w:r>
      <w:hyperlink r:id="rId57">
        <w:r>
          <w:rPr>
            <w:spacing w:val="-2"/>
          </w:rPr>
          <w:t>https://libreria.inifap.gob.mx/index.php/publicaciones/mercado-apicola-mexico-202</w:t>
        </w:r>
      </w:hyperlink>
      <w:r>
        <w:rPr>
          <w:spacing w:val="40"/>
        </w:rPr>
        <w:t xml:space="preserve"> </w:t>
      </w:r>
      <w:r>
        <w:rPr>
          <w:spacing w:val="-10"/>
        </w:rPr>
        <w:t>4</w:t>
      </w:r>
    </w:p>
    <w:p w:rsidR="009B4BB4" w:rsidRDefault="009B4BB4">
      <w:pPr>
        <w:pStyle w:val="Textoindependiente"/>
        <w:spacing w:line="276" w:lineRule="auto"/>
        <w:sectPr w:rsidR="009B4BB4">
          <w:pgSz w:w="11920" w:h="16840"/>
          <w:pgMar w:top="1500" w:right="850" w:bottom="1940" w:left="1275" w:header="0" w:footer="1747" w:gutter="0"/>
          <w:cols w:space="720"/>
        </w:sectPr>
      </w:pPr>
    </w:p>
    <w:p w:rsidR="009B4BB4" w:rsidRDefault="00C44001">
      <w:pPr>
        <w:pStyle w:val="Textoindependiente"/>
        <w:spacing w:before="79" w:line="276" w:lineRule="auto"/>
        <w:ind w:left="1145" w:right="825" w:hanging="720"/>
      </w:pPr>
      <w:r>
        <w:lastRenderedPageBreak/>
        <w:t>Johnson,</w:t>
      </w:r>
      <w:r>
        <w:rPr>
          <w:spacing w:val="-4"/>
        </w:rPr>
        <w:t xml:space="preserve"> </w:t>
      </w:r>
      <w:r>
        <w:t>G.,</w:t>
      </w:r>
      <w:r>
        <w:rPr>
          <w:spacing w:val="-4"/>
        </w:rPr>
        <w:t xml:space="preserve"> </w:t>
      </w:r>
      <w:r>
        <w:t>Scholes,</w:t>
      </w:r>
      <w:r>
        <w:rPr>
          <w:spacing w:val="-4"/>
        </w:rPr>
        <w:t xml:space="preserve"> </w:t>
      </w:r>
      <w:r>
        <w:t>K.,</w:t>
      </w:r>
      <w:r>
        <w:rPr>
          <w:spacing w:val="-4"/>
        </w:rPr>
        <w:t xml:space="preserve"> </w:t>
      </w:r>
      <w:r>
        <w:t>&amp;</w:t>
      </w:r>
      <w:r>
        <w:rPr>
          <w:spacing w:val="-4"/>
        </w:rPr>
        <w:t xml:space="preserve"> </w:t>
      </w:r>
      <w:r>
        <w:t>Whitt</w:t>
      </w:r>
      <w:r>
        <w:t>ington,</w:t>
      </w:r>
      <w:r>
        <w:rPr>
          <w:spacing w:val="-4"/>
        </w:rPr>
        <w:t xml:space="preserve"> </w:t>
      </w:r>
      <w:r>
        <w:t>R.</w:t>
      </w:r>
      <w:r>
        <w:rPr>
          <w:spacing w:val="-4"/>
        </w:rPr>
        <w:t xml:space="preserve"> </w:t>
      </w:r>
      <w:r>
        <w:t>(2017).</w:t>
      </w:r>
      <w:r>
        <w:rPr>
          <w:spacing w:val="-4"/>
        </w:rPr>
        <w:t xml:space="preserve"> </w:t>
      </w:r>
      <w:r>
        <w:t>Explorando</w:t>
      </w:r>
      <w:r>
        <w:rPr>
          <w:spacing w:val="-4"/>
        </w:rPr>
        <w:t xml:space="preserve"> </w:t>
      </w:r>
      <w:r>
        <w:t>la</w:t>
      </w:r>
      <w:r>
        <w:rPr>
          <w:spacing w:val="-4"/>
        </w:rPr>
        <w:t xml:space="preserve"> </w:t>
      </w:r>
      <w:r>
        <w:t>estrategia:</w:t>
      </w:r>
      <w:r>
        <w:rPr>
          <w:spacing w:val="-4"/>
        </w:rPr>
        <w:t xml:space="preserve"> </w:t>
      </w:r>
      <w:r>
        <w:t>texto</w:t>
      </w:r>
      <w:r>
        <w:rPr>
          <w:spacing w:val="-4"/>
        </w:rPr>
        <w:t xml:space="preserve"> </w:t>
      </w:r>
      <w:r>
        <w:t>y casos (10</w:t>
      </w:r>
      <w:proofErr w:type="gramStart"/>
      <w:r>
        <w:t>.ª</w:t>
      </w:r>
      <w:proofErr w:type="gramEnd"/>
      <w:r>
        <w:t xml:space="preserve"> ed.). Pearson.</w:t>
      </w:r>
    </w:p>
    <w:p w:rsidR="009B4BB4" w:rsidRDefault="00C44001">
      <w:pPr>
        <w:pStyle w:val="Textoindependiente"/>
        <w:spacing w:line="276" w:lineRule="auto"/>
        <w:ind w:left="1145" w:right="1779" w:hanging="720"/>
      </w:pPr>
      <w:r>
        <w:t>JP</w:t>
      </w:r>
      <w:r>
        <w:rPr>
          <w:spacing w:val="-5"/>
        </w:rPr>
        <w:t xml:space="preserve"> </w:t>
      </w:r>
      <w:r>
        <w:t>Morgan.</w:t>
      </w:r>
      <w:r>
        <w:rPr>
          <w:spacing w:val="-5"/>
        </w:rPr>
        <w:t xml:space="preserve"> </w:t>
      </w:r>
      <w:r>
        <w:t>(2024).</w:t>
      </w:r>
      <w:r>
        <w:rPr>
          <w:spacing w:val="-5"/>
        </w:rPr>
        <w:t xml:space="preserve"> </w:t>
      </w:r>
      <w:r>
        <w:t>Emerging</w:t>
      </w:r>
      <w:r>
        <w:rPr>
          <w:spacing w:val="-5"/>
        </w:rPr>
        <w:t xml:space="preserve"> </w:t>
      </w:r>
      <w:r>
        <w:t>Markets</w:t>
      </w:r>
      <w:r>
        <w:rPr>
          <w:spacing w:val="-5"/>
        </w:rPr>
        <w:t xml:space="preserve"> </w:t>
      </w:r>
      <w:r>
        <w:t>Bond</w:t>
      </w:r>
      <w:r>
        <w:rPr>
          <w:spacing w:val="-5"/>
        </w:rPr>
        <w:t xml:space="preserve"> </w:t>
      </w:r>
      <w:r>
        <w:t>Index</w:t>
      </w:r>
      <w:r>
        <w:rPr>
          <w:spacing w:val="-5"/>
        </w:rPr>
        <w:t xml:space="preserve"> </w:t>
      </w:r>
      <w:r>
        <w:t>(EMBI</w:t>
      </w:r>
      <w:r>
        <w:rPr>
          <w:spacing w:val="-5"/>
        </w:rPr>
        <w:t xml:space="preserve"> </w:t>
      </w:r>
      <w:r>
        <w:t>Global).</w:t>
      </w:r>
      <w:r>
        <w:rPr>
          <w:spacing w:val="-5"/>
        </w:rPr>
        <w:t xml:space="preserve"> </w:t>
      </w:r>
      <w:r>
        <w:t>JP</w:t>
      </w:r>
      <w:r>
        <w:rPr>
          <w:spacing w:val="-5"/>
        </w:rPr>
        <w:t xml:space="preserve"> </w:t>
      </w:r>
      <w:r>
        <w:t xml:space="preserve">Morgan. </w:t>
      </w:r>
      <w:hyperlink r:id="rId58">
        <w:r>
          <w:rPr>
            <w:spacing w:val="-2"/>
          </w:rPr>
          <w:t>https://www.jpmorgan.com/markets/index-research/composition-docs</w:t>
        </w:r>
      </w:hyperlink>
    </w:p>
    <w:p w:rsidR="009B4BB4" w:rsidRDefault="00C44001">
      <w:pPr>
        <w:pStyle w:val="Textoindependiente"/>
        <w:spacing w:line="276" w:lineRule="auto"/>
        <w:ind w:left="1145" w:right="531" w:hanging="720"/>
      </w:pPr>
      <w:r>
        <w:t>Kitchen,</w:t>
      </w:r>
      <w:r>
        <w:rPr>
          <w:spacing w:val="-6"/>
        </w:rPr>
        <w:t xml:space="preserve"> </w:t>
      </w:r>
      <w:r>
        <w:t>P.</w:t>
      </w:r>
      <w:r>
        <w:rPr>
          <w:spacing w:val="-6"/>
        </w:rPr>
        <w:t xml:space="preserve"> </w:t>
      </w:r>
      <w:r>
        <w:t>J.,</w:t>
      </w:r>
      <w:r>
        <w:rPr>
          <w:spacing w:val="-6"/>
        </w:rPr>
        <w:t xml:space="preserve"> </w:t>
      </w:r>
      <w:r>
        <w:t>&amp;</w:t>
      </w:r>
      <w:r>
        <w:rPr>
          <w:spacing w:val="-6"/>
        </w:rPr>
        <w:t xml:space="preserve"> </w:t>
      </w:r>
      <w:r>
        <w:t>Burgmann,</w:t>
      </w:r>
      <w:r>
        <w:rPr>
          <w:spacing w:val="-6"/>
        </w:rPr>
        <w:t xml:space="preserve"> </w:t>
      </w:r>
      <w:r>
        <w:t>I.</w:t>
      </w:r>
      <w:r>
        <w:rPr>
          <w:spacing w:val="-6"/>
        </w:rPr>
        <w:t xml:space="preserve"> </w:t>
      </w:r>
      <w:r>
        <w:t>(2010).</w:t>
      </w:r>
      <w:r>
        <w:rPr>
          <w:spacing w:val="-6"/>
        </w:rPr>
        <w:t xml:space="preserve"> </w:t>
      </w:r>
      <w:r>
        <w:t>Integrated</w:t>
      </w:r>
      <w:r>
        <w:rPr>
          <w:spacing w:val="-6"/>
        </w:rPr>
        <w:t xml:space="preserve"> </w:t>
      </w:r>
      <w:r>
        <w:t>marketing</w:t>
      </w:r>
      <w:r>
        <w:rPr>
          <w:spacing w:val="-6"/>
        </w:rPr>
        <w:t xml:space="preserve"> </w:t>
      </w:r>
      <w:r>
        <w:t>communication:</w:t>
      </w:r>
      <w:r>
        <w:rPr>
          <w:spacing w:val="-6"/>
        </w:rPr>
        <w:t xml:space="preserve"> </w:t>
      </w:r>
      <w:r>
        <w:t>Making</w:t>
      </w:r>
      <w:r>
        <w:rPr>
          <w:spacing w:val="-6"/>
        </w:rPr>
        <w:t xml:space="preserve"> </w:t>
      </w:r>
      <w:r>
        <w:t>it</w:t>
      </w:r>
      <w:r>
        <w:rPr>
          <w:spacing w:val="-6"/>
        </w:rPr>
        <w:t xml:space="preserve"> </w:t>
      </w:r>
      <w:r>
        <w:t>work at a strategic level. Journal of Marketing Communications, 16(2–3), 99–112.</w:t>
      </w:r>
    </w:p>
    <w:p w:rsidR="009B4BB4" w:rsidRDefault="00C44001">
      <w:pPr>
        <w:pStyle w:val="Textoindependiente"/>
        <w:spacing w:before="23" w:line="530" w:lineRule="exact"/>
        <w:ind w:left="425" w:right="931"/>
      </w:pPr>
      <w:r>
        <w:t>Kotler,</w:t>
      </w:r>
      <w:r>
        <w:rPr>
          <w:spacing w:val="-8"/>
        </w:rPr>
        <w:t xml:space="preserve"> </w:t>
      </w:r>
      <w:r>
        <w:t>P.,</w:t>
      </w:r>
      <w:r>
        <w:rPr>
          <w:spacing w:val="-8"/>
        </w:rPr>
        <w:t xml:space="preserve"> </w:t>
      </w:r>
      <w:r>
        <w:t>&amp;</w:t>
      </w:r>
      <w:r>
        <w:rPr>
          <w:spacing w:val="-8"/>
        </w:rPr>
        <w:t xml:space="preserve"> </w:t>
      </w:r>
      <w:r>
        <w:t>Keller,</w:t>
      </w:r>
      <w:r>
        <w:rPr>
          <w:spacing w:val="-8"/>
        </w:rPr>
        <w:t xml:space="preserve"> </w:t>
      </w:r>
      <w:r>
        <w:t>K.</w:t>
      </w:r>
      <w:r>
        <w:rPr>
          <w:spacing w:val="-8"/>
        </w:rPr>
        <w:t xml:space="preserve"> </w:t>
      </w:r>
      <w:r>
        <w:t>L.</w:t>
      </w:r>
      <w:r>
        <w:rPr>
          <w:spacing w:val="-8"/>
        </w:rPr>
        <w:t xml:space="preserve"> </w:t>
      </w:r>
      <w:r>
        <w:t>(2016).</w:t>
      </w:r>
      <w:r>
        <w:rPr>
          <w:spacing w:val="-8"/>
        </w:rPr>
        <w:t xml:space="preserve"> </w:t>
      </w:r>
      <w:r>
        <w:t>Dirección</w:t>
      </w:r>
      <w:r>
        <w:rPr>
          <w:spacing w:val="-8"/>
        </w:rPr>
        <w:t xml:space="preserve"> </w:t>
      </w:r>
      <w:r>
        <w:t>de</w:t>
      </w:r>
      <w:r>
        <w:rPr>
          <w:spacing w:val="-8"/>
        </w:rPr>
        <w:t xml:space="preserve"> </w:t>
      </w:r>
      <w:r>
        <w:t>marketing</w:t>
      </w:r>
      <w:r>
        <w:rPr>
          <w:spacing w:val="-8"/>
        </w:rPr>
        <w:t xml:space="preserve"> </w:t>
      </w:r>
      <w:r>
        <w:t>(15</w:t>
      </w:r>
      <w:proofErr w:type="gramStart"/>
      <w:r>
        <w:t>.ª</w:t>
      </w:r>
      <w:proofErr w:type="gramEnd"/>
      <w:r>
        <w:rPr>
          <w:spacing w:val="-8"/>
        </w:rPr>
        <w:t xml:space="preserve"> </w:t>
      </w:r>
      <w:r>
        <w:t>ed.).</w:t>
      </w:r>
      <w:r>
        <w:rPr>
          <w:spacing w:val="-8"/>
        </w:rPr>
        <w:t xml:space="preserve"> </w:t>
      </w:r>
      <w:r>
        <w:t>Pearson</w:t>
      </w:r>
      <w:r>
        <w:rPr>
          <w:spacing w:val="-8"/>
        </w:rPr>
        <w:t xml:space="preserve"> </w:t>
      </w:r>
      <w:r>
        <w:t>Educación. León-Canul, L. A., Quezada-Euán, J. J. G., Medina-Peralta, S., &amp; Pech-Canché, J. M.</w:t>
      </w:r>
    </w:p>
    <w:p w:rsidR="009B4BB4" w:rsidRDefault="00C44001">
      <w:pPr>
        <w:pStyle w:val="Textoindependiente"/>
        <w:spacing w:before="0" w:line="232" w:lineRule="exact"/>
        <w:ind w:left="1145"/>
      </w:pPr>
      <w:r>
        <w:t>(2023).</w:t>
      </w:r>
      <w:r>
        <w:rPr>
          <w:spacing w:val="-8"/>
        </w:rPr>
        <w:t xml:space="preserve"> </w:t>
      </w:r>
      <w:r>
        <w:t>Identification</w:t>
      </w:r>
      <w:r>
        <w:rPr>
          <w:spacing w:val="-6"/>
        </w:rPr>
        <w:t xml:space="preserve"> </w:t>
      </w:r>
      <w:r>
        <w:t>of</w:t>
      </w:r>
      <w:r>
        <w:rPr>
          <w:spacing w:val="-6"/>
        </w:rPr>
        <w:t xml:space="preserve"> </w:t>
      </w:r>
      <w:r>
        <w:t>floral</w:t>
      </w:r>
      <w:r>
        <w:rPr>
          <w:spacing w:val="-6"/>
        </w:rPr>
        <w:t xml:space="preserve"> </w:t>
      </w:r>
      <w:r>
        <w:t>resources</w:t>
      </w:r>
      <w:r>
        <w:rPr>
          <w:spacing w:val="-6"/>
        </w:rPr>
        <w:t xml:space="preserve"> </w:t>
      </w:r>
      <w:r>
        <w:t>used</w:t>
      </w:r>
      <w:r>
        <w:rPr>
          <w:spacing w:val="-6"/>
        </w:rPr>
        <w:t xml:space="preserve"> </w:t>
      </w:r>
      <w:r>
        <w:t>by</w:t>
      </w:r>
      <w:r>
        <w:rPr>
          <w:spacing w:val="-6"/>
        </w:rPr>
        <w:t xml:space="preserve"> </w:t>
      </w:r>
      <w:r>
        <w:t>the</w:t>
      </w:r>
      <w:r>
        <w:rPr>
          <w:spacing w:val="-6"/>
        </w:rPr>
        <w:t xml:space="preserve"> </w:t>
      </w:r>
      <w:r>
        <w:t>stingless</w:t>
      </w:r>
      <w:r>
        <w:rPr>
          <w:spacing w:val="-6"/>
        </w:rPr>
        <w:t xml:space="preserve"> </w:t>
      </w:r>
      <w:r>
        <w:t>bee</w:t>
      </w:r>
      <w:r>
        <w:rPr>
          <w:spacing w:val="-5"/>
        </w:rPr>
        <w:t xml:space="preserve"> </w:t>
      </w:r>
      <w:r>
        <w:rPr>
          <w:spacing w:val="-2"/>
        </w:rPr>
        <w:t>Melipona</w:t>
      </w:r>
    </w:p>
    <w:p w:rsidR="009B4BB4" w:rsidRDefault="00C44001">
      <w:pPr>
        <w:pStyle w:val="Textoindependiente"/>
        <w:spacing w:before="37"/>
        <w:ind w:left="1145"/>
      </w:pPr>
      <w:proofErr w:type="gramStart"/>
      <w:r>
        <w:t>beecheii</w:t>
      </w:r>
      <w:proofErr w:type="gramEnd"/>
      <w:r>
        <w:rPr>
          <w:spacing w:val="-11"/>
        </w:rPr>
        <w:t xml:space="preserve"> </w:t>
      </w:r>
      <w:r>
        <w:t>in</w:t>
      </w:r>
      <w:r>
        <w:rPr>
          <w:spacing w:val="-10"/>
        </w:rPr>
        <w:t xml:space="preserve"> </w:t>
      </w:r>
      <w:r>
        <w:t>Campeche.</w:t>
      </w:r>
      <w:r>
        <w:rPr>
          <w:spacing w:val="-11"/>
        </w:rPr>
        <w:t xml:space="preserve"> </w:t>
      </w:r>
      <w:r>
        <w:t>Diversity,</w:t>
      </w:r>
      <w:r>
        <w:rPr>
          <w:spacing w:val="-10"/>
        </w:rPr>
        <w:t xml:space="preserve"> </w:t>
      </w:r>
      <w:r>
        <w:t>15(12),</w:t>
      </w:r>
      <w:r>
        <w:rPr>
          <w:spacing w:val="-10"/>
        </w:rPr>
        <w:t xml:space="preserve"> </w:t>
      </w:r>
      <w:r>
        <w:rPr>
          <w:spacing w:val="-2"/>
        </w:rPr>
        <w:t>1218.</w:t>
      </w:r>
    </w:p>
    <w:p w:rsidR="009B4BB4" w:rsidRDefault="009B4BB4">
      <w:pPr>
        <w:pStyle w:val="Textoindependiente"/>
        <w:spacing w:before="25"/>
      </w:pPr>
    </w:p>
    <w:p w:rsidR="009B4BB4" w:rsidRDefault="00C44001">
      <w:pPr>
        <w:pStyle w:val="Textoindependiente"/>
        <w:spacing w:before="0" w:line="276" w:lineRule="auto"/>
        <w:ind w:left="1145" w:right="671" w:hanging="720"/>
      </w:pPr>
      <w:r>
        <w:t>López-Gómez,</w:t>
      </w:r>
      <w:r>
        <w:rPr>
          <w:spacing w:val="-4"/>
        </w:rPr>
        <w:t xml:space="preserve"> </w:t>
      </w:r>
      <w:r>
        <w:t>A.,</w:t>
      </w:r>
      <w:r>
        <w:rPr>
          <w:spacing w:val="-4"/>
        </w:rPr>
        <w:t xml:space="preserve"> </w:t>
      </w:r>
      <w:r>
        <w:t>&amp;</w:t>
      </w:r>
      <w:r>
        <w:rPr>
          <w:spacing w:val="-4"/>
        </w:rPr>
        <w:t xml:space="preserve"> </w:t>
      </w:r>
      <w:r>
        <w:t>García,</w:t>
      </w:r>
      <w:r>
        <w:rPr>
          <w:spacing w:val="-4"/>
        </w:rPr>
        <w:t xml:space="preserve"> </w:t>
      </w:r>
      <w:r>
        <w:t>J.</w:t>
      </w:r>
      <w:r>
        <w:rPr>
          <w:spacing w:val="-4"/>
        </w:rPr>
        <w:t xml:space="preserve"> </w:t>
      </w:r>
      <w:r>
        <w:t>A.</w:t>
      </w:r>
      <w:r>
        <w:rPr>
          <w:spacing w:val="-4"/>
        </w:rPr>
        <w:t xml:space="preserve"> </w:t>
      </w:r>
      <w:r>
        <w:t>(2025).</w:t>
      </w:r>
      <w:r>
        <w:rPr>
          <w:spacing w:val="-4"/>
        </w:rPr>
        <w:t xml:space="preserve"> </w:t>
      </w:r>
      <w:r>
        <w:t>Costos</w:t>
      </w:r>
      <w:r>
        <w:rPr>
          <w:spacing w:val="-4"/>
        </w:rPr>
        <w:t xml:space="preserve"> </w:t>
      </w:r>
      <w:r>
        <w:t>de</w:t>
      </w:r>
      <w:r>
        <w:rPr>
          <w:spacing w:val="-4"/>
        </w:rPr>
        <w:t xml:space="preserve"> </w:t>
      </w:r>
      <w:r>
        <w:t>producción</w:t>
      </w:r>
      <w:r>
        <w:rPr>
          <w:spacing w:val="-4"/>
        </w:rPr>
        <w:t xml:space="preserve"> </w:t>
      </w:r>
      <w:r>
        <w:t>y</w:t>
      </w:r>
      <w:r>
        <w:rPr>
          <w:spacing w:val="-4"/>
        </w:rPr>
        <w:t xml:space="preserve"> </w:t>
      </w:r>
      <w:r>
        <w:t>rentabilidad</w:t>
      </w:r>
      <w:r>
        <w:rPr>
          <w:spacing w:val="-4"/>
        </w:rPr>
        <w:t xml:space="preserve"> </w:t>
      </w:r>
      <w:r>
        <w:t>de</w:t>
      </w:r>
      <w:r>
        <w:rPr>
          <w:spacing w:val="-4"/>
        </w:rPr>
        <w:t xml:space="preserve"> </w:t>
      </w:r>
      <w:r>
        <w:t xml:space="preserve">la meliponicultura en Yucatán. Acta Agrícola y Pecuaria, 11(1), 001. </w:t>
      </w:r>
      <w:hyperlink r:id="rId59">
        <w:r>
          <w:rPr>
            <w:spacing w:val="-2"/>
          </w:rPr>
          <w:t>https://doi.org/1</w:t>
        </w:r>
        <w:r>
          <w:rPr>
            <w:spacing w:val="-2"/>
          </w:rPr>
          <w:t>0.30973/aap/2025.11.0111001</w:t>
        </w:r>
      </w:hyperlink>
    </w:p>
    <w:p w:rsidR="009B4BB4" w:rsidRDefault="00C44001">
      <w:pPr>
        <w:pStyle w:val="Textoindependiente"/>
        <w:ind w:left="425"/>
      </w:pPr>
      <w:r>
        <w:t>Mariampolski,</w:t>
      </w:r>
      <w:r>
        <w:rPr>
          <w:spacing w:val="-9"/>
        </w:rPr>
        <w:t xml:space="preserve"> </w:t>
      </w:r>
      <w:r>
        <w:t>H.</w:t>
      </w:r>
      <w:r>
        <w:rPr>
          <w:spacing w:val="-6"/>
        </w:rPr>
        <w:t xml:space="preserve"> </w:t>
      </w:r>
      <w:r>
        <w:t>(2001).</w:t>
      </w:r>
      <w:r>
        <w:rPr>
          <w:spacing w:val="-6"/>
        </w:rPr>
        <w:t xml:space="preserve"> </w:t>
      </w:r>
      <w:r>
        <w:t>Qualitative</w:t>
      </w:r>
      <w:r>
        <w:rPr>
          <w:spacing w:val="-6"/>
        </w:rPr>
        <w:t xml:space="preserve"> </w:t>
      </w:r>
      <w:r>
        <w:t>market</w:t>
      </w:r>
      <w:r>
        <w:rPr>
          <w:spacing w:val="-6"/>
        </w:rPr>
        <w:t xml:space="preserve"> </w:t>
      </w:r>
      <w:r>
        <w:t>research:</w:t>
      </w:r>
      <w:r>
        <w:rPr>
          <w:spacing w:val="-6"/>
        </w:rPr>
        <w:t xml:space="preserve"> </w:t>
      </w:r>
      <w:r>
        <w:t>A</w:t>
      </w:r>
      <w:r>
        <w:rPr>
          <w:spacing w:val="-6"/>
        </w:rPr>
        <w:t xml:space="preserve"> </w:t>
      </w:r>
      <w:r>
        <w:t>practitioner’s</w:t>
      </w:r>
      <w:r>
        <w:rPr>
          <w:spacing w:val="-6"/>
        </w:rPr>
        <w:t xml:space="preserve"> </w:t>
      </w:r>
      <w:r>
        <w:t>and</w:t>
      </w:r>
      <w:r>
        <w:rPr>
          <w:spacing w:val="-6"/>
        </w:rPr>
        <w:t xml:space="preserve"> </w:t>
      </w:r>
      <w:r>
        <w:t>buyer’s</w:t>
      </w:r>
      <w:r>
        <w:rPr>
          <w:spacing w:val="-6"/>
        </w:rPr>
        <w:t xml:space="preserve"> </w:t>
      </w:r>
      <w:r>
        <w:rPr>
          <w:spacing w:val="-2"/>
        </w:rPr>
        <w:t>guide.</w:t>
      </w:r>
    </w:p>
    <w:p w:rsidR="009B4BB4" w:rsidRDefault="00C44001">
      <w:pPr>
        <w:pStyle w:val="Textoindependiente"/>
        <w:spacing w:before="38"/>
        <w:ind w:left="1145"/>
      </w:pPr>
      <w:r>
        <w:t>SAGE</w:t>
      </w:r>
      <w:r>
        <w:rPr>
          <w:spacing w:val="-4"/>
        </w:rPr>
        <w:t xml:space="preserve"> </w:t>
      </w:r>
      <w:r>
        <w:rPr>
          <w:spacing w:val="-2"/>
        </w:rPr>
        <w:t>Publications.</w:t>
      </w:r>
    </w:p>
    <w:p w:rsidR="009B4BB4" w:rsidRDefault="009B4BB4">
      <w:pPr>
        <w:pStyle w:val="Textoindependiente"/>
        <w:spacing w:before="25"/>
      </w:pPr>
    </w:p>
    <w:p w:rsidR="009B4BB4" w:rsidRDefault="00C44001">
      <w:pPr>
        <w:pStyle w:val="Textoindependiente"/>
        <w:spacing w:before="0" w:line="276" w:lineRule="auto"/>
        <w:ind w:left="1145" w:right="923" w:hanging="720"/>
      </w:pPr>
      <w:r>
        <w:t>Market</w:t>
      </w:r>
      <w:r>
        <w:rPr>
          <w:spacing w:val="-4"/>
        </w:rPr>
        <w:t xml:space="preserve"> </w:t>
      </w:r>
      <w:r>
        <w:t>Research</w:t>
      </w:r>
      <w:r>
        <w:rPr>
          <w:spacing w:val="-4"/>
        </w:rPr>
        <w:t xml:space="preserve"> </w:t>
      </w:r>
      <w:r>
        <w:t>Future.</w:t>
      </w:r>
      <w:r>
        <w:rPr>
          <w:spacing w:val="-4"/>
        </w:rPr>
        <w:t xml:space="preserve"> </w:t>
      </w:r>
      <w:r>
        <w:t>(2025).</w:t>
      </w:r>
      <w:r>
        <w:rPr>
          <w:spacing w:val="-4"/>
        </w:rPr>
        <w:t xml:space="preserve"> </w:t>
      </w:r>
      <w:r>
        <w:t>Informe</w:t>
      </w:r>
      <w:r>
        <w:rPr>
          <w:spacing w:val="-4"/>
        </w:rPr>
        <w:t xml:space="preserve"> </w:t>
      </w:r>
      <w:r>
        <w:t>de</w:t>
      </w:r>
      <w:r>
        <w:rPr>
          <w:spacing w:val="-4"/>
        </w:rPr>
        <w:t xml:space="preserve"> </w:t>
      </w:r>
      <w:r>
        <w:t>análisis</w:t>
      </w:r>
      <w:r>
        <w:rPr>
          <w:spacing w:val="-4"/>
        </w:rPr>
        <w:t xml:space="preserve"> </w:t>
      </w:r>
      <w:r>
        <w:t>del</w:t>
      </w:r>
      <w:r>
        <w:rPr>
          <w:spacing w:val="-4"/>
        </w:rPr>
        <w:t xml:space="preserve"> </w:t>
      </w:r>
      <w:r>
        <w:t>crecimiento</w:t>
      </w:r>
      <w:r>
        <w:rPr>
          <w:spacing w:val="-4"/>
        </w:rPr>
        <w:t xml:space="preserve"> </w:t>
      </w:r>
      <w:r>
        <w:t>del</w:t>
      </w:r>
      <w:r>
        <w:rPr>
          <w:spacing w:val="-4"/>
        </w:rPr>
        <w:t xml:space="preserve"> </w:t>
      </w:r>
      <w:r>
        <w:t>mercado</w:t>
      </w:r>
      <w:r>
        <w:rPr>
          <w:spacing w:val="-4"/>
        </w:rPr>
        <w:t xml:space="preserve"> </w:t>
      </w:r>
      <w:r>
        <w:t>de</w:t>
      </w:r>
      <w:r>
        <w:rPr>
          <w:spacing w:val="-4"/>
        </w:rPr>
        <w:t xml:space="preserve"> </w:t>
      </w:r>
      <w:r>
        <w:t xml:space="preserve">la miel: tamaño y participación 2025–2034. Market Research Future. </w:t>
      </w:r>
      <w:hyperlink r:id="rId60">
        <w:r>
          <w:rPr>
            <w:spacing w:val="-2"/>
          </w:rPr>
          <w:t>https://www.marketresearchfuture.com/reports/honey-market-1889</w:t>
        </w:r>
      </w:hyperlink>
    </w:p>
    <w:p w:rsidR="009B4BB4" w:rsidRDefault="00C44001">
      <w:pPr>
        <w:pStyle w:val="Textoindependiente"/>
        <w:spacing w:line="276" w:lineRule="auto"/>
        <w:ind w:left="1145" w:right="825" w:hanging="720"/>
      </w:pPr>
      <w:r>
        <w:t>McCarthy,</w:t>
      </w:r>
      <w:r>
        <w:rPr>
          <w:spacing w:val="-7"/>
        </w:rPr>
        <w:t xml:space="preserve"> </w:t>
      </w:r>
      <w:r>
        <w:t>E.</w:t>
      </w:r>
      <w:r>
        <w:rPr>
          <w:spacing w:val="-7"/>
        </w:rPr>
        <w:t xml:space="preserve"> </w:t>
      </w:r>
      <w:r>
        <w:t>J.,</w:t>
      </w:r>
      <w:r>
        <w:rPr>
          <w:spacing w:val="-7"/>
        </w:rPr>
        <w:t xml:space="preserve"> </w:t>
      </w:r>
      <w:r>
        <w:t>&amp;</w:t>
      </w:r>
      <w:r>
        <w:rPr>
          <w:spacing w:val="-7"/>
        </w:rPr>
        <w:t xml:space="preserve"> </w:t>
      </w:r>
      <w:r>
        <w:t>Perreault,</w:t>
      </w:r>
      <w:r>
        <w:rPr>
          <w:spacing w:val="-7"/>
        </w:rPr>
        <w:t xml:space="preserve"> </w:t>
      </w:r>
      <w:r>
        <w:t>W.</w:t>
      </w:r>
      <w:r>
        <w:rPr>
          <w:spacing w:val="-7"/>
        </w:rPr>
        <w:t xml:space="preserve"> </w:t>
      </w:r>
      <w:r>
        <w:t>D.</w:t>
      </w:r>
      <w:r>
        <w:rPr>
          <w:spacing w:val="-7"/>
        </w:rPr>
        <w:t xml:space="preserve"> </w:t>
      </w:r>
      <w:r>
        <w:t>(2002).</w:t>
      </w:r>
      <w:r>
        <w:rPr>
          <w:spacing w:val="-7"/>
        </w:rPr>
        <w:t xml:space="preserve"> </w:t>
      </w:r>
      <w:r>
        <w:t>Basic</w:t>
      </w:r>
      <w:r>
        <w:rPr>
          <w:spacing w:val="-7"/>
        </w:rPr>
        <w:t xml:space="preserve"> </w:t>
      </w:r>
      <w:r>
        <w:t>marketing:</w:t>
      </w:r>
      <w:r>
        <w:rPr>
          <w:spacing w:val="-7"/>
        </w:rPr>
        <w:t xml:space="preserve"> </w:t>
      </w:r>
      <w:r>
        <w:t>A</w:t>
      </w:r>
      <w:r>
        <w:rPr>
          <w:spacing w:val="-7"/>
        </w:rPr>
        <w:t xml:space="preserve"> </w:t>
      </w:r>
      <w:r>
        <w:t>global-managerial approach (14</w:t>
      </w:r>
      <w:proofErr w:type="gramStart"/>
      <w:r>
        <w:t>.ª</w:t>
      </w:r>
      <w:proofErr w:type="gramEnd"/>
      <w:r>
        <w:t xml:space="preserve"> ed.). McGraw-Hill.</w:t>
      </w:r>
    </w:p>
    <w:p w:rsidR="009B4BB4" w:rsidRDefault="00C44001">
      <w:pPr>
        <w:pStyle w:val="Textoindependiente"/>
        <w:spacing w:line="276" w:lineRule="auto"/>
        <w:ind w:left="1145" w:right="671" w:hanging="720"/>
      </w:pPr>
      <w:r>
        <w:t>Méndez, E., Uc, J., &amp; Cahuich, R. (2023). Exportaciones de miel orgánica desde Calakmul</w:t>
      </w:r>
      <w:r>
        <w:rPr>
          <w:spacing w:val="-5"/>
        </w:rPr>
        <w:t xml:space="preserve"> </w:t>
      </w:r>
      <w:r>
        <w:t>a</w:t>
      </w:r>
      <w:r>
        <w:rPr>
          <w:spacing w:val="-5"/>
        </w:rPr>
        <w:t xml:space="preserve"> </w:t>
      </w:r>
      <w:r>
        <w:t>Europa</w:t>
      </w:r>
      <w:r>
        <w:rPr>
          <w:spacing w:val="-5"/>
        </w:rPr>
        <w:t xml:space="preserve"> </w:t>
      </w:r>
      <w:r>
        <w:t>y</w:t>
      </w:r>
      <w:r>
        <w:rPr>
          <w:spacing w:val="-5"/>
        </w:rPr>
        <w:t xml:space="preserve"> </w:t>
      </w:r>
      <w:r>
        <w:t>Medio</w:t>
      </w:r>
      <w:r>
        <w:rPr>
          <w:spacing w:val="-5"/>
        </w:rPr>
        <w:t xml:space="preserve"> </w:t>
      </w:r>
      <w:r>
        <w:t>Oriente.</w:t>
      </w:r>
      <w:r>
        <w:rPr>
          <w:spacing w:val="-5"/>
        </w:rPr>
        <w:t xml:space="preserve"> </w:t>
      </w:r>
      <w:r>
        <w:t>European</w:t>
      </w:r>
      <w:r>
        <w:rPr>
          <w:spacing w:val="-5"/>
        </w:rPr>
        <w:t xml:space="preserve"> </w:t>
      </w:r>
      <w:r>
        <w:t>Scientific</w:t>
      </w:r>
      <w:r>
        <w:rPr>
          <w:spacing w:val="-5"/>
        </w:rPr>
        <w:t xml:space="preserve"> </w:t>
      </w:r>
      <w:r>
        <w:t>Journal</w:t>
      </w:r>
      <w:r>
        <w:rPr>
          <w:spacing w:val="-5"/>
        </w:rPr>
        <w:t xml:space="preserve"> </w:t>
      </w:r>
      <w:r>
        <w:t>(ESJ),</w:t>
      </w:r>
      <w:r>
        <w:rPr>
          <w:spacing w:val="-5"/>
        </w:rPr>
        <w:t xml:space="preserve"> </w:t>
      </w:r>
      <w:r>
        <w:t xml:space="preserve">19(15), 142–165. </w:t>
      </w:r>
      <w:hyperlink r:id="rId61">
        <w:r>
          <w:t>https://eujournal.org/index.php/esj/article/view/16842</w:t>
        </w:r>
      </w:hyperlink>
    </w:p>
    <w:p w:rsidR="009B4BB4" w:rsidRDefault="00C44001">
      <w:pPr>
        <w:pStyle w:val="Textoindependiente"/>
        <w:ind w:left="425"/>
      </w:pPr>
      <w:r>
        <w:t>Mexico</w:t>
      </w:r>
      <w:r>
        <w:rPr>
          <w:spacing w:val="-10"/>
        </w:rPr>
        <w:t xml:space="preserve"> </w:t>
      </w:r>
      <w:r>
        <w:t>News</w:t>
      </w:r>
      <w:r>
        <w:rPr>
          <w:spacing w:val="-7"/>
        </w:rPr>
        <w:t xml:space="preserve"> </w:t>
      </w:r>
      <w:r>
        <w:t>Daily.</w:t>
      </w:r>
      <w:r>
        <w:rPr>
          <w:spacing w:val="-7"/>
        </w:rPr>
        <w:t xml:space="preserve"> </w:t>
      </w:r>
      <w:r>
        <w:t>(2023).</w:t>
      </w:r>
      <w:r>
        <w:rPr>
          <w:spacing w:val="-8"/>
        </w:rPr>
        <w:t xml:space="preserve"> </w:t>
      </w:r>
      <w:r>
        <w:t>Melipona</w:t>
      </w:r>
      <w:r>
        <w:rPr>
          <w:spacing w:val="-7"/>
        </w:rPr>
        <w:t xml:space="preserve"> </w:t>
      </w:r>
      <w:r>
        <w:t>honey:</w:t>
      </w:r>
      <w:r>
        <w:rPr>
          <w:spacing w:val="-7"/>
        </w:rPr>
        <w:t xml:space="preserve"> </w:t>
      </w:r>
      <w:r>
        <w:t>The</w:t>
      </w:r>
      <w:r>
        <w:rPr>
          <w:spacing w:val="-7"/>
        </w:rPr>
        <w:t xml:space="preserve"> </w:t>
      </w:r>
      <w:r>
        <w:t>ancient</w:t>
      </w:r>
      <w:r>
        <w:rPr>
          <w:spacing w:val="-8"/>
        </w:rPr>
        <w:t xml:space="preserve"> </w:t>
      </w:r>
      <w:r>
        <w:t>Mayan</w:t>
      </w:r>
      <w:r>
        <w:rPr>
          <w:spacing w:val="-7"/>
        </w:rPr>
        <w:t xml:space="preserve"> </w:t>
      </w:r>
      <w:r>
        <w:t>elixir</w:t>
      </w:r>
      <w:r>
        <w:rPr>
          <w:spacing w:val="-7"/>
        </w:rPr>
        <w:t xml:space="preserve"> </w:t>
      </w:r>
      <w:r>
        <w:t>facing</w:t>
      </w:r>
      <w:r>
        <w:rPr>
          <w:spacing w:val="-7"/>
        </w:rPr>
        <w:t xml:space="preserve"> </w:t>
      </w:r>
      <w:r>
        <w:rPr>
          <w:spacing w:val="-2"/>
        </w:rPr>
        <w:t>extinction.</w:t>
      </w:r>
    </w:p>
    <w:p w:rsidR="009B4BB4" w:rsidRDefault="00C44001">
      <w:pPr>
        <w:pStyle w:val="Textoindependiente"/>
        <w:spacing w:before="38"/>
        <w:ind w:left="1145"/>
      </w:pPr>
      <w:r>
        <w:t>Mexico</w:t>
      </w:r>
      <w:r>
        <w:rPr>
          <w:spacing w:val="-5"/>
        </w:rPr>
        <w:t xml:space="preserve"> </w:t>
      </w:r>
      <w:r>
        <w:t>News</w:t>
      </w:r>
      <w:r>
        <w:rPr>
          <w:spacing w:val="-5"/>
        </w:rPr>
        <w:t xml:space="preserve"> </w:t>
      </w:r>
      <w:r>
        <w:rPr>
          <w:spacing w:val="-2"/>
        </w:rPr>
        <w:t>Daily.</w:t>
      </w:r>
    </w:p>
    <w:p w:rsidR="009B4BB4" w:rsidRDefault="00C44001">
      <w:pPr>
        <w:pStyle w:val="Textoindependiente"/>
        <w:spacing w:before="38"/>
        <w:ind w:left="1145"/>
      </w:pPr>
      <w:hyperlink r:id="rId62">
        <w:r>
          <w:rPr>
            <w:spacing w:val="-2"/>
          </w:rPr>
          <w:t>https://mexiconewsdaily.com/lifestyle/melipona-honey-mayan-elixir-extinction/</w:t>
        </w:r>
      </w:hyperlink>
    </w:p>
    <w:p w:rsidR="009B4BB4" w:rsidRDefault="009B4BB4">
      <w:pPr>
        <w:pStyle w:val="Textoindependiente"/>
        <w:spacing w:before="25"/>
      </w:pPr>
    </w:p>
    <w:p w:rsidR="009B4BB4" w:rsidRDefault="00C44001">
      <w:pPr>
        <w:pStyle w:val="Textoindependiente"/>
        <w:spacing w:before="0" w:line="276" w:lineRule="auto"/>
        <w:ind w:left="1145" w:right="531" w:hanging="720"/>
      </w:pPr>
      <w:r>
        <w:t>Moroz,</w:t>
      </w:r>
      <w:r>
        <w:rPr>
          <w:spacing w:val="-10"/>
        </w:rPr>
        <w:t xml:space="preserve"> </w:t>
      </w:r>
      <w:r>
        <w:t>P.</w:t>
      </w:r>
      <w:r>
        <w:rPr>
          <w:spacing w:val="-10"/>
        </w:rPr>
        <w:t xml:space="preserve"> </w:t>
      </w:r>
      <w:r>
        <w:t>W.,</w:t>
      </w:r>
      <w:r>
        <w:rPr>
          <w:spacing w:val="-10"/>
        </w:rPr>
        <w:t xml:space="preserve"> </w:t>
      </w:r>
      <w:r>
        <w:t>Tabares,</w:t>
      </w:r>
      <w:r>
        <w:rPr>
          <w:spacing w:val="-10"/>
        </w:rPr>
        <w:t xml:space="preserve"> </w:t>
      </w:r>
      <w:r>
        <w:t>S.,</w:t>
      </w:r>
      <w:r>
        <w:rPr>
          <w:spacing w:val="-10"/>
        </w:rPr>
        <w:t xml:space="preserve"> </w:t>
      </w:r>
      <w:r>
        <w:t>&amp;</w:t>
      </w:r>
      <w:r>
        <w:rPr>
          <w:spacing w:val="-10"/>
        </w:rPr>
        <w:t xml:space="preserve"> </w:t>
      </w:r>
      <w:r>
        <w:t>Zhang,</w:t>
      </w:r>
      <w:r>
        <w:rPr>
          <w:spacing w:val="-10"/>
        </w:rPr>
        <w:t xml:space="preserve"> </w:t>
      </w:r>
      <w:r>
        <w:t>W.</w:t>
      </w:r>
      <w:r>
        <w:rPr>
          <w:spacing w:val="-10"/>
        </w:rPr>
        <w:t xml:space="preserve"> </w:t>
      </w:r>
      <w:r>
        <w:t>(2022).</w:t>
      </w:r>
      <w:r>
        <w:rPr>
          <w:spacing w:val="-10"/>
        </w:rPr>
        <w:t xml:space="preserve"> </w:t>
      </w:r>
      <w:r>
        <w:t>Sustainable</w:t>
      </w:r>
      <w:r>
        <w:rPr>
          <w:spacing w:val="-10"/>
        </w:rPr>
        <w:t xml:space="preserve"> </w:t>
      </w:r>
      <w:r>
        <w:t>business</w:t>
      </w:r>
      <w:r>
        <w:rPr>
          <w:spacing w:val="-10"/>
        </w:rPr>
        <w:t xml:space="preserve"> </w:t>
      </w:r>
      <w:r>
        <w:t>model</w:t>
      </w:r>
      <w:r>
        <w:rPr>
          <w:spacing w:val="-10"/>
        </w:rPr>
        <w:t xml:space="preserve"> </w:t>
      </w:r>
      <w:r>
        <w:t>archetyp</w:t>
      </w:r>
      <w:r>
        <w:t>es:</w:t>
      </w:r>
      <w:r>
        <w:rPr>
          <w:spacing w:val="-10"/>
        </w:rPr>
        <w:t xml:space="preserve"> </w:t>
      </w:r>
      <w:r>
        <w:t xml:space="preserve">B Corps as a reference point. Sustainability, 14(4), 1932. </w:t>
      </w:r>
      <w:hyperlink r:id="rId63">
        <w:r>
          <w:rPr>
            <w:spacing w:val="-2"/>
          </w:rPr>
          <w:t>https://doi.org/10.3390/su14041932</w:t>
        </w:r>
      </w:hyperlink>
    </w:p>
    <w:p w:rsidR="009B4BB4" w:rsidRDefault="00C44001">
      <w:pPr>
        <w:pStyle w:val="Textoindependiente"/>
        <w:spacing w:line="276" w:lineRule="auto"/>
        <w:ind w:left="1145" w:right="671" w:hanging="720"/>
      </w:pPr>
      <w:r>
        <w:t>Network</w:t>
      </w:r>
      <w:r>
        <w:rPr>
          <w:spacing w:val="-5"/>
        </w:rPr>
        <w:t xml:space="preserve"> </w:t>
      </w:r>
      <w:r>
        <w:t>for</w:t>
      </w:r>
      <w:r>
        <w:rPr>
          <w:spacing w:val="-5"/>
        </w:rPr>
        <w:t xml:space="preserve"> </w:t>
      </w:r>
      <w:r>
        <w:t>Business</w:t>
      </w:r>
      <w:r>
        <w:rPr>
          <w:spacing w:val="-5"/>
        </w:rPr>
        <w:t xml:space="preserve"> </w:t>
      </w:r>
      <w:r>
        <w:t>Sustainability</w:t>
      </w:r>
      <w:r>
        <w:rPr>
          <w:spacing w:val="-5"/>
        </w:rPr>
        <w:t xml:space="preserve"> </w:t>
      </w:r>
      <w:r>
        <w:t>Chile.</w:t>
      </w:r>
      <w:r>
        <w:rPr>
          <w:spacing w:val="-5"/>
        </w:rPr>
        <w:t xml:space="preserve"> </w:t>
      </w:r>
      <w:r>
        <w:t>(2015).</w:t>
      </w:r>
      <w:r>
        <w:rPr>
          <w:spacing w:val="-5"/>
        </w:rPr>
        <w:t xml:space="preserve"> </w:t>
      </w:r>
      <w:r>
        <w:t>Latin</w:t>
      </w:r>
      <w:r>
        <w:rPr>
          <w:spacing w:val="-5"/>
        </w:rPr>
        <w:t xml:space="preserve"> </w:t>
      </w:r>
      <w:r>
        <w:t>American</w:t>
      </w:r>
      <w:r>
        <w:rPr>
          <w:spacing w:val="-5"/>
        </w:rPr>
        <w:t xml:space="preserve"> </w:t>
      </w:r>
      <w:r>
        <w:t>B</w:t>
      </w:r>
      <w:r>
        <w:rPr>
          <w:spacing w:val="-5"/>
        </w:rPr>
        <w:t xml:space="preserve"> </w:t>
      </w:r>
      <w:r>
        <w:t>Corp</w:t>
      </w:r>
      <w:r>
        <w:rPr>
          <w:spacing w:val="-5"/>
        </w:rPr>
        <w:t xml:space="preserve"> </w:t>
      </w:r>
      <w:r>
        <w:t xml:space="preserve">sustainability challenges. NBS </w:t>
      </w:r>
      <w:r>
        <w:t>Chile.</w:t>
      </w:r>
    </w:p>
    <w:p w:rsidR="009B4BB4" w:rsidRDefault="00C44001">
      <w:pPr>
        <w:pStyle w:val="Textoindependiente"/>
        <w:spacing w:before="0"/>
        <w:ind w:left="1145"/>
      </w:pPr>
      <w:hyperlink r:id="rId64">
        <w:r>
          <w:rPr>
            <w:spacing w:val="-2"/>
          </w:rPr>
          <w:t>https://nbs.net/latin-american-b-corp-sustainability-challenges-2015/</w:t>
        </w:r>
      </w:hyperlink>
    </w:p>
    <w:p w:rsidR="009B4BB4" w:rsidRDefault="009B4BB4">
      <w:pPr>
        <w:pStyle w:val="Textoindependiente"/>
        <w:sectPr w:rsidR="009B4BB4">
          <w:pgSz w:w="11920" w:h="16840"/>
          <w:pgMar w:top="1500" w:right="850" w:bottom="1940" w:left="1275" w:header="0" w:footer="1747" w:gutter="0"/>
          <w:cols w:space="720"/>
        </w:sectPr>
      </w:pPr>
    </w:p>
    <w:p w:rsidR="009B4BB4" w:rsidRDefault="00C44001">
      <w:pPr>
        <w:pStyle w:val="Textoindependiente"/>
        <w:spacing w:before="79" w:line="276" w:lineRule="auto"/>
        <w:ind w:left="1145" w:right="671" w:hanging="720"/>
      </w:pPr>
      <w:r>
        <w:lastRenderedPageBreak/>
        <w:t>Nicholls,</w:t>
      </w:r>
      <w:r>
        <w:rPr>
          <w:spacing w:val="-4"/>
        </w:rPr>
        <w:t xml:space="preserve"> </w:t>
      </w:r>
      <w:r>
        <w:t>A.</w:t>
      </w:r>
      <w:r>
        <w:rPr>
          <w:spacing w:val="-4"/>
        </w:rPr>
        <w:t xml:space="preserve"> </w:t>
      </w:r>
      <w:r>
        <w:t>(2009).</w:t>
      </w:r>
      <w:r>
        <w:rPr>
          <w:spacing w:val="-4"/>
        </w:rPr>
        <w:t xml:space="preserve"> </w:t>
      </w:r>
      <w:r>
        <w:t>‘We</w:t>
      </w:r>
      <w:r>
        <w:rPr>
          <w:spacing w:val="-4"/>
        </w:rPr>
        <w:t xml:space="preserve"> </w:t>
      </w:r>
      <w:r>
        <w:t>do</w:t>
      </w:r>
      <w:r>
        <w:rPr>
          <w:spacing w:val="-4"/>
        </w:rPr>
        <w:t xml:space="preserve"> </w:t>
      </w:r>
      <w:r>
        <w:t>good</w:t>
      </w:r>
      <w:r>
        <w:rPr>
          <w:spacing w:val="-4"/>
        </w:rPr>
        <w:t xml:space="preserve"> </w:t>
      </w:r>
      <w:r>
        <w:t>things,</w:t>
      </w:r>
      <w:r>
        <w:rPr>
          <w:spacing w:val="-4"/>
        </w:rPr>
        <w:t xml:space="preserve"> </w:t>
      </w:r>
      <w:r>
        <w:t>don’t</w:t>
      </w:r>
      <w:r>
        <w:rPr>
          <w:spacing w:val="-4"/>
        </w:rPr>
        <w:t xml:space="preserve"> </w:t>
      </w:r>
      <w:r>
        <w:t>we?’:</w:t>
      </w:r>
      <w:r>
        <w:rPr>
          <w:spacing w:val="-4"/>
        </w:rPr>
        <w:t xml:space="preserve"> </w:t>
      </w:r>
      <w:r>
        <w:t>‘Blended</w:t>
      </w:r>
      <w:r>
        <w:rPr>
          <w:spacing w:val="-4"/>
        </w:rPr>
        <w:t xml:space="preserve"> </w:t>
      </w:r>
      <w:r>
        <w:t>value</w:t>
      </w:r>
      <w:r>
        <w:rPr>
          <w:spacing w:val="-4"/>
        </w:rPr>
        <w:t xml:space="preserve"> </w:t>
      </w:r>
      <w:r>
        <w:t>accounting’</w:t>
      </w:r>
      <w:r>
        <w:rPr>
          <w:spacing w:val="-4"/>
        </w:rPr>
        <w:t xml:space="preserve"> </w:t>
      </w:r>
      <w:r>
        <w:t>in</w:t>
      </w:r>
      <w:r>
        <w:rPr>
          <w:spacing w:val="-4"/>
        </w:rPr>
        <w:t xml:space="preserve"> </w:t>
      </w:r>
      <w:r>
        <w:t xml:space="preserve">social entrepreneurship. Accounting, Organizations and Society, 34(6), 755–769. </w:t>
      </w:r>
      <w:hyperlink r:id="rId65">
        <w:r>
          <w:rPr>
            <w:spacing w:val="-2"/>
          </w:rPr>
          <w:t>https://doi.org/10.1016/j.aos.2009.04.008</w:t>
        </w:r>
      </w:hyperlink>
    </w:p>
    <w:p w:rsidR="009B4BB4" w:rsidRDefault="00C44001">
      <w:pPr>
        <w:pStyle w:val="Textoindependiente"/>
        <w:spacing w:line="276" w:lineRule="auto"/>
        <w:ind w:left="1145" w:right="671" w:hanging="720"/>
      </w:pPr>
      <w:r>
        <w:t>Nicholls,</w:t>
      </w:r>
      <w:r>
        <w:rPr>
          <w:spacing w:val="-6"/>
        </w:rPr>
        <w:t xml:space="preserve"> </w:t>
      </w:r>
      <w:r>
        <w:t>J.,</w:t>
      </w:r>
      <w:r>
        <w:rPr>
          <w:spacing w:val="-6"/>
        </w:rPr>
        <w:t xml:space="preserve"> </w:t>
      </w:r>
      <w:r>
        <w:t>Lawlor,</w:t>
      </w:r>
      <w:r>
        <w:rPr>
          <w:spacing w:val="-6"/>
        </w:rPr>
        <w:t xml:space="preserve"> </w:t>
      </w:r>
      <w:r>
        <w:t>E.,</w:t>
      </w:r>
      <w:r>
        <w:rPr>
          <w:spacing w:val="-6"/>
        </w:rPr>
        <w:t xml:space="preserve"> </w:t>
      </w:r>
      <w:r>
        <w:t>Neitzert,</w:t>
      </w:r>
      <w:r>
        <w:rPr>
          <w:spacing w:val="-6"/>
        </w:rPr>
        <w:t xml:space="preserve"> </w:t>
      </w:r>
      <w:r>
        <w:t>E.,</w:t>
      </w:r>
      <w:r>
        <w:rPr>
          <w:spacing w:val="-6"/>
        </w:rPr>
        <w:t xml:space="preserve"> </w:t>
      </w:r>
      <w:r>
        <w:t>&amp;</w:t>
      </w:r>
      <w:r>
        <w:rPr>
          <w:spacing w:val="-6"/>
        </w:rPr>
        <w:t xml:space="preserve"> </w:t>
      </w:r>
      <w:r>
        <w:t>Goodspeed,</w:t>
      </w:r>
      <w:r>
        <w:rPr>
          <w:spacing w:val="-6"/>
        </w:rPr>
        <w:t xml:space="preserve"> </w:t>
      </w:r>
      <w:r>
        <w:t>T.</w:t>
      </w:r>
      <w:r>
        <w:rPr>
          <w:spacing w:val="-6"/>
        </w:rPr>
        <w:t xml:space="preserve"> </w:t>
      </w:r>
      <w:r>
        <w:t>(2012).</w:t>
      </w:r>
      <w:r>
        <w:rPr>
          <w:spacing w:val="-6"/>
        </w:rPr>
        <w:t xml:space="preserve"> </w:t>
      </w:r>
      <w:r>
        <w:t>A</w:t>
      </w:r>
      <w:r>
        <w:rPr>
          <w:spacing w:val="-6"/>
        </w:rPr>
        <w:t xml:space="preserve"> </w:t>
      </w:r>
      <w:r>
        <w:t>guide</w:t>
      </w:r>
      <w:r>
        <w:rPr>
          <w:spacing w:val="-6"/>
        </w:rPr>
        <w:t xml:space="preserve"> </w:t>
      </w:r>
      <w:r>
        <w:t>to</w:t>
      </w:r>
      <w:r>
        <w:rPr>
          <w:spacing w:val="-6"/>
        </w:rPr>
        <w:t xml:space="preserve"> </w:t>
      </w:r>
      <w:r>
        <w:t>social</w:t>
      </w:r>
      <w:r>
        <w:rPr>
          <w:spacing w:val="-6"/>
        </w:rPr>
        <w:t xml:space="preserve"> </w:t>
      </w:r>
      <w:r>
        <w:t>return</w:t>
      </w:r>
      <w:r>
        <w:rPr>
          <w:spacing w:val="-6"/>
        </w:rPr>
        <w:t xml:space="preserve"> </w:t>
      </w:r>
      <w:r>
        <w:t>on investment. SROI Network.</w:t>
      </w:r>
    </w:p>
    <w:p w:rsidR="009B4BB4" w:rsidRDefault="00C44001">
      <w:pPr>
        <w:pStyle w:val="Textoindependiente"/>
        <w:spacing w:before="0"/>
        <w:ind w:left="1145"/>
      </w:pPr>
      <w:hyperlink r:id="rId66">
        <w:r>
          <w:rPr>
            <w:spacing w:val="-2"/>
          </w:rPr>
          <w:t>https://socialvalueuk.org/resource/a-guide-to-social-return-on-investment-2012/</w:t>
        </w:r>
      </w:hyperlink>
    </w:p>
    <w:p w:rsidR="009B4BB4" w:rsidRDefault="009B4BB4">
      <w:pPr>
        <w:pStyle w:val="Textoindependiente"/>
        <w:spacing w:before="25"/>
      </w:pPr>
    </w:p>
    <w:p w:rsidR="009B4BB4" w:rsidRDefault="00C44001">
      <w:pPr>
        <w:pStyle w:val="Textoindependiente"/>
        <w:spacing w:before="0" w:line="276" w:lineRule="auto"/>
        <w:ind w:left="1145" w:right="671" w:hanging="720"/>
      </w:pPr>
      <w:r>
        <w:t>NOM-004-SAG/GA</w:t>
      </w:r>
      <w:r>
        <w:t>N-2018.</w:t>
      </w:r>
      <w:r>
        <w:rPr>
          <w:spacing w:val="-6"/>
        </w:rPr>
        <w:t xml:space="preserve"> </w:t>
      </w:r>
      <w:r>
        <w:t>(2018).</w:t>
      </w:r>
      <w:r>
        <w:rPr>
          <w:spacing w:val="-6"/>
        </w:rPr>
        <w:t xml:space="preserve"> </w:t>
      </w:r>
      <w:r>
        <w:t>Producción</w:t>
      </w:r>
      <w:r>
        <w:rPr>
          <w:spacing w:val="-6"/>
        </w:rPr>
        <w:t xml:space="preserve"> </w:t>
      </w:r>
      <w:r>
        <w:t>de</w:t>
      </w:r>
      <w:r>
        <w:rPr>
          <w:spacing w:val="-6"/>
        </w:rPr>
        <w:t xml:space="preserve"> </w:t>
      </w:r>
      <w:r>
        <w:t>miel</w:t>
      </w:r>
      <w:r>
        <w:rPr>
          <w:spacing w:val="-6"/>
        </w:rPr>
        <w:t xml:space="preserve"> </w:t>
      </w:r>
      <w:r>
        <w:t>y</w:t>
      </w:r>
      <w:r>
        <w:rPr>
          <w:spacing w:val="-6"/>
        </w:rPr>
        <w:t xml:space="preserve"> </w:t>
      </w:r>
      <w:r>
        <w:t>especificaciones.</w:t>
      </w:r>
      <w:r>
        <w:rPr>
          <w:spacing w:val="-6"/>
        </w:rPr>
        <w:t xml:space="preserve"> </w:t>
      </w:r>
      <w:r>
        <w:t>Diario</w:t>
      </w:r>
      <w:r>
        <w:rPr>
          <w:spacing w:val="-6"/>
        </w:rPr>
        <w:t xml:space="preserve"> </w:t>
      </w:r>
      <w:r>
        <w:t xml:space="preserve">Oficial de la Federación. </w:t>
      </w:r>
      <w:hyperlink r:id="rId67">
        <w:r>
          <w:rPr>
            <w:spacing w:val="-2"/>
          </w:rPr>
          <w:t>https://www.dof.gob.mx/nota_detalle.php?codigo=5583529&amp;fecha=07/01/2020</w:t>
        </w:r>
      </w:hyperlink>
    </w:p>
    <w:p w:rsidR="009B4BB4" w:rsidRDefault="00C44001">
      <w:pPr>
        <w:pStyle w:val="Textoindependiente"/>
        <w:ind w:left="425"/>
      </w:pPr>
      <w:r>
        <w:t>Oster</w:t>
      </w:r>
      <w:r>
        <w:t>walder,</w:t>
      </w:r>
      <w:r>
        <w:rPr>
          <w:spacing w:val="-13"/>
        </w:rPr>
        <w:t xml:space="preserve"> </w:t>
      </w:r>
      <w:r>
        <w:t>A.,</w:t>
      </w:r>
      <w:r>
        <w:rPr>
          <w:spacing w:val="-10"/>
        </w:rPr>
        <w:t xml:space="preserve"> </w:t>
      </w:r>
      <w:r>
        <w:t>&amp;</w:t>
      </w:r>
      <w:r>
        <w:rPr>
          <w:spacing w:val="-11"/>
        </w:rPr>
        <w:t xml:space="preserve"> </w:t>
      </w:r>
      <w:r>
        <w:t>Pigneur,</w:t>
      </w:r>
      <w:r>
        <w:rPr>
          <w:spacing w:val="-10"/>
        </w:rPr>
        <w:t xml:space="preserve"> </w:t>
      </w:r>
      <w:r>
        <w:t>Y.</w:t>
      </w:r>
      <w:r>
        <w:rPr>
          <w:spacing w:val="-10"/>
        </w:rPr>
        <w:t xml:space="preserve"> </w:t>
      </w:r>
      <w:r>
        <w:t>(2010).</w:t>
      </w:r>
      <w:r>
        <w:rPr>
          <w:spacing w:val="-11"/>
        </w:rPr>
        <w:t xml:space="preserve"> </w:t>
      </w:r>
      <w:r>
        <w:t>Generación</w:t>
      </w:r>
      <w:r>
        <w:rPr>
          <w:spacing w:val="-10"/>
        </w:rPr>
        <w:t xml:space="preserve"> </w:t>
      </w:r>
      <w:r>
        <w:t>de</w:t>
      </w:r>
      <w:r>
        <w:rPr>
          <w:spacing w:val="-10"/>
        </w:rPr>
        <w:t xml:space="preserve"> </w:t>
      </w:r>
      <w:r>
        <w:t>modelos</w:t>
      </w:r>
      <w:r>
        <w:rPr>
          <w:spacing w:val="-11"/>
        </w:rPr>
        <w:t xml:space="preserve"> </w:t>
      </w:r>
      <w:r>
        <w:t>de</w:t>
      </w:r>
      <w:r>
        <w:rPr>
          <w:spacing w:val="-10"/>
        </w:rPr>
        <w:t xml:space="preserve"> </w:t>
      </w:r>
      <w:r>
        <w:t>negocio.</w:t>
      </w:r>
      <w:r>
        <w:rPr>
          <w:spacing w:val="-10"/>
        </w:rPr>
        <w:t xml:space="preserve"> </w:t>
      </w:r>
      <w:r>
        <w:rPr>
          <w:spacing w:val="-2"/>
        </w:rPr>
        <w:t>Deusto.</w:t>
      </w:r>
    </w:p>
    <w:p w:rsidR="009B4BB4" w:rsidRDefault="009B4BB4">
      <w:pPr>
        <w:pStyle w:val="Textoindependiente"/>
        <w:spacing w:before="25"/>
      </w:pPr>
    </w:p>
    <w:p w:rsidR="009B4BB4" w:rsidRDefault="00C44001">
      <w:pPr>
        <w:pStyle w:val="Textoindependiente"/>
        <w:spacing w:before="0" w:line="276" w:lineRule="auto"/>
        <w:ind w:left="1145" w:right="671" w:hanging="720"/>
      </w:pPr>
      <w:r>
        <w:t>Perceptive</w:t>
      </w:r>
      <w:r>
        <w:rPr>
          <w:spacing w:val="-6"/>
        </w:rPr>
        <w:t xml:space="preserve"> </w:t>
      </w:r>
      <w:r>
        <w:t>Travel.</w:t>
      </w:r>
      <w:r>
        <w:rPr>
          <w:spacing w:val="-6"/>
        </w:rPr>
        <w:t xml:space="preserve"> </w:t>
      </w:r>
      <w:r>
        <w:t>(2022).</w:t>
      </w:r>
      <w:r>
        <w:rPr>
          <w:spacing w:val="-6"/>
        </w:rPr>
        <w:t xml:space="preserve"> </w:t>
      </w:r>
      <w:r>
        <w:t>Melipona</w:t>
      </w:r>
      <w:r>
        <w:rPr>
          <w:spacing w:val="-6"/>
        </w:rPr>
        <w:t xml:space="preserve"> </w:t>
      </w:r>
      <w:r>
        <w:t>honey</w:t>
      </w:r>
      <w:r>
        <w:rPr>
          <w:spacing w:val="-6"/>
        </w:rPr>
        <w:t xml:space="preserve"> </w:t>
      </w:r>
      <w:r>
        <w:t>bees:</w:t>
      </w:r>
      <w:r>
        <w:rPr>
          <w:spacing w:val="-6"/>
        </w:rPr>
        <w:t xml:space="preserve"> </w:t>
      </w:r>
      <w:r>
        <w:t>The</w:t>
      </w:r>
      <w:r>
        <w:rPr>
          <w:spacing w:val="-6"/>
        </w:rPr>
        <w:t xml:space="preserve"> </w:t>
      </w:r>
      <w:r>
        <w:t>new</w:t>
      </w:r>
      <w:r>
        <w:rPr>
          <w:spacing w:val="-6"/>
        </w:rPr>
        <w:t xml:space="preserve"> </w:t>
      </w:r>
      <w:r>
        <w:t>stars</w:t>
      </w:r>
      <w:r>
        <w:rPr>
          <w:spacing w:val="-6"/>
        </w:rPr>
        <w:t xml:space="preserve"> </w:t>
      </w:r>
      <w:r>
        <w:t>of</w:t>
      </w:r>
      <w:r>
        <w:rPr>
          <w:spacing w:val="-6"/>
        </w:rPr>
        <w:t xml:space="preserve"> </w:t>
      </w:r>
      <w:r>
        <w:t xml:space="preserve">community-based tourism. Perceptive Travel. </w:t>
      </w:r>
      <w:hyperlink r:id="rId68">
        <w:r>
          <w:rPr>
            <w:spacing w:val="-2"/>
          </w:rPr>
          <w:t>https://www.perceptivetravel.com/issues/1122/mexico_bees.html</w:t>
        </w:r>
      </w:hyperlink>
    </w:p>
    <w:p w:rsidR="009B4BB4" w:rsidRDefault="00C44001">
      <w:pPr>
        <w:pStyle w:val="Textoindependiente"/>
        <w:spacing w:line="276" w:lineRule="auto"/>
        <w:ind w:left="1145" w:right="1119" w:hanging="720"/>
      </w:pPr>
      <w:r>
        <w:t>PitchBook</w:t>
      </w:r>
      <w:r>
        <w:rPr>
          <w:spacing w:val="-4"/>
        </w:rPr>
        <w:t xml:space="preserve"> </w:t>
      </w:r>
      <w:r>
        <w:t>Data,</w:t>
      </w:r>
      <w:r>
        <w:rPr>
          <w:spacing w:val="-4"/>
        </w:rPr>
        <w:t xml:space="preserve"> </w:t>
      </w:r>
      <w:r>
        <w:t>Inc.</w:t>
      </w:r>
      <w:r>
        <w:rPr>
          <w:spacing w:val="-4"/>
        </w:rPr>
        <w:t xml:space="preserve"> </w:t>
      </w:r>
      <w:r>
        <w:t>(2024).</w:t>
      </w:r>
      <w:r>
        <w:rPr>
          <w:spacing w:val="-4"/>
        </w:rPr>
        <w:t xml:space="preserve"> </w:t>
      </w:r>
      <w:r>
        <w:t>The</w:t>
      </w:r>
      <w:r>
        <w:rPr>
          <w:spacing w:val="-4"/>
        </w:rPr>
        <w:t xml:space="preserve"> </w:t>
      </w:r>
      <w:r>
        <w:t>state</w:t>
      </w:r>
      <w:r>
        <w:rPr>
          <w:spacing w:val="-4"/>
        </w:rPr>
        <w:t xml:space="preserve"> </w:t>
      </w:r>
      <w:r>
        <w:t>of</w:t>
      </w:r>
      <w:r>
        <w:rPr>
          <w:spacing w:val="-4"/>
        </w:rPr>
        <w:t xml:space="preserve"> </w:t>
      </w:r>
      <w:r>
        <w:t>private</w:t>
      </w:r>
      <w:r>
        <w:rPr>
          <w:spacing w:val="-4"/>
        </w:rPr>
        <w:t xml:space="preserve"> </w:t>
      </w:r>
      <w:r>
        <w:t>market</w:t>
      </w:r>
      <w:r>
        <w:rPr>
          <w:spacing w:val="-4"/>
        </w:rPr>
        <w:t xml:space="preserve"> </w:t>
      </w:r>
      <w:r>
        <w:t>ESG</w:t>
      </w:r>
      <w:r>
        <w:rPr>
          <w:spacing w:val="-4"/>
        </w:rPr>
        <w:t xml:space="preserve"> </w:t>
      </w:r>
      <w:r>
        <w:t>and</w:t>
      </w:r>
      <w:r>
        <w:rPr>
          <w:spacing w:val="-4"/>
        </w:rPr>
        <w:t xml:space="preserve"> </w:t>
      </w:r>
      <w:r>
        <w:t>impact</w:t>
      </w:r>
      <w:r>
        <w:rPr>
          <w:spacing w:val="-4"/>
        </w:rPr>
        <w:t xml:space="preserve"> </w:t>
      </w:r>
      <w:r>
        <w:t>investing</w:t>
      </w:r>
      <w:r>
        <w:rPr>
          <w:spacing w:val="-4"/>
        </w:rPr>
        <w:t xml:space="preserve"> </w:t>
      </w:r>
      <w:r>
        <w:t>in 2024. Institutional Research G</w:t>
      </w:r>
      <w:r>
        <w:t xml:space="preserve">roup, Morningstar Company. </w:t>
      </w:r>
      <w:hyperlink r:id="rId69">
        <w:r>
          <w:rPr>
            <w:spacing w:val="-2"/>
          </w:rPr>
          <w:t>https://pitchbook.com/news/reports/2024-sustainable-investment-survey</w:t>
        </w:r>
      </w:hyperlink>
    </w:p>
    <w:p w:rsidR="009B4BB4" w:rsidRDefault="00C44001">
      <w:pPr>
        <w:pStyle w:val="Textoindependiente"/>
        <w:spacing w:line="276" w:lineRule="auto"/>
        <w:ind w:left="1145" w:right="3196" w:hanging="720"/>
      </w:pPr>
      <w:r>
        <w:t>PNUD. (</w:t>
      </w:r>
      <w:proofErr w:type="gramStart"/>
      <w:r>
        <w:t>s</w:t>
      </w:r>
      <w:proofErr w:type="gramEnd"/>
      <w:r>
        <w:t xml:space="preserve">. f.). Objetivos de Desarrollo Sostenible. </w:t>
      </w:r>
      <w:hyperlink r:id="rId70">
        <w:r>
          <w:rPr>
            <w:spacing w:val="-2"/>
          </w:rPr>
          <w:t>https://www.undp.org/es/sustainable-development-goals</w:t>
        </w:r>
      </w:hyperlink>
    </w:p>
    <w:p w:rsidR="009B4BB4" w:rsidRDefault="00C44001">
      <w:pPr>
        <w:pStyle w:val="Textoindependiente"/>
        <w:spacing w:line="276" w:lineRule="auto"/>
        <w:ind w:left="1145" w:right="671" w:hanging="720"/>
      </w:pPr>
      <w:r>
        <w:t>Porter,</w:t>
      </w:r>
      <w:r>
        <w:rPr>
          <w:spacing w:val="-7"/>
        </w:rPr>
        <w:t xml:space="preserve"> </w:t>
      </w:r>
      <w:r>
        <w:t>M.</w:t>
      </w:r>
      <w:r>
        <w:rPr>
          <w:spacing w:val="-7"/>
        </w:rPr>
        <w:t xml:space="preserve"> </w:t>
      </w:r>
      <w:r>
        <w:t>E.</w:t>
      </w:r>
      <w:r>
        <w:rPr>
          <w:spacing w:val="-7"/>
        </w:rPr>
        <w:t xml:space="preserve"> </w:t>
      </w:r>
      <w:r>
        <w:t>(1985).</w:t>
      </w:r>
      <w:r>
        <w:rPr>
          <w:spacing w:val="-7"/>
        </w:rPr>
        <w:t xml:space="preserve"> </w:t>
      </w:r>
      <w:r>
        <w:t>Competitive</w:t>
      </w:r>
      <w:r>
        <w:rPr>
          <w:spacing w:val="-7"/>
        </w:rPr>
        <w:t xml:space="preserve"> </w:t>
      </w:r>
      <w:r>
        <w:t>advantage:</w:t>
      </w:r>
      <w:r>
        <w:rPr>
          <w:spacing w:val="-7"/>
        </w:rPr>
        <w:t xml:space="preserve"> </w:t>
      </w:r>
      <w:r>
        <w:t>Creating</w:t>
      </w:r>
      <w:r>
        <w:rPr>
          <w:spacing w:val="-7"/>
        </w:rPr>
        <w:t xml:space="preserve"> </w:t>
      </w:r>
      <w:r>
        <w:t>and</w:t>
      </w:r>
      <w:r>
        <w:rPr>
          <w:spacing w:val="-7"/>
        </w:rPr>
        <w:t xml:space="preserve"> </w:t>
      </w:r>
      <w:r>
        <w:t>sustaining</w:t>
      </w:r>
      <w:r>
        <w:rPr>
          <w:spacing w:val="-7"/>
        </w:rPr>
        <w:t xml:space="preserve"> </w:t>
      </w:r>
      <w:r>
        <w:t>superior performance. Free Press.</w:t>
      </w:r>
    </w:p>
    <w:p w:rsidR="009B4BB4" w:rsidRDefault="00C44001">
      <w:pPr>
        <w:pStyle w:val="Textoindependiente"/>
        <w:spacing w:line="276" w:lineRule="auto"/>
        <w:ind w:left="1145" w:right="671" w:hanging="720"/>
      </w:pPr>
      <w:r>
        <w:t>Porter,</w:t>
      </w:r>
      <w:r>
        <w:rPr>
          <w:spacing w:val="-6"/>
        </w:rPr>
        <w:t xml:space="preserve"> </w:t>
      </w:r>
      <w:r>
        <w:t>M.</w:t>
      </w:r>
      <w:r>
        <w:rPr>
          <w:spacing w:val="-6"/>
        </w:rPr>
        <w:t xml:space="preserve"> </w:t>
      </w:r>
      <w:r>
        <w:t>E.</w:t>
      </w:r>
      <w:r>
        <w:rPr>
          <w:spacing w:val="-6"/>
        </w:rPr>
        <w:t xml:space="preserve"> </w:t>
      </w:r>
      <w:r>
        <w:t>(2008).</w:t>
      </w:r>
      <w:r>
        <w:rPr>
          <w:spacing w:val="-6"/>
        </w:rPr>
        <w:t xml:space="preserve"> </w:t>
      </w:r>
      <w:r>
        <w:t>The</w:t>
      </w:r>
      <w:r>
        <w:rPr>
          <w:spacing w:val="-6"/>
        </w:rPr>
        <w:t xml:space="preserve"> </w:t>
      </w:r>
      <w:r>
        <w:t>five</w:t>
      </w:r>
      <w:r>
        <w:rPr>
          <w:spacing w:val="-6"/>
        </w:rPr>
        <w:t xml:space="preserve"> </w:t>
      </w:r>
      <w:r>
        <w:t>competitive</w:t>
      </w:r>
      <w:r>
        <w:rPr>
          <w:spacing w:val="-6"/>
        </w:rPr>
        <w:t xml:space="preserve"> </w:t>
      </w:r>
      <w:r>
        <w:t>forces</w:t>
      </w:r>
      <w:r>
        <w:rPr>
          <w:spacing w:val="-6"/>
        </w:rPr>
        <w:t xml:space="preserve"> </w:t>
      </w:r>
      <w:r>
        <w:t>that</w:t>
      </w:r>
      <w:r>
        <w:rPr>
          <w:spacing w:val="-6"/>
        </w:rPr>
        <w:t xml:space="preserve"> </w:t>
      </w:r>
      <w:r>
        <w:t>shape</w:t>
      </w:r>
      <w:r>
        <w:rPr>
          <w:spacing w:val="-6"/>
        </w:rPr>
        <w:t xml:space="preserve"> </w:t>
      </w:r>
      <w:r>
        <w:t>strategy.</w:t>
      </w:r>
      <w:r>
        <w:rPr>
          <w:spacing w:val="-6"/>
        </w:rPr>
        <w:t xml:space="preserve"> </w:t>
      </w:r>
      <w:r>
        <w:t>Harvard</w:t>
      </w:r>
      <w:r>
        <w:rPr>
          <w:spacing w:val="-6"/>
        </w:rPr>
        <w:t xml:space="preserve"> </w:t>
      </w:r>
      <w:r>
        <w:t>Business Review, 86(1), 25–40.</w:t>
      </w:r>
    </w:p>
    <w:p w:rsidR="009B4BB4" w:rsidRDefault="00C44001">
      <w:pPr>
        <w:pStyle w:val="Textoindependiente"/>
        <w:spacing w:line="276" w:lineRule="auto"/>
        <w:ind w:left="1145" w:right="671" w:hanging="720"/>
      </w:pPr>
      <w:r>
        <w:t>Porter,</w:t>
      </w:r>
      <w:r>
        <w:rPr>
          <w:spacing w:val="-8"/>
        </w:rPr>
        <w:t xml:space="preserve"> </w:t>
      </w:r>
      <w:r>
        <w:t>M.</w:t>
      </w:r>
      <w:r>
        <w:rPr>
          <w:spacing w:val="-8"/>
        </w:rPr>
        <w:t xml:space="preserve"> </w:t>
      </w:r>
      <w:r>
        <w:t>E.,</w:t>
      </w:r>
      <w:r>
        <w:rPr>
          <w:spacing w:val="-8"/>
        </w:rPr>
        <w:t xml:space="preserve"> </w:t>
      </w:r>
      <w:r>
        <w:t>&amp;</w:t>
      </w:r>
      <w:r>
        <w:rPr>
          <w:spacing w:val="-8"/>
        </w:rPr>
        <w:t xml:space="preserve"> </w:t>
      </w:r>
      <w:r>
        <w:t>Kramer,</w:t>
      </w:r>
      <w:r>
        <w:rPr>
          <w:spacing w:val="-8"/>
        </w:rPr>
        <w:t xml:space="preserve"> </w:t>
      </w:r>
      <w:r>
        <w:t>M.</w:t>
      </w:r>
      <w:r>
        <w:rPr>
          <w:spacing w:val="-8"/>
        </w:rPr>
        <w:t xml:space="preserve"> </w:t>
      </w:r>
      <w:r>
        <w:t>R.</w:t>
      </w:r>
      <w:r>
        <w:rPr>
          <w:spacing w:val="-8"/>
        </w:rPr>
        <w:t xml:space="preserve"> </w:t>
      </w:r>
      <w:r>
        <w:t>(2011).</w:t>
      </w:r>
      <w:r>
        <w:rPr>
          <w:spacing w:val="-8"/>
        </w:rPr>
        <w:t xml:space="preserve"> </w:t>
      </w:r>
      <w:r>
        <w:t>Creating</w:t>
      </w:r>
      <w:r>
        <w:rPr>
          <w:spacing w:val="-8"/>
        </w:rPr>
        <w:t xml:space="preserve"> </w:t>
      </w:r>
      <w:r>
        <w:t>shared</w:t>
      </w:r>
      <w:r>
        <w:rPr>
          <w:spacing w:val="-8"/>
        </w:rPr>
        <w:t xml:space="preserve"> </w:t>
      </w:r>
      <w:r>
        <w:t>value.</w:t>
      </w:r>
      <w:r>
        <w:rPr>
          <w:spacing w:val="-8"/>
        </w:rPr>
        <w:t xml:space="preserve"> </w:t>
      </w:r>
      <w:r>
        <w:t>Harvard</w:t>
      </w:r>
      <w:r>
        <w:rPr>
          <w:spacing w:val="-8"/>
        </w:rPr>
        <w:t xml:space="preserve"> </w:t>
      </w:r>
      <w:r>
        <w:t>Business</w:t>
      </w:r>
      <w:r>
        <w:rPr>
          <w:spacing w:val="-8"/>
        </w:rPr>
        <w:t xml:space="preserve"> </w:t>
      </w:r>
      <w:r>
        <w:t>Review, 89(1/2), 62–77.</w:t>
      </w:r>
    </w:p>
    <w:p w:rsidR="009B4BB4" w:rsidRDefault="00C44001">
      <w:pPr>
        <w:pStyle w:val="Textoindependiente"/>
        <w:spacing w:line="276" w:lineRule="auto"/>
        <w:ind w:left="1145" w:right="671" w:hanging="720"/>
      </w:pPr>
      <w:r>
        <w:t>Quezada-Euán,</w:t>
      </w:r>
      <w:r>
        <w:rPr>
          <w:spacing w:val="-6"/>
        </w:rPr>
        <w:t xml:space="preserve"> </w:t>
      </w:r>
      <w:r>
        <w:t>J.</w:t>
      </w:r>
      <w:r>
        <w:rPr>
          <w:spacing w:val="-6"/>
        </w:rPr>
        <w:t xml:space="preserve"> </w:t>
      </w:r>
      <w:r>
        <w:t>J.</w:t>
      </w:r>
      <w:r>
        <w:rPr>
          <w:spacing w:val="-6"/>
        </w:rPr>
        <w:t xml:space="preserve"> </w:t>
      </w:r>
      <w:r>
        <w:t>G.</w:t>
      </w:r>
      <w:r>
        <w:rPr>
          <w:spacing w:val="-6"/>
        </w:rPr>
        <w:t xml:space="preserve"> </w:t>
      </w:r>
      <w:r>
        <w:t>(2018).</w:t>
      </w:r>
      <w:r>
        <w:rPr>
          <w:spacing w:val="-6"/>
        </w:rPr>
        <w:t xml:space="preserve"> </w:t>
      </w:r>
      <w:r>
        <w:t>Stingless</w:t>
      </w:r>
      <w:r>
        <w:rPr>
          <w:spacing w:val="-6"/>
        </w:rPr>
        <w:t xml:space="preserve"> </w:t>
      </w:r>
      <w:r>
        <w:t>bees</w:t>
      </w:r>
      <w:r>
        <w:rPr>
          <w:spacing w:val="-6"/>
        </w:rPr>
        <w:t xml:space="preserve"> </w:t>
      </w:r>
      <w:r>
        <w:t>of</w:t>
      </w:r>
      <w:r>
        <w:rPr>
          <w:spacing w:val="-6"/>
        </w:rPr>
        <w:t xml:space="preserve"> </w:t>
      </w:r>
      <w:r>
        <w:t>Mexico</w:t>
      </w:r>
      <w:r>
        <w:rPr>
          <w:spacing w:val="-6"/>
        </w:rPr>
        <w:t xml:space="preserve"> </w:t>
      </w:r>
      <w:r>
        <w:t>(Meliponini):</w:t>
      </w:r>
      <w:r>
        <w:rPr>
          <w:spacing w:val="-6"/>
        </w:rPr>
        <w:t xml:space="preserve"> </w:t>
      </w:r>
      <w:r>
        <w:t>Their</w:t>
      </w:r>
      <w:r>
        <w:rPr>
          <w:spacing w:val="-6"/>
        </w:rPr>
        <w:t xml:space="preserve"> </w:t>
      </w:r>
      <w:r>
        <w:t>biology, m</w:t>
      </w:r>
      <w:r>
        <w:t>anagement and conservation. Springer Nature.</w:t>
      </w:r>
    </w:p>
    <w:p w:rsidR="009B4BB4" w:rsidRDefault="00C44001">
      <w:pPr>
        <w:pStyle w:val="Textoindependiente"/>
        <w:spacing w:line="276" w:lineRule="auto"/>
        <w:ind w:left="1145" w:right="671" w:hanging="720"/>
      </w:pPr>
      <w:r>
        <w:t>Rich,</w:t>
      </w:r>
      <w:r>
        <w:rPr>
          <w:spacing w:val="-3"/>
        </w:rPr>
        <w:t xml:space="preserve"> </w:t>
      </w:r>
      <w:r>
        <w:t>S.</w:t>
      </w:r>
      <w:r>
        <w:rPr>
          <w:spacing w:val="-3"/>
        </w:rPr>
        <w:t xml:space="preserve"> </w:t>
      </w:r>
      <w:r>
        <w:t>R.,</w:t>
      </w:r>
      <w:r>
        <w:rPr>
          <w:spacing w:val="-3"/>
        </w:rPr>
        <w:t xml:space="preserve"> </w:t>
      </w:r>
      <w:r>
        <w:t>&amp;</w:t>
      </w:r>
      <w:r>
        <w:rPr>
          <w:spacing w:val="-3"/>
        </w:rPr>
        <w:t xml:space="preserve"> </w:t>
      </w:r>
      <w:r>
        <w:t>Gumpert,</w:t>
      </w:r>
      <w:r>
        <w:rPr>
          <w:spacing w:val="-3"/>
        </w:rPr>
        <w:t xml:space="preserve"> </w:t>
      </w:r>
      <w:r>
        <w:t>D.</w:t>
      </w:r>
      <w:r>
        <w:rPr>
          <w:spacing w:val="-3"/>
        </w:rPr>
        <w:t xml:space="preserve"> </w:t>
      </w:r>
      <w:r>
        <w:t>E.</w:t>
      </w:r>
      <w:r>
        <w:rPr>
          <w:spacing w:val="-3"/>
        </w:rPr>
        <w:t xml:space="preserve"> </w:t>
      </w:r>
      <w:r>
        <w:t>(1985).</w:t>
      </w:r>
      <w:r>
        <w:rPr>
          <w:spacing w:val="-3"/>
        </w:rPr>
        <w:t xml:space="preserve"> </w:t>
      </w:r>
      <w:r>
        <w:t>How</w:t>
      </w:r>
      <w:r>
        <w:rPr>
          <w:spacing w:val="-3"/>
        </w:rPr>
        <w:t xml:space="preserve"> </w:t>
      </w:r>
      <w:r>
        <w:t>to</w:t>
      </w:r>
      <w:r>
        <w:rPr>
          <w:spacing w:val="-3"/>
        </w:rPr>
        <w:t xml:space="preserve"> </w:t>
      </w:r>
      <w:r>
        <w:t>write</w:t>
      </w:r>
      <w:r>
        <w:rPr>
          <w:spacing w:val="-3"/>
        </w:rPr>
        <w:t xml:space="preserve"> </w:t>
      </w:r>
      <w:r>
        <w:t>a</w:t>
      </w:r>
      <w:r>
        <w:rPr>
          <w:spacing w:val="-3"/>
        </w:rPr>
        <w:t xml:space="preserve"> </w:t>
      </w:r>
      <w:r>
        <w:t>winning</w:t>
      </w:r>
      <w:r>
        <w:rPr>
          <w:spacing w:val="-3"/>
        </w:rPr>
        <w:t xml:space="preserve"> </w:t>
      </w:r>
      <w:r>
        <w:t>business</w:t>
      </w:r>
      <w:r>
        <w:rPr>
          <w:spacing w:val="-3"/>
        </w:rPr>
        <w:t xml:space="preserve"> </w:t>
      </w:r>
      <w:r>
        <w:t>plan.</w:t>
      </w:r>
      <w:r>
        <w:rPr>
          <w:spacing w:val="-3"/>
        </w:rPr>
        <w:t xml:space="preserve"> </w:t>
      </w:r>
      <w:r>
        <w:t>Harvard Business Review, 63(3), 118–124.</w:t>
      </w:r>
    </w:p>
    <w:p w:rsidR="009B4BB4" w:rsidRDefault="00C44001">
      <w:pPr>
        <w:pStyle w:val="Textoindependiente"/>
        <w:spacing w:line="276" w:lineRule="auto"/>
        <w:ind w:left="1145" w:right="531" w:hanging="720"/>
      </w:pPr>
      <w:r>
        <w:t>Ries,</w:t>
      </w:r>
      <w:r>
        <w:rPr>
          <w:spacing w:val="-6"/>
        </w:rPr>
        <w:t xml:space="preserve"> </w:t>
      </w:r>
      <w:r>
        <w:t>E.</w:t>
      </w:r>
      <w:r>
        <w:rPr>
          <w:spacing w:val="-6"/>
        </w:rPr>
        <w:t xml:space="preserve"> </w:t>
      </w:r>
      <w:r>
        <w:t>(2011).</w:t>
      </w:r>
      <w:r>
        <w:rPr>
          <w:spacing w:val="-6"/>
        </w:rPr>
        <w:t xml:space="preserve"> </w:t>
      </w:r>
      <w:r>
        <w:t>The</w:t>
      </w:r>
      <w:r>
        <w:rPr>
          <w:spacing w:val="-6"/>
        </w:rPr>
        <w:t xml:space="preserve"> </w:t>
      </w:r>
      <w:r>
        <w:t>lean</w:t>
      </w:r>
      <w:r>
        <w:rPr>
          <w:spacing w:val="-6"/>
        </w:rPr>
        <w:t xml:space="preserve"> </w:t>
      </w:r>
      <w:r>
        <w:t>startup:</w:t>
      </w:r>
      <w:r>
        <w:rPr>
          <w:spacing w:val="-6"/>
        </w:rPr>
        <w:t xml:space="preserve"> </w:t>
      </w:r>
      <w:r>
        <w:t>How</w:t>
      </w:r>
      <w:r>
        <w:rPr>
          <w:spacing w:val="-6"/>
        </w:rPr>
        <w:t xml:space="preserve"> </w:t>
      </w:r>
      <w:r>
        <w:t>today’s</w:t>
      </w:r>
      <w:r>
        <w:rPr>
          <w:spacing w:val="-6"/>
        </w:rPr>
        <w:t xml:space="preserve"> </w:t>
      </w:r>
      <w:r>
        <w:t>entrepreneurs</w:t>
      </w:r>
      <w:r>
        <w:rPr>
          <w:spacing w:val="-6"/>
        </w:rPr>
        <w:t xml:space="preserve"> </w:t>
      </w:r>
      <w:r>
        <w:t>use</w:t>
      </w:r>
      <w:r>
        <w:rPr>
          <w:spacing w:val="-6"/>
        </w:rPr>
        <w:t xml:space="preserve"> </w:t>
      </w:r>
      <w:r>
        <w:t>continuous</w:t>
      </w:r>
      <w:r>
        <w:rPr>
          <w:spacing w:val="-6"/>
        </w:rPr>
        <w:t xml:space="preserve"> </w:t>
      </w:r>
      <w:r>
        <w:t>innovation</w:t>
      </w:r>
      <w:r>
        <w:rPr>
          <w:spacing w:val="-6"/>
        </w:rPr>
        <w:t xml:space="preserve"> </w:t>
      </w:r>
      <w:r>
        <w:t>to create radically successful businesses. Crown Business.</w:t>
      </w:r>
    </w:p>
    <w:p w:rsidR="009B4BB4" w:rsidRDefault="00C44001">
      <w:pPr>
        <w:pStyle w:val="Textoindependiente"/>
        <w:spacing w:line="276" w:lineRule="auto"/>
        <w:ind w:left="1145" w:right="671" w:hanging="720"/>
      </w:pPr>
      <w:r>
        <w:t>Ávila</w:t>
      </w:r>
      <w:r>
        <w:rPr>
          <w:spacing w:val="-9"/>
        </w:rPr>
        <w:t xml:space="preserve"> </w:t>
      </w:r>
      <w:r>
        <w:t>Ramos,</w:t>
      </w:r>
      <w:r>
        <w:rPr>
          <w:spacing w:val="-9"/>
        </w:rPr>
        <w:t xml:space="preserve"> </w:t>
      </w:r>
      <w:r>
        <w:t>F.,</w:t>
      </w:r>
      <w:r>
        <w:rPr>
          <w:spacing w:val="-9"/>
        </w:rPr>
        <w:t xml:space="preserve"> </w:t>
      </w:r>
      <w:r>
        <w:t>Boyso</w:t>
      </w:r>
      <w:r>
        <w:rPr>
          <w:spacing w:val="-9"/>
        </w:rPr>
        <w:t xml:space="preserve"> </w:t>
      </w:r>
      <w:r>
        <w:t>Mancera,</w:t>
      </w:r>
      <w:r>
        <w:rPr>
          <w:spacing w:val="-9"/>
        </w:rPr>
        <w:t xml:space="preserve"> </w:t>
      </w:r>
      <w:r>
        <w:t>L.</w:t>
      </w:r>
      <w:r>
        <w:rPr>
          <w:spacing w:val="-9"/>
        </w:rPr>
        <w:t xml:space="preserve"> </w:t>
      </w:r>
      <w:r>
        <w:t>P.,</w:t>
      </w:r>
      <w:r>
        <w:rPr>
          <w:spacing w:val="-9"/>
        </w:rPr>
        <w:t xml:space="preserve"> </w:t>
      </w:r>
      <w:r>
        <w:t>Borja</w:t>
      </w:r>
      <w:r>
        <w:rPr>
          <w:spacing w:val="-9"/>
        </w:rPr>
        <w:t xml:space="preserve"> </w:t>
      </w:r>
      <w:r>
        <w:t>Bravo,</w:t>
      </w:r>
      <w:r>
        <w:rPr>
          <w:spacing w:val="-9"/>
        </w:rPr>
        <w:t xml:space="preserve"> </w:t>
      </w:r>
      <w:r>
        <w:t>M.,</w:t>
      </w:r>
      <w:r>
        <w:rPr>
          <w:spacing w:val="-9"/>
        </w:rPr>
        <w:t xml:space="preserve"> </w:t>
      </w:r>
      <w:r>
        <w:t>Cuevas</w:t>
      </w:r>
      <w:r>
        <w:rPr>
          <w:spacing w:val="-9"/>
        </w:rPr>
        <w:t xml:space="preserve"> </w:t>
      </w:r>
      <w:r>
        <w:t>Reyes,</w:t>
      </w:r>
      <w:r>
        <w:rPr>
          <w:spacing w:val="-9"/>
        </w:rPr>
        <w:t xml:space="preserve"> </w:t>
      </w:r>
      <w:r>
        <w:t>V.,</w:t>
      </w:r>
      <w:r>
        <w:rPr>
          <w:spacing w:val="-9"/>
        </w:rPr>
        <w:t xml:space="preserve"> </w:t>
      </w:r>
      <w:r>
        <w:t>&amp;</w:t>
      </w:r>
      <w:r>
        <w:rPr>
          <w:spacing w:val="-9"/>
        </w:rPr>
        <w:t xml:space="preserve"> </w:t>
      </w:r>
      <w:r>
        <w:t>Sánchez Toledano, B. I. (2022). Tipología de consumidores de miel con educación</w:t>
      </w:r>
    </w:p>
    <w:p w:rsidR="009B4BB4" w:rsidRDefault="009B4BB4">
      <w:pPr>
        <w:pStyle w:val="Textoindependiente"/>
        <w:spacing w:line="276" w:lineRule="auto"/>
        <w:sectPr w:rsidR="009B4BB4">
          <w:pgSz w:w="11920" w:h="16840"/>
          <w:pgMar w:top="1500" w:right="850" w:bottom="1940" w:left="1275" w:header="0" w:footer="1747" w:gutter="0"/>
          <w:cols w:space="720"/>
        </w:sectPr>
      </w:pPr>
    </w:p>
    <w:p w:rsidR="009B4BB4" w:rsidRDefault="00C44001">
      <w:pPr>
        <w:pStyle w:val="Textoindependiente"/>
        <w:spacing w:before="79" w:line="276" w:lineRule="auto"/>
        <w:ind w:left="1145"/>
      </w:pPr>
      <w:proofErr w:type="gramStart"/>
      <w:r>
        <w:lastRenderedPageBreak/>
        <w:t>universitaria</w:t>
      </w:r>
      <w:proofErr w:type="gramEnd"/>
      <w:r>
        <w:rPr>
          <w:spacing w:val="-5"/>
        </w:rPr>
        <w:t xml:space="preserve"> </w:t>
      </w:r>
      <w:r>
        <w:t>en</w:t>
      </w:r>
      <w:r>
        <w:rPr>
          <w:spacing w:val="-5"/>
        </w:rPr>
        <w:t xml:space="preserve"> </w:t>
      </w:r>
      <w:r>
        <w:t>México.</w:t>
      </w:r>
      <w:r>
        <w:rPr>
          <w:spacing w:val="-5"/>
        </w:rPr>
        <w:t xml:space="preserve"> </w:t>
      </w:r>
      <w:r>
        <w:t>Revista</w:t>
      </w:r>
      <w:r>
        <w:rPr>
          <w:spacing w:val="-5"/>
        </w:rPr>
        <w:t xml:space="preserve"> </w:t>
      </w:r>
      <w:r>
        <w:t>Mexicana</w:t>
      </w:r>
      <w:r>
        <w:rPr>
          <w:spacing w:val="-5"/>
        </w:rPr>
        <w:t xml:space="preserve"> </w:t>
      </w:r>
      <w:r>
        <w:t>de</w:t>
      </w:r>
      <w:r>
        <w:rPr>
          <w:spacing w:val="-5"/>
        </w:rPr>
        <w:t xml:space="preserve"> </w:t>
      </w:r>
      <w:r>
        <w:t>Ciencias</w:t>
      </w:r>
      <w:r>
        <w:rPr>
          <w:spacing w:val="-5"/>
        </w:rPr>
        <w:t xml:space="preserve"> </w:t>
      </w:r>
      <w:r>
        <w:t>Pecuarias,</w:t>
      </w:r>
      <w:r>
        <w:rPr>
          <w:spacing w:val="-5"/>
        </w:rPr>
        <w:t xml:space="preserve"> </w:t>
      </w:r>
      <w:r>
        <w:t>13(4),</w:t>
      </w:r>
      <w:r>
        <w:rPr>
          <w:spacing w:val="-5"/>
        </w:rPr>
        <w:t xml:space="preserve"> </w:t>
      </w:r>
      <w:r>
        <w:t xml:space="preserve">879–893. </w:t>
      </w:r>
      <w:hyperlink r:id="rId71">
        <w:r>
          <w:rPr>
            <w:spacing w:val="-2"/>
          </w:rPr>
          <w:t>https://doi.org/10.22319/rmcp.v13i4.6005</w:t>
        </w:r>
      </w:hyperlink>
    </w:p>
    <w:p w:rsidR="009B4BB4" w:rsidRDefault="00C44001">
      <w:pPr>
        <w:pStyle w:val="Textoindependiente"/>
        <w:spacing w:line="276" w:lineRule="auto"/>
        <w:ind w:left="1145" w:right="671" w:hanging="720"/>
      </w:pPr>
      <w:r>
        <w:t>Sapag,</w:t>
      </w:r>
      <w:r>
        <w:rPr>
          <w:spacing w:val="-4"/>
        </w:rPr>
        <w:t xml:space="preserve"> </w:t>
      </w:r>
      <w:r>
        <w:t>N.,</w:t>
      </w:r>
      <w:r>
        <w:rPr>
          <w:spacing w:val="-4"/>
        </w:rPr>
        <w:t xml:space="preserve"> </w:t>
      </w:r>
      <w:r>
        <w:t>Sapag,</w:t>
      </w:r>
      <w:r>
        <w:rPr>
          <w:spacing w:val="-4"/>
        </w:rPr>
        <w:t xml:space="preserve"> </w:t>
      </w:r>
      <w:r>
        <w:t>R.,</w:t>
      </w:r>
      <w:r>
        <w:rPr>
          <w:spacing w:val="-4"/>
        </w:rPr>
        <w:t xml:space="preserve"> </w:t>
      </w:r>
      <w:r>
        <w:t>&amp;</w:t>
      </w:r>
      <w:r>
        <w:rPr>
          <w:spacing w:val="-4"/>
        </w:rPr>
        <w:t xml:space="preserve"> </w:t>
      </w:r>
      <w:r>
        <w:t>Sapag,</w:t>
      </w:r>
      <w:r>
        <w:rPr>
          <w:spacing w:val="-4"/>
        </w:rPr>
        <w:t xml:space="preserve"> </w:t>
      </w:r>
      <w:r>
        <w:t>J.</w:t>
      </w:r>
      <w:r>
        <w:rPr>
          <w:spacing w:val="-4"/>
        </w:rPr>
        <w:t xml:space="preserve"> </w:t>
      </w:r>
      <w:r>
        <w:t>M.</w:t>
      </w:r>
      <w:r>
        <w:rPr>
          <w:spacing w:val="-4"/>
        </w:rPr>
        <w:t xml:space="preserve"> </w:t>
      </w:r>
      <w:r>
        <w:t>(2014).</w:t>
      </w:r>
      <w:r>
        <w:rPr>
          <w:spacing w:val="-4"/>
        </w:rPr>
        <w:t xml:space="preserve"> </w:t>
      </w:r>
      <w:r>
        <w:t>Preparación</w:t>
      </w:r>
      <w:r>
        <w:rPr>
          <w:spacing w:val="-4"/>
        </w:rPr>
        <w:t xml:space="preserve"> </w:t>
      </w:r>
      <w:r>
        <w:t>y</w:t>
      </w:r>
      <w:r>
        <w:rPr>
          <w:spacing w:val="-4"/>
        </w:rPr>
        <w:t xml:space="preserve"> </w:t>
      </w:r>
      <w:r>
        <w:t>evaluación</w:t>
      </w:r>
      <w:r>
        <w:rPr>
          <w:spacing w:val="-4"/>
        </w:rPr>
        <w:t xml:space="preserve"> </w:t>
      </w:r>
      <w:r>
        <w:t>de</w:t>
      </w:r>
      <w:r>
        <w:rPr>
          <w:spacing w:val="-4"/>
        </w:rPr>
        <w:t xml:space="preserve"> </w:t>
      </w:r>
      <w:r>
        <w:t>proyectos</w:t>
      </w:r>
      <w:r>
        <w:rPr>
          <w:spacing w:val="-4"/>
        </w:rPr>
        <w:t xml:space="preserve"> </w:t>
      </w:r>
      <w:r>
        <w:t>(6</w:t>
      </w:r>
      <w:proofErr w:type="gramStart"/>
      <w:r>
        <w:t>.ª</w:t>
      </w:r>
      <w:proofErr w:type="gramEnd"/>
      <w:r>
        <w:t xml:space="preserve"> ed.). McGraw-Hill Interamericana.</w:t>
      </w:r>
    </w:p>
    <w:p w:rsidR="009B4BB4" w:rsidRDefault="00C44001">
      <w:pPr>
        <w:pStyle w:val="Textoindependiente"/>
        <w:spacing w:line="276" w:lineRule="auto"/>
        <w:ind w:left="1145" w:right="797" w:hanging="720"/>
      </w:pPr>
      <w:r>
        <w:t>Secretaría</w:t>
      </w:r>
      <w:r>
        <w:rPr>
          <w:spacing w:val="-7"/>
        </w:rPr>
        <w:t xml:space="preserve"> </w:t>
      </w:r>
      <w:r>
        <w:t>de</w:t>
      </w:r>
      <w:r>
        <w:rPr>
          <w:spacing w:val="-7"/>
        </w:rPr>
        <w:t xml:space="preserve"> </w:t>
      </w:r>
      <w:r>
        <w:t>Fomento</w:t>
      </w:r>
      <w:r>
        <w:rPr>
          <w:spacing w:val="-7"/>
        </w:rPr>
        <w:t xml:space="preserve"> </w:t>
      </w:r>
      <w:r>
        <w:t>Turístico</w:t>
      </w:r>
      <w:r>
        <w:rPr>
          <w:spacing w:val="-7"/>
        </w:rPr>
        <w:t xml:space="preserve"> </w:t>
      </w:r>
      <w:r>
        <w:t>de</w:t>
      </w:r>
      <w:r>
        <w:rPr>
          <w:spacing w:val="-7"/>
        </w:rPr>
        <w:t xml:space="preserve"> </w:t>
      </w:r>
      <w:r>
        <w:t>Yucatán</w:t>
      </w:r>
      <w:r>
        <w:rPr>
          <w:spacing w:val="-7"/>
        </w:rPr>
        <w:t xml:space="preserve"> </w:t>
      </w:r>
      <w:r>
        <w:t>(SEFOTUR).</w:t>
      </w:r>
      <w:r>
        <w:rPr>
          <w:spacing w:val="-7"/>
        </w:rPr>
        <w:t xml:space="preserve"> </w:t>
      </w:r>
      <w:r>
        <w:t>(2024).</w:t>
      </w:r>
      <w:r>
        <w:rPr>
          <w:spacing w:val="-7"/>
        </w:rPr>
        <w:t xml:space="preserve"> </w:t>
      </w:r>
      <w:r>
        <w:t>Informe</w:t>
      </w:r>
      <w:r>
        <w:rPr>
          <w:spacing w:val="-7"/>
        </w:rPr>
        <w:t xml:space="preserve"> </w:t>
      </w:r>
      <w:r>
        <w:t>de</w:t>
      </w:r>
      <w:r>
        <w:rPr>
          <w:spacing w:val="-7"/>
        </w:rPr>
        <w:t xml:space="preserve"> </w:t>
      </w:r>
      <w:r>
        <w:t xml:space="preserve">resultados turísticos en Yucatán. Gobierno del Estado de Yucatán. </w:t>
      </w:r>
      <w:hyperlink r:id="rId72">
        <w:r>
          <w:rPr>
            <w:spacing w:val="-2"/>
          </w:rPr>
          <w:t>https://yucata</w:t>
        </w:r>
        <w:r>
          <w:rPr>
            <w:spacing w:val="-2"/>
          </w:rPr>
          <w:t>n.travel/estadisticas-turismo/</w:t>
        </w:r>
      </w:hyperlink>
    </w:p>
    <w:p w:rsidR="009B4BB4" w:rsidRDefault="00C44001">
      <w:pPr>
        <w:pStyle w:val="Textoindependiente"/>
        <w:spacing w:line="276" w:lineRule="auto"/>
        <w:ind w:left="1145" w:right="531" w:hanging="720"/>
      </w:pPr>
      <w:r>
        <w:t>Secretaría de Fomento Turístico de Yucatán (SEFOTUR). (2025). Informe mensual sobre resultados</w:t>
      </w:r>
      <w:r>
        <w:rPr>
          <w:spacing w:val="-5"/>
        </w:rPr>
        <w:t xml:space="preserve"> </w:t>
      </w:r>
      <w:r>
        <w:t>de</w:t>
      </w:r>
      <w:r>
        <w:rPr>
          <w:spacing w:val="-5"/>
        </w:rPr>
        <w:t xml:space="preserve"> </w:t>
      </w:r>
      <w:r>
        <w:t>la</w:t>
      </w:r>
      <w:r>
        <w:rPr>
          <w:spacing w:val="-5"/>
        </w:rPr>
        <w:t xml:space="preserve"> </w:t>
      </w:r>
      <w:r>
        <w:t>actividad</w:t>
      </w:r>
      <w:r>
        <w:rPr>
          <w:spacing w:val="-5"/>
        </w:rPr>
        <w:t xml:space="preserve"> </w:t>
      </w:r>
      <w:r>
        <w:t>turística</w:t>
      </w:r>
      <w:r>
        <w:rPr>
          <w:spacing w:val="-5"/>
        </w:rPr>
        <w:t xml:space="preserve"> </w:t>
      </w:r>
      <w:r>
        <w:t>en</w:t>
      </w:r>
      <w:r>
        <w:rPr>
          <w:spacing w:val="-5"/>
        </w:rPr>
        <w:t xml:space="preserve"> </w:t>
      </w:r>
      <w:r>
        <w:t>el</w:t>
      </w:r>
      <w:r>
        <w:rPr>
          <w:spacing w:val="-5"/>
        </w:rPr>
        <w:t xml:space="preserve"> </w:t>
      </w:r>
      <w:r>
        <w:t>estado</w:t>
      </w:r>
      <w:r>
        <w:rPr>
          <w:spacing w:val="-5"/>
        </w:rPr>
        <w:t xml:space="preserve"> </w:t>
      </w:r>
      <w:r>
        <w:t>de</w:t>
      </w:r>
      <w:r>
        <w:rPr>
          <w:spacing w:val="-5"/>
        </w:rPr>
        <w:t xml:space="preserve"> </w:t>
      </w:r>
      <w:r>
        <w:t>Yucatán:</w:t>
      </w:r>
      <w:r>
        <w:rPr>
          <w:spacing w:val="-5"/>
        </w:rPr>
        <w:t xml:space="preserve"> </w:t>
      </w:r>
      <w:r>
        <w:t>Marzo</w:t>
      </w:r>
      <w:r>
        <w:rPr>
          <w:spacing w:val="-5"/>
        </w:rPr>
        <w:t xml:space="preserve"> </w:t>
      </w:r>
      <w:r>
        <w:t>2025.</w:t>
      </w:r>
      <w:r>
        <w:rPr>
          <w:spacing w:val="-5"/>
        </w:rPr>
        <w:t xml:space="preserve"> </w:t>
      </w:r>
      <w:r>
        <w:t xml:space="preserve">Gobierno del Estado de Yucatán. </w:t>
      </w:r>
      <w:hyperlink r:id="rId73">
        <w:r>
          <w:t>http://www.sefotur.yucatan.gob.mx/</w:t>
        </w:r>
      </w:hyperlink>
    </w:p>
    <w:p w:rsidR="009B4BB4" w:rsidRDefault="00C44001">
      <w:pPr>
        <w:pStyle w:val="Textoindependiente"/>
        <w:ind w:left="425"/>
      </w:pPr>
      <w:r>
        <w:t>SENASICA.</w:t>
      </w:r>
      <w:r>
        <w:rPr>
          <w:spacing w:val="-10"/>
        </w:rPr>
        <w:t xml:space="preserve"> </w:t>
      </w:r>
      <w:r>
        <w:t>(2021).</w:t>
      </w:r>
      <w:r>
        <w:rPr>
          <w:spacing w:val="-7"/>
        </w:rPr>
        <w:t xml:space="preserve"> </w:t>
      </w:r>
      <w:r>
        <w:t>Certificación</w:t>
      </w:r>
      <w:r>
        <w:rPr>
          <w:spacing w:val="-7"/>
        </w:rPr>
        <w:t xml:space="preserve"> </w:t>
      </w:r>
      <w:r>
        <w:t>orgánica</w:t>
      </w:r>
      <w:r>
        <w:rPr>
          <w:spacing w:val="-7"/>
        </w:rPr>
        <w:t xml:space="preserve"> </w:t>
      </w:r>
      <w:r>
        <w:t>en</w:t>
      </w:r>
      <w:r>
        <w:rPr>
          <w:spacing w:val="-7"/>
        </w:rPr>
        <w:t xml:space="preserve"> </w:t>
      </w:r>
      <w:r>
        <w:t>productos</w:t>
      </w:r>
      <w:r>
        <w:rPr>
          <w:spacing w:val="-7"/>
        </w:rPr>
        <w:t xml:space="preserve"> </w:t>
      </w:r>
      <w:r>
        <w:t>apícolas</w:t>
      </w:r>
      <w:r>
        <w:rPr>
          <w:spacing w:val="-7"/>
        </w:rPr>
        <w:t xml:space="preserve"> </w:t>
      </w:r>
      <w:r>
        <w:t>y</w:t>
      </w:r>
      <w:r>
        <w:rPr>
          <w:spacing w:val="-7"/>
        </w:rPr>
        <w:t xml:space="preserve"> </w:t>
      </w:r>
      <w:r>
        <w:rPr>
          <w:spacing w:val="-2"/>
        </w:rPr>
        <w:t>meliponicultura.</w:t>
      </w:r>
    </w:p>
    <w:p w:rsidR="009B4BB4" w:rsidRDefault="00C44001">
      <w:pPr>
        <w:pStyle w:val="Textoindependiente"/>
        <w:spacing w:before="38" w:line="276" w:lineRule="auto"/>
        <w:ind w:left="1145" w:right="1438"/>
      </w:pPr>
      <w:r>
        <w:t xml:space="preserve">Servicio Nacional de Sanidad, Inocuidad y Calidad Agroalimentaria. </w:t>
      </w:r>
      <w:hyperlink r:id="rId74">
        <w:r>
          <w:rPr>
            <w:spacing w:val="-2"/>
          </w:rPr>
          <w:t>https://www.gob.mx/senasica/acciones-y-programas/certificacion-organica</w:t>
        </w:r>
      </w:hyperlink>
    </w:p>
    <w:p w:rsidR="009B4BB4" w:rsidRDefault="00C44001">
      <w:pPr>
        <w:pStyle w:val="Textoindependiente"/>
        <w:spacing w:line="276" w:lineRule="auto"/>
        <w:ind w:left="1145" w:right="671" w:hanging="720"/>
      </w:pPr>
      <w:r>
        <w:t>Stuttaford,</w:t>
      </w:r>
      <w:r>
        <w:rPr>
          <w:spacing w:val="-6"/>
        </w:rPr>
        <w:t xml:space="preserve"> </w:t>
      </w:r>
      <w:r>
        <w:t>M.,</w:t>
      </w:r>
      <w:r>
        <w:rPr>
          <w:spacing w:val="-6"/>
        </w:rPr>
        <w:t xml:space="preserve"> </w:t>
      </w:r>
      <w:r>
        <w:t>Al</w:t>
      </w:r>
      <w:r>
        <w:rPr>
          <w:spacing w:val="-6"/>
        </w:rPr>
        <w:t xml:space="preserve"> </w:t>
      </w:r>
      <w:r>
        <w:t>Makhamreh,</w:t>
      </w:r>
      <w:r>
        <w:rPr>
          <w:spacing w:val="-6"/>
        </w:rPr>
        <w:t xml:space="preserve"> </w:t>
      </w:r>
      <w:r>
        <w:t>S.,</w:t>
      </w:r>
      <w:r>
        <w:rPr>
          <w:spacing w:val="-6"/>
        </w:rPr>
        <w:t xml:space="preserve"> </w:t>
      </w:r>
      <w:r>
        <w:t>Coomans,</w:t>
      </w:r>
      <w:r>
        <w:rPr>
          <w:spacing w:val="-6"/>
        </w:rPr>
        <w:t xml:space="preserve"> </w:t>
      </w:r>
      <w:r>
        <w:t>F.,</w:t>
      </w:r>
      <w:r>
        <w:rPr>
          <w:spacing w:val="-6"/>
        </w:rPr>
        <w:t xml:space="preserve"> </w:t>
      </w:r>
      <w:r>
        <w:t>Harrington,</w:t>
      </w:r>
      <w:r>
        <w:rPr>
          <w:spacing w:val="-6"/>
        </w:rPr>
        <w:t xml:space="preserve"> </w:t>
      </w:r>
      <w:r>
        <w:t>J.,</w:t>
      </w:r>
      <w:r>
        <w:rPr>
          <w:spacing w:val="-6"/>
        </w:rPr>
        <w:t xml:space="preserve"> </w:t>
      </w:r>
      <w:r>
        <w:t>Himonga,</w:t>
      </w:r>
      <w:r>
        <w:rPr>
          <w:spacing w:val="-6"/>
        </w:rPr>
        <w:t xml:space="preserve"> </w:t>
      </w:r>
      <w:r>
        <w:t>C.,</w:t>
      </w:r>
      <w:r>
        <w:rPr>
          <w:spacing w:val="-6"/>
        </w:rPr>
        <w:t xml:space="preserve"> </w:t>
      </w:r>
      <w:r>
        <w:t>&amp;</w:t>
      </w:r>
      <w:r>
        <w:rPr>
          <w:spacing w:val="-6"/>
        </w:rPr>
        <w:t xml:space="preserve"> </w:t>
      </w:r>
      <w:r>
        <w:t>Lewando Hundt, G.</w:t>
      </w:r>
      <w:r>
        <w:t xml:space="preserve"> (2014). The right to traditional, complementary, and alternative health care. Global Health Action, 7(1), 24121. </w:t>
      </w:r>
      <w:hyperlink r:id="rId75">
        <w:r>
          <w:t>https://doi.org/10.3402/gha.v7.24121</w:t>
        </w:r>
      </w:hyperlink>
    </w:p>
    <w:p w:rsidR="009B4BB4" w:rsidRDefault="00C44001">
      <w:pPr>
        <w:pStyle w:val="Textoindependiente"/>
        <w:spacing w:line="276" w:lineRule="auto"/>
        <w:ind w:left="1145" w:right="671" w:hanging="720"/>
      </w:pPr>
      <w:r>
        <w:t>Tabares,</w:t>
      </w:r>
      <w:r>
        <w:rPr>
          <w:spacing w:val="-5"/>
        </w:rPr>
        <w:t xml:space="preserve"> </w:t>
      </w:r>
      <w:r>
        <w:t>S.,</w:t>
      </w:r>
      <w:r>
        <w:rPr>
          <w:spacing w:val="-5"/>
        </w:rPr>
        <w:t xml:space="preserve"> </w:t>
      </w:r>
      <w:r>
        <w:t>Álvarez,</w:t>
      </w:r>
      <w:r>
        <w:rPr>
          <w:spacing w:val="-5"/>
        </w:rPr>
        <w:t xml:space="preserve"> </w:t>
      </w:r>
      <w:r>
        <w:t>C.</w:t>
      </w:r>
      <w:r>
        <w:rPr>
          <w:spacing w:val="-5"/>
        </w:rPr>
        <w:t xml:space="preserve"> </w:t>
      </w:r>
      <w:r>
        <w:t>M.,</w:t>
      </w:r>
      <w:r>
        <w:rPr>
          <w:spacing w:val="-5"/>
        </w:rPr>
        <w:t xml:space="preserve"> </w:t>
      </w:r>
      <w:r>
        <w:t>&amp;</w:t>
      </w:r>
      <w:r>
        <w:rPr>
          <w:spacing w:val="-5"/>
        </w:rPr>
        <w:t xml:space="preserve"> </w:t>
      </w:r>
      <w:r>
        <w:t>Urbano,</w:t>
      </w:r>
      <w:r>
        <w:rPr>
          <w:spacing w:val="-5"/>
        </w:rPr>
        <w:t xml:space="preserve"> </w:t>
      </w:r>
      <w:r>
        <w:t>D.</w:t>
      </w:r>
      <w:r>
        <w:rPr>
          <w:spacing w:val="-5"/>
        </w:rPr>
        <w:t xml:space="preserve"> </w:t>
      </w:r>
      <w:r>
        <w:t>(2021).</w:t>
      </w:r>
      <w:r>
        <w:rPr>
          <w:spacing w:val="-5"/>
        </w:rPr>
        <w:t xml:space="preserve"> </w:t>
      </w:r>
      <w:r>
        <w:t>From</w:t>
      </w:r>
      <w:r>
        <w:rPr>
          <w:spacing w:val="-5"/>
        </w:rPr>
        <w:t xml:space="preserve"> </w:t>
      </w:r>
      <w:r>
        <w:t>mission</w:t>
      </w:r>
      <w:r>
        <w:rPr>
          <w:spacing w:val="-5"/>
        </w:rPr>
        <w:t xml:space="preserve"> </w:t>
      </w:r>
      <w:r>
        <w:t>to</w:t>
      </w:r>
      <w:r>
        <w:rPr>
          <w:spacing w:val="-5"/>
        </w:rPr>
        <w:t xml:space="preserve"> </w:t>
      </w:r>
      <w:r>
        <w:t>impact:</w:t>
      </w:r>
      <w:r>
        <w:rPr>
          <w:spacing w:val="-5"/>
        </w:rPr>
        <w:t xml:space="preserve"> </w:t>
      </w:r>
      <w:r>
        <w:t>B</w:t>
      </w:r>
      <w:r>
        <w:rPr>
          <w:spacing w:val="-5"/>
        </w:rPr>
        <w:t xml:space="preserve"> </w:t>
      </w:r>
      <w:r>
        <w:t>Corps</w:t>
      </w:r>
      <w:r>
        <w:rPr>
          <w:spacing w:val="-5"/>
        </w:rPr>
        <w:t xml:space="preserve"> </w:t>
      </w:r>
      <w:r>
        <w:t xml:space="preserve">and their contribution to sustainable development. Sustainability, 13(24), 13408. </w:t>
      </w:r>
      <w:hyperlink r:id="rId76">
        <w:r>
          <w:rPr>
            <w:spacing w:val="-2"/>
          </w:rPr>
          <w:t>https://doi.org/10.3390/su132413408</w:t>
        </w:r>
      </w:hyperlink>
    </w:p>
    <w:p w:rsidR="009B4BB4" w:rsidRDefault="00C44001">
      <w:pPr>
        <w:pStyle w:val="Textoindependiente"/>
        <w:spacing w:line="276" w:lineRule="auto"/>
        <w:ind w:left="1145" w:right="874" w:hanging="720"/>
      </w:pPr>
      <w:r>
        <w:t>UNDP</w:t>
      </w:r>
      <w:r>
        <w:rPr>
          <w:spacing w:val="-5"/>
        </w:rPr>
        <w:t xml:space="preserve"> </w:t>
      </w:r>
      <w:r>
        <w:t>Nature.</w:t>
      </w:r>
      <w:r>
        <w:rPr>
          <w:spacing w:val="-5"/>
        </w:rPr>
        <w:t xml:space="preserve"> </w:t>
      </w:r>
      <w:r>
        <w:t>(2025).</w:t>
      </w:r>
      <w:r>
        <w:rPr>
          <w:spacing w:val="-5"/>
        </w:rPr>
        <w:t xml:space="preserve"> </w:t>
      </w:r>
      <w:r>
        <w:t>Queens</w:t>
      </w:r>
      <w:r>
        <w:rPr>
          <w:spacing w:val="-5"/>
        </w:rPr>
        <w:t xml:space="preserve"> </w:t>
      </w:r>
      <w:r>
        <w:t>of</w:t>
      </w:r>
      <w:r>
        <w:rPr>
          <w:spacing w:val="-5"/>
        </w:rPr>
        <w:t xml:space="preserve"> </w:t>
      </w:r>
      <w:r>
        <w:t>their</w:t>
      </w:r>
      <w:r>
        <w:rPr>
          <w:spacing w:val="-5"/>
        </w:rPr>
        <w:t xml:space="preserve"> </w:t>
      </w:r>
      <w:r>
        <w:t>hives.</w:t>
      </w:r>
      <w:r>
        <w:rPr>
          <w:spacing w:val="-5"/>
        </w:rPr>
        <w:t xml:space="preserve"> </w:t>
      </w:r>
      <w:r>
        <w:t>United</w:t>
      </w:r>
      <w:r>
        <w:rPr>
          <w:spacing w:val="-5"/>
        </w:rPr>
        <w:t xml:space="preserve"> </w:t>
      </w:r>
      <w:r>
        <w:t>Nations</w:t>
      </w:r>
      <w:r>
        <w:rPr>
          <w:spacing w:val="-5"/>
        </w:rPr>
        <w:t xml:space="preserve"> </w:t>
      </w:r>
      <w:r>
        <w:t>Development</w:t>
      </w:r>
      <w:r>
        <w:rPr>
          <w:spacing w:val="-5"/>
        </w:rPr>
        <w:t xml:space="preserve"> </w:t>
      </w:r>
      <w:r>
        <w:t xml:space="preserve">Programme. </w:t>
      </w:r>
      <w:hyperlink r:id="rId77">
        <w:r>
          <w:rPr>
            <w:spacing w:val="-2"/>
          </w:rPr>
          <w:t>https://sgp.undp.org/resources-155/our-stories/654-queens-of-their-hives</w:t>
        </w:r>
      </w:hyperlink>
    </w:p>
    <w:p w:rsidR="009B4BB4" w:rsidRDefault="00C44001">
      <w:pPr>
        <w:pStyle w:val="Textoindependiente"/>
        <w:spacing w:line="276" w:lineRule="auto"/>
        <w:ind w:left="1145" w:right="671" w:hanging="720"/>
      </w:pPr>
      <w:r>
        <w:t>U.S.</w:t>
      </w:r>
      <w:r>
        <w:rPr>
          <w:spacing w:val="-9"/>
        </w:rPr>
        <w:t xml:space="preserve"> </w:t>
      </w:r>
      <w:r>
        <w:t>Department</w:t>
      </w:r>
      <w:r>
        <w:rPr>
          <w:spacing w:val="-9"/>
        </w:rPr>
        <w:t xml:space="preserve"> </w:t>
      </w:r>
      <w:r>
        <w:t>of</w:t>
      </w:r>
      <w:r>
        <w:rPr>
          <w:spacing w:val="-9"/>
        </w:rPr>
        <w:t xml:space="preserve"> </w:t>
      </w:r>
      <w:r>
        <w:t>the</w:t>
      </w:r>
      <w:r>
        <w:rPr>
          <w:spacing w:val="-9"/>
        </w:rPr>
        <w:t xml:space="preserve"> </w:t>
      </w:r>
      <w:r>
        <w:t>Treasury.</w:t>
      </w:r>
      <w:r>
        <w:rPr>
          <w:spacing w:val="-9"/>
        </w:rPr>
        <w:t xml:space="preserve"> </w:t>
      </w:r>
      <w:r>
        <w:t>(2024).</w:t>
      </w:r>
      <w:r>
        <w:rPr>
          <w:spacing w:val="-9"/>
        </w:rPr>
        <w:t xml:space="preserve"> </w:t>
      </w:r>
      <w:r>
        <w:t>Daily</w:t>
      </w:r>
      <w:r>
        <w:rPr>
          <w:spacing w:val="-9"/>
        </w:rPr>
        <w:t xml:space="preserve"> </w:t>
      </w:r>
      <w:r>
        <w:t>Treasury</w:t>
      </w:r>
      <w:r>
        <w:rPr>
          <w:spacing w:val="-9"/>
        </w:rPr>
        <w:t xml:space="preserve"> </w:t>
      </w:r>
      <w:r>
        <w:t>Yie</w:t>
      </w:r>
      <w:r>
        <w:t>ld</w:t>
      </w:r>
      <w:r>
        <w:rPr>
          <w:spacing w:val="-9"/>
        </w:rPr>
        <w:t xml:space="preserve"> </w:t>
      </w:r>
      <w:r>
        <w:t>Curve</w:t>
      </w:r>
      <w:r>
        <w:rPr>
          <w:spacing w:val="-9"/>
        </w:rPr>
        <w:t xml:space="preserve"> </w:t>
      </w:r>
      <w:r>
        <w:t xml:space="preserve">Rates. </w:t>
      </w:r>
      <w:hyperlink r:id="rId78">
        <w:r>
          <w:rPr>
            <w:spacing w:val="-2"/>
          </w:rPr>
          <w:t>https://home.treasury.gov/</w:t>
        </w:r>
      </w:hyperlink>
    </w:p>
    <w:p w:rsidR="009B4BB4" w:rsidRDefault="00C44001">
      <w:pPr>
        <w:pStyle w:val="Textoindependiente"/>
        <w:spacing w:line="276" w:lineRule="auto"/>
        <w:ind w:left="1145" w:right="865" w:hanging="720"/>
        <w:jc w:val="both"/>
      </w:pPr>
      <w:r>
        <w:t>Villanueva-Gutiérrez,</w:t>
      </w:r>
      <w:r>
        <w:rPr>
          <w:spacing w:val="-6"/>
        </w:rPr>
        <w:t xml:space="preserve"> </w:t>
      </w:r>
      <w:r>
        <w:t>R.,</w:t>
      </w:r>
      <w:r>
        <w:rPr>
          <w:spacing w:val="-6"/>
        </w:rPr>
        <w:t xml:space="preserve"> </w:t>
      </w:r>
      <w:r>
        <w:t>Roubik,</w:t>
      </w:r>
      <w:r>
        <w:rPr>
          <w:spacing w:val="-6"/>
        </w:rPr>
        <w:t xml:space="preserve"> </w:t>
      </w:r>
      <w:r>
        <w:t>D.</w:t>
      </w:r>
      <w:r>
        <w:rPr>
          <w:spacing w:val="-6"/>
        </w:rPr>
        <w:t xml:space="preserve"> </w:t>
      </w:r>
      <w:r>
        <w:t>W.,</w:t>
      </w:r>
      <w:r>
        <w:rPr>
          <w:spacing w:val="-6"/>
        </w:rPr>
        <w:t xml:space="preserve"> </w:t>
      </w:r>
      <w:r>
        <w:t>&amp;</w:t>
      </w:r>
      <w:r>
        <w:rPr>
          <w:spacing w:val="-6"/>
        </w:rPr>
        <w:t xml:space="preserve"> </w:t>
      </w:r>
      <w:r>
        <w:t>Colli-Ucán,</w:t>
      </w:r>
      <w:r>
        <w:rPr>
          <w:spacing w:val="-6"/>
        </w:rPr>
        <w:t xml:space="preserve"> </w:t>
      </w:r>
      <w:r>
        <w:t>W.</w:t>
      </w:r>
      <w:r>
        <w:rPr>
          <w:spacing w:val="-6"/>
        </w:rPr>
        <w:t xml:space="preserve"> </w:t>
      </w:r>
      <w:r>
        <w:t>(2005).</w:t>
      </w:r>
      <w:r>
        <w:rPr>
          <w:spacing w:val="-6"/>
        </w:rPr>
        <w:t xml:space="preserve"> </w:t>
      </w:r>
      <w:r>
        <w:t>Extinction</w:t>
      </w:r>
      <w:r>
        <w:rPr>
          <w:spacing w:val="-6"/>
        </w:rPr>
        <w:t xml:space="preserve"> </w:t>
      </w:r>
      <w:r>
        <w:t>of</w:t>
      </w:r>
      <w:r>
        <w:rPr>
          <w:spacing w:val="-6"/>
        </w:rPr>
        <w:t xml:space="preserve"> </w:t>
      </w:r>
      <w:r>
        <w:t>Melipona beecheii</w:t>
      </w:r>
      <w:r>
        <w:rPr>
          <w:spacing w:val="-6"/>
        </w:rPr>
        <w:t xml:space="preserve"> </w:t>
      </w:r>
      <w:r>
        <w:t>and</w:t>
      </w:r>
      <w:r>
        <w:rPr>
          <w:spacing w:val="-6"/>
        </w:rPr>
        <w:t xml:space="preserve"> </w:t>
      </w:r>
      <w:r>
        <w:t>traditional</w:t>
      </w:r>
      <w:r>
        <w:rPr>
          <w:spacing w:val="-6"/>
        </w:rPr>
        <w:t xml:space="preserve"> </w:t>
      </w:r>
      <w:r>
        <w:t>beekeeping</w:t>
      </w:r>
      <w:r>
        <w:rPr>
          <w:spacing w:val="-6"/>
        </w:rPr>
        <w:t xml:space="preserve"> </w:t>
      </w:r>
      <w:r>
        <w:t>in</w:t>
      </w:r>
      <w:r>
        <w:rPr>
          <w:spacing w:val="-6"/>
        </w:rPr>
        <w:t xml:space="preserve"> </w:t>
      </w:r>
      <w:r>
        <w:t>the</w:t>
      </w:r>
      <w:r>
        <w:rPr>
          <w:spacing w:val="-6"/>
        </w:rPr>
        <w:t xml:space="preserve"> </w:t>
      </w:r>
      <w:r>
        <w:t>Yucatán</w:t>
      </w:r>
      <w:r>
        <w:rPr>
          <w:spacing w:val="-6"/>
        </w:rPr>
        <w:t xml:space="preserve"> </w:t>
      </w:r>
      <w:r>
        <w:t>Peninsula.</w:t>
      </w:r>
      <w:r>
        <w:rPr>
          <w:spacing w:val="-6"/>
        </w:rPr>
        <w:t xml:space="preserve"> </w:t>
      </w:r>
      <w:r>
        <w:t>Bee</w:t>
      </w:r>
      <w:r>
        <w:rPr>
          <w:spacing w:val="-6"/>
        </w:rPr>
        <w:t xml:space="preserve"> </w:t>
      </w:r>
      <w:r>
        <w:t>World,</w:t>
      </w:r>
      <w:r>
        <w:rPr>
          <w:spacing w:val="-6"/>
        </w:rPr>
        <w:t xml:space="preserve"> </w:t>
      </w:r>
      <w:r>
        <w:t>86(2)</w:t>
      </w:r>
      <w:r>
        <w:t xml:space="preserve">, 35–41. </w:t>
      </w:r>
      <w:hyperlink r:id="rId79">
        <w:r>
          <w:t>https://doi.org/10.1080/0005772X.2005.11099651</w:t>
        </w:r>
      </w:hyperlink>
    </w:p>
    <w:p w:rsidR="009B4BB4" w:rsidRDefault="00C44001" w:rsidP="00E166FC">
      <w:pPr>
        <w:pStyle w:val="Textoindependiente"/>
        <w:spacing w:line="276" w:lineRule="auto"/>
        <w:ind w:left="1145" w:right="2578" w:hanging="720"/>
        <w:sectPr w:rsidR="009B4BB4">
          <w:pgSz w:w="11920" w:h="16840"/>
          <w:pgMar w:top="1500" w:right="850" w:bottom="1940" w:left="1275" w:header="0" w:footer="1747" w:gutter="0"/>
          <w:cols w:space="720"/>
        </w:sectPr>
      </w:pPr>
      <w:r>
        <w:t>Yucatán</w:t>
      </w:r>
      <w:r>
        <w:rPr>
          <w:spacing w:val="-8"/>
        </w:rPr>
        <w:t xml:space="preserve"> </w:t>
      </w:r>
      <w:r>
        <w:t>Living.</w:t>
      </w:r>
      <w:r>
        <w:rPr>
          <w:spacing w:val="-8"/>
        </w:rPr>
        <w:t xml:space="preserve"> </w:t>
      </w:r>
      <w:r>
        <w:t>(2024).</w:t>
      </w:r>
      <w:r>
        <w:rPr>
          <w:spacing w:val="-8"/>
        </w:rPr>
        <w:t xml:space="preserve"> </w:t>
      </w:r>
      <w:r>
        <w:t>Melipona</w:t>
      </w:r>
      <w:r>
        <w:rPr>
          <w:spacing w:val="-8"/>
        </w:rPr>
        <w:t xml:space="preserve"> </w:t>
      </w:r>
      <w:r>
        <w:t>bees</w:t>
      </w:r>
      <w:r>
        <w:rPr>
          <w:spacing w:val="-8"/>
        </w:rPr>
        <w:t xml:space="preserve"> </w:t>
      </w:r>
      <w:r>
        <w:t>and</w:t>
      </w:r>
      <w:r>
        <w:rPr>
          <w:spacing w:val="-8"/>
        </w:rPr>
        <w:t xml:space="preserve"> </w:t>
      </w:r>
      <w:r>
        <w:t>the</w:t>
      </w:r>
      <w:r>
        <w:rPr>
          <w:spacing w:val="-8"/>
        </w:rPr>
        <w:t xml:space="preserve"> </w:t>
      </w:r>
      <w:r>
        <w:t>honey</w:t>
      </w:r>
      <w:r>
        <w:rPr>
          <w:spacing w:val="-8"/>
        </w:rPr>
        <w:t xml:space="preserve"> </w:t>
      </w:r>
      <w:r>
        <w:t>of</w:t>
      </w:r>
      <w:r>
        <w:rPr>
          <w:spacing w:val="-8"/>
        </w:rPr>
        <w:t xml:space="preserve"> </w:t>
      </w:r>
      <w:r>
        <w:t xml:space="preserve">Yucatán. </w:t>
      </w:r>
      <w:hyperlink r:id="rId80">
        <w:r>
          <w:rPr>
            <w:spacing w:val="-2"/>
          </w:rPr>
          <w:t>https://www.yucatanliving.com</w:t>
        </w:r>
      </w:hyperlink>
    </w:p>
    <w:p w:rsidR="009B4BB4" w:rsidRDefault="009B4BB4" w:rsidP="00E166FC">
      <w:pPr>
        <w:pStyle w:val="Ttulo1"/>
        <w:spacing w:before="79"/>
        <w:ind w:left="0" w:right="413"/>
      </w:pPr>
      <w:bookmarkStart w:id="279" w:name="Anexos_"/>
      <w:bookmarkStart w:id="280" w:name="h.o1uqq1gbsnl3"/>
      <w:bookmarkEnd w:id="279"/>
      <w:bookmarkEnd w:id="280"/>
    </w:p>
    <w:sectPr w:rsidR="009B4BB4">
      <w:pgSz w:w="11920" w:h="16840"/>
      <w:pgMar w:top="1500" w:right="850" w:bottom="1940" w:left="1275" w:header="0" w:footer="17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001" w:rsidRDefault="00C44001">
      <w:r>
        <w:separator/>
      </w:r>
    </w:p>
  </w:endnote>
  <w:endnote w:type="continuationSeparator" w:id="0">
    <w:p w:rsidR="00C44001" w:rsidRDefault="00C44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B4" w:rsidRDefault="00C44001">
    <w:pPr>
      <w:pStyle w:val="Textoindependiente"/>
      <w:spacing w:before="0" w:line="14" w:lineRule="auto"/>
      <w:rPr>
        <w:sz w:val="20"/>
      </w:rPr>
    </w:pPr>
    <w:r>
      <w:rPr>
        <w:noProof/>
        <w:sz w:val="20"/>
        <w:lang w:val="es-AR" w:eastAsia="es-AR"/>
      </w:rPr>
      <mc:AlternateContent>
        <mc:Choice Requires="wps">
          <w:drawing>
            <wp:anchor distT="0" distB="0" distL="0" distR="0" simplePos="0" relativeHeight="484358656" behindDoc="1" locked="0" layoutInCell="1" allowOverlap="1">
              <wp:simplePos x="0" y="0"/>
              <wp:positionH relativeFrom="page">
                <wp:posOffset>6399981</wp:posOffset>
              </wp:positionH>
              <wp:positionV relativeFrom="page">
                <wp:posOffset>9444521</wp:posOffset>
              </wp:positionV>
              <wp:extent cx="296545" cy="1816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81610"/>
                      </a:xfrm>
                      <a:prstGeom prst="rect">
                        <a:avLst/>
                      </a:prstGeom>
                    </wps:spPr>
                    <wps:txbx>
                      <w:txbxContent>
                        <w:p w:rsidR="009B4BB4" w:rsidRDefault="00C44001">
                          <w:pPr>
                            <w:pStyle w:val="Textoindependiente"/>
                            <w:spacing w:before="13"/>
                            <w:ind w:left="20"/>
                          </w:pPr>
                          <w:r>
                            <w:rPr>
                              <w:spacing w:val="-5"/>
                            </w:rPr>
                            <w:fldChar w:fldCharType="begin"/>
                          </w:r>
                          <w:r>
                            <w:rPr>
                              <w:spacing w:val="-5"/>
                            </w:rPr>
                            <w:instrText xml:space="preserve"> PAGE </w:instrText>
                          </w:r>
                          <w:r>
                            <w:rPr>
                              <w:spacing w:val="-5"/>
                            </w:rPr>
                            <w:fldChar w:fldCharType="separate"/>
                          </w:r>
                          <w:r w:rsidR="00E166FC">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503.95pt;margin-top:743.65pt;width:23.35pt;height:14.3pt;z-index:-189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" filled="f" stroked="f">
              <v:path arrowok="t"/>
              <v:textbox inset="0,0,0,0">
                <w:txbxContent>
                  <w:p w:rsidR="009B4BB4" w:rsidRDefault="00C44001">
                    <w:pPr>
                      <w:pStyle w:val="Textoindependiente"/>
                      <w:spacing w:before="13"/>
                      <w:ind w:left="20"/>
                    </w:pPr>
                    <w:r>
                      <w:rPr>
                        <w:spacing w:val="-5"/>
                      </w:rPr>
                      <w:fldChar w:fldCharType="begin"/>
                    </w:r>
                    <w:r>
                      <w:rPr>
                        <w:spacing w:val="-5"/>
                      </w:rPr>
                      <w:instrText xml:space="preserve"> PAGE </w:instrText>
                    </w:r>
                    <w:r>
                      <w:rPr>
                        <w:spacing w:val="-5"/>
                      </w:rPr>
                      <w:fldChar w:fldCharType="separate"/>
                    </w:r>
                    <w:r w:rsidR="00E166FC">
                      <w:rPr>
                        <w:noProof/>
                        <w:spacing w:val="-5"/>
                      </w:rPr>
                      <w:t>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001" w:rsidRDefault="00C44001">
      <w:r>
        <w:separator/>
      </w:r>
    </w:p>
  </w:footnote>
  <w:footnote w:type="continuationSeparator" w:id="0">
    <w:p w:rsidR="00C44001" w:rsidRDefault="00C440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2CA"/>
    <w:multiLevelType w:val="hybridMultilevel"/>
    <w:tmpl w:val="46BE7A5C"/>
    <w:lvl w:ilvl="0" w:tplc="9F38B0D2">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1846BC00">
      <w:numFmt w:val="bullet"/>
      <w:lvlText w:val="•"/>
      <w:lvlJc w:val="left"/>
      <w:pPr>
        <w:ind w:left="2005" w:hanging="360"/>
      </w:pPr>
      <w:rPr>
        <w:rFonts w:hint="default"/>
        <w:lang w:val="es-ES" w:eastAsia="en-US" w:bidi="ar-SA"/>
      </w:rPr>
    </w:lvl>
    <w:lvl w:ilvl="2" w:tplc="DC36B33A">
      <w:numFmt w:val="bullet"/>
      <w:lvlText w:val="•"/>
      <w:lvlJc w:val="left"/>
      <w:pPr>
        <w:ind w:left="2871" w:hanging="360"/>
      </w:pPr>
      <w:rPr>
        <w:rFonts w:hint="default"/>
        <w:lang w:val="es-ES" w:eastAsia="en-US" w:bidi="ar-SA"/>
      </w:rPr>
    </w:lvl>
    <w:lvl w:ilvl="3" w:tplc="6ACA42E2">
      <w:numFmt w:val="bullet"/>
      <w:lvlText w:val="•"/>
      <w:lvlJc w:val="left"/>
      <w:pPr>
        <w:ind w:left="3736" w:hanging="360"/>
      </w:pPr>
      <w:rPr>
        <w:rFonts w:hint="default"/>
        <w:lang w:val="es-ES" w:eastAsia="en-US" w:bidi="ar-SA"/>
      </w:rPr>
    </w:lvl>
    <w:lvl w:ilvl="4" w:tplc="43EE8542">
      <w:numFmt w:val="bullet"/>
      <w:lvlText w:val="•"/>
      <w:lvlJc w:val="left"/>
      <w:pPr>
        <w:ind w:left="4602" w:hanging="360"/>
      </w:pPr>
      <w:rPr>
        <w:rFonts w:hint="default"/>
        <w:lang w:val="es-ES" w:eastAsia="en-US" w:bidi="ar-SA"/>
      </w:rPr>
    </w:lvl>
    <w:lvl w:ilvl="5" w:tplc="B3961DE0">
      <w:numFmt w:val="bullet"/>
      <w:lvlText w:val="•"/>
      <w:lvlJc w:val="left"/>
      <w:pPr>
        <w:ind w:left="5467" w:hanging="360"/>
      </w:pPr>
      <w:rPr>
        <w:rFonts w:hint="default"/>
        <w:lang w:val="es-ES" w:eastAsia="en-US" w:bidi="ar-SA"/>
      </w:rPr>
    </w:lvl>
    <w:lvl w:ilvl="6" w:tplc="91A2A032">
      <w:numFmt w:val="bullet"/>
      <w:lvlText w:val="•"/>
      <w:lvlJc w:val="left"/>
      <w:pPr>
        <w:ind w:left="6333" w:hanging="360"/>
      </w:pPr>
      <w:rPr>
        <w:rFonts w:hint="default"/>
        <w:lang w:val="es-ES" w:eastAsia="en-US" w:bidi="ar-SA"/>
      </w:rPr>
    </w:lvl>
    <w:lvl w:ilvl="7" w:tplc="3FD09B4E">
      <w:numFmt w:val="bullet"/>
      <w:lvlText w:val="•"/>
      <w:lvlJc w:val="left"/>
      <w:pPr>
        <w:ind w:left="7198" w:hanging="360"/>
      </w:pPr>
      <w:rPr>
        <w:rFonts w:hint="default"/>
        <w:lang w:val="es-ES" w:eastAsia="en-US" w:bidi="ar-SA"/>
      </w:rPr>
    </w:lvl>
    <w:lvl w:ilvl="8" w:tplc="64686466">
      <w:numFmt w:val="bullet"/>
      <w:lvlText w:val="•"/>
      <w:lvlJc w:val="left"/>
      <w:pPr>
        <w:ind w:left="8064" w:hanging="360"/>
      </w:pPr>
      <w:rPr>
        <w:rFonts w:hint="default"/>
        <w:lang w:val="es-ES" w:eastAsia="en-US" w:bidi="ar-SA"/>
      </w:rPr>
    </w:lvl>
  </w:abstractNum>
  <w:abstractNum w:abstractNumId="1">
    <w:nsid w:val="00846BF5"/>
    <w:multiLevelType w:val="hybridMultilevel"/>
    <w:tmpl w:val="A89608DA"/>
    <w:lvl w:ilvl="0" w:tplc="DE4A655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36F84CEA">
      <w:numFmt w:val="bullet"/>
      <w:lvlText w:val="•"/>
      <w:lvlJc w:val="left"/>
      <w:pPr>
        <w:ind w:left="2005" w:hanging="360"/>
      </w:pPr>
      <w:rPr>
        <w:rFonts w:hint="default"/>
        <w:lang w:val="es-ES" w:eastAsia="en-US" w:bidi="ar-SA"/>
      </w:rPr>
    </w:lvl>
    <w:lvl w:ilvl="2" w:tplc="FE325A22">
      <w:numFmt w:val="bullet"/>
      <w:lvlText w:val="•"/>
      <w:lvlJc w:val="left"/>
      <w:pPr>
        <w:ind w:left="2871" w:hanging="360"/>
      </w:pPr>
      <w:rPr>
        <w:rFonts w:hint="default"/>
        <w:lang w:val="es-ES" w:eastAsia="en-US" w:bidi="ar-SA"/>
      </w:rPr>
    </w:lvl>
    <w:lvl w:ilvl="3" w:tplc="47D634EA">
      <w:numFmt w:val="bullet"/>
      <w:lvlText w:val="•"/>
      <w:lvlJc w:val="left"/>
      <w:pPr>
        <w:ind w:left="3736" w:hanging="360"/>
      </w:pPr>
      <w:rPr>
        <w:rFonts w:hint="default"/>
        <w:lang w:val="es-ES" w:eastAsia="en-US" w:bidi="ar-SA"/>
      </w:rPr>
    </w:lvl>
    <w:lvl w:ilvl="4" w:tplc="4BE27492">
      <w:numFmt w:val="bullet"/>
      <w:lvlText w:val="•"/>
      <w:lvlJc w:val="left"/>
      <w:pPr>
        <w:ind w:left="4602" w:hanging="360"/>
      </w:pPr>
      <w:rPr>
        <w:rFonts w:hint="default"/>
        <w:lang w:val="es-ES" w:eastAsia="en-US" w:bidi="ar-SA"/>
      </w:rPr>
    </w:lvl>
    <w:lvl w:ilvl="5" w:tplc="8C9846FC">
      <w:numFmt w:val="bullet"/>
      <w:lvlText w:val="•"/>
      <w:lvlJc w:val="left"/>
      <w:pPr>
        <w:ind w:left="5467" w:hanging="360"/>
      </w:pPr>
      <w:rPr>
        <w:rFonts w:hint="default"/>
        <w:lang w:val="es-ES" w:eastAsia="en-US" w:bidi="ar-SA"/>
      </w:rPr>
    </w:lvl>
    <w:lvl w:ilvl="6" w:tplc="87C4FDD2">
      <w:numFmt w:val="bullet"/>
      <w:lvlText w:val="•"/>
      <w:lvlJc w:val="left"/>
      <w:pPr>
        <w:ind w:left="6333" w:hanging="360"/>
      </w:pPr>
      <w:rPr>
        <w:rFonts w:hint="default"/>
        <w:lang w:val="es-ES" w:eastAsia="en-US" w:bidi="ar-SA"/>
      </w:rPr>
    </w:lvl>
    <w:lvl w:ilvl="7" w:tplc="F2DC792A">
      <w:numFmt w:val="bullet"/>
      <w:lvlText w:val="•"/>
      <w:lvlJc w:val="left"/>
      <w:pPr>
        <w:ind w:left="7198" w:hanging="360"/>
      </w:pPr>
      <w:rPr>
        <w:rFonts w:hint="default"/>
        <w:lang w:val="es-ES" w:eastAsia="en-US" w:bidi="ar-SA"/>
      </w:rPr>
    </w:lvl>
    <w:lvl w:ilvl="8" w:tplc="9AC63552">
      <w:numFmt w:val="bullet"/>
      <w:lvlText w:val="•"/>
      <w:lvlJc w:val="left"/>
      <w:pPr>
        <w:ind w:left="8064" w:hanging="360"/>
      </w:pPr>
      <w:rPr>
        <w:rFonts w:hint="default"/>
        <w:lang w:val="es-ES" w:eastAsia="en-US" w:bidi="ar-SA"/>
      </w:rPr>
    </w:lvl>
  </w:abstractNum>
  <w:abstractNum w:abstractNumId="2">
    <w:nsid w:val="01A96160"/>
    <w:multiLevelType w:val="multilevel"/>
    <w:tmpl w:val="1E588506"/>
    <w:lvl w:ilvl="0">
      <w:start w:val="2"/>
      <w:numFmt w:val="decimal"/>
      <w:lvlText w:val="%1"/>
      <w:lvlJc w:val="left"/>
      <w:pPr>
        <w:ind w:left="1695" w:hanging="551"/>
        <w:jc w:val="left"/>
      </w:pPr>
      <w:rPr>
        <w:rFonts w:hint="default"/>
        <w:lang w:val="es-ES" w:eastAsia="en-US" w:bidi="ar-SA"/>
      </w:rPr>
    </w:lvl>
    <w:lvl w:ilvl="1">
      <w:start w:val="4"/>
      <w:numFmt w:val="decimal"/>
      <w:lvlText w:val="%1.%2"/>
      <w:lvlJc w:val="left"/>
      <w:pPr>
        <w:ind w:left="1695" w:hanging="551"/>
        <w:jc w:val="left"/>
      </w:pPr>
      <w:rPr>
        <w:rFonts w:hint="default"/>
        <w:lang w:val="es-ES" w:eastAsia="en-US" w:bidi="ar-SA"/>
      </w:rPr>
    </w:lvl>
    <w:lvl w:ilvl="2">
      <w:start w:val="3"/>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3">
    <w:nsid w:val="02B57C02"/>
    <w:multiLevelType w:val="hybridMultilevel"/>
    <w:tmpl w:val="403E1780"/>
    <w:lvl w:ilvl="0" w:tplc="C92E5F70">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E0A0EE16">
      <w:numFmt w:val="bullet"/>
      <w:lvlText w:val="•"/>
      <w:lvlJc w:val="left"/>
      <w:pPr>
        <w:ind w:left="2005" w:hanging="360"/>
      </w:pPr>
      <w:rPr>
        <w:rFonts w:hint="default"/>
        <w:lang w:val="es-ES" w:eastAsia="en-US" w:bidi="ar-SA"/>
      </w:rPr>
    </w:lvl>
    <w:lvl w:ilvl="2" w:tplc="6CA44976">
      <w:numFmt w:val="bullet"/>
      <w:lvlText w:val="•"/>
      <w:lvlJc w:val="left"/>
      <w:pPr>
        <w:ind w:left="2871" w:hanging="360"/>
      </w:pPr>
      <w:rPr>
        <w:rFonts w:hint="default"/>
        <w:lang w:val="es-ES" w:eastAsia="en-US" w:bidi="ar-SA"/>
      </w:rPr>
    </w:lvl>
    <w:lvl w:ilvl="3" w:tplc="C54683B4">
      <w:numFmt w:val="bullet"/>
      <w:lvlText w:val="•"/>
      <w:lvlJc w:val="left"/>
      <w:pPr>
        <w:ind w:left="3736" w:hanging="360"/>
      </w:pPr>
      <w:rPr>
        <w:rFonts w:hint="default"/>
        <w:lang w:val="es-ES" w:eastAsia="en-US" w:bidi="ar-SA"/>
      </w:rPr>
    </w:lvl>
    <w:lvl w:ilvl="4" w:tplc="1B9A699A">
      <w:numFmt w:val="bullet"/>
      <w:lvlText w:val="•"/>
      <w:lvlJc w:val="left"/>
      <w:pPr>
        <w:ind w:left="4602" w:hanging="360"/>
      </w:pPr>
      <w:rPr>
        <w:rFonts w:hint="default"/>
        <w:lang w:val="es-ES" w:eastAsia="en-US" w:bidi="ar-SA"/>
      </w:rPr>
    </w:lvl>
    <w:lvl w:ilvl="5" w:tplc="C9C64D62">
      <w:numFmt w:val="bullet"/>
      <w:lvlText w:val="•"/>
      <w:lvlJc w:val="left"/>
      <w:pPr>
        <w:ind w:left="5467" w:hanging="360"/>
      </w:pPr>
      <w:rPr>
        <w:rFonts w:hint="default"/>
        <w:lang w:val="es-ES" w:eastAsia="en-US" w:bidi="ar-SA"/>
      </w:rPr>
    </w:lvl>
    <w:lvl w:ilvl="6" w:tplc="015C9B50">
      <w:numFmt w:val="bullet"/>
      <w:lvlText w:val="•"/>
      <w:lvlJc w:val="left"/>
      <w:pPr>
        <w:ind w:left="6333" w:hanging="360"/>
      </w:pPr>
      <w:rPr>
        <w:rFonts w:hint="default"/>
        <w:lang w:val="es-ES" w:eastAsia="en-US" w:bidi="ar-SA"/>
      </w:rPr>
    </w:lvl>
    <w:lvl w:ilvl="7" w:tplc="F9D85DAA">
      <w:numFmt w:val="bullet"/>
      <w:lvlText w:val="•"/>
      <w:lvlJc w:val="left"/>
      <w:pPr>
        <w:ind w:left="7198" w:hanging="360"/>
      </w:pPr>
      <w:rPr>
        <w:rFonts w:hint="default"/>
        <w:lang w:val="es-ES" w:eastAsia="en-US" w:bidi="ar-SA"/>
      </w:rPr>
    </w:lvl>
    <w:lvl w:ilvl="8" w:tplc="BB7E5D3E">
      <w:numFmt w:val="bullet"/>
      <w:lvlText w:val="•"/>
      <w:lvlJc w:val="left"/>
      <w:pPr>
        <w:ind w:left="8064" w:hanging="360"/>
      </w:pPr>
      <w:rPr>
        <w:rFonts w:hint="default"/>
        <w:lang w:val="es-ES" w:eastAsia="en-US" w:bidi="ar-SA"/>
      </w:rPr>
    </w:lvl>
  </w:abstractNum>
  <w:abstractNum w:abstractNumId="4">
    <w:nsid w:val="036F6E0B"/>
    <w:multiLevelType w:val="hybridMultilevel"/>
    <w:tmpl w:val="E4507F14"/>
    <w:lvl w:ilvl="0" w:tplc="C41ACD2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2572CEEA">
      <w:numFmt w:val="bullet"/>
      <w:lvlText w:val="•"/>
      <w:lvlJc w:val="left"/>
      <w:pPr>
        <w:ind w:left="2005" w:hanging="360"/>
      </w:pPr>
      <w:rPr>
        <w:rFonts w:hint="default"/>
        <w:lang w:val="es-ES" w:eastAsia="en-US" w:bidi="ar-SA"/>
      </w:rPr>
    </w:lvl>
    <w:lvl w:ilvl="2" w:tplc="838058DA">
      <w:numFmt w:val="bullet"/>
      <w:lvlText w:val="•"/>
      <w:lvlJc w:val="left"/>
      <w:pPr>
        <w:ind w:left="2871" w:hanging="360"/>
      </w:pPr>
      <w:rPr>
        <w:rFonts w:hint="default"/>
        <w:lang w:val="es-ES" w:eastAsia="en-US" w:bidi="ar-SA"/>
      </w:rPr>
    </w:lvl>
    <w:lvl w:ilvl="3" w:tplc="F5B60C90">
      <w:numFmt w:val="bullet"/>
      <w:lvlText w:val="•"/>
      <w:lvlJc w:val="left"/>
      <w:pPr>
        <w:ind w:left="3736" w:hanging="360"/>
      </w:pPr>
      <w:rPr>
        <w:rFonts w:hint="default"/>
        <w:lang w:val="es-ES" w:eastAsia="en-US" w:bidi="ar-SA"/>
      </w:rPr>
    </w:lvl>
    <w:lvl w:ilvl="4" w:tplc="486CACE2">
      <w:numFmt w:val="bullet"/>
      <w:lvlText w:val="•"/>
      <w:lvlJc w:val="left"/>
      <w:pPr>
        <w:ind w:left="4602" w:hanging="360"/>
      </w:pPr>
      <w:rPr>
        <w:rFonts w:hint="default"/>
        <w:lang w:val="es-ES" w:eastAsia="en-US" w:bidi="ar-SA"/>
      </w:rPr>
    </w:lvl>
    <w:lvl w:ilvl="5" w:tplc="0E705462">
      <w:numFmt w:val="bullet"/>
      <w:lvlText w:val="•"/>
      <w:lvlJc w:val="left"/>
      <w:pPr>
        <w:ind w:left="5467" w:hanging="360"/>
      </w:pPr>
      <w:rPr>
        <w:rFonts w:hint="default"/>
        <w:lang w:val="es-ES" w:eastAsia="en-US" w:bidi="ar-SA"/>
      </w:rPr>
    </w:lvl>
    <w:lvl w:ilvl="6" w:tplc="CD6C3600">
      <w:numFmt w:val="bullet"/>
      <w:lvlText w:val="•"/>
      <w:lvlJc w:val="left"/>
      <w:pPr>
        <w:ind w:left="6333" w:hanging="360"/>
      </w:pPr>
      <w:rPr>
        <w:rFonts w:hint="default"/>
        <w:lang w:val="es-ES" w:eastAsia="en-US" w:bidi="ar-SA"/>
      </w:rPr>
    </w:lvl>
    <w:lvl w:ilvl="7" w:tplc="FD426FE6">
      <w:numFmt w:val="bullet"/>
      <w:lvlText w:val="•"/>
      <w:lvlJc w:val="left"/>
      <w:pPr>
        <w:ind w:left="7198" w:hanging="360"/>
      </w:pPr>
      <w:rPr>
        <w:rFonts w:hint="default"/>
        <w:lang w:val="es-ES" w:eastAsia="en-US" w:bidi="ar-SA"/>
      </w:rPr>
    </w:lvl>
    <w:lvl w:ilvl="8" w:tplc="438482B4">
      <w:numFmt w:val="bullet"/>
      <w:lvlText w:val="•"/>
      <w:lvlJc w:val="left"/>
      <w:pPr>
        <w:ind w:left="8064" w:hanging="360"/>
      </w:pPr>
      <w:rPr>
        <w:rFonts w:hint="default"/>
        <w:lang w:val="es-ES" w:eastAsia="en-US" w:bidi="ar-SA"/>
      </w:rPr>
    </w:lvl>
  </w:abstractNum>
  <w:abstractNum w:abstractNumId="5">
    <w:nsid w:val="04A90697"/>
    <w:multiLevelType w:val="multilevel"/>
    <w:tmpl w:val="DD72046C"/>
    <w:lvl w:ilvl="0">
      <w:start w:val="3"/>
      <w:numFmt w:val="decimal"/>
      <w:lvlText w:val="%1"/>
      <w:lvlJc w:val="left"/>
      <w:pPr>
        <w:ind w:left="1512" w:hanging="367"/>
        <w:jc w:val="left"/>
      </w:pPr>
      <w:rPr>
        <w:rFonts w:hint="default"/>
        <w:lang w:val="es-ES" w:eastAsia="en-US" w:bidi="ar-SA"/>
      </w:rPr>
    </w:lvl>
    <w:lvl w:ilvl="1">
      <w:start w:val="2"/>
      <w:numFmt w:val="decimal"/>
      <w:lvlText w:val="%1.%2"/>
      <w:lvlJc w:val="left"/>
      <w:pPr>
        <w:ind w:left="1512" w:hanging="367"/>
        <w:jc w:val="right"/>
      </w:pPr>
      <w:rPr>
        <w:rFonts w:ascii="Arial" w:eastAsia="Arial" w:hAnsi="Arial" w:cs="Arial" w:hint="default"/>
        <w:b/>
        <w:bCs/>
        <w:i w:val="0"/>
        <w:iCs w:val="0"/>
        <w:spacing w:val="-1"/>
        <w:w w:val="100"/>
        <w:sz w:val="22"/>
        <w:szCs w:val="22"/>
        <w:lang w:val="es-ES" w:eastAsia="en-US" w:bidi="ar-SA"/>
      </w:rPr>
    </w:lvl>
    <w:lvl w:ilvl="2">
      <w:start w:val="1"/>
      <w:numFmt w:val="decimal"/>
      <w:lvlText w:val="%1.%2.%3"/>
      <w:lvlJc w:val="left"/>
      <w:pPr>
        <w:ind w:left="900" w:hanging="551"/>
        <w:jc w:val="right"/>
      </w:pPr>
      <w:rPr>
        <w:rFonts w:ascii="Arial" w:eastAsia="Arial" w:hAnsi="Arial" w:cs="Arial" w:hint="default"/>
        <w:b/>
        <w:bCs/>
        <w:i/>
        <w:iCs/>
        <w:spacing w:val="-1"/>
        <w:w w:val="100"/>
        <w:sz w:val="22"/>
        <w:szCs w:val="22"/>
        <w:lang w:val="es-ES" w:eastAsia="en-US" w:bidi="ar-SA"/>
      </w:rPr>
    </w:lvl>
    <w:lvl w:ilvl="3">
      <w:start w:val="1"/>
      <w:numFmt w:val="decimal"/>
      <w:lvlText w:val="%4."/>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2702" w:hanging="360"/>
      </w:pPr>
      <w:rPr>
        <w:rFonts w:hint="default"/>
        <w:lang w:val="es-ES" w:eastAsia="en-US" w:bidi="ar-SA"/>
      </w:rPr>
    </w:lvl>
    <w:lvl w:ilvl="5">
      <w:numFmt w:val="bullet"/>
      <w:lvlText w:val="•"/>
      <w:lvlJc w:val="left"/>
      <w:pPr>
        <w:ind w:left="3884" w:hanging="360"/>
      </w:pPr>
      <w:rPr>
        <w:rFonts w:hint="default"/>
        <w:lang w:val="es-ES" w:eastAsia="en-US" w:bidi="ar-SA"/>
      </w:rPr>
    </w:lvl>
    <w:lvl w:ilvl="6">
      <w:numFmt w:val="bullet"/>
      <w:lvlText w:val="•"/>
      <w:lvlJc w:val="left"/>
      <w:pPr>
        <w:ind w:left="5066" w:hanging="360"/>
      </w:pPr>
      <w:rPr>
        <w:rFonts w:hint="default"/>
        <w:lang w:val="es-ES" w:eastAsia="en-US" w:bidi="ar-SA"/>
      </w:rPr>
    </w:lvl>
    <w:lvl w:ilvl="7">
      <w:numFmt w:val="bullet"/>
      <w:lvlText w:val="•"/>
      <w:lvlJc w:val="left"/>
      <w:pPr>
        <w:ind w:left="6248" w:hanging="360"/>
      </w:pPr>
      <w:rPr>
        <w:rFonts w:hint="default"/>
        <w:lang w:val="es-ES" w:eastAsia="en-US" w:bidi="ar-SA"/>
      </w:rPr>
    </w:lvl>
    <w:lvl w:ilvl="8">
      <w:numFmt w:val="bullet"/>
      <w:lvlText w:val="•"/>
      <w:lvlJc w:val="left"/>
      <w:pPr>
        <w:ind w:left="7430" w:hanging="360"/>
      </w:pPr>
      <w:rPr>
        <w:rFonts w:hint="default"/>
        <w:lang w:val="es-ES" w:eastAsia="en-US" w:bidi="ar-SA"/>
      </w:rPr>
    </w:lvl>
  </w:abstractNum>
  <w:abstractNum w:abstractNumId="6">
    <w:nsid w:val="04D34147"/>
    <w:multiLevelType w:val="hybridMultilevel"/>
    <w:tmpl w:val="1396B122"/>
    <w:lvl w:ilvl="0" w:tplc="10DC0CD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AF1E9E14">
      <w:numFmt w:val="bullet"/>
      <w:lvlText w:val="•"/>
      <w:lvlJc w:val="left"/>
      <w:pPr>
        <w:ind w:left="2005" w:hanging="360"/>
      </w:pPr>
      <w:rPr>
        <w:rFonts w:hint="default"/>
        <w:lang w:val="es-ES" w:eastAsia="en-US" w:bidi="ar-SA"/>
      </w:rPr>
    </w:lvl>
    <w:lvl w:ilvl="2" w:tplc="E37ED996">
      <w:numFmt w:val="bullet"/>
      <w:lvlText w:val="•"/>
      <w:lvlJc w:val="left"/>
      <w:pPr>
        <w:ind w:left="2871" w:hanging="360"/>
      </w:pPr>
      <w:rPr>
        <w:rFonts w:hint="default"/>
        <w:lang w:val="es-ES" w:eastAsia="en-US" w:bidi="ar-SA"/>
      </w:rPr>
    </w:lvl>
    <w:lvl w:ilvl="3" w:tplc="DF381C50">
      <w:numFmt w:val="bullet"/>
      <w:lvlText w:val="•"/>
      <w:lvlJc w:val="left"/>
      <w:pPr>
        <w:ind w:left="3736" w:hanging="360"/>
      </w:pPr>
      <w:rPr>
        <w:rFonts w:hint="default"/>
        <w:lang w:val="es-ES" w:eastAsia="en-US" w:bidi="ar-SA"/>
      </w:rPr>
    </w:lvl>
    <w:lvl w:ilvl="4" w:tplc="7D26B0D8">
      <w:numFmt w:val="bullet"/>
      <w:lvlText w:val="•"/>
      <w:lvlJc w:val="left"/>
      <w:pPr>
        <w:ind w:left="4602" w:hanging="360"/>
      </w:pPr>
      <w:rPr>
        <w:rFonts w:hint="default"/>
        <w:lang w:val="es-ES" w:eastAsia="en-US" w:bidi="ar-SA"/>
      </w:rPr>
    </w:lvl>
    <w:lvl w:ilvl="5" w:tplc="EAF4128E">
      <w:numFmt w:val="bullet"/>
      <w:lvlText w:val="•"/>
      <w:lvlJc w:val="left"/>
      <w:pPr>
        <w:ind w:left="5467" w:hanging="360"/>
      </w:pPr>
      <w:rPr>
        <w:rFonts w:hint="default"/>
        <w:lang w:val="es-ES" w:eastAsia="en-US" w:bidi="ar-SA"/>
      </w:rPr>
    </w:lvl>
    <w:lvl w:ilvl="6" w:tplc="43D0ECFC">
      <w:numFmt w:val="bullet"/>
      <w:lvlText w:val="•"/>
      <w:lvlJc w:val="left"/>
      <w:pPr>
        <w:ind w:left="6333" w:hanging="360"/>
      </w:pPr>
      <w:rPr>
        <w:rFonts w:hint="default"/>
        <w:lang w:val="es-ES" w:eastAsia="en-US" w:bidi="ar-SA"/>
      </w:rPr>
    </w:lvl>
    <w:lvl w:ilvl="7" w:tplc="36362D52">
      <w:numFmt w:val="bullet"/>
      <w:lvlText w:val="•"/>
      <w:lvlJc w:val="left"/>
      <w:pPr>
        <w:ind w:left="7198" w:hanging="360"/>
      </w:pPr>
      <w:rPr>
        <w:rFonts w:hint="default"/>
        <w:lang w:val="es-ES" w:eastAsia="en-US" w:bidi="ar-SA"/>
      </w:rPr>
    </w:lvl>
    <w:lvl w:ilvl="8" w:tplc="F83823A2">
      <w:numFmt w:val="bullet"/>
      <w:lvlText w:val="•"/>
      <w:lvlJc w:val="left"/>
      <w:pPr>
        <w:ind w:left="8064" w:hanging="360"/>
      </w:pPr>
      <w:rPr>
        <w:rFonts w:hint="default"/>
        <w:lang w:val="es-ES" w:eastAsia="en-US" w:bidi="ar-SA"/>
      </w:rPr>
    </w:lvl>
  </w:abstractNum>
  <w:abstractNum w:abstractNumId="7">
    <w:nsid w:val="05CB78CF"/>
    <w:multiLevelType w:val="hybridMultilevel"/>
    <w:tmpl w:val="0540EB76"/>
    <w:lvl w:ilvl="0" w:tplc="9E50D336">
      <w:start w:val="3"/>
      <w:numFmt w:val="decimal"/>
      <w:lvlText w:val="%1."/>
      <w:lvlJc w:val="left"/>
      <w:pPr>
        <w:ind w:left="1390" w:hanging="245"/>
        <w:jc w:val="left"/>
      </w:pPr>
      <w:rPr>
        <w:rFonts w:ascii="Arial" w:eastAsia="Arial" w:hAnsi="Arial" w:cs="Arial" w:hint="default"/>
        <w:b/>
        <w:bCs/>
        <w:i w:val="0"/>
        <w:iCs w:val="0"/>
        <w:spacing w:val="-1"/>
        <w:w w:val="100"/>
        <w:sz w:val="22"/>
        <w:szCs w:val="22"/>
        <w:lang w:val="es-ES" w:eastAsia="en-US" w:bidi="ar-SA"/>
      </w:rPr>
    </w:lvl>
    <w:lvl w:ilvl="1" w:tplc="5D3A05D6">
      <w:numFmt w:val="bullet"/>
      <w:lvlText w:val="•"/>
      <w:lvlJc w:val="left"/>
      <w:pPr>
        <w:ind w:left="2239" w:hanging="245"/>
      </w:pPr>
      <w:rPr>
        <w:rFonts w:hint="default"/>
        <w:lang w:val="es-ES" w:eastAsia="en-US" w:bidi="ar-SA"/>
      </w:rPr>
    </w:lvl>
    <w:lvl w:ilvl="2" w:tplc="4C5A81D8">
      <w:numFmt w:val="bullet"/>
      <w:lvlText w:val="•"/>
      <w:lvlJc w:val="left"/>
      <w:pPr>
        <w:ind w:left="3079" w:hanging="245"/>
      </w:pPr>
      <w:rPr>
        <w:rFonts w:hint="default"/>
        <w:lang w:val="es-ES" w:eastAsia="en-US" w:bidi="ar-SA"/>
      </w:rPr>
    </w:lvl>
    <w:lvl w:ilvl="3" w:tplc="D950656A">
      <w:numFmt w:val="bullet"/>
      <w:lvlText w:val="•"/>
      <w:lvlJc w:val="left"/>
      <w:pPr>
        <w:ind w:left="3918" w:hanging="245"/>
      </w:pPr>
      <w:rPr>
        <w:rFonts w:hint="default"/>
        <w:lang w:val="es-ES" w:eastAsia="en-US" w:bidi="ar-SA"/>
      </w:rPr>
    </w:lvl>
    <w:lvl w:ilvl="4" w:tplc="04F0AE90">
      <w:numFmt w:val="bullet"/>
      <w:lvlText w:val="•"/>
      <w:lvlJc w:val="left"/>
      <w:pPr>
        <w:ind w:left="4758" w:hanging="245"/>
      </w:pPr>
      <w:rPr>
        <w:rFonts w:hint="default"/>
        <w:lang w:val="es-ES" w:eastAsia="en-US" w:bidi="ar-SA"/>
      </w:rPr>
    </w:lvl>
    <w:lvl w:ilvl="5" w:tplc="7B9A1F74">
      <w:numFmt w:val="bullet"/>
      <w:lvlText w:val="•"/>
      <w:lvlJc w:val="left"/>
      <w:pPr>
        <w:ind w:left="5597" w:hanging="245"/>
      </w:pPr>
      <w:rPr>
        <w:rFonts w:hint="default"/>
        <w:lang w:val="es-ES" w:eastAsia="en-US" w:bidi="ar-SA"/>
      </w:rPr>
    </w:lvl>
    <w:lvl w:ilvl="6" w:tplc="08DC1D36">
      <w:numFmt w:val="bullet"/>
      <w:lvlText w:val="•"/>
      <w:lvlJc w:val="left"/>
      <w:pPr>
        <w:ind w:left="6437" w:hanging="245"/>
      </w:pPr>
      <w:rPr>
        <w:rFonts w:hint="default"/>
        <w:lang w:val="es-ES" w:eastAsia="en-US" w:bidi="ar-SA"/>
      </w:rPr>
    </w:lvl>
    <w:lvl w:ilvl="7" w:tplc="FC444762">
      <w:numFmt w:val="bullet"/>
      <w:lvlText w:val="•"/>
      <w:lvlJc w:val="left"/>
      <w:pPr>
        <w:ind w:left="7276" w:hanging="245"/>
      </w:pPr>
      <w:rPr>
        <w:rFonts w:hint="default"/>
        <w:lang w:val="es-ES" w:eastAsia="en-US" w:bidi="ar-SA"/>
      </w:rPr>
    </w:lvl>
    <w:lvl w:ilvl="8" w:tplc="D35AB67E">
      <w:numFmt w:val="bullet"/>
      <w:lvlText w:val="•"/>
      <w:lvlJc w:val="left"/>
      <w:pPr>
        <w:ind w:left="8116" w:hanging="245"/>
      </w:pPr>
      <w:rPr>
        <w:rFonts w:hint="default"/>
        <w:lang w:val="es-ES" w:eastAsia="en-US" w:bidi="ar-SA"/>
      </w:rPr>
    </w:lvl>
  </w:abstractNum>
  <w:abstractNum w:abstractNumId="8">
    <w:nsid w:val="06DF459E"/>
    <w:multiLevelType w:val="multilevel"/>
    <w:tmpl w:val="249248FC"/>
    <w:lvl w:ilvl="0">
      <w:start w:val="7"/>
      <w:numFmt w:val="decimal"/>
      <w:lvlText w:val="%1"/>
      <w:lvlJc w:val="left"/>
      <w:pPr>
        <w:ind w:left="1005" w:hanging="551"/>
        <w:jc w:val="left"/>
      </w:pPr>
      <w:rPr>
        <w:rFonts w:hint="default"/>
        <w:lang w:val="es-ES" w:eastAsia="en-US" w:bidi="ar-SA"/>
      </w:rPr>
    </w:lvl>
    <w:lvl w:ilvl="1">
      <w:start w:val="9"/>
      <w:numFmt w:val="decimal"/>
      <w:lvlText w:val="%1.%2"/>
      <w:lvlJc w:val="left"/>
      <w:pPr>
        <w:ind w:left="1005" w:hanging="551"/>
        <w:jc w:val="left"/>
      </w:pPr>
      <w:rPr>
        <w:rFonts w:hint="default"/>
        <w:lang w:val="es-ES" w:eastAsia="en-US" w:bidi="ar-SA"/>
      </w:rPr>
    </w:lvl>
    <w:lvl w:ilvl="2">
      <w:start w:val="1"/>
      <w:numFmt w:val="decimal"/>
      <w:lvlText w:val="%1.%2.%3"/>
      <w:lvlJc w:val="left"/>
      <w:pPr>
        <w:ind w:left="1005"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638" w:hanging="551"/>
      </w:pPr>
      <w:rPr>
        <w:rFonts w:hint="default"/>
        <w:lang w:val="es-ES" w:eastAsia="en-US" w:bidi="ar-SA"/>
      </w:rPr>
    </w:lvl>
    <w:lvl w:ilvl="4">
      <w:numFmt w:val="bullet"/>
      <w:lvlText w:val="•"/>
      <w:lvlJc w:val="left"/>
      <w:pPr>
        <w:ind w:left="4518" w:hanging="551"/>
      </w:pPr>
      <w:rPr>
        <w:rFonts w:hint="default"/>
        <w:lang w:val="es-ES" w:eastAsia="en-US" w:bidi="ar-SA"/>
      </w:rPr>
    </w:lvl>
    <w:lvl w:ilvl="5">
      <w:numFmt w:val="bullet"/>
      <w:lvlText w:val="•"/>
      <w:lvlJc w:val="left"/>
      <w:pPr>
        <w:ind w:left="5397" w:hanging="551"/>
      </w:pPr>
      <w:rPr>
        <w:rFonts w:hint="default"/>
        <w:lang w:val="es-ES" w:eastAsia="en-US" w:bidi="ar-SA"/>
      </w:rPr>
    </w:lvl>
    <w:lvl w:ilvl="6">
      <w:numFmt w:val="bullet"/>
      <w:lvlText w:val="•"/>
      <w:lvlJc w:val="left"/>
      <w:pPr>
        <w:ind w:left="6277" w:hanging="551"/>
      </w:pPr>
      <w:rPr>
        <w:rFonts w:hint="default"/>
        <w:lang w:val="es-ES" w:eastAsia="en-US" w:bidi="ar-SA"/>
      </w:rPr>
    </w:lvl>
    <w:lvl w:ilvl="7">
      <w:numFmt w:val="bullet"/>
      <w:lvlText w:val="•"/>
      <w:lvlJc w:val="left"/>
      <w:pPr>
        <w:ind w:left="7156" w:hanging="551"/>
      </w:pPr>
      <w:rPr>
        <w:rFonts w:hint="default"/>
        <w:lang w:val="es-ES" w:eastAsia="en-US" w:bidi="ar-SA"/>
      </w:rPr>
    </w:lvl>
    <w:lvl w:ilvl="8">
      <w:numFmt w:val="bullet"/>
      <w:lvlText w:val="•"/>
      <w:lvlJc w:val="left"/>
      <w:pPr>
        <w:ind w:left="8036" w:hanging="551"/>
      </w:pPr>
      <w:rPr>
        <w:rFonts w:hint="default"/>
        <w:lang w:val="es-ES" w:eastAsia="en-US" w:bidi="ar-SA"/>
      </w:rPr>
    </w:lvl>
  </w:abstractNum>
  <w:abstractNum w:abstractNumId="9">
    <w:nsid w:val="0A977AB7"/>
    <w:multiLevelType w:val="multilevel"/>
    <w:tmpl w:val="768AF17A"/>
    <w:lvl w:ilvl="0">
      <w:start w:val="4"/>
      <w:numFmt w:val="decimal"/>
      <w:lvlText w:val="%1"/>
      <w:lvlJc w:val="left"/>
      <w:pPr>
        <w:ind w:left="1470" w:hanging="551"/>
        <w:jc w:val="left"/>
      </w:pPr>
      <w:rPr>
        <w:rFonts w:hint="default"/>
        <w:lang w:val="es-ES" w:eastAsia="en-US" w:bidi="ar-SA"/>
      </w:rPr>
    </w:lvl>
    <w:lvl w:ilvl="1">
      <w:start w:val="2"/>
      <w:numFmt w:val="decimal"/>
      <w:lvlText w:val="%1.%2"/>
      <w:lvlJc w:val="left"/>
      <w:pPr>
        <w:ind w:left="1470" w:hanging="551"/>
        <w:jc w:val="left"/>
      </w:pPr>
      <w:rPr>
        <w:rFonts w:hint="default"/>
        <w:lang w:val="es-ES" w:eastAsia="en-US" w:bidi="ar-SA"/>
      </w:rPr>
    </w:lvl>
    <w:lvl w:ilvl="2">
      <w:start w:val="3"/>
      <w:numFmt w:val="decimal"/>
      <w:lvlText w:val="%1.%2.%3"/>
      <w:lvlJc w:val="left"/>
      <w:pPr>
        <w:ind w:left="147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974" w:hanging="551"/>
      </w:pPr>
      <w:rPr>
        <w:rFonts w:hint="default"/>
        <w:lang w:val="es-ES" w:eastAsia="en-US" w:bidi="ar-SA"/>
      </w:rPr>
    </w:lvl>
    <w:lvl w:ilvl="4">
      <w:numFmt w:val="bullet"/>
      <w:lvlText w:val="•"/>
      <w:lvlJc w:val="left"/>
      <w:pPr>
        <w:ind w:left="4806" w:hanging="551"/>
      </w:pPr>
      <w:rPr>
        <w:rFonts w:hint="default"/>
        <w:lang w:val="es-ES" w:eastAsia="en-US" w:bidi="ar-SA"/>
      </w:rPr>
    </w:lvl>
    <w:lvl w:ilvl="5">
      <w:numFmt w:val="bullet"/>
      <w:lvlText w:val="•"/>
      <w:lvlJc w:val="left"/>
      <w:pPr>
        <w:ind w:left="5637" w:hanging="551"/>
      </w:pPr>
      <w:rPr>
        <w:rFonts w:hint="default"/>
        <w:lang w:val="es-ES" w:eastAsia="en-US" w:bidi="ar-SA"/>
      </w:rPr>
    </w:lvl>
    <w:lvl w:ilvl="6">
      <w:numFmt w:val="bullet"/>
      <w:lvlText w:val="•"/>
      <w:lvlJc w:val="left"/>
      <w:pPr>
        <w:ind w:left="6469" w:hanging="551"/>
      </w:pPr>
      <w:rPr>
        <w:rFonts w:hint="default"/>
        <w:lang w:val="es-ES" w:eastAsia="en-US" w:bidi="ar-SA"/>
      </w:rPr>
    </w:lvl>
    <w:lvl w:ilvl="7">
      <w:numFmt w:val="bullet"/>
      <w:lvlText w:val="•"/>
      <w:lvlJc w:val="left"/>
      <w:pPr>
        <w:ind w:left="7300" w:hanging="551"/>
      </w:pPr>
      <w:rPr>
        <w:rFonts w:hint="default"/>
        <w:lang w:val="es-ES" w:eastAsia="en-US" w:bidi="ar-SA"/>
      </w:rPr>
    </w:lvl>
    <w:lvl w:ilvl="8">
      <w:numFmt w:val="bullet"/>
      <w:lvlText w:val="•"/>
      <w:lvlJc w:val="left"/>
      <w:pPr>
        <w:ind w:left="8132" w:hanging="551"/>
      </w:pPr>
      <w:rPr>
        <w:rFonts w:hint="default"/>
        <w:lang w:val="es-ES" w:eastAsia="en-US" w:bidi="ar-SA"/>
      </w:rPr>
    </w:lvl>
  </w:abstractNum>
  <w:abstractNum w:abstractNumId="10">
    <w:nsid w:val="0B1C70A2"/>
    <w:multiLevelType w:val="hybridMultilevel"/>
    <w:tmpl w:val="8DC42C6C"/>
    <w:lvl w:ilvl="0" w:tplc="839A42F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72B61ADA">
      <w:numFmt w:val="bullet"/>
      <w:lvlText w:val="•"/>
      <w:lvlJc w:val="left"/>
      <w:pPr>
        <w:ind w:left="2005" w:hanging="360"/>
      </w:pPr>
      <w:rPr>
        <w:rFonts w:hint="default"/>
        <w:lang w:val="es-ES" w:eastAsia="en-US" w:bidi="ar-SA"/>
      </w:rPr>
    </w:lvl>
    <w:lvl w:ilvl="2" w:tplc="5D4E178E">
      <w:numFmt w:val="bullet"/>
      <w:lvlText w:val="•"/>
      <w:lvlJc w:val="left"/>
      <w:pPr>
        <w:ind w:left="2871" w:hanging="360"/>
      </w:pPr>
      <w:rPr>
        <w:rFonts w:hint="default"/>
        <w:lang w:val="es-ES" w:eastAsia="en-US" w:bidi="ar-SA"/>
      </w:rPr>
    </w:lvl>
    <w:lvl w:ilvl="3" w:tplc="1D662CCA">
      <w:numFmt w:val="bullet"/>
      <w:lvlText w:val="•"/>
      <w:lvlJc w:val="left"/>
      <w:pPr>
        <w:ind w:left="3736" w:hanging="360"/>
      </w:pPr>
      <w:rPr>
        <w:rFonts w:hint="default"/>
        <w:lang w:val="es-ES" w:eastAsia="en-US" w:bidi="ar-SA"/>
      </w:rPr>
    </w:lvl>
    <w:lvl w:ilvl="4" w:tplc="C6E00C8A">
      <w:numFmt w:val="bullet"/>
      <w:lvlText w:val="•"/>
      <w:lvlJc w:val="left"/>
      <w:pPr>
        <w:ind w:left="4602" w:hanging="360"/>
      </w:pPr>
      <w:rPr>
        <w:rFonts w:hint="default"/>
        <w:lang w:val="es-ES" w:eastAsia="en-US" w:bidi="ar-SA"/>
      </w:rPr>
    </w:lvl>
    <w:lvl w:ilvl="5" w:tplc="50B825AC">
      <w:numFmt w:val="bullet"/>
      <w:lvlText w:val="•"/>
      <w:lvlJc w:val="left"/>
      <w:pPr>
        <w:ind w:left="5467" w:hanging="360"/>
      </w:pPr>
      <w:rPr>
        <w:rFonts w:hint="default"/>
        <w:lang w:val="es-ES" w:eastAsia="en-US" w:bidi="ar-SA"/>
      </w:rPr>
    </w:lvl>
    <w:lvl w:ilvl="6" w:tplc="B386A186">
      <w:numFmt w:val="bullet"/>
      <w:lvlText w:val="•"/>
      <w:lvlJc w:val="left"/>
      <w:pPr>
        <w:ind w:left="6333" w:hanging="360"/>
      </w:pPr>
      <w:rPr>
        <w:rFonts w:hint="default"/>
        <w:lang w:val="es-ES" w:eastAsia="en-US" w:bidi="ar-SA"/>
      </w:rPr>
    </w:lvl>
    <w:lvl w:ilvl="7" w:tplc="2E1C5DB2">
      <w:numFmt w:val="bullet"/>
      <w:lvlText w:val="•"/>
      <w:lvlJc w:val="left"/>
      <w:pPr>
        <w:ind w:left="7198" w:hanging="360"/>
      </w:pPr>
      <w:rPr>
        <w:rFonts w:hint="default"/>
        <w:lang w:val="es-ES" w:eastAsia="en-US" w:bidi="ar-SA"/>
      </w:rPr>
    </w:lvl>
    <w:lvl w:ilvl="8" w:tplc="D028444C">
      <w:numFmt w:val="bullet"/>
      <w:lvlText w:val="•"/>
      <w:lvlJc w:val="left"/>
      <w:pPr>
        <w:ind w:left="8064" w:hanging="360"/>
      </w:pPr>
      <w:rPr>
        <w:rFonts w:hint="default"/>
        <w:lang w:val="es-ES" w:eastAsia="en-US" w:bidi="ar-SA"/>
      </w:rPr>
    </w:lvl>
  </w:abstractNum>
  <w:abstractNum w:abstractNumId="11">
    <w:nsid w:val="0B8E6BA5"/>
    <w:multiLevelType w:val="hybridMultilevel"/>
    <w:tmpl w:val="D338A720"/>
    <w:lvl w:ilvl="0" w:tplc="24B6D03E">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93EC2AFC">
      <w:numFmt w:val="bullet"/>
      <w:lvlText w:val="•"/>
      <w:lvlJc w:val="left"/>
      <w:pPr>
        <w:ind w:left="2005" w:hanging="360"/>
      </w:pPr>
      <w:rPr>
        <w:rFonts w:hint="default"/>
        <w:lang w:val="es-ES" w:eastAsia="en-US" w:bidi="ar-SA"/>
      </w:rPr>
    </w:lvl>
    <w:lvl w:ilvl="2" w:tplc="67F20FC4">
      <w:numFmt w:val="bullet"/>
      <w:lvlText w:val="•"/>
      <w:lvlJc w:val="left"/>
      <w:pPr>
        <w:ind w:left="2871" w:hanging="360"/>
      </w:pPr>
      <w:rPr>
        <w:rFonts w:hint="default"/>
        <w:lang w:val="es-ES" w:eastAsia="en-US" w:bidi="ar-SA"/>
      </w:rPr>
    </w:lvl>
    <w:lvl w:ilvl="3" w:tplc="127C8DB8">
      <w:numFmt w:val="bullet"/>
      <w:lvlText w:val="•"/>
      <w:lvlJc w:val="left"/>
      <w:pPr>
        <w:ind w:left="3736" w:hanging="360"/>
      </w:pPr>
      <w:rPr>
        <w:rFonts w:hint="default"/>
        <w:lang w:val="es-ES" w:eastAsia="en-US" w:bidi="ar-SA"/>
      </w:rPr>
    </w:lvl>
    <w:lvl w:ilvl="4" w:tplc="4E2674DE">
      <w:numFmt w:val="bullet"/>
      <w:lvlText w:val="•"/>
      <w:lvlJc w:val="left"/>
      <w:pPr>
        <w:ind w:left="4602" w:hanging="360"/>
      </w:pPr>
      <w:rPr>
        <w:rFonts w:hint="default"/>
        <w:lang w:val="es-ES" w:eastAsia="en-US" w:bidi="ar-SA"/>
      </w:rPr>
    </w:lvl>
    <w:lvl w:ilvl="5" w:tplc="09A08EA8">
      <w:numFmt w:val="bullet"/>
      <w:lvlText w:val="•"/>
      <w:lvlJc w:val="left"/>
      <w:pPr>
        <w:ind w:left="5467" w:hanging="360"/>
      </w:pPr>
      <w:rPr>
        <w:rFonts w:hint="default"/>
        <w:lang w:val="es-ES" w:eastAsia="en-US" w:bidi="ar-SA"/>
      </w:rPr>
    </w:lvl>
    <w:lvl w:ilvl="6" w:tplc="70061EA4">
      <w:numFmt w:val="bullet"/>
      <w:lvlText w:val="•"/>
      <w:lvlJc w:val="left"/>
      <w:pPr>
        <w:ind w:left="6333" w:hanging="360"/>
      </w:pPr>
      <w:rPr>
        <w:rFonts w:hint="default"/>
        <w:lang w:val="es-ES" w:eastAsia="en-US" w:bidi="ar-SA"/>
      </w:rPr>
    </w:lvl>
    <w:lvl w:ilvl="7" w:tplc="D14E3FE4">
      <w:numFmt w:val="bullet"/>
      <w:lvlText w:val="•"/>
      <w:lvlJc w:val="left"/>
      <w:pPr>
        <w:ind w:left="7198" w:hanging="360"/>
      </w:pPr>
      <w:rPr>
        <w:rFonts w:hint="default"/>
        <w:lang w:val="es-ES" w:eastAsia="en-US" w:bidi="ar-SA"/>
      </w:rPr>
    </w:lvl>
    <w:lvl w:ilvl="8" w:tplc="9968BADE">
      <w:numFmt w:val="bullet"/>
      <w:lvlText w:val="•"/>
      <w:lvlJc w:val="left"/>
      <w:pPr>
        <w:ind w:left="8064" w:hanging="360"/>
      </w:pPr>
      <w:rPr>
        <w:rFonts w:hint="default"/>
        <w:lang w:val="es-ES" w:eastAsia="en-US" w:bidi="ar-SA"/>
      </w:rPr>
    </w:lvl>
  </w:abstractNum>
  <w:abstractNum w:abstractNumId="12">
    <w:nsid w:val="0D070838"/>
    <w:multiLevelType w:val="hybridMultilevel"/>
    <w:tmpl w:val="DB76DA18"/>
    <w:lvl w:ilvl="0" w:tplc="440627C8">
      <w:numFmt w:val="bullet"/>
      <w:lvlText w:val="●"/>
      <w:lvlJc w:val="left"/>
      <w:pPr>
        <w:ind w:left="828" w:hanging="360"/>
      </w:pPr>
      <w:rPr>
        <w:rFonts w:ascii="Arial MT" w:eastAsia="Arial MT" w:hAnsi="Arial MT" w:cs="Arial MT" w:hint="default"/>
        <w:b w:val="0"/>
        <w:bCs w:val="0"/>
        <w:i w:val="0"/>
        <w:iCs w:val="0"/>
        <w:spacing w:val="0"/>
        <w:w w:val="60"/>
        <w:sz w:val="22"/>
        <w:szCs w:val="22"/>
        <w:lang w:val="es-ES" w:eastAsia="en-US" w:bidi="ar-SA"/>
      </w:rPr>
    </w:lvl>
    <w:lvl w:ilvl="1" w:tplc="77242710">
      <w:numFmt w:val="bullet"/>
      <w:lvlText w:val="•"/>
      <w:lvlJc w:val="left"/>
      <w:pPr>
        <w:ind w:left="1198" w:hanging="360"/>
      </w:pPr>
      <w:rPr>
        <w:rFonts w:hint="default"/>
        <w:lang w:val="es-ES" w:eastAsia="en-US" w:bidi="ar-SA"/>
      </w:rPr>
    </w:lvl>
    <w:lvl w:ilvl="2" w:tplc="D640DB00">
      <w:numFmt w:val="bullet"/>
      <w:lvlText w:val="•"/>
      <w:lvlJc w:val="left"/>
      <w:pPr>
        <w:ind w:left="1577" w:hanging="360"/>
      </w:pPr>
      <w:rPr>
        <w:rFonts w:hint="default"/>
        <w:lang w:val="es-ES" w:eastAsia="en-US" w:bidi="ar-SA"/>
      </w:rPr>
    </w:lvl>
    <w:lvl w:ilvl="3" w:tplc="2A28A22C">
      <w:numFmt w:val="bullet"/>
      <w:lvlText w:val="•"/>
      <w:lvlJc w:val="left"/>
      <w:pPr>
        <w:ind w:left="1956" w:hanging="360"/>
      </w:pPr>
      <w:rPr>
        <w:rFonts w:hint="default"/>
        <w:lang w:val="es-ES" w:eastAsia="en-US" w:bidi="ar-SA"/>
      </w:rPr>
    </w:lvl>
    <w:lvl w:ilvl="4" w:tplc="FF18DFCC">
      <w:numFmt w:val="bullet"/>
      <w:lvlText w:val="•"/>
      <w:lvlJc w:val="left"/>
      <w:pPr>
        <w:ind w:left="2335" w:hanging="360"/>
      </w:pPr>
      <w:rPr>
        <w:rFonts w:hint="default"/>
        <w:lang w:val="es-ES" w:eastAsia="en-US" w:bidi="ar-SA"/>
      </w:rPr>
    </w:lvl>
    <w:lvl w:ilvl="5" w:tplc="1FE859E8">
      <w:numFmt w:val="bullet"/>
      <w:lvlText w:val="•"/>
      <w:lvlJc w:val="left"/>
      <w:pPr>
        <w:ind w:left="2714" w:hanging="360"/>
      </w:pPr>
      <w:rPr>
        <w:rFonts w:hint="default"/>
        <w:lang w:val="es-ES" w:eastAsia="en-US" w:bidi="ar-SA"/>
      </w:rPr>
    </w:lvl>
    <w:lvl w:ilvl="6" w:tplc="726286AC">
      <w:numFmt w:val="bullet"/>
      <w:lvlText w:val="•"/>
      <w:lvlJc w:val="left"/>
      <w:pPr>
        <w:ind w:left="3093" w:hanging="360"/>
      </w:pPr>
      <w:rPr>
        <w:rFonts w:hint="default"/>
        <w:lang w:val="es-ES" w:eastAsia="en-US" w:bidi="ar-SA"/>
      </w:rPr>
    </w:lvl>
    <w:lvl w:ilvl="7" w:tplc="FA88FFF6">
      <w:numFmt w:val="bullet"/>
      <w:lvlText w:val="•"/>
      <w:lvlJc w:val="left"/>
      <w:pPr>
        <w:ind w:left="3472" w:hanging="360"/>
      </w:pPr>
      <w:rPr>
        <w:rFonts w:hint="default"/>
        <w:lang w:val="es-ES" w:eastAsia="en-US" w:bidi="ar-SA"/>
      </w:rPr>
    </w:lvl>
    <w:lvl w:ilvl="8" w:tplc="4F609548">
      <w:numFmt w:val="bullet"/>
      <w:lvlText w:val="•"/>
      <w:lvlJc w:val="left"/>
      <w:pPr>
        <w:ind w:left="3851" w:hanging="360"/>
      </w:pPr>
      <w:rPr>
        <w:rFonts w:hint="default"/>
        <w:lang w:val="es-ES" w:eastAsia="en-US" w:bidi="ar-SA"/>
      </w:rPr>
    </w:lvl>
  </w:abstractNum>
  <w:abstractNum w:abstractNumId="13">
    <w:nsid w:val="10B232BB"/>
    <w:multiLevelType w:val="multilevel"/>
    <w:tmpl w:val="926E2DC2"/>
    <w:lvl w:ilvl="0">
      <w:start w:val="7"/>
      <w:numFmt w:val="decimal"/>
      <w:lvlText w:val="%1"/>
      <w:lvlJc w:val="left"/>
      <w:pPr>
        <w:ind w:left="1111" w:hanging="656"/>
        <w:jc w:val="left"/>
      </w:pPr>
      <w:rPr>
        <w:rFonts w:hint="default"/>
        <w:lang w:val="es-ES" w:eastAsia="en-US" w:bidi="ar-SA"/>
      </w:rPr>
    </w:lvl>
    <w:lvl w:ilvl="1">
      <w:start w:val="11"/>
      <w:numFmt w:val="decimal"/>
      <w:lvlText w:val="%1.%2"/>
      <w:lvlJc w:val="left"/>
      <w:pPr>
        <w:ind w:left="1111" w:hanging="656"/>
        <w:jc w:val="left"/>
      </w:pPr>
      <w:rPr>
        <w:rFonts w:hint="default"/>
        <w:lang w:val="es-ES" w:eastAsia="en-US" w:bidi="ar-SA"/>
      </w:rPr>
    </w:lvl>
    <w:lvl w:ilvl="2">
      <w:start w:val="1"/>
      <w:numFmt w:val="decimal"/>
      <w:lvlText w:val="%1.%2.%3"/>
      <w:lvlJc w:val="left"/>
      <w:pPr>
        <w:ind w:left="1111" w:hanging="656"/>
        <w:jc w:val="left"/>
      </w:pPr>
      <w:rPr>
        <w:rFonts w:ascii="Arial" w:eastAsia="Arial" w:hAnsi="Arial" w:cs="Arial" w:hint="default"/>
        <w:b/>
        <w:bCs/>
        <w:i/>
        <w:iCs/>
        <w:spacing w:val="-17"/>
        <w:w w:val="100"/>
        <w:sz w:val="22"/>
        <w:szCs w:val="22"/>
        <w:lang w:val="es-ES" w:eastAsia="en-US" w:bidi="ar-SA"/>
      </w:rPr>
    </w:lvl>
    <w:lvl w:ilvl="3">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4025" w:hanging="360"/>
      </w:pPr>
      <w:rPr>
        <w:rFonts w:hint="default"/>
        <w:lang w:val="es-ES" w:eastAsia="en-US" w:bidi="ar-SA"/>
      </w:rPr>
    </w:lvl>
    <w:lvl w:ilvl="5">
      <w:numFmt w:val="bullet"/>
      <w:lvlText w:val="•"/>
      <w:lvlJc w:val="left"/>
      <w:pPr>
        <w:ind w:left="4986" w:hanging="360"/>
      </w:pPr>
      <w:rPr>
        <w:rFonts w:hint="default"/>
        <w:lang w:val="es-ES" w:eastAsia="en-US" w:bidi="ar-SA"/>
      </w:rPr>
    </w:lvl>
    <w:lvl w:ilvl="6">
      <w:numFmt w:val="bullet"/>
      <w:lvlText w:val="•"/>
      <w:lvlJc w:val="left"/>
      <w:pPr>
        <w:ind w:left="5948" w:hanging="360"/>
      </w:pPr>
      <w:rPr>
        <w:rFonts w:hint="default"/>
        <w:lang w:val="es-ES" w:eastAsia="en-US" w:bidi="ar-SA"/>
      </w:rPr>
    </w:lvl>
    <w:lvl w:ilvl="7">
      <w:numFmt w:val="bullet"/>
      <w:lvlText w:val="•"/>
      <w:lvlJc w:val="left"/>
      <w:pPr>
        <w:ind w:left="6910" w:hanging="360"/>
      </w:pPr>
      <w:rPr>
        <w:rFonts w:hint="default"/>
        <w:lang w:val="es-ES" w:eastAsia="en-US" w:bidi="ar-SA"/>
      </w:rPr>
    </w:lvl>
    <w:lvl w:ilvl="8">
      <w:numFmt w:val="bullet"/>
      <w:lvlText w:val="•"/>
      <w:lvlJc w:val="left"/>
      <w:pPr>
        <w:ind w:left="7871" w:hanging="360"/>
      </w:pPr>
      <w:rPr>
        <w:rFonts w:hint="default"/>
        <w:lang w:val="es-ES" w:eastAsia="en-US" w:bidi="ar-SA"/>
      </w:rPr>
    </w:lvl>
  </w:abstractNum>
  <w:abstractNum w:abstractNumId="14">
    <w:nsid w:val="13D808ED"/>
    <w:multiLevelType w:val="hybridMultilevel"/>
    <w:tmpl w:val="4554FE8C"/>
    <w:lvl w:ilvl="0" w:tplc="DD7219C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4E0A26DE">
      <w:numFmt w:val="bullet"/>
      <w:lvlText w:val="•"/>
      <w:lvlJc w:val="left"/>
      <w:pPr>
        <w:ind w:left="2005" w:hanging="360"/>
      </w:pPr>
      <w:rPr>
        <w:rFonts w:hint="default"/>
        <w:lang w:val="es-ES" w:eastAsia="en-US" w:bidi="ar-SA"/>
      </w:rPr>
    </w:lvl>
    <w:lvl w:ilvl="2" w:tplc="9C90E73A">
      <w:numFmt w:val="bullet"/>
      <w:lvlText w:val="•"/>
      <w:lvlJc w:val="left"/>
      <w:pPr>
        <w:ind w:left="2871" w:hanging="360"/>
      </w:pPr>
      <w:rPr>
        <w:rFonts w:hint="default"/>
        <w:lang w:val="es-ES" w:eastAsia="en-US" w:bidi="ar-SA"/>
      </w:rPr>
    </w:lvl>
    <w:lvl w:ilvl="3" w:tplc="5FE2DE5C">
      <w:numFmt w:val="bullet"/>
      <w:lvlText w:val="•"/>
      <w:lvlJc w:val="left"/>
      <w:pPr>
        <w:ind w:left="3736" w:hanging="360"/>
      </w:pPr>
      <w:rPr>
        <w:rFonts w:hint="default"/>
        <w:lang w:val="es-ES" w:eastAsia="en-US" w:bidi="ar-SA"/>
      </w:rPr>
    </w:lvl>
    <w:lvl w:ilvl="4" w:tplc="004E1C8C">
      <w:numFmt w:val="bullet"/>
      <w:lvlText w:val="•"/>
      <w:lvlJc w:val="left"/>
      <w:pPr>
        <w:ind w:left="4602" w:hanging="360"/>
      </w:pPr>
      <w:rPr>
        <w:rFonts w:hint="default"/>
        <w:lang w:val="es-ES" w:eastAsia="en-US" w:bidi="ar-SA"/>
      </w:rPr>
    </w:lvl>
    <w:lvl w:ilvl="5" w:tplc="7FEA96D4">
      <w:numFmt w:val="bullet"/>
      <w:lvlText w:val="•"/>
      <w:lvlJc w:val="left"/>
      <w:pPr>
        <w:ind w:left="5467" w:hanging="360"/>
      </w:pPr>
      <w:rPr>
        <w:rFonts w:hint="default"/>
        <w:lang w:val="es-ES" w:eastAsia="en-US" w:bidi="ar-SA"/>
      </w:rPr>
    </w:lvl>
    <w:lvl w:ilvl="6" w:tplc="D4042070">
      <w:numFmt w:val="bullet"/>
      <w:lvlText w:val="•"/>
      <w:lvlJc w:val="left"/>
      <w:pPr>
        <w:ind w:left="6333" w:hanging="360"/>
      </w:pPr>
      <w:rPr>
        <w:rFonts w:hint="default"/>
        <w:lang w:val="es-ES" w:eastAsia="en-US" w:bidi="ar-SA"/>
      </w:rPr>
    </w:lvl>
    <w:lvl w:ilvl="7" w:tplc="AC6C60C6">
      <w:numFmt w:val="bullet"/>
      <w:lvlText w:val="•"/>
      <w:lvlJc w:val="left"/>
      <w:pPr>
        <w:ind w:left="7198" w:hanging="360"/>
      </w:pPr>
      <w:rPr>
        <w:rFonts w:hint="default"/>
        <w:lang w:val="es-ES" w:eastAsia="en-US" w:bidi="ar-SA"/>
      </w:rPr>
    </w:lvl>
    <w:lvl w:ilvl="8" w:tplc="05DE60F0">
      <w:numFmt w:val="bullet"/>
      <w:lvlText w:val="•"/>
      <w:lvlJc w:val="left"/>
      <w:pPr>
        <w:ind w:left="8064" w:hanging="360"/>
      </w:pPr>
      <w:rPr>
        <w:rFonts w:hint="default"/>
        <w:lang w:val="es-ES" w:eastAsia="en-US" w:bidi="ar-SA"/>
      </w:rPr>
    </w:lvl>
  </w:abstractNum>
  <w:abstractNum w:abstractNumId="15">
    <w:nsid w:val="14BE040E"/>
    <w:multiLevelType w:val="hybridMultilevel"/>
    <w:tmpl w:val="8BA012AE"/>
    <w:lvl w:ilvl="0" w:tplc="026E896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D2140A0E">
      <w:numFmt w:val="bullet"/>
      <w:lvlText w:val="•"/>
      <w:lvlJc w:val="left"/>
      <w:pPr>
        <w:ind w:left="2005" w:hanging="360"/>
      </w:pPr>
      <w:rPr>
        <w:rFonts w:hint="default"/>
        <w:lang w:val="es-ES" w:eastAsia="en-US" w:bidi="ar-SA"/>
      </w:rPr>
    </w:lvl>
    <w:lvl w:ilvl="2" w:tplc="02FA8AE2">
      <w:numFmt w:val="bullet"/>
      <w:lvlText w:val="•"/>
      <w:lvlJc w:val="left"/>
      <w:pPr>
        <w:ind w:left="2871" w:hanging="360"/>
      </w:pPr>
      <w:rPr>
        <w:rFonts w:hint="default"/>
        <w:lang w:val="es-ES" w:eastAsia="en-US" w:bidi="ar-SA"/>
      </w:rPr>
    </w:lvl>
    <w:lvl w:ilvl="3" w:tplc="800A87D8">
      <w:numFmt w:val="bullet"/>
      <w:lvlText w:val="•"/>
      <w:lvlJc w:val="left"/>
      <w:pPr>
        <w:ind w:left="3736" w:hanging="360"/>
      </w:pPr>
      <w:rPr>
        <w:rFonts w:hint="default"/>
        <w:lang w:val="es-ES" w:eastAsia="en-US" w:bidi="ar-SA"/>
      </w:rPr>
    </w:lvl>
    <w:lvl w:ilvl="4" w:tplc="0D2EF548">
      <w:numFmt w:val="bullet"/>
      <w:lvlText w:val="•"/>
      <w:lvlJc w:val="left"/>
      <w:pPr>
        <w:ind w:left="4602" w:hanging="360"/>
      </w:pPr>
      <w:rPr>
        <w:rFonts w:hint="default"/>
        <w:lang w:val="es-ES" w:eastAsia="en-US" w:bidi="ar-SA"/>
      </w:rPr>
    </w:lvl>
    <w:lvl w:ilvl="5" w:tplc="62BC233A">
      <w:numFmt w:val="bullet"/>
      <w:lvlText w:val="•"/>
      <w:lvlJc w:val="left"/>
      <w:pPr>
        <w:ind w:left="5467" w:hanging="360"/>
      </w:pPr>
      <w:rPr>
        <w:rFonts w:hint="default"/>
        <w:lang w:val="es-ES" w:eastAsia="en-US" w:bidi="ar-SA"/>
      </w:rPr>
    </w:lvl>
    <w:lvl w:ilvl="6" w:tplc="BA9EB10A">
      <w:numFmt w:val="bullet"/>
      <w:lvlText w:val="•"/>
      <w:lvlJc w:val="left"/>
      <w:pPr>
        <w:ind w:left="6333" w:hanging="360"/>
      </w:pPr>
      <w:rPr>
        <w:rFonts w:hint="default"/>
        <w:lang w:val="es-ES" w:eastAsia="en-US" w:bidi="ar-SA"/>
      </w:rPr>
    </w:lvl>
    <w:lvl w:ilvl="7" w:tplc="799A8270">
      <w:numFmt w:val="bullet"/>
      <w:lvlText w:val="•"/>
      <w:lvlJc w:val="left"/>
      <w:pPr>
        <w:ind w:left="7198" w:hanging="360"/>
      </w:pPr>
      <w:rPr>
        <w:rFonts w:hint="default"/>
        <w:lang w:val="es-ES" w:eastAsia="en-US" w:bidi="ar-SA"/>
      </w:rPr>
    </w:lvl>
    <w:lvl w:ilvl="8" w:tplc="A8427BCE">
      <w:numFmt w:val="bullet"/>
      <w:lvlText w:val="•"/>
      <w:lvlJc w:val="left"/>
      <w:pPr>
        <w:ind w:left="8064" w:hanging="360"/>
      </w:pPr>
      <w:rPr>
        <w:rFonts w:hint="default"/>
        <w:lang w:val="es-ES" w:eastAsia="en-US" w:bidi="ar-SA"/>
      </w:rPr>
    </w:lvl>
  </w:abstractNum>
  <w:abstractNum w:abstractNumId="16">
    <w:nsid w:val="15372223"/>
    <w:multiLevelType w:val="hybridMultilevel"/>
    <w:tmpl w:val="C4B83DF8"/>
    <w:lvl w:ilvl="0" w:tplc="C10A0E00">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8E76E21C">
      <w:start w:val="1"/>
      <w:numFmt w:val="lowerLetter"/>
      <w:lvlText w:val="%2."/>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2" w:tplc="F09C59BA">
      <w:numFmt w:val="bullet"/>
      <w:lvlText w:val="•"/>
      <w:lvlJc w:val="left"/>
      <w:pPr>
        <w:ind w:left="2741" w:hanging="360"/>
      </w:pPr>
      <w:rPr>
        <w:rFonts w:hint="default"/>
        <w:lang w:val="es-ES" w:eastAsia="en-US" w:bidi="ar-SA"/>
      </w:rPr>
    </w:lvl>
    <w:lvl w:ilvl="3" w:tplc="96D25E1C">
      <w:numFmt w:val="bullet"/>
      <w:lvlText w:val="•"/>
      <w:lvlJc w:val="left"/>
      <w:pPr>
        <w:ind w:left="3623" w:hanging="360"/>
      </w:pPr>
      <w:rPr>
        <w:rFonts w:hint="default"/>
        <w:lang w:val="es-ES" w:eastAsia="en-US" w:bidi="ar-SA"/>
      </w:rPr>
    </w:lvl>
    <w:lvl w:ilvl="4" w:tplc="AC90857E">
      <w:numFmt w:val="bullet"/>
      <w:lvlText w:val="•"/>
      <w:lvlJc w:val="left"/>
      <w:pPr>
        <w:ind w:left="4505" w:hanging="360"/>
      </w:pPr>
      <w:rPr>
        <w:rFonts w:hint="default"/>
        <w:lang w:val="es-ES" w:eastAsia="en-US" w:bidi="ar-SA"/>
      </w:rPr>
    </w:lvl>
    <w:lvl w:ilvl="5" w:tplc="A32C7768">
      <w:numFmt w:val="bullet"/>
      <w:lvlText w:val="•"/>
      <w:lvlJc w:val="left"/>
      <w:pPr>
        <w:ind w:left="5386" w:hanging="360"/>
      </w:pPr>
      <w:rPr>
        <w:rFonts w:hint="default"/>
        <w:lang w:val="es-ES" w:eastAsia="en-US" w:bidi="ar-SA"/>
      </w:rPr>
    </w:lvl>
    <w:lvl w:ilvl="6" w:tplc="39D4DE52">
      <w:numFmt w:val="bullet"/>
      <w:lvlText w:val="•"/>
      <w:lvlJc w:val="left"/>
      <w:pPr>
        <w:ind w:left="6268" w:hanging="360"/>
      </w:pPr>
      <w:rPr>
        <w:rFonts w:hint="default"/>
        <w:lang w:val="es-ES" w:eastAsia="en-US" w:bidi="ar-SA"/>
      </w:rPr>
    </w:lvl>
    <w:lvl w:ilvl="7" w:tplc="7AE4DC4E">
      <w:numFmt w:val="bullet"/>
      <w:lvlText w:val="•"/>
      <w:lvlJc w:val="left"/>
      <w:pPr>
        <w:ind w:left="7150" w:hanging="360"/>
      </w:pPr>
      <w:rPr>
        <w:rFonts w:hint="default"/>
        <w:lang w:val="es-ES" w:eastAsia="en-US" w:bidi="ar-SA"/>
      </w:rPr>
    </w:lvl>
    <w:lvl w:ilvl="8" w:tplc="3A424B3C">
      <w:numFmt w:val="bullet"/>
      <w:lvlText w:val="•"/>
      <w:lvlJc w:val="left"/>
      <w:pPr>
        <w:ind w:left="8031" w:hanging="360"/>
      </w:pPr>
      <w:rPr>
        <w:rFonts w:hint="default"/>
        <w:lang w:val="es-ES" w:eastAsia="en-US" w:bidi="ar-SA"/>
      </w:rPr>
    </w:lvl>
  </w:abstractNum>
  <w:abstractNum w:abstractNumId="17">
    <w:nsid w:val="19342521"/>
    <w:multiLevelType w:val="hybridMultilevel"/>
    <w:tmpl w:val="38FA2130"/>
    <w:lvl w:ilvl="0" w:tplc="A53EC86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AAEA740A">
      <w:start w:val="1"/>
      <w:numFmt w:val="lowerLetter"/>
      <w:lvlText w:val="%2."/>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2" w:tplc="16D42C2E">
      <w:numFmt w:val="bullet"/>
      <w:lvlText w:val="•"/>
      <w:lvlJc w:val="left"/>
      <w:pPr>
        <w:ind w:left="2741" w:hanging="360"/>
      </w:pPr>
      <w:rPr>
        <w:rFonts w:hint="default"/>
        <w:lang w:val="es-ES" w:eastAsia="en-US" w:bidi="ar-SA"/>
      </w:rPr>
    </w:lvl>
    <w:lvl w:ilvl="3" w:tplc="37DC5A0C">
      <w:numFmt w:val="bullet"/>
      <w:lvlText w:val="•"/>
      <w:lvlJc w:val="left"/>
      <w:pPr>
        <w:ind w:left="3623" w:hanging="360"/>
      </w:pPr>
      <w:rPr>
        <w:rFonts w:hint="default"/>
        <w:lang w:val="es-ES" w:eastAsia="en-US" w:bidi="ar-SA"/>
      </w:rPr>
    </w:lvl>
    <w:lvl w:ilvl="4" w:tplc="DEA2A2F2">
      <w:numFmt w:val="bullet"/>
      <w:lvlText w:val="•"/>
      <w:lvlJc w:val="left"/>
      <w:pPr>
        <w:ind w:left="4505" w:hanging="360"/>
      </w:pPr>
      <w:rPr>
        <w:rFonts w:hint="default"/>
        <w:lang w:val="es-ES" w:eastAsia="en-US" w:bidi="ar-SA"/>
      </w:rPr>
    </w:lvl>
    <w:lvl w:ilvl="5" w:tplc="CBC01F96">
      <w:numFmt w:val="bullet"/>
      <w:lvlText w:val="•"/>
      <w:lvlJc w:val="left"/>
      <w:pPr>
        <w:ind w:left="5386" w:hanging="360"/>
      </w:pPr>
      <w:rPr>
        <w:rFonts w:hint="default"/>
        <w:lang w:val="es-ES" w:eastAsia="en-US" w:bidi="ar-SA"/>
      </w:rPr>
    </w:lvl>
    <w:lvl w:ilvl="6" w:tplc="063448BC">
      <w:numFmt w:val="bullet"/>
      <w:lvlText w:val="•"/>
      <w:lvlJc w:val="left"/>
      <w:pPr>
        <w:ind w:left="6268" w:hanging="360"/>
      </w:pPr>
      <w:rPr>
        <w:rFonts w:hint="default"/>
        <w:lang w:val="es-ES" w:eastAsia="en-US" w:bidi="ar-SA"/>
      </w:rPr>
    </w:lvl>
    <w:lvl w:ilvl="7" w:tplc="D4429E52">
      <w:numFmt w:val="bullet"/>
      <w:lvlText w:val="•"/>
      <w:lvlJc w:val="left"/>
      <w:pPr>
        <w:ind w:left="7150" w:hanging="360"/>
      </w:pPr>
      <w:rPr>
        <w:rFonts w:hint="default"/>
        <w:lang w:val="es-ES" w:eastAsia="en-US" w:bidi="ar-SA"/>
      </w:rPr>
    </w:lvl>
    <w:lvl w:ilvl="8" w:tplc="46685E98">
      <w:numFmt w:val="bullet"/>
      <w:lvlText w:val="•"/>
      <w:lvlJc w:val="left"/>
      <w:pPr>
        <w:ind w:left="8031" w:hanging="360"/>
      </w:pPr>
      <w:rPr>
        <w:rFonts w:hint="default"/>
        <w:lang w:val="es-ES" w:eastAsia="en-US" w:bidi="ar-SA"/>
      </w:rPr>
    </w:lvl>
  </w:abstractNum>
  <w:abstractNum w:abstractNumId="18">
    <w:nsid w:val="1AAE4488"/>
    <w:multiLevelType w:val="hybridMultilevel"/>
    <w:tmpl w:val="A32428FC"/>
    <w:lvl w:ilvl="0" w:tplc="A02AEF6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E1925DCC">
      <w:numFmt w:val="bullet"/>
      <w:lvlText w:val="•"/>
      <w:lvlJc w:val="left"/>
      <w:pPr>
        <w:ind w:left="2005" w:hanging="360"/>
      </w:pPr>
      <w:rPr>
        <w:rFonts w:hint="default"/>
        <w:lang w:val="es-ES" w:eastAsia="en-US" w:bidi="ar-SA"/>
      </w:rPr>
    </w:lvl>
    <w:lvl w:ilvl="2" w:tplc="D7D21520">
      <w:numFmt w:val="bullet"/>
      <w:lvlText w:val="•"/>
      <w:lvlJc w:val="left"/>
      <w:pPr>
        <w:ind w:left="2871" w:hanging="360"/>
      </w:pPr>
      <w:rPr>
        <w:rFonts w:hint="default"/>
        <w:lang w:val="es-ES" w:eastAsia="en-US" w:bidi="ar-SA"/>
      </w:rPr>
    </w:lvl>
    <w:lvl w:ilvl="3" w:tplc="E4F656B0">
      <w:numFmt w:val="bullet"/>
      <w:lvlText w:val="•"/>
      <w:lvlJc w:val="left"/>
      <w:pPr>
        <w:ind w:left="3736" w:hanging="360"/>
      </w:pPr>
      <w:rPr>
        <w:rFonts w:hint="default"/>
        <w:lang w:val="es-ES" w:eastAsia="en-US" w:bidi="ar-SA"/>
      </w:rPr>
    </w:lvl>
    <w:lvl w:ilvl="4" w:tplc="2A28C5C8">
      <w:numFmt w:val="bullet"/>
      <w:lvlText w:val="•"/>
      <w:lvlJc w:val="left"/>
      <w:pPr>
        <w:ind w:left="4602" w:hanging="360"/>
      </w:pPr>
      <w:rPr>
        <w:rFonts w:hint="default"/>
        <w:lang w:val="es-ES" w:eastAsia="en-US" w:bidi="ar-SA"/>
      </w:rPr>
    </w:lvl>
    <w:lvl w:ilvl="5" w:tplc="4118A6E0">
      <w:numFmt w:val="bullet"/>
      <w:lvlText w:val="•"/>
      <w:lvlJc w:val="left"/>
      <w:pPr>
        <w:ind w:left="5467" w:hanging="360"/>
      </w:pPr>
      <w:rPr>
        <w:rFonts w:hint="default"/>
        <w:lang w:val="es-ES" w:eastAsia="en-US" w:bidi="ar-SA"/>
      </w:rPr>
    </w:lvl>
    <w:lvl w:ilvl="6" w:tplc="49CA27CC">
      <w:numFmt w:val="bullet"/>
      <w:lvlText w:val="•"/>
      <w:lvlJc w:val="left"/>
      <w:pPr>
        <w:ind w:left="6333" w:hanging="360"/>
      </w:pPr>
      <w:rPr>
        <w:rFonts w:hint="default"/>
        <w:lang w:val="es-ES" w:eastAsia="en-US" w:bidi="ar-SA"/>
      </w:rPr>
    </w:lvl>
    <w:lvl w:ilvl="7" w:tplc="16CCD7C4">
      <w:numFmt w:val="bullet"/>
      <w:lvlText w:val="•"/>
      <w:lvlJc w:val="left"/>
      <w:pPr>
        <w:ind w:left="7198" w:hanging="360"/>
      </w:pPr>
      <w:rPr>
        <w:rFonts w:hint="default"/>
        <w:lang w:val="es-ES" w:eastAsia="en-US" w:bidi="ar-SA"/>
      </w:rPr>
    </w:lvl>
    <w:lvl w:ilvl="8" w:tplc="01906880">
      <w:numFmt w:val="bullet"/>
      <w:lvlText w:val="•"/>
      <w:lvlJc w:val="left"/>
      <w:pPr>
        <w:ind w:left="8064" w:hanging="360"/>
      </w:pPr>
      <w:rPr>
        <w:rFonts w:hint="default"/>
        <w:lang w:val="es-ES" w:eastAsia="en-US" w:bidi="ar-SA"/>
      </w:rPr>
    </w:lvl>
  </w:abstractNum>
  <w:abstractNum w:abstractNumId="19">
    <w:nsid w:val="1B3A458D"/>
    <w:multiLevelType w:val="hybridMultilevel"/>
    <w:tmpl w:val="EFB6A09A"/>
    <w:lvl w:ilvl="0" w:tplc="B3789060">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217884BC">
      <w:numFmt w:val="bullet"/>
      <w:lvlText w:val="•"/>
      <w:lvlJc w:val="left"/>
      <w:pPr>
        <w:ind w:left="2005" w:hanging="360"/>
      </w:pPr>
      <w:rPr>
        <w:rFonts w:hint="default"/>
        <w:lang w:val="es-ES" w:eastAsia="en-US" w:bidi="ar-SA"/>
      </w:rPr>
    </w:lvl>
    <w:lvl w:ilvl="2" w:tplc="90548036">
      <w:numFmt w:val="bullet"/>
      <w:lvlText w:val="•"/>
      <w:lvlJc w:val="left"/>
      <w:pPr>
        <w:ind w:left="2871" w:hanging="360"/>
      </w:pPr>
      <w:rPr>
        <w:rFonts w:hint="default"/>
        <w:lang w:val="es-ES" w:eastAsia="en-US" w:bidi="ar-SA"/>
      </w:rPr>
    </w:lvl>
    <w:lvl w:ilvl="3" w:tplc="FD0EB96C">
      <w:numFmt w:val="bullet"/>
      <w:lvlText w:val="•"/>
      <w:lvlJc w:val="left"/>
      <w:pPr>
        <w:ind w:left="3736" w:hanging="360"/>
      </w:pPr>
      <w:rPr>
        <w:rFonts w:hint="default"/>
        <w:lang w:val="es-ES" w:eastAsia="en-US" w:bidi="ar-SA"/>
      </w:rPr>
    </w:lvl>
    <w:lvl w:ilvl="4" w:tplc="F28EBB36">
      <w:numFmt w:val="bullet"/>
      <w:lvlText w:val="•"/>
      <w:lvlJc w:val="left"/>
      <w:pPr>
        <w:ind w:left="4602" w:hanging="360"/>
      </w:pPr>
      <w:rPr>
        <w:rFonts w:hint="default"/>
        <w:lang w:val="es-ES" w:eastAsia="en-US" w:bidi="ar-SA"/>
      </w:rPr>
    </w:lvl>
    <w:lvl w:ilvl="5" w:tplc="79B0EB00">
      <w:numFmt w:val="bullet"/>
      <w:lvlText w:val="•"/>
      <w:lvlJc w:val="left"/>
      <w:pPr>
        <w:ind w:left="5467" w:hanging="360"/>
      </w:pPr>
      <w:rPr>
        <w:rFonts w:hint="default"/>
        <w:lang w:val="es-ES" w:eastAsia="en-US" w:bidi="ar-SA"/>
      </w:rPr>
    </w:lvl>
    <w:lvl w:ilvl="6" w:tplc="F7CE25A0">
      <w:numFmt w:val="bullet"/>
      <w:lvlText w:val="•"/>
      <w:lvlJc w:val="left"/>
      <w:pPr>
        <w:ind w:left="6333" w:hanging="360"/>
      </w:pPr>
      <w:rPr>
        <w:rFonts w:hint="default"/>
        <w:lang w:val="es-ES" w:eastAsia="en-US" w:bidi="ar-SA"/>
      </w:rPr>
    </w:lvl>
    <w:lvl w:ilvl="7" w:tplc="D7BE3712">
      <w:numFmt w:val="bullet"/>
      <w:lvlText w:val="•"/>
      <w:lvlJc w:val="left"/>
      <w:pPr>
        <w:ind w:left="7198" w:hanging="360"/>
      </w:pPr>
      <w:rPr>
        <w:rFonts w:hint="default"/>
        <w:lang w:val="es-ES" w:eastAsia="en-US" w:bidi="ar-SA"/>
      </w:rPr>
    </w:lvl>
    <w:lvl w:ilvl="8" w:tplc="039CE860">
      <w:numFmt w:val="bullet"/>
      <w:lvlText w:val="•"/>
      <w:lvlJc w:val="left"/>
      <w:pPr>
        <w:ind w:left="8064" w:hanging="360"/>
      </w:pPr>
      <w:rPr>
        <w:rFonts w:hint="default"/>
        <w:lang w:val="es-ES" w:eastAsia="en-US" w:bidi="ar-SA"/>
      </w:rPr>
    </w:lvl>
  </w:abstractNum>
  <w:abstractNum w:abstractNumId="20">
    <w:nsid w:val="1EB54792"/>
    <w:multiLevelType w:val="hybridMultilevel"/>
    <w:tmpl w:val="C7A22B22"/>
    <w:lvl w:ilvl="0" w:tplc="29D88C44">
      <w:numFmt w:val="bullet"/>
      <w:lvlText w:val="●"/>
      <w:lvlJc w:val="left"/>
      <w:pPr>
        <w:ind w:left="1145" w:hanging="360"/>
      </w:pPr>
      <w:rPr>
        <w:rFonts w:ascii="Arial MT" w:eastAsia="Arial MT" w:hAnsi="Arial MT" w:cs="Arial MT" w:hint="default"/>
        <w:spacing w:val="0"/>
        <w:w w:val="60"/>
        <w:lang w:val="es-ES" w:eastAsia="en-US" w:bidi="ar-SA"/>
      </w:rPr>
    </w:lvl>
    <w:lvl w:ilvl="1" w:tplc="AC2A5856">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449EF6EC">
      <w:numFmt w:val="bullet"/>
      <w:lvlText w:val="•"/>
      <w:lvlJc w:val="left"/>
      <w:pPr>
        <w:ind w:left="2741" w:hanging="360"/>
      </w:pPr>
      <w:rPr>
        <w:rFonts w:hint="default"/>
        <w:lang w:val="es-ES" w:eastAsia="en-US" w:bidi="ar-SA"/>
      </w:rPr>
    </w:lvl>
    <w:lvl w:ilvl="3" w:tplc="5C02220C">
      <w:numFmt w:val="bullet"/>
      <w:lvlText w:val="•"/>
      <w:lvlJc w:val="left"/>
      <w:pPr>
        <w:ind w:left="3623" w:hanging="360"/>
      </w:pPr>
      <w:rPr>
        <w:rFonts w:hint="default"/>
        <w:lang w:val="es-ES" w:eastAsia="en-US" w:bidi="ar-SA"/>
      </w:rPr>
    </w:lvl>
    <w:lvl w:ilvl="4" w:tplc="875C7F52">
      <w:numFmt w:val="bullet"/>
      <w:lvlText w:val="•"/>
      <w:lvlJc w:val="left"/>
      <w:pPr>
        <w:ind w:left="4505" w:hanging="360"/>
      </w:pPr>
      <w:rPr>
        <w:rFonts w:hint="default"/>
        <w:lang w:val="es-ES" w:eastAsia="en-US" w:bidi="ar-SA"/>
      </w:rPr>
    </w:lvl>
    <w:lvl w:ilvl="5" w:tplc="D64CAA48">
      <w:numFmt w:val="bullet"/>
      <w:lvlText w:val="•"/>
      <w:lvlJc w:val="left"/>
      <w:pPr>
        <w:ind w:left="5386" w:hanging="360"/>
      </w:pPr>
      <w:rPr>
        <w:rFonts w:hint="default"/>
        <w:lang w:val="es-ES" w:eastAsia="en-US" w:bidi="ar-SA"/>
      </w:rPr>
    </w:lvl>
    <w:lvl w:ilvl="6" w:tplc="3B8E2D20">
      <w:numFmt w:val="bullet"/>
      <w:lvlText w:val="•"/>
      <w:lvlJc w:val="left"/>
      <w:pPr>
        <w:ind w:left="6268" w:hanging="360"/>
      </w:pPr>
      <w:rPr>
        <w:rFonts w:hint="default"/>
        <w:lang w:val="es-ES" w:eastAsia="en-US" w:bidi="ar-SA"/>
      </w:rPr>
    </w:lvl>
    <w:lvl w:ilvl="7" w:tplc="9CB2EE3A">
      <w:numFmt w:val="bullet"/>
      <w:lvlText w:val="•"/>
      <w:lvlJc w:val="left"/>
      <w:pPr>
        <w:ind w:left="7150" w:hanging="360"/>
      </w:pPr>
      <w:rPr>
        <w:rFonts w:hint="default"/>
        <w:lang w:val="es-ES" w:eastAsia="en-US" w:bidi="ar-SA"/>
      </w:rPr>
    </w:lvl>
    <w:lvl w:ilvl="8" w:tplc="C9682684">
      <w:numFmt w:val="bullet"/>
      <w:lvlText w:val="•"/>
      <w:lvlJc w:val="left"/>
      <w:pPr>
        <w:ind w:left="8031" w:hanging="360"/>
      </w:pPr>
      <w:rPr>
        <w:rFonts w:hint="default"/>
        <w:lang w:val="es-ES" w:eastAsia="en-US" w:bidi="ar-SA"/>
      </w:rPr>
    </w:lvl>
  </w:abstractNum>
  <w:abstractNum w:abstractNumId="21">
    <w:nsid w:val="21AA26CB"/>
    <w:multiLevelType w:val="hybridMultilevel"/>
    <w:tmpl w:val="EF6481C6"/>
    <w:lvl w:ilvl="0" w:tplc="E730AA38">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D1648042">
      <w:numFmt w:val="bullet"/>
      <w:lvlText w:val="•"/>
      <w:lvlJc w:val="left"/>
      <w:pPr>
        <w:ind w:left="2005" w:hanging="360"/>
      </w:pPr>
      <w:rPr>
        <w:rFonts w:hint="default"/>
        <w:lang w:val="es-ES" w:eastAsia="en-US" w:bidi="ar-SA"/>
      </w:rPr>
    </w:lvl>
    <w:lvl w:ilvl="2" w:tplc="E79CF570">
      <w:numFmt w:val="bullet"/>
      <w:lvlText w:val="•"/>
      <w:lvlJc w:val="left"/>
      <w:pPr>
        <w:ind w:left="2871" w:hanging="360"/>
      </w:pPr>
      <w:rPr>
        <w:rFonts w:hint="default"/>
        <w:lang w:val="es-ES" w:eastAsia="en-US" w:bidi="ar-SA"/>
      </w:rPr>
    </w:lvl>
    <w:lvl w:ilvl="3" w:tplc="4B3A6D86">
      <w:numFmt w:val="bullet"/>
      <w:lvlText w:val="•"/>
      <w:lvlJc w:val="left"/>
      <w:pPr>
        <w:ind w:left="3736" w:hanging="360"/>
      </w:pPr>
      <w:rPr>
        <w:rFonts w:hint="default"/>
        <w:lang w:val="es-ES" w:eastAsia="en-US" w:bidi="ar-SA"/>
      </w:rPr>
    </w:lvl>
    <w:lvl w:ilvl="4" w:tplc="474CA69A">
      <w:numFmt w:val="bullet"/>
      <w:lvlText w:val="•"/>
      <w:lvlJc w:val="left"/>
      <w:pPr>
        <w:ind w:left="4602" w:hanging="360"/>
      </w:pPr>
      <w:rPr>
        <w:rFonts w:hint="default"/>
        <w:lang w:val="es-ES" w:eastAsia="en-US" w:bidi="ar-SA"/>
      </w:rPr>
    </w:lvl>
    <w:lvl w:ilvl="5" w:tplc="E6D89926">
      <w:numFmt w:val="bullet"/>
      <w:lvlText w:val="•"/>
      <w:lvlJc w:val="left"/>
      <w:pPr>
        <w:ind w:left="5467" w:hanging="360"/>
      </w:pPr>
      <w:rPr>
        <w:rFonts w:hint="default"/>
        <w:lang w:val="es-ES" w:eastAsia="en-US" w:bidi="ar-SA"/>
      </w:rPr>
    </w:lvl>
    <w:lvl w:ilvl="6" w:tplc="C45EE7B4">
      <w:numFmt w:val="bullet"/>
      <w:lvlText w:val="•"/>
      <w:lvlJc w:val="left"/>
      <w:pPr>
        <w:ind w:left="6333" w:hanging="360"/>
      </w:pPr>
      <w:rPr>
        <w:rFonts w:hint="default"/>
        <w:lang w:val="es-ES" w:eastAsia="en-US" w:bidi="ar-SA"/>
      </w:rPr>
    </w:lvl>
    <w:lvl w:ilvl="7" w:tplc="95BA76C6">
      <w:numFmt w:val="bullet"/>
      <w:lvlText w:val="•"/>
      <w:lvlJc w:val="left"/>
      <w:pPr>
        <w:ind w:left="7198" w:hanging="360"/>
      </w:pPr>
      <w:rPr>
        <w:rFonts w:hint="default"/>
        <w:lang w:val="es-ES" w:eastAsia="en-US" w:bidi="ar-SA"/>
      </w:rPr>
    </w:lvl>
    <w:lvl w:ilvl="8" w:tplc="12324F5E">
      <w:numFmt w:val="bullet"/>
      <w:lvlText w:val="•"/>
      <w:lvlJc w:val="left"/>
      <w:pPr>
        <w:ind w:left="8064" w:hanging="360"/>
      </w:pPr>
      <w:rPr>
        <w:rFonts w:hint="default"/>
        <w:lang w:val="es-ES" w:eastAsia="en-US" w:bidi="ar-SA"/>
      </w:rPr>
    </w:lvl>
  </w:abstractNum>
  <w:abstractNum w:abstractNumId="22">
    <w:nsid w:val="22183472"/>
    <w:multiLevelType w:val="multilevel"/>
    <w:tmpl w:val="DB8C2B48"/>
    <w:lvl w:ilvl="0">
      <w:start w:val="5"/>
      <w:numFmt w:val="decimal"/>
      <w:lvlText w:val="%1"/>
      <w:lvlJc w:val="left"/>
      <w:pPr>
        <w:ind w:left="1695" w:hanging="551"/>
        <w:jc w:val="left"/>
      </w:pPr>
      <w:rPr>
        <w:rFonts w:hint="default"/>
        <w:lang w:val="es-ES" w:eastAsia="en-US" w:bidi="ar-SA"/>
      </w:rPr>
    </w:lvl>
    <w:lvl w:ilvl="1">
      <w:start w:val="4"/>
      <w:numFmt w:val="decimal"/>
      <w:lvlText w:val="%1.%2"/>
      <w:lvlJc w:val="left"/>
      <w:pPr>
        <w:ind w:left="1695" w:hanging="551"/>
        <w:jc w:val="left"/>
      </w:pPr>
      <w:rPr>
        <w:rFonts w:hint="default"/>
        <w:lang w:val="es-ES" w:eastAsia="en-US" w:bidi="ar-SA"/>
      </w:rPr>
    </w:lvl>
    <w:lvl w:ilvl="2">
      <w:start w:val="2"/>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23">
    <w:nsid w:val="224620B6"/>
    <w:multiLevelType w:val="multilevel"/>
    <w:tmpl w:val="C0E22948"/>
    <w:lvl w:ilvl="0">
      <w:start w:val="2"/>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righ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24">
    <w:nsid w:val="23257C41"/>
    <w:multiLevelType w:val="hybridMultilevel"/>
    <w:tmpl w:val="3D100B96"/>
    <w:lvl w:ilvl="0" w:tplc="CCA44DB0">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AD88D07E">
      <w:numFmt w:val="bullet"/>
      <w:lvlText w:val="•"/>
      <w:lvlJc w:val="left"/>
      <w:pPr>
        <w:ind w:left="2005" w:hanging="360"/>
      </w:pPr>
      <w:rPr>
        <w:rFonts w:hint="default"/>
        <w:lang w:val="es-ES" w:eastAsia="en-US" w:bidi="ar-SA"/>
      </w:rPr>
    </w:lvl>
    <w:lvl w:ilvl="2" w:tplc="F6083C16">
      <w:numFmt w:val="bullet"/>
      <w:lvlText w:val="•"/>
      <w:lvlJc w:val="left"/>
      <w:pPr>
        <w:ind w:left="2871" w:hanging="360"/>
      </w:pPr>
      <w:rPr>
        <w:rFonts w:hint="default"/>
        <w:lang w:val="es-ES" w:eastAsia="en-US" w:bidi="ar-SA"/>
      </w:rPr>
    </w:lvl>
    <w:lvl w:ilvl="3" w:tplc="9A925F98">
      <w:numFmt w:val="bullet"/>
      <w:lvlText w:val="•"/>
      <w:lvlJc w:val="left"/>
      <w:pPr>
        <w:ind w:left="3736" w:hanging="360"/>
      </w:pPr>
      <w:rPr>
        <w:rFonts w:hint="default"/>
        <w:lang w:val="es-ES" w:eastAsia="en-US" w:bidi="ar-SA"/>
      </w:rPr>
    </w:lvl>
    <w:lvl w:ilvl="4" w:tplc="9EFE072E">
      <w:numFmt w:val="bullet"/>
      <w:lvlText w:val="•"/>
      <w:lvlJc w:val="left"/>
      <w:pPr>
        <w:ind w:left="4602" w:hanging="360"/>
      </w:pPr>
      <w:rPr>
        <w:rFonts w:hint="default"/>
        <w:lang w:val="es-ES" w:eastAsia="en-US" w:bidi="ar-SA"/>
      </w:rPr>
    </w:lvl>
    <w:lvl w:ilvl="5" w:tplc="D0F6052C">
      <w:numFmt w:val="bullet"/>
      <w:lvlText w:val="•"/>
      <w:lvlJc w:val="left"/>
      <w:pPr>
        <w:ind w:left="5467" w:hanging="360"/>
      </w:pPr>
      <w:rPr>
        <w:rFonts w:hint="default"/>
        <w:lang w:val="es-ES" w:eastAsia="en-US" w:bidi="ar-SA"/>
      </w:rPr>
    </w:lvl>
    <w:lvl w:ilvl="6" w:tplc="D8109328">
      <w:numFmt w:val="bullet"/>
      <w:lvlText w:val="•"/>
      <w:lvlJc w:val="left"/>
      <w:pPr>
        <w:ind w:left="6333" w:hanging="360"/>
      </w:pPr>
      <w:rPr>
        <w:rFonts w:hint="default"/>
        <w:lang w:val="es-ES" w:eastAsia="en-US" w:bidi="ar-SA"/>
      </w:rPr>
    </w:lvl>
    <w:lvl w:ilvl="7" w:tplc="DA464FA2">
      <w:numFmt w:val="bullet"/>
      <w:lvlText w:val="•"/>
      <w:lvlJc w:val="left"/>
      <w:pPr>
        <w:ind w:left="7198" w:hanging="360"/>
      </w:pPr>
      <w:rPr>
        <w:rFonts w:hint="default"/>
        <w:lang w:val="es-ES" w:eastAsia="en-US" w:bidi="ar-SA"/>
      </w:rPr>
    </w:lvl>
    <w:lvl w:ilvl="8" w:tplc="8BAA9CC8">
      <w:numFmt w:val="bullet"/>
      <w:lvlText w:val="•"/>
      <w:lvlJc w:val="left"/>
      <w:pPr>
        <w:ind w:left="8064" w:hanging="360"/>
      </w:pPr>
      <w:rPr>
        <w:rFonts w:hint="default"/>
        <w:lang w:val="es-ES" w:eastAsia="en-US" w:bidi="ar-SA"/>
      </w:rPr>
    </w:lvl>
  </w:abstractNum>
  <w:abstractNum w:abstractNumId="25">
    <w:nsid w:val="25155E26"/>
    <w:multiLevelType w:val="multilevel"/>
    <w:tmpl w:val="1FF4361E"/>
    <w:lvl w:ilvl="0">
      <w:start w:val="7"/>
      <w:numFmt w:val="decimal"/>
      <w:lvlText w:val="%1"/>
      <w:lvlJc w:val="left"/>
      <w:pPr>
        <w:ind w:left="1512" w:hanging="367"/>
        <w:jc w:val="left"/>
      </w:pPr>
      <w:rPr>
        <w:rFonts w:hint="default"/>
        <w:lang w:val="es-ES" w:eastAsia="en-US" w:bidi="ar-SA"/>
      </w:rPr>
    </w:lvl>
    <w:lvl w:ilvl="1">
      <w:start w:val="3"/>
      <w:numFmt w:val="decimal"/>
      <w:lvlText w:val="%1.%2"/>
      <w:lvlJc w:val="left"/>
      <w:pPr>
        <w:ind w:left="151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2"/>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26">
    <w:nsid w:val="260831AC"/>
    <w:multiLevelType w:val="hybridMultilevel"/>
    <w:tmpl w:val="A6A82FAC"/>
    <w:lvl w:ilvl="0" w:tplc="48763DDA">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61EC2460">
      <w:start w:val="1"/>
      <w:numFmt w:val="lowerLetter"/>
      <w:lvlText w:val="%2."/>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2" w:tplc="DAA0C380">
      <w:numFmt w:val="bullet"/>
      <w:lvlText w:val="•"/>
      <w:lvlJc w:val="left"/>
      <w:pPr>
        <w:ind w:left="2741" w:hanging="360"/>
      </w:pPr>
      <w:rPr>
        <w:rFonts w:hint="default"/>
        <w:lang w:val="es-ES" w:eastAsia="en-US" w:bidi="ar-SA"/>
      </w:rPr>
    </w:lvl>
    <w:lvl w:ilvl="3" w:tplc="79A8BFA6">
      <w:numFmt w:val="bullet"/>
      <w:lvlText w:val="•"/>
      <w:lvlJc w:val="left"/>
      <w:pPr>
        <w:ind w:left="3623" w:hanging="360"/>
      </w:pPr>
      <w:rPr>
        <w:rFonts w:hint="default"/>
        <w:lang w:val="es-ES" w:eastAsia="en-US" w:bidi="ar-SA"/>
      </w:rPr>
    </w:lvl>
    <w:lvl w:ilvl="4" w:tplc="FC12035E">
      <w:numFmt w:val="bullet"/>
      <w:lvlText w:val="•"/>
      <w:lvlJc w:val="left"/>
      <w:pPr>
        <w:ind w:left="4505" w:hanging="360"/>
      </w:pPr>
      <w:rPr>
        <w:rFonts w:hint="default"/>
        <w:lang w:val="es-ES" w:eastAsia="en-US" w:bidi="ar-SA"/>
      </w:rPr>
    </w:lvl>
    <w:lvl w:ilvl="5" w:tplc="A6CA2A26">
      <w:numFmt w:val="bullet"/>
      <w:lvlText w:val="•"/>
      <w:lvlJc w:val="left"/>
      <w:pPr>
        <w:ind w:left="5386" w:hanging="360"/>
      </w:pPr>
      <w:rPr>
        <w:rFonts w:hint="default"/>
        <w:lang w:val="es-ES" w:eastAsia="en-US" w:bidi="ar-SA"/>
      </w:rPr>
    </w:lvl>
    <w:lvl w:ilvl="6" w:tplc="60482292">
      <w:numFmt w:val="bullet"/>
      <w:lvlText w:val="•"/>
      <w:lvlJc w:val="left"/>
      <w:pPr>
        <w:ind w:left="6268" w:hanging="360"/>
      </w:pPr>
      <w:rPr>
        <w:rFonts w:hint="default"/>
        <w:lang w:val="es-ES" w:eastAsia="en-US" w:bidi="ar-SA"/>
      </w:rPr>
    </w:lvl>
    <w:lvl w:ilvl="7" w:tplc="C31E00A4">
      <w:numFmt w:val="bullet"/>
      <w:lvlText w:val="•"/>
      <w:lvlJc w:val="left"/>
      <w:pPr>
        <w:ind w:left="7150" w:hanging="360"/>
      </w:pPr>
      <w:rPr>
        <w:rFonts w:hint="default"/>
        <w:lang w:val="es-ES" w:eastAsia="en-US" w:bidi="ar-SA"/>
      </w:rPr>
    </w:lvl>
    <w:lvl w:ilvl="8" w:tplc="02D64C06">
      <w:numFmt w:val="bullet"/>
      <w:lvlText w:val="•"/>
      <w:lvlJc w:val="left"/>
      <w:pPr>
        <w:ind w:left="8031" w:hanging="360"/>
      </w:pPr>
      <w:rPr>
        <w:rFonts w:hint="default"/>
        <w:lang w:val="es-ES" w:eastAsia="en-US" w:bidi="ar-SA"/>
      </w:rPr>
    </w:lvl>
  </w:abstractNum>
  <w:abstractNum w:abstractNumId="27">
    <w:nsid w:val="26902EBC"/>
    <w:multiLevelType w:val="multilevel"/>
    <w:tmpl w:val="899A50BA"/>
    <w:lvl w:ilvl="0">
      <w:start w:val="2"/>
      <w:numFmt w:val="decimal"/>
      <w:lvlText w:val="%1"/>
      <w:lvlJc w:val="left"/>
      <w:pPr>
        <w:ind w:left="1695" w:hanging="551"/>
        <w:jc w:val="left"/>
      </w:pPr>
      <w:rPr>
        <w:rFonts w:hint="default"/>
        <w:lang w:val="es-ES" w:eastAsia="en-US" w:bidi="ar-SA"/>
      </w:rPr>
    </w:lvl>
    <w:lvl w:ilvl="1">
      <w:start w:val="4"/>
      <w:numFmt w:val="decimal"/>
      <w:lvlText w:val="%1.%2"/>
      <w:lvlJc w:val="left"/>
      <w:pPr>
        <w:ind w:left="1695" w:hanging="551"/>
        <w:jc w:val="left"/>
      </w:pPr>
      <w:rPr>
        <w:rFonts w:hint="default"/>
        <w:lang w:val="es-ES" w:eastAsia="en-US" w:bidi="ar-SA"/>
      </w:rPr>
    </w:lvl>
    <w:lvl w:ilvl="2">
      <w:start w:val="3"/>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28">
    <w:nsid w:val="26EF5230"/>
    <w:multiLevelType w:val="multilevel"/>
    <w:tmpl w:val="44ACCB44"/>
    <w:lvl w:ilvl="0">
      <w:start w:val="5"/>
      <w:numFmt w:val="decimal"/>
      <w:lvlText w:val="%1"/>
      <w:lvlJc w:val="left"/>
      <w:pPr>
        <w:ind w:left="1005" w:hanging="551"/>
        <w:jc w:val="left"/>
      </w:pPr>
      <w:rPr>
        <w:rFonts w:hint="default"/>
        <w:lang w:val="es-ES" w:eastAsia="en-US" w:bidi="ar-SA"/>
      </w:rPr>
    </w:lvl>
    <w:lvl w:ilvl="1">
      <w:start w:val="4"/>
      <w:numFmt w:val="decimal"/>
      <w:lvlText w:val="%1.%2"/>
      <w:lvlJc w:val="left"/>
      <w:pPr>
        <w:ind w:left="1005" w:hanging="551"/>
        <w:jc w:val="left"/>
      </w:pPr>
      <w:rPr>
        <w:rFonts w:hint="default"/>
        <w:lang w:val="es-ES" w:eastAsia="en-US" w:bidi="ar-SA"/>
      </w:rPr>
    </w:lvl>
    <w:lvl w:ilvl="2">
      <w:start w:val="2"/>
      <w:numFmt w:val="decimal"/>
      <w:lvlText w:val="%1.%2.%3"/>
      <w:lvlJc w:val="left"/>
      <w:pPr>
        <w:ind w:left="1005" w:hanging="551"/>
        <w:jc w:val="left"/>
      </w:pPr>
      <w:rPr>
        <w:rFonts w:ascii="Arial" w:eastAsia="Arial" w:hAnsi="Arial" w:cs="Arial" w:hint="default"/>
        <w:b/>
        <w:bCs/>
        <w:i/>
        <w:iCs/>
        <w:spacing w:val="-1"/>
        <w:w w:val="100"/>
        <w:sz w:val="22"/>
        <w:szCs w:val="22"/>
        <w:lang w:val="es-ES" w:eastAsia="en-US" w:bidi="ar-SA"/>
      </w:rPr>
    </w:lvl>
    <w:lvl w:ilvl="3">
      <w:start w:val="1"/>
      <w:numFmt w:val="decimal"/>
      <w:lvlText w:val="%4."/>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4025" w:hanging="360"/>
      </w:pPr>
      <w:rPr>
        <w:rFonts w:hint="default"/>
        <w:lang w:val="es-ES" w:eastAsia="en-US" w:bidi="ar-SA"/>
      </w:rPr>
    </w:lvl>
    <w:lvl w:ilvl="5">
      <w:numFmt w:val="bullet"/>
      <w:lvlText w:val="•"/>
      <w:lvlJc w:val="left"/>
      <w:pPr>
        <w:ind w:left="4986" w:hanging="360"/>
      </w:pPr>
      <w:rPr>
        <w:rFonts w:hint="default"/>
        <w:lang w:val="es-ES" w:eastAsia="en-US" w:bidi="ar-SA"/>
      </w:rPr>
    </w:lvl>
    <w:lvl w:ilvl="6">
      <w:numFmt w:val="bullet"/>
      <w:lvlText w:val="•"/>
      <w:lvlJc w:val="left"/>
      <w:pPr>
        <w:ind w:left="5948" w:hanging="360"/>
      </w:pPr>
      <w:rPr>
        <w:rFonts w:hint="default"/>
        <w:lang w:val="es-ES" w:eastAsia="en-US" w:bidi="ar-SA"/>
      </w:rPr>
    </w:lvl>
    <w:lvl w:ilvl="7">
      <w:numFmt w:val="bullet"/>
      <w:lvlText w:val="•"/>
      <w:lvlJc w:val="left"/>
      <w:pPr>
        <w:ind w:left="6910" w:hanging="360"/>
      </w:pPr>
      <w:rPr>
        <w:rFonts w:hint="default"/>
        <w:lang w:val="es-ES" w:eastAsia="en-US" w:bidi="ar-SA"/>
      </w:rPr>
    </w:lvl>
    <w:lvl w:ilvl="8">
      <w:numFmt w:val="bullet"/>
      <w:lvlText w:val="•"/>
      <w:lvlJc w:val="left"/>
      <w:pPr>
        <w:ind w:left="7871" w:hanging="360"/>
      </w:pPr>
      <w:rPr>
        <w:rFonts w:hint="default"/>
        <w:lang w:val="es-ES" w:eastAsia="en-US" w:bidi="ar-SA"/>
      </w:rPr>
    </w:lvl>
  </w:abstractNum>
  <w:abstractNum w:abstractNumId="29">
    <w:nsid w:val="27FB7782"/>
    <w:multiLevelType w:val="multilevel"/>
    <w:tmpl w:val="86B6665A"/>
    <w:lvl w:ilvl="0">
      <w:start w:val="5"/>
      <w:numFmt w:val="decimal"/>
      <w:lvlText w:val="%1"/>
      <w:lvlJc w:val="left"/>
      <w:pPr>
        <w:ind w:left="822" w:hanging="367"/>
        <w:jc w:val="left"/>
      </w:pPr>
      <w:rPr>
        <w:rFonts w:hint="default"/>
        <w:lang w:val="es-ES" w:eastAsia="en-US" w:bidi="ar-SA"/>
      </w:rPr>
    </w:lvl>
    <w:lvl w:ilvl="1">
      <w:start w:val="5"/>
      <w:numFmt w:val="decimal"/>
      <w:lvlText w:val="%1.%2"/>
      <w:lvlJc w:val="left"/>
      <w:pPr>
        <w:ind w:left="822" w:hanging="367"/>
        <w:jc w:val="left"/>
      </w:pPr>
      <w:rPr>
        <w:rFonts w:ascii="Arial" w:eastAsia="Arial" w:hAnsi="Arial" w:cs="Arial" w:hint="default"/>
        <w:b/>
        <w:bCs/>
        <w:i w:val="0"/>
        <w:iCs w:val="0"/>
        <w:spacing w:val="-1"/>
        <w:w w:val="100"/>
        <w:sz w:val="22"/>
        <w:szCs w:val="22"/>
        <w:lang w:val="es-ES" w:eastAsia="en-US" w:bidi="ar-SA"/>
      </w:rPr>
    </w:lvl>
    <w:lvl w:ilvl="2">
      <w:start w:val="1"/>
      <w:numFmt w:val="decimal"/>
      <w:lvlText w:val="%3."/>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3">
      <w:start w:val="1"/>
      <w:numFmt w:val="lowerLetter"/>
      <w:lvlText w:val="%4."/>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3843" w:hanging="360"/>
      </w:pPr>
      <w:rPr>
        <w:rFonts w:hint="default"/>
        <w:lang w:val="es-ES" w:eastAsia="en-US" w:bidi="ar-SA"/>
      </w:rPr>
    </w:lvl>
    <w:lvl w:ilvl="5">
      <w:numFmt w:val="bullet"/>
      <w:lvlText w:val="•"/>
      <w:lvlJc w:val="left"/>
      <w:pPr>
        <w:ind w:left="4835" w:hanging="360"/>
      </w:pPr>
      <w:rPr>
        <w:rFonts w:hint="default"/>
        <w:lang w:val="es-ES" w:eastAsia="en-US" w:bidi="ar-SA"/>
      </w:rPr>
    </w:lvl>
    <w:lvl w:ilvl="6">
      <w:numFmt w:val="bullet"/>
      <w:lvlText w:val="•"/>
      <w:lvlJc w:val="left"/>
      <w:pPr>
        <w:ind w:left="5827" w:hanging="360"/>
      </w:pPr>
      <w:rPr>
        <w:rFonts w:hint="default"/>
        <w:lang w:val="es-ES" w:eastAsia="en-US" w:bidi="ar-SA"/>
      </w:rPr>
    </w:lvl>
    <w:lvl w:ilvl="7">
      <w:numFmt w:val="bullet"/>
      <w:lvlText w:val="•"/>
      <w:lvlJc w:val="left"/>
      <w:pPr>
        <w:ind w:left="6819" w:hanging="360"/>
      </w:pPr>
      <w:rPr>
        <w:rFonts w:hint="default"/>
        <w:lang w:val="es-ES" w:eastAsia="en-US" w:bidi="ar-SA"/>
      </w:rPr>
    </w:lvl>
    <w:lvl w:ilvl="8">
      <w:numFmt w:val="bullet"/>
      <w:lvlText w:val="•"/>
      <w:lvlJc w:val="left"/>
      <w:pPr>
        <w:ind w:left="7811" w:hanging="360"/>
      </w:pPr>
      <w:rPr>
        <w:rFonts w:hint="default"/>
        <w:lang w:val="es-ES" w:eastAsia="en-US" w:bidi="ar-SA"/>
      </w:rPr>
    </w:lvl>
  </w:abstractNum>
  <w:abstractNum w:abstractNumId="30">
    <w:nsid w:val="2A71780E"/>
    <w:multiLevelType w:val="hybridMultilevel"/>
    <w:tmpl w:val="EE66570C"/>
    <w:lvl w:ilvl="0" w:tplc="F6BE9D9A">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AE3478B0">
      <w:numFmt w:val="bullet"/>
      <w:lvlText w:val="•"/>
      <w:lvlJc w:val="left"/>
      <w:pPr>
        <w:ind w:left="2005" w:hanging="360"/>
      </w:pPr>
      <w:rPr>
        <w:rFonts w:hint="default"/>
        <w:lang w:val="es-ES" w:eastAsia="en-US" w:bidi="ar-SA"/>
      </w:rPr>
    </w:lvl>
    <w:lvl w:ilvl="2" w:tplc="8BC0D99A">
      <w:numFmt w:val="bullet"/>
      <w:lvlText w:val="•"/>
      <w:lvlJc w:val="left"/>
      <w:pPr>
        <w:ind w:left="2871" w:hanging="360"/>
      </w:pPr>
      <w:rPr>
        <w:rFonts w:hint="default"/>
        <w:lang w:val="es-ES" w:eastAsia="en-US" w:bidi="ar-SA"/>
      </w:rPr>
    </w:lvl>
    <w:lvl w:ilvl="3" w:tplc="6570D8B0">
      <w:numFmt w:val="bullet"/>
      <w:lvlText w:val="•"/>
      <w:lvlJc w:val="left"/>
      <w:pPr>
        <w:ind w:left="3736" w:hanging="360"/>
      </w:pPr>
      <w:rPr>
        <w:rFonts w:hint="default"/>
        <w:lang w:val="es-ES" w:eastAsia="en-US" w:bidi="ar-SA"/>
      </w:rPr>
    </w:lvl>
    <w:lvl w:ilvl="4" w:tplc="58DA406E">
      <w:numFmt w:val="bullet"/>
      <w:lvlText w:val="•"/>
      <w:lvlJc w:val="left"/>
      <w:pPr>
        <w:ind w:left="4602" w:hanging="360"/>
      </w:pPr>
      <w:rPr>
        <w:rFonts w:hint="default"/>
        <w:lang w:val="es-ES" w:eastAsia="en-US" w:bidi="ar-SA"/>
      </w:rPr>
    </w:lvl>
    <w:lvl w:ilvl="5" w:tplc="2E749286">
      <w:numFmt w:val="bullet"/>
      <w:lvlText w:val="•"/>
      <w:lvlJc w:val="left"/>
      <w:pPr>
        <w:ind w:left="5467" w:hanging="360"/>
      </w:pPr>
      <w:rPr>
        <w:rFonts w:hint="default"/>
        <w:lang w:val="es-ES" w:eastAsia="en-US" w:bidi="ar-SA"/>
      </w:rPr>
    </w:lvl>
    <w:lvl w:ilvl="6" w:tplc="B54833CA">
      <w:numFmt w:val="bullet"/>
      <w:lvlText w:val="•"/>
      <w:lvlJc w:val="left"/>
      <w:pPr>
        <w:ind w:left="6333" w:hanging="360"/>
      </w:pPr>
      <w:rPr>
        <w:rFonts w:hint="default"/>
        <w:lang w:val="es-ES" w:eastAsia="en-US" w:bidi="ar-SA"/>
      </w:rPr>
    </w:lvl>
    <w:lvl w:ilvl="7" w:tplc="227EAF5A">
      <w:numFmt w:val="bullet"/>
      <w:lvlText w:val="•"/>
      <w:lvlJc w:val="left"/>
      <w:pPr>
        <w:ind w:left="7198" w:hanging="360"/>
      </w:pPr>
      <w:rPr>
        <w:rFonts w:hint="default"/>
        <w:lang w:val="es-ES" w:eastAsia="en-US" w:bidi="ar-SA"/>
      </w:rPr>
    </w:lvl>
    <w:lvl w:ilvl="8" w:tplc="B530753E">
      <w:numFmt w:val="bullet"/>
      <w:lvlText w:val="•"/>
      <w:lvlJc w:val="left"/>
      <w:pPr>
        <w:ind w:left="8064" w:hanging="360"/>
      </w:pPr>
      <w:rPr>
        <w:rFonts w:hint="default"/>
        <w:lang w:val="es-ES" w:eastAsia="en-US" w:bidi="ar-SA"/>
      </w:rPr>
    </w:lvl>
  </w:abstractNum>
  <w:abstractNum w:abstractNumId="31">
    <w:nsid w:val="2ADB51EF"/>
    <w:multiLevelType w:val="multilevel"/>
    <w:tmpl w:val="FB6AC8BC"/>
    <w:lvl w:ilvl="0">
      <w:start w:val="7"/>
      <w:numFmt w:val="decimal"/>
      <w:lvlText w:val="%1"/>
      <w:lvlJc w:val="left"/>
      <w:pPr>
        <w:ind w:left="1470" w:hanging="551"/>
        <w:jc w:val="left"/>
      </w:pPr>
      <w:rPr>
        <w:rFonts w:hint="default"/>
        <w:lang w:val="es-ES" w:eastAsia="en-US" w:bidi="ar-SA"/>
      </w:rPr>
    </w:lvl>
    <w:lvl w:ilvl="1">
      <w:start w:val="7"/>
      <w:numFmt w:val="decimal"/>
      <w:lvlText w:val="%1.%2"/>
      <w:lvlJc w:val="left"/>
      <w:pPr>
        <w:ind w:left="1470" w:hanging="551"/>
        <w:jc w:val="left"/>
      </w:pPr>
      <w:rPr>
        <w:rFonts w:hint="default"/>
        <w:lang w:val="es-ES" w:eastAsia="en-US" w:bidi="ar-SA"/>
      </w:rPr>
    </w:lvl>
    <w:lvl w:ilvl="2">
      <w:start w:val="1"/>
      <w:numFmt w:val="decimal"/>
      <w:lvlText w:val="%1.%2.%3"/>
      <w:lvlJc w:val="left"/>
      <w:pPr>
        <w:ind w:left="147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974" w:hanging="551"/>
      </w:pPr>
      <w:rPr>
        <w:rFonts w:hint="default"/>
        <w:lang w:val="es-ES" w:eastAsia="en-US" w:bidi="ar-SA"/>
      </w:rPr>
    </w:lvl>
    <w:lvl w:ilvl="4">
      <w:numFmt w:val="bullet"/>
      <w:lvlText w:val="•"/>
      <w:lvlJc w:val="left"/>
      <w:pPr>
        <w:ind w:left="4806" w:hanging="551"/>
      </w:pPr>
      <w:rPr>
        <w:rFonts w:hint="default"/>
        <w:lang w:val="es-ES" w:eastAsia="en-US" w:bidi="ar-SA"/>
      </w:rPr>
    </w:lvl>
    <w:lvl w:ilvl="5">
      <w:numFmt w:val="bullet"/>
      <w:lvlText w:val="•"/>
      <w:lvlJc w:val="left"/>
      <w:pPr>
        <w:ind w:left="5637" w:hanging="551"/>
      </w:pPr>
      <w:rPr>
        <w:rFonts w:hint="default"/>
        <w:lang w:val="es-ES" w:eastAsia="en-US" w:bidi="ar-SA"/>
      </w:rPr>
    </w:lvl>
    <w:lvl w:ilvl="6">
      <w:numFmt w:val="bullet"/>
      <w:lvlText w:val="•"/>
      <w:lvlJc w:val="left"/>
      <w:pPr>
        <w:ind w:left="6469" w:hanging="551"/>
      </w:pPr>
      <w:rPr>
        <w:rFonts w:hint="default"/>
        <w:lang w:val="es-ES" w:eastAsia="en-US" w:bidi="ar-SA"/>
      </w:rPr>
    </w:lvl>
    <w:lvl w:ilvl="7">
      <w:numFmt w:val="bullet"/>
      <w:lvlText w:val="•"/>
      <w:lvlJc w:val="left"/>
      <w:pPr>
        <w:ind w:left="7300" w:hanging="551"/>
      </w:pPr>
      <w:rPr>
        <w:rFonts w:hint="default"/>
        <w:lang w:val="es-ES" w:eastAsia="en-US" w:bidi="ar-SA"/>
      </w:rPr>
    </w:lvl>
    <w:lvl w:ilvl="8">
      <w:numFmt w:val="bullet"/>
      <w:lvlText w:val="•"/>
      <w:lvlJc w:val="left"/>
      <w:pPr>
        <w:ind w:left="8132" w:hanging="551"/>
      </w:pPr>
      <w:rPr>
        <w:rFonts w:hint="default"/>
        <w:lang w:val="es-ES" w:eastAsia="en-US" w:bidi="ar-SA"/>
      </w:rPr>
    </w:lvl>
  </w:abstractNum>
  <w:abstractNum w:abstractNumId="32">
    <w:nsid w:val="2B8E1E0F"/>
    <w:multiLevelType w:val="hybridMultilevel"/>
    <w:tmpl w:val="BAF61F9A"/>
    <w:lvl w:ilvl="0" w:tplc="B00ADCA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5A34EBE2">
      <w:numFmt w:val="bullet"/>
      <w:lvlText w:val="•"/>
      <w:lvlJc w:val="left"/>
      <w:pPr>
        <w:ind w:left="2005" w:hanging="360"/>
      </w:pPr>
      <w:rPr>
        <w:rFonts w:hint="default"/>
        <w:lang w:val="es-ES" w:eastAsia="en-US" w:bidi="ar-SA"/>
      </w:rPr>
    </w:lvl>
    <w:lvl w:ilvl="2" w:tplc="00F884B2">
      <w:numFmt w:val="bullet"/>
      <w:lvlText w:val="•"/>
      <w:lvlJc w:val="left"/>
      <w:pPr>
        <w:ind w:left="2871" w:hanging="360"/>
      </w:pPr>
      <w:rPr>
        <w:rFonts w:hint="default"/>
        <w:lang w:val="es-ES" w:eastAsia="en-US" w:bidi="ar-SA"/>
      </w:rPr>
    </w:lvl>
    <w:lvl w:ilvl="3" w:tplc="37181DE2">
      <w:numFmt w:val="bullet"/>
      <w:lvlText w:val="•"/>
      <w:lvlJc w:val="left"/>
      <w:pPr>
        <w:ind w:left="3736" w:hanging="360"/>
      </w:pPr>
      <w:rPr>
        <w:rFonts w:hint="default"/>
        <w:lang w:val="es-ES" w:eastAsia="en-US" w:bidi="ar-SA"/>
      </w:rPr>
    </w:lvl>
    <w:lvl w:ilvl="4" w:tplc="B9883736">
      <w:numFmt w:val="bullet"/>
      <w:lvlText w:val="•"/>
      <w:lvlJc w:val="left"/>
      <w:pPr>
        <w:ind w:left="4602" w:hanging="360"/>
      </w:pPr>
      <w:rPr>
        <w:rFonts w:hint="default"/>
        <w:lang w:val="es-ES" w:eastAsia="en-US" w:bidi="ar-SA"/>
      </w:rPr>
    </w:lvl>
    <w:lvl w:ilvl="5" w:tplc="95B25916">
      <w:numFmt w:val="bullet"/>
      <w:lvlText w:val="•"/>
      <w:lvlJc w:val="left"/>
      <w:pPr>
        <w:ind w:left="5467" w:hanging="360"/>
      </w:pPr>
      <w:rPr>
        <w:rFonts w:hint="default"/>
        <w:lang w:val="es-ES" w:eastAsia="en-US" w:bidi="ar-SA"/>
      </w:rPr>
    </w:lvl>
    <w:lvl w:ilvl="6" w:tplc="FA80C440">
      <w:numFmt w:val="bullet"/>
      <w:lvlText w:val="•"/>
      <w:lvlJc w:val="left"/>
      <w:pPr>
        <w:ind w:left="6333" w:hanging="360"/>
      </w:pPr>
      <w:rPr>
        <w:rFonts w:hint="default"/>
        <w:lang w:val="es-ES" w:eastAsia="en-US" w:bidi="ar-SA"/>
      </w:rPr>
    </w:lvl>
    <w:lvl w:ilvl="7" w:tplc="4B6E081A">
      <w:numFmt w:val="bullet"/>
      <w:lvlText w:val="•"/>
      <w:lvlJc w:val="left"/>
      <w:pPr>
        <w:ind w:left="7198" w:hanging="360"/>
      </w:pPr>
      <w:rPr>
        <w:rFonts w:hint="default"/>
        <w:lang w:val="es-ES" w:eastAsia="en-US" w:bidi="ar-SA"/>
      </w:rPr>
    </w:lvl>
    <w:lvl w:ilvl="8" w:tplc="39C80E88">
      <w:numFmt w:val="bullet"/>
      <w:lvlText w:val="•"/>
      <w:lvlJc w:val="left"/>
      <w:pPr>
        <w:ind w:left="8064" w:hanging="360"/>
      </w:pPr>
      <w:rPr>
        <w:rFonts w:hint="default"/>
        <w:lang w:val="es-ES" w:eastAsia="en-US" w:bidi="ar-SA"/>
      </w:rPr>
    </w:lvl>
  </w:abstractNum>
  <w:abstractNum w:abstractNumId="33">
    <w:nsid w:val="2C3B7C42"/>
    <w:multiLevelType w:val="hybridMultilevel"/>
    <w:tmpl w:val="A9C0D368"/>
    <w:lvl w:ilvl="0" w:tplc="E8688318">
      <w:numFmt w:val="bullet"/>
      <w:lvlText w:val="●"/>
      <w:lvlJc w:val="left"/>
      <w:pPr>
        <w:ind w:left="1145" w:hanging="360"/>
      </w:pPr>
      <w:rPr>
        <w:rFonts w:ascii="Arial MT" w:eastAsia="Arial MT" w:hAnsi="Arial MT" w:cs="Arial MT" w:hint="default"/>
        <w:spacing w:val="0"/>
        <w:w w:val="60"/>
        <w:lang w:val="es-ES" w:eastAsia="en-US" w:bidi="ar-SA"/>
      </w:rPr>
    </w:lvl>
    <w:lvl w:ilvl="1" w:tplc="CC80E140">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0B68CE74">
      <w:numFmt w:val="bullet"/>
      <w:lvlText w:val="•"/>
      <w:lvlJc w:val="left"/>
      <w:pPr>
        <w:ind w:left="2741" w:hanging="360"/>
      </w:pPr>
      <w:rPr>
        <w:rFonts w:hint="default"/>
        <w:lang w:val="es-ES" w:eastAsia="en-US" w:bidi="ar-SA"/>
      </w:rPr>
    </w:lvl>
    <w:lvl w:ilvl="3" w:tplc="E662DD96">
      <w:numFmt w:val="bullet"/>
      <w:lvlText w:val="•"/>
      <w:lvlJc w:val="left"/>
      <w:pPr>
        <w:ind w:left="3623" w:hanging="360"/>
      </w:pPr>
      <w:rPr>
        <w:rFonts w:hint="default"/>
        <w:lang w:val="es-ES" w:eastAsia="en-US" w:bidi="ar-SA"/>
      </w:rPr>
    </w:lvl>
    <w:lvl w:ilvl="4" w:tplc="7FD6C544">
      <w:numFmt w:val="bullet"/>
      <w:lvlText w:val="•"/>
      <w:lvlJc w:val="left"/>
      <w:pPr>
        <w:ind w:left="4505" w:hanging="360"/>
      </w:pPr>
      <w:rPr>
        <w:rFonts w:hint="default"/>
        <w:lang w:val="es-ES" w:eastAsia="en-US" w:bidi="ar-SA"/>
      </w:rPr>
    </w:lvl>
    <w:lvl w:ilvl="5" w:tplc="5BA65AE0">
      <w:numFmt w:val="bullet"/>
      <w:lvlText w:val="•"/>
      <w:lvlJc w:val="left"/>
      <w:pPr>
        <w:ind w:left="5386" w:hanging="360"/>
      </w:pPr>
      <w:rPr>
        <w:rFonts w:hint="default"/>
        <w:lang w:val="es-ES" w:eastAsia="en-US" w:bidi="ar-SA"/>
      </w:rPr>
    </w:lvl>
    <w:lvl w:ilvl="6" w:tplc="B7FCD422">
      <w:numFmt w:val="bullet"/>
      <w:lvlText w:val="•"/>
      <w:lvlJc w:val="left"/>
      <w:pPr>
        <w:ind w:left="6268" w:hanging="360"/>
      </w:pPr>
      <w:rPr>
        <w:rFonts w:hint="default"/>
        <w:lang w:val="es-ES" w:eastAsia="en-US" w:bidi="ar-SA"/>
      </w:rPr>
    </w:lvl>
    <w:lvl w:ilvl="7" w:tplc="AAC6F19A">
      <w:numFmt w:val="bullet"/>
      <w:lvlText w:val="•"/>
      <w:lvlJc w:val="left"/>
      <w:pPr>
        <w:ind w:left="7150" w:hanging="360"/>
      </w:pPr>
      <w:rPr>
        <w:rFonts w:hint="default"/>
        <w:lang w:val="es-ES" w:eastAsia="en-US" w:bidi="ar-SA"/>
      </w:rPr>
    </w:lvl>
    <w:lvl w:ilvl="8" w:tplc="53009044">
      <w:numFmt w:val="bullet"/>
      <w:lvlText w:val="•"/>
      <w:lvlJc w:val="left"/>
      <w:pPr>
        <w:ind w:left="8031" w:hanging="360"/>
      </w:pPr>
      <w:rPr>
        <w:rFonts w:hint="default"/>
        <w:lang w:val="es-ES" w:eastAsia="en-US" w:bidi="ar-SA"/>
      </w:rPr>
    </w:lvl>
  </w:abstractNum>
  <w:abstractNum w:abstractNumId="34">
    <w:nsid w:val="2CCB185E"/>
    <w:multiLevelType w:val="hybridMultilevel"/>
    <w:tmpl w:val="EAAC8E16"/>
    <w:lvl w:ilvl="0" w:tplc="6BE24B24">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F3DC0378">
      <w:numFmt w:val="bullet"/>
      <w:lvlText w:val="•"/>
      <w:lvlJc w:val="left"/>
      <w:pPr>
        <w:ind w:left="2005" w:hanging="360"/>
      </w:pPr>
      <w:rPr>
        <w:rFonts w:hint="default"/>
        <w:lang w:val="es-ES" w:eastAsia="en-US" w:bidi="ar-SA"/>
      </w:rPr>
    </w:lvl>
    <w:lvl w:ilvl="2" w:tplc="86F8825E">
      <w:numFmt w:val="bullet"/>
      <w:lvlText w:val="•"/>
      <w:lvlJc w:val="left"/>
      <w:pPr>
        <w:ind w:left="2871" w:hanging="360"/>
      </w:pPr>
      <w:rPr>
        <w:rFonts w:hint="default"/>
        <w:lang w:val="es-ES" w:eastAsia="en-US" w:bidi="ar-SA"/>
      </w:rPr>
    </w:lvl>
    <w:lvl w:ilvl="3" w:tplc="B3927EA2">
      <w:numFmt w:val="bullet"/>
      <w:lvlText w:val="•"/>
      <w:lvlJc w:val="left"/>
      <w:pPr>
        <w:ind w:left="3736" w:hanging="360"/>
      </w:pPr>
      <w:rPr>
        <w:rFonts w:hint="default"/>
        <w:lang w:val="es-ES" w:eastAsia="en-US" w:bidi="ar-SA"/>
      </w:rPr>
    </w:lvl>
    <w:lvl w:ilvl="4" w:tplc="81BA6092">
      <w:numFmt w:val="bullet"/>
      <w:lvlText w:val="•"/>
      <w:lvlJc w:val="left"/>
      <w:pPr>
        <w:ind w:left="4602" w:hanging="360"/>
      </w:pPr>
      <w:rPr>
        <w:rFonts w:hint="default"/>
        <w:lang w:val="es-ES" w:eastAsia="en-US" w:bidi="ar-SA"/>
      </w:rPr>
    </w:lvl>
    <w:lvl w:ilvl="5" w:tplc="1550DC72">
      <w:numFmt w:val="bullet"/>
      <w:lvlText w:val="•"/>
      <w:lvlJc w:val="left"/>
      <w:pPr>
        <w:ind w:left="5467" w:hanging="360"/>
      </w:pPr>
      <w:rPr>
        <w:rFonts w:hint="default"/>
        <w:lang w:val="es-ES" w:eastAsia="en-US" w:bidi="ar-SA"/>
      </w:rPr>
    </w:lvl>
    <w:lvl w:ilvl="6" w:tplc="84D0947C">
      <w:numFmt w:val="bullet"/>
      <w:lvlText w:val="•"/>
      <w:lvlJc w:val="left"/>
      <w:pPr>
        <w:ind w:left="6333" w:hanging="360"/>
      </w:pPr>
      <w:rPr>
        <w:rFonts w:hint="default"/>
        <w:lang w:val="es-ES" w:eastAsia="en-US" w:bidi="ar-SA"/>
      </w:rPr>
    </w:lvl>
    <w:lvl w:ilvl="7" w:tplc="F4FC17E8">
      <w:numFmt w:val="bullet"/>
      <w:lvlText w:val="•"/>
      <w:lvlJc w:val="left"/>
      <w:pPr>
        <w:ind w:left="7198" w:hanging="360"/>
      </w:pPr>
      <w:rPr>
        <w:rFonts w:hint="default"/>
        <w:lang w:val="es-ES" w:eastAsia="en-US" w:bidi="ar-SA"/>
      </w:rPr>
    </w:lvl>
    <w:lvl w:ilvl="8" w:tplc="6004FE0C">
      <w:numFmt w:val="bullet"/>
      <w:lvlText w:val="•"/>
      <w:lvlJc w:val="left"/>
      <w:pPr>
        <w:ind w:left="8064" w:hanging="360"/>
      </w:pPr>
      <w:rPr>
        <w:rFonts w:hint="default"/>
        <w:lang w:val="es-ES" w:eastAsia="en-US" w:bidi="ar-SA"/>
      </w:rPr>
    </w:lvl>
  </w:abstractNum>
  <w:abstractNum w:abstractNumId="35">
    <w:nsid w:val="2CDD4B19"/>
    <w:multiLevelType w:val="hybridMultilevel"/>
    <w:tmpl w:val="AB36D5FA"/>
    <w:lvl w:ilvl="0" w:tplc="93220492">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9F3A1DBC">
      <w:numFmt w:val="bullet"/>
      <w:lvlText w:val="•"/>
      <w:lvlJc w:val="left"/>
      <w:pPr>
        <w:ind w:left="2005" w:hanging="360"/>
      </w:pPr>
      <w:rPr>
        <w:rFonts w:hint="default"/>
        <w:lang w:val="es-ES" w:eastAsia="en-US" w:bidi="ar-SA"/>
      </w:rPr>
    </w:lvl>
    <w:lvl w:ilvl="2" w:tplc="19C05C96">
      <w:numFmt w:val="bullet"/>
      <w:lvlText w:val="•"/>
      <w:lvlJc w:val="left"/>
      <w:pPr>
        <w:ind w:left="2871" w:hanging="360"/>
      </w:pPr>
      <w:rPr>
        <w:rFonts w:hint="default"/>
        <w:lang w:val="es-ES" w:eastAsia="en-US" w:bidi="ar-SA"/>
      </w:rPr>
    </w:lvl>
    <w:lvl w:ilvl="3" w:tplc="6F5CA52C">
      <w:numFmt w:val="bullet"/>
      <w:lvlText w:val="•"/>
      <w:lvlJc w:val="left"/>
      <w:pPr>
        <w:ind w:left="3736" w:hanging="360"/>
      </w:pPr>
      <w:rPr>
        <w:rFonts w:hint="default"/>
        <w:lang w:val="es-ES" w:eastAsia="en-US" w:bidi="ar-SA"/>
      </w:rPr>
    </w:lvl>
    <w:lvl w:ilvl="4" w:tplc="FD28A6B8">
      <w:numFmt w:val="bullet"/>
      <w:lvlText w:val="•"/>
      <w:lvlJc w:val="left"/>
      <w:pPr>
        <w:ind w:left="4602" w:hanging="360"/>
      </w:pPr>
      <w:rPr>
        <w:rFonts w:hint="default"/>
        <w:lang w:val="es-ES" w:eastAsia="en-US" w:bidi="ar-SA"/>
      </w:rPr>
    </w:lvl>
    <w:lvl w:ilvl="5" w:tplc="89BA09F8">
      <w:numFmt w:val="bullet"/>
      <w:lvlText w:val="•"/>
      <w:lvlJc w:val="left"/>
      <w:pPr>
        <w:ind w:left="5467" w:hanging="360"/>
      </w:pPr>
      <w:rPr>
        <w:rFonts w:hint="default"/>
        <w:lang w:val="es-ES" w:eastAsia="en-US" w:bidi="ar-SA"/>
      </w:rPr>
    </w:lvl>
    <w:lvl w:ilvl="6" w:tplc="DCDC7E84">
      <w:numFmt w:val="bullet"/>
      <w:lvlText w:val="•"/>
      <w:lvlJc w:val="left"/>
      <w:pPr>
        <w:ind w:left="6333" w:hanging="360"/>
      </w:pPr>
      <w:rPr>
        <w:rFonts w:hint="default"/>
        <w:lang w:val="es-ES" w:eastAsia="en-US" w:bidi="ar-SA"/>
      </w:rPr>
    </w:lvl>
    <w:lvl w:ilvl="7" w:tplc="07FEF654">
      <w:numFmt w:val="bullet"/>
      <w:lvlText w:val="•"/>
      <w:lvlJc w:val="left"/>
      <w:pPr>
        <w:ind w:left="7198" w:hanging="360"/>
      </w:pPr>
      <w:rPr>
        <w:rFonts w:hint="default"/>
        <w:lang w:val="es-ES" w:eastAsia="en-US" w:bidi="ar-SA"/>
      </w:rPr>
    </w:lvl>
    <w:lvl w:ilvl="8" w:tplc="9FB4240E">
      <w:numFmt w:val="bullet"/>
      <w:lvlText w:val="•"/>
      <w:lvlJc w:val="left"/>
      <w:pPr>
        <w:ind w:left="8064" w:hanging="360"/>
      </w:pPr>
      <w:rPr>
        <w:rFonts w:hint="default"/>
        <w:lang w:val="es-ES" w:eastAsia="en-US" w:bidi="ar-SA"/>
      </w:rPr>
    </w:lvl>
  </w:abstractNum>
  <w:abstractNum w:abstractNumId="36">
    <w:nsid w:val="2D1E1673"/>
    <w:multiLevelType w:val="hybridMultilevel"/>
    <w:tmpl w:val="D92E5EEA"/>
    <w:lvl w:ilvl="0" w:tplc="CDB086CC">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CF8E1F9A">
      <w:start w:val="1"/>
      <w:numFmt w:val="lowerLetter"/>
      <w:lvlText w:val="%2."/>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2" w:tplc="AA9A74F2">
      <w:numFmt w:val="bullet"/>
      <w:lvlText w:val="•"/>
      <w:lvlJc w:val="left"/>
      <w:pPr>
        <w:ind w:left="2741" w:hanging="360"/>
      </w:pPr>
      <w:rPr>
        <w:rFonts w:hint="default"/>
        <w:lang w:val="es-ES" w:eastAsia="en-US" w:bidi="ar-SA"/>
      </w:rPr>
    </w:lvl>
    <w:lvl w:ilvl="3" w:tplc="02BAF892">
      <w:numFmt w:val="bullet"/>
      <w:lvlText w:val="•"/>
      <w:lvlJc w:val="left"/>
      <w:pPr>
        <w:ind w:left="3623" w:hanging="360"/>
      </w:pPr>
      <w:rPr>
        <w:rFonts w:hint="default"/>
        <w:lang w:val="es-ES" w:eastAsia="en-US" w:bidi="ar-SA"/>
      </w:rPr>
    </w:lvl>
    <w:lvl w:ilvl="4" w:tplc="86608F16">
      <w:numFmt w:val="bullet"/>
      <w:lvlText w:val="•"/>
      <w:lvlJc w:val="left"/>
      <w:pPr>
        <w:ind w:left="4505" w:hanging="360"/>
      </w:pPr>
      <w:rPr>
        <w:rFonts w:hint="default"/>
        <w:lang w:val="es-ES" w:eastAsia="en-US" w:bidi="ar-SA"/>
      </w:rPr>
    </w:lvl>
    <w:lvl w:ilvl="5" w:tplc="A100FB14">
      <w:numFmt w:val="bullet"/>
      <w:lvlText w:val="•"/>
      <w:lvlJc w:val="left"/>
      <w:pPr>
        <w:ind w:left="5386" w:hanging="360"/>
      </w:pPr>
      <w:rPr>
        <w:rFonts w:hint="default"/>
        <w:lang w:val="es-ES" w:eastAsia="en-US" w:bidi="ar-SA"/>
      </w:rPr>
    </w:lvl>
    <w:lvl w:ilvl="6" w:tplc="EC889CC2">
      <w:numFmt w:val="bullet"/>
      <w:lvlText w:val="•"/>
      <w:lvlJc w:val="left"/>
      <w:pPr>
        <w:ind w:left="6268" w:hanging="360"/>
      </w:pPr>
      <w:rPr>
        <w:rFonts w:hint="default"/>
        <w:lang w:val="es-ES" w:eastAsia="en-US" w:bidi="ar-SA"/>
      </w:rPr>
    </w:lvl>
    <w:lvl w:ilvl="7" w:tplc="520885C2">
      <w:numFmt w:val="bullet"/>
      <w:lvlText w:val="•"/>
      <w:lvlJc w:val="left"/>
      <w:pPr>
        <w:ind w:left="7150" w:hanging="360"/>
      </w:pPr>
      <w:rPr>
        <w:rFonts w:hint="default"/>
        <w:lang w:val="es-ES" w:eastAsia="en-US" w:bidi="ar-SA"/>
      </w:rPr>
    </w:lvl>
    <w:lvl w:ilvl="8" w:tplc="04A0AAEC">
      <w:numFmt w:val="bullet"/>
      <w:lvlText w:val="•"/>
      <w:lvlJc w:val="left"/>
      <w:pPr>
        <w:ind w:left="8031" w:hanging="360"/>
      </w:pPr>
      <w:rPr>
        <w:rFonts w:hint="default"/>
        <w:lang w:val="es-ES" w:eastAsia="en-US" w:bidi="ar-SA"/>
      </w:rPr>
    </w:lvl>
  </w:abstractNum>
  <w:abstractNum w:abstractNumId="37">
    <w:nsid w:val="2FA47158"/>
    <w:multiLevelType w:val="multilevel"/>
    <w:tmpl w:val="5C1E52D4"/>
    <w:lvl w:ilvl="0">
      <w:start w:val="2"/>
      <w:numFmt w:val="decimal"/>
      <w:lvlText w:val="%1"/>
      <w:lvlJc w:val="left"/>
      <w:pPr>
        <w:ind w:left="1512" w:hanging="367"/>
        <w:jc w:val="left"/>
      </w:pPr>
      <w:rPr>
        <w:rFonts w:hint="default"/>
        <w:lang w:val="es-ES" w:eastAsia="en-US" w:bidi="ar-SA"/>
      </w:rPr>
    </w:lvl>
    <w:lvl w:ilvl="1">
      <w:start w:val="1"/>
      <w:numFmt w:val="decimal"/>
      <w:lvlText w:val="%1.%2"/>
      <w:lvlJc w:val="left"/>
      <w:pPr>
        <w:ind w:left="1512" w:hanging="367"/>
        <w:jc w:val="right"/>
      </w:pPr>
      <w:rPr>
        <w:rFonts w:hint="default"/>
        <w:spacing w:val="-1"/>
        <w:w w:val="100"/>
        <w:lang w:val="es-ES" w:eastAsia="en-US" w:bidi="ar-SA"/>
      </w:rPr>
    </w:lvl>
    <w:lvl w:ilvl="2">
      <w:start w:val="1"/>
      <w:numFmt w:val="decimal"/>
      <w:lvlText w:val="%1.%2.%3"/>
      <w:lvlJc w:val="left"/>
      <w:pPr>
        <w:ind w:left="1320" w:hanging="551"/>
        <w:jc w:val="right"/>
      </w:pPr>
      <w:rPr>
        <w:rFonts w:ascii="Arial" w:eastAsia="Arial" w:hAnsi="Arial" w:cs="Arial" w:hint="default"/>
        <w:b/>
        <w:bCs/>
        <w:i/>
        <w:iCs/>
        <w:spacing w:val="-1"/>
        <w:w w:val="100"/>
        <w:sz w:val="22"/>
        <w:szCs w:val="22"/>
        <w:lang w:val="es-ES" w:eastAsia="en-US" w:bidi="ar-SA"/>
      </w:rPr>
    </w:lvl>
    <w:lvl w:ilvl="3">
      <w:start w:val="1"/>
      <w:numFmt w:val="upperLetter"/>
      <w:lvlText w:val="%4."/>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1480" w:hanging="360"/>
      </w:pPr>
      <w:rPr>
        <w:rFonts w:hint="default"/>
        <w:lang w:val="es-ES" w:eastAsia="en-US" w:bidi="ar-SA"/>
      </w:rPr>
    </w:lvl>
    <w:lvl w:ilvl="5">
      <w:numFmt w:val="bullet"/>
      <w:lvlText w:val="•"/>
      <w:lvlJc w:val="left"/>
      <w:pPr>
        <w:ind w:left="1520" w:hanging="360"/>
      </w:pPr>
      <w:rPr>
        <w:rFonts w:hint="default"/>
        <w:lang w:val="es-ES" w:eastAsia="en-US" w:bidi="ar-SA"/>
      </w:rPr>
    </w:lvl>
    <w:lvl w:ilvl="6">
      <w:numFmt w:val="bullet"/>
      <w:lvlText w:val="•"/>
      <w:lvlJc w:val="left"/>
      <w:pPr>
        <w:ind w:left="3175" w:hanging="360"/>
      </w:pPr>
      <w:rPr>
        <w:rFonts w:hint="default"/>
        <w:lang w:val="es-ES" w:eastAsia="en-US" w:bidi="ar-SA"/>
      </w:rPr>
    </w:lvl>
    <w:lvl w:ilvl="7">
      <w:numFmt w:val="bullet"/>
      <w:lvlText w:val="•"/>
      <w:lvlJc w:val="left"/>
      <w:pPr>
        <w:ind w:left="4830" w:hanging="360"/>
      </w:pPr>
      <w:rPr>
        <w:rFonts w:hint="default"/>
        <w:lang w:val="es-ES" w:eastAsia="en-US" w:bidi="ar-SA"/>
      </w:rPr>
    </w:lvl>
    <w:lvl w:ilvl="8">
      <w:numFmt w:val="bullet"/>
      <w:lvlText w:val="•"/>
      <w:lvlJc w:val="left"/>
      <w:pPr>
        <w:ind w:left="6485" w:hanging="360"/>
      </w:pPr>
      <w:rPr>
        <w:rFonts w:hint="default"/>
        <w:lang w:val="es-ES" w:eastAsia="en-US" w:bidi="ar-SA"/>
      </w:rPr>
    </w:lvl>
  </w:abstractNum>
  <w:abstractNum w:abstractNumId="38">
    <w:nsid w:val="315E1B16"/>
    <w:multiLevelType w:val="multilevel"/>
    <w:tmpl w:val="F1AC168A"/>
    <w:lvl w:ilvl="0">
      <w:start w:val="4"/>
      <w:numFmt w:val="decimal"/>
      <w:lvlText w:val="%1"/>
      <w:lvlJc w:val="left"/>
      <w:pPr>
        <w:ind w:left="1152" w:hanging="367"/>
        <w:jc w:val="left"/>
      </w:pPr>
      <w:rPr>
        <w:rFonts w:hint="default"/>
        <w:lang w:val="es-ES" w:eastAsia="en-US" w:bidi="ar-SA"/>
      </w:rPr>
    </w:lvl>
    <w:lvl w:ilvl="1">
      <w:start w:val="3"/>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2816" w:hanging="551"/>
      </w:pPr>
      <w:rPr>
        <w:rFonts w:hint="default"/>
        <w:lang w:val="es-ES" w:eastAsia="en-US" w:bidi="ar-SA"/>
      </w:rPr>
    </w:lvl>
    <w:lvl w:ilvl="4">
      <w:numFmt w:val="bullet"/>
      <w:lvlText w:val="•"/>
      <w:lvlJc w:val="left"/>
      <w:pPr>
        <w:ind w:left="3813" w:hanging="551"/>
      </w:pPr>
      <w:rPr>
        <w:rFonts w:hint="default"/>
        <w:lang w:val="es-ES" w:eastAsia="en-US" w:bidi="ar-SA"/>
      </w:rPr>
    </w:lvl>
    <w:lvl w:ilvl="5">
      <w:numFmt w:val="bullet"/>
      <w:lvlText w:val="•"/>
      <w:lvlJc w:val="left"/>
      <w:pPr>
        <w:ind w:left="4810" w:hanging="551"/>
      </w:pPr>
      <w:rPr>
        <w:rFonts w:hint="default"/>
        <w:lang w:val="es-ES" w:eastAsia="en-US" w:bidi="ar-SA"/>
      </w:rPr>
    </w:lvl>
    <w:lvl w:ilvl="6">
      <w:numFmt w:val="bullet"/>
      <w:lvlText w:val="•"/>
      <w:lvlJc w:val="left"/>
      <w:pPr>
        <w:ind w:left="5807" w:hanging="551"/>
      </w:pPr>
      <w:rPr>
        <w:rFonts w:hint="default"/>
        <w:lang w:val="es-ES" w:eastAsia="en-US" w:bidi="ar-SA"/>
      </w:rPr>
    </w:lvl>
    <w:lvl w:ilvl="7">
      <w:numFmt w:val="bullet"/>
      <w:lvlText w:val="•"/>
      <w:lvlJc w:val="left"/>
      <w:pPr>
        <w:ind w:left="6804" w:hanging="551"/>
      </w:pPr>
      <w:rPr>
        <w:rFonts w:hint="default"/>
        <w:lang w:val="es-ES" w:eastAsia="en-US" w:bidi="ar-SA"/>
      </w:rPr>
    </w:lvl>
    <w:lvl w:ilvl="8">
      <w:numFmt w:val="bullet"/>
      <w:lvlText w:val="•"/>
      <w:lvlJc w:val="left"/>
      <w:pPr>
        <w:ind w:left="7801" w:hanging="551"/>
      </w:pPr>
      <w:rPr>
        <w:rFonts w:hint="default"/>
        <w:lang w:val="es-ES" w:eastAsia="en-US" w:bidi="ar-SA"/>
      </w:rPr>
    </w:lvl>
  </w:abstractNum>
  <w:abstractNum w:abstractNumId="39">
    <w:nsid w:val="336308EE"/>
    <w:multiLevelType w:val="multilevel"/>
    <w:tmpl w:val="22BAC652"/>
    <w:lvl w:ilvl="0">
      <w:start w:val="1"/>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756" w:hanging="612"/>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2764" w:hanging="612"/>
      </w:pPr>
      <w:rPr>
        <w:rFonts w:hint="default"/>
        <w:lang w:val="es-ES" w:eastAsia="en-US" w:bidi="ar-SA"/>
      </w:rPr>
    </w:lvl>
    <w:lvl w:ilvl="4">
      <w:numFmt w:val="bullet"/>
      <w:lvlText w:val="•"/>
      <w:lvlJc w:val="left"/>
      <w:pPr>
        <w:ind w:left="3768" w:hanging="612"/>
      </w:pPr>
      <w:rPr>
        <w:rFonts w:hint="default"/>
        <w:lang w:val="es-ES" w:eastAsia="en-US" w:bidi="ar-SA"/>
      </w:rPr>
    </w:lvl>
    <w:lvl w:ilvl="5">
      <w:numFmt w:val="bullet"/>
      <w:lvlText w:val="•"/>
      <w:lvlJc w:val="left"/>
      <w:pPr>
        <w:ind w:left="4773" w:hanging="612"/>
      </w:pPr>
      <w:rPr>
        <w:rFonts w:hint="default"/>
        <w:lang w:val="es-ES" w:eastAsia="en-US" w:bidi="ar-SA"/>
      </w:rPr>
    </w:lvl>
    <w:lvl w:ilvl="6">
      <w:numFmt w:val="bullet"/>
      <w:lvlText w:val="•"/>
      <w:lvlJc w:val="left"/>
      <w:pPr>
        <w:ind w:left="5777" w:hanging="612"/>
      </w:pPr>
      <w:rPr>
        <w:rFonts w:hint="default"/>
        <w:lang w:val="es-ES" w:eastAsia="en-US" w:bidi="ar-SA"/>
      </w:rPr>
    </w:lvl>
    <w:lvl w:ilvl="7">
      <w:numFmt w:val="bullet"/>
      <w:lvlText w:val="•"/>
      <w:lvlJc w:val="left"/>
      <w:pPr>
        <w:ind w:left="6781" w:hanging="612"/>
      </w:pPr>
      <w:rPr>
        <w:rFonts w:hint="default"/>
        <w:lang w:val="es-ES" w:eastAsia="en-US" w:bidi="ar-SA"/>
      </w:rPr>
    </w:lvl>
    <w:lvl w:ilvl="8">
      <w:numFmt w:val="bullet"/>
      <w:lvlText w:val="•"/>
      <w:lvlJc w:val="left"/>
      <w:pPr>
        <w:ind w:left="7786" w:hanging="612"/>
      </w:pPr>
      <w:rPr>
        <w:rFonts w:hint="default"/>
        <w:lang w:val="es-ES" w:eastAsia="en-US" w:bidi="ar-SA"/>
      </w:rPr>
    </w:lvl>
  </w:abstractNum>
  <w:abstractNum w:abstractNumId="40">
    <w:nsid w:val="34C9433A"/>
    <w:multiLevelType w:val="multilevel"/>
    <w:tmpl w:val="C026EAE6"/>
    <w:lvl w:ilvl="0">
      <w:start w:val="7"/>
      <w:numFmt w:val="decimal"/>
      <w:lvlText w:val="%1"/>
      <w:lvlJc w:val="left"/>
      <w:pPr>
        <w:ind w:left="1128" w:hanging="673"/>
        <w:jc w:val="left"/>
      </w:pPr>
      <w:rPr>
        <w:rFonts w:hint="default"/>
        <w:lang w:val="es-ES" w:eastAsia="en-US" w:bidi="ar-SA"/>
      </w:rPr>
    </w:lvl>
    <w:lvl w:ilvl="1">
      <w:start w:val="10"/>
      <w:numFmt w:val="decimal"/>
      <w:lvlText w:val="%1.%2"/>
      <w:lvlJc w:val="left"/>
      <w:pPr>
        <w:ind w:left="1128" w:hanging="673"/>
        <w:jc w:val="left"/>
      </w:pPr>
      <w:rPr>
        <w:rFonts w:hint="default"/>
        <w:lang w:val="es-ES" w:eastAsia="en-US" w:bidi="ar-SA"/>
      </w:rPr>
    </w:lvl>
    <w:lvl w:ilvl="2">
      <w:start w:val="1"/>
      <w:numFmt w:val="decimal"/>
      <w:lvlText w:val="%1.%2.%3"/>
      <w:lvlJc w:val="left"/>
      <w:pPr>
        <w:ind w:left="1128" w:hanging="673"/>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4025" w:hanging="360"/>
      </w:pPr>
      <w:rPr>
        <w:rFonts w:hint="default"/>
        <w:lang w:val="es-ES" w:eastAsia="en-US" w:bidi="ar-SA"/>
      </w:rPr>
    </w:lvl>
    <w:lvl w:ilvl="5">
      <w:numFmt w:val="bullet"/>
      <w:lvlText w:val="•"/>
      <w:lvlJc w:val="left"/>
      <w:pPr>
        <w:ind w:left="4986" w:hanging="360"/>
      </w:pPr>
      <w:rPr>
        <w:rFonts w:hint="default"/>
        <w:lang w:val="es-ES" w:eastAsia="en-US" w:bidi="ar-SA"/>
      </w:rPr>
    </w:lvl>
    <w:lvl w:ilvl="6">
      <w:numFmt w:val="bullet"/>
      <w:lvlText w:val="•"/>
      <w:lvlJc w:val="left"/>
      <w:pPr>
        <w:ind w:left="5948" w:hanging="360"/>
      </w:pPr>
      <w:rPr>
        <w:rFonts w:hint="default"/>
        <w:lang w:val="es-ES" w:eastAsia="en-US" w:bidi="ar-SA"/>
      </w:rPr>
    </w:lvl>
    <w:lvl w:ilvl="7">
      <w:numFmt w:val="bullet"/>
      <w:lvlText w:val="•"/>
      <w:lvlJc w:val="left"/>
      <w:pPr>
        <w:ind w:left="6910" w:hanging="360"/>
      </w:pPr>
      <w:rPr>
        <w:rFonts w:hint="default"/>
        <w:lang w:val="es-ES" w:eastAsia="en-US" w:bidi="ar-SA"/>
      </w:rPr>
    </w:lvl>
    <w:lvl w:ilvl="8">
      <w:numFmt w:val="bullet"/>
      <w:lvlText w:val="•"/>
      <w:lvlJc w:val="left"/>
      <w:pPr>
        <w:ind w:left="7871" w:hanging="360"/>
      </w:pPr>
      <w:rPr>
        <w:rFonts w:hint="default"/>
        <w:lang w:val="es-ES" w:eastAsia="en-US" w:bidi="ar-SA"/>
      </w:rPr>
    </w:lvl>
  </w:abstractNum>
  <w:abstractNum w:abstractNumId="41">
    <w:nsid w:val="36FD50E5"/>
    <w:multiLevelType w:val="hybridMultilevel"/>
    <w:tmpl w:val="61160496"/>
    <w:lvl w:ilvl="0" w:tplc="46FC8CEA">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91D07570">
      <w:numFmt w:val="bullet"/>
      <w:lvlText w:val="•"/>
      <w:lvlJc w:val="left"/>
      <w:pPr>
        <w:ind w:left="2005" w:hanging="360"/>
      </w:pPr>
      <w:rPr>
        <w:rFonts w:hint="default"/>
        <w:lang w:val="es-ES" w:eastAsia="en-US" w:bidi="ar-SA"/>
      </w:rPr>
    </w:lvl>
    <w:lvl w:ilvl="2" w:tplc="BEDCB866">
      <w:numFmt w:val="bullet"/>
      <w:lvlText w:val="•"/>
      <w:lvlJc w:val="left"/>
      <w:pPr>
        <w:ind w:left="2871" w:hanging="360"/>
      </w:pPr>
      <w:rPr>
        <w:rFonts w:hint="default"/>
        <w:lang w:val="es-ES" w:eastAsia="en-US" w:bidi="ar-SA"/>
      </w:rPr>
    </w:lvl>
    <w:lvl w:ilvl="3" w:tplc="BADE4E5A">
      <w:numFmt w:val="bullet"/>
      <w:lvlText w:val="•"/>
      <w:lvlJc w:val="left"/>
      <w:pPr>
        <w:ind w:left="3736" w:hanging="360"/>
      </w:pPr>
      <w:rPr>
        <w:rFonts w:hint="default"/>
        <w:lang w:val="es-ES" w:eastAsia="en-US" w:bidi="ar-SA"/>
      </w:rPr>
    </w:lvl>
    <w:lvl w:ilvl="4" w:tplc="396C5A7E">
      <w:numFmt w:val="bullet"/>
      <w:lvlText w:val="•"/>
      <w:lvlJc w:val="left"/>
      <w:pPr>
        <w:ind w:left="4602" w:hanging="360"/>
      </w:pPr>
      <w:rPr>
        <w:rFonts w:hint="default"/>
        <w:lang w:val="es-ES" w:eastAsia="en-US" w:bidi="ar-SA"/>
      </w:rPr>
    </w:lvl>
    <w:lvl w:ilvl="5" w:tplc="FF8C5CA8">
      <w:numFmt w:val="bullet"/>
      <w:lvlText w:val="•"/>
      <w:lvlJc w:val="left"/>
      <w:pPr>
        <w:ind w:left="5467" w:hanging="360"/>
      </w:pPr>
      <w:rPr>
        <w:rFonts w:hint="default"/>
        <w:lang w:val="es-ES" w:eastAsia="en-US" w:bidi="ar-SA"/>
      </w:rPr>
    </w:lvl>
    <w:lvl w:ilvl="6" w:tplc="0E6C9DCE">
      <w:numFmt w:val="bullet"/>
      <w:lvlText w:val="•"/>
      <w:lvlJc w:val="left"/>
      <w:pPr>
        <w:ind w:left="6333" w:hanging="360"/>
      </w:pPr>
      <w:rPr>
        <w:rFonts w:hint="default"/>
        <w:lang w:val="es-ES" w:eastAsia="en-US" w:bidi="ar-SA"/>
      </w:rPr>
    </w:lvl>
    <w:lvl w:ilvl="7" w:tplc="6E7034E4">
      <w:numFmt w:val="bullet"/>
      <w:lvlText w:val="•"/>
      <w:lvlJc w:val="left"/>
      <w:pPr>
        <w:ind w:left="7198" w:hanging="360"/>
      </w:pPr>
      <w:rPr>
        <w:rFonts w:hint="default"/>
        <w:lang w:val="es-ES" w:eastAsia="en-US" w:bidi="ar-SA"/>
      </w:rPr>
    </w:lvl>
    <w:lvl w:ilvl="8" w:tplc="7F9E7010">
      <w:numFmt w:val="bullet"/>
      <w:lvlText w:val="•"/>
      <w:lvlJc w:val="left"/>
      <w:pPr>
        <w:ind w:left="8064" w:hanging="360"/>
      </w:pPr>
      <w:rPr>
        <w:rFonts w:hint="default"/>
        <w:lang w:val="es-ES" w:eastAsia="en-US" w:bidi="ar-SA"/>
      </w:rPr>
    </w:lvl>
  </w:abstractNum>
  <w:abstractNum w:abstractNumId="42">
    <w:nsid w:val="37934F0C"/>
    <w:multiLevelType w:val="hybridMultilevel"/>
    <w:tmpl w:val="8BD889FC"/>
    <w:lvl w:ilvl="0" w:tplc="253CB98A">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6DEC8CF6">
      <w:numFmt w:val="bullet"/>
      <w:lvlText w:val="•"/>
      <w:lvlJc w:val="left"/>
      <w:pPr>
        <w:ind w:left="2005" w:hanging="360"/>
      </w:pPr>
      <w:rPr>
        <w:rFonts w:hint="default"/>
        <w:lang w:val="es-ES" w:eastAsia="en-US" w:bidi="ar-SA"/>
      </w:rPr>
    </w:lvl>
    <w:lvl w:ilvl="2" w:tplc="5BBA6A30">
      <w:numFmt w:val="bullet"/>
      <w:lvlText w:val="•"/>
      <w:lvlJc w:val="left"/>
      <w:pPr>
        <w:ind w:left="2871" w:hanging="360"/>
      </w:pPr>
      <w:rPr>
        <w:rFonts w:hint="default"/>
        <w:lang w:val="es-ES" w:eastAsia="en-US" w:bidi="ar-SA"/>
      </w:rPr>
    </w:lvl>
    <w:lvl w:ilvl="3" w:tplc="0AAEF1E8">
      <w:numFmt w:val="bullet"/>
      <w:lvlText w:val="•"/>
      <w:lvlJc w:val="left"/>
      <w:pPr>
        <w:ind w:left="3736" w:hanging="360"/>
      </w:pPr>
      <w:rPr>
        <w:rFonts w:hint="default"/>
        <w:lang w:val="es-ES" w:eastAsia="en-US" w:bidi="ar-SA"/>
      </w:rPr>
    </w:lvl>
    <w:lvl w:ilvl="4" w:tplc="D758C9DE">
      <w:numFmt w:val="bullet"/>
      <w:lvlText w:val="•"/>
      <w:lvlJc w:val="left"/>
      <w:pPr>
        <w:ind w:left="4602" w:hanging="360"/>
      </w:pPr>
      <w:rPr>
        <w:rFonts w:hint="default"/>
        <w:lang w:val="es-ES" w:eastAsia="en-US" w:bidi="ar-SA"/>
      </w:rPr>
    </w:lvl>
    <w:lvl w:ilvl="5" w:tplc="EC2C17FC">
      <w:numFmt w:val="bullet"/>
      <w:lvlText w:val="•"/>
      <w:lvlJc w:val="left"/>
      <w:pPr>
        <w:ind w:left="5467" w:hanging="360"/>
      </w:pPr>
      <w:rPr>
        <w:rFonts w:hint="default"/>
        <w:lang w:val="es-ES" w:eastAsia="en-US" w:bidi="ar-SA"/>
      </w:rPr>
    </w:lvl>
    <w:lvl w:ilvl="6" w:tplc="A5CAC57C">
      <w:numFmt w:val="bullet"/>
      <w:lvlText w:val="•"/>
      <w:lvlJc w:val="left"/>
      <w:pPr>
        <w:ind w:left="6333" w:hanging="360"/>
      </w:pPr>
      <w:rPr>
        <w:rFonts w:hint="default"/>
        <w:lang w:val="es-ES" w:eastAsia="en-US" w:bidi="ar-SA"/>
      </w:rPr>
    </w:lvl>
    <w:lvl w:ilvl="7" w:tplc="A2FA021E">
      <w:numFmt w:val="bullet"/>
      <w:lvlText w:val="•"/>
      <w:lvlJc w:val="left"/>
      <w:pPr>
        <w:ind w:left="7198" w:hanging="360"/>
      </w:pPr>
      <w:rPr>
        <w:rFonts w:hint="default"/>
        <w:lang w:val="es-ES" w:eastAsia="en-US" w:bidi="ar-SA"/>
      </w:rPr>
    </w:lvl>
    <w:lvl w:ilvl="8" w:tplc="7FB83058">
      <w:numFmt w:val="bullet"/>
      <w:lvlText w:val="•"/>
      <w:lvlJc w:val="left"/>
      <w:pPr>
        <w:ind w:left="8064" w:hanging="360"/>
      </w:pPr>
      <w:rPr>
        <w:rFonts w:hint="default"/>
        <w:lang w:val="es-ES" w:eastAsia="en-US" w:bidi="ar-SA"/>
      </w:rPr>
    </w:lvl>
  </w:abstractNum>
  <w:abstractNum w:abstractNumId="43">
    <w:nsid w:val="38AD7DD9"/>
    <w:multiLevelType w:val="multilevel"/>
    <w:tmpl w:val="174E7AB2"/>
    <w:lvl w:ilvl="0">
      <w:start w:val="7"/>
      <w:numFmt w:val="decimal"/>
      <w:lvlText w:val="%1"/>
      <w:lvlJc w:val="left"/>
      <w:pPr>
        <w:ind w:left="822" w:hanging="367"/>
        <w:jc w:val="left"/>
      </w:pPr>
      <w:rPr>
        <w:rFonts w:hint="default"/>
        <w:lang w:val="es-ES" w:eastAsia="en-US" w:bidi="ar-SA"/>
      </w:rPr>
    </w:lvl>
    <w:lvl w:ilvl="1">
      <w:start w:val="1"/>
      <w:numFmt w:val="decimal"/>
      <w:lvlText w:val="%1.%2"/>
      <w:lvlJc w:val="left"/>
      <w:pPr>
        <w:ind w:left="822" w:hanging="367"/>
        <w:jc w:val="left"/>
      </w:pPr>
      <w:rPr>
        <w:rFonts w:hint="default"/>
        <w:spacing w:val="-1"/>
        <w:w w:val="100"/>
        <w:lang w:val="es-ES" w:eastAsia="en-US" w:bidi="ar-SA"/>
      </w:rPr>
    </w:lvl>
    <w:lvl w:ilvl="2">
      <w:start w:val="2"/>
      <w:numFmt w:val="decimal"/>
      <w:lvlText w:val="%1.%2.%3"/>
      <w:lvlJc w:val="left"/>
      <w:pPr>
        <w:ind w:left="1005" w:hanging="551"/>
        <w:jc w:val="left"/>
      </w:pPr>
      <w:rPr>
        <w:rFonts w:hint="default"/>
        <w:spacing w:val="-1"/>
        <w:w w:val="100"/>
        <w:lang w:val="es-ES" w:eastAsia="en-US" w:bidi="ar-SA"/>
      </w:rPr>
    </w:lvl>
    <w:lvl w:ilvl="3">
      <w:numFmt w:val="bullet"/>
      <w:lvlText w:val="•"/>
      <w:lvlJc w:val="left"/>
      <w:pPr>
        <w:ind w:left="2954" w:hanging="551"/>
      </w:pPr>
      <w:rPr>
        <w:rFonts w:hint="default"/>
        <w:lang w:val="es-ES" w:eastAsia="en-US" w:bidi="ar-SA"/>
      </w:rPr>
    </w:lvl>
    <w:lvl w:ilvl="4">
      <w:numFmt w:val="bullet"/>
      <w:lvlText w:val="•"/>
      <w:lvlJc w:val="left"/>
      <w:pPr>
        <w:ind w:left="3931" w:hanging="551"/>
      </w:pPr>
      <w:rPr>
        <w:rFonts w:hint="default"/>
        <w:lang w:val="es-ES" w:eastAsia="en-US" w:bidi="ar-SA"/>
      </w:rPr>
    </w:lvl>
    <w:lvl w:ilvl="5">
      <w:numFmt w:val="bullet"/>
      <w:lvlText w:val="•"/>
      <w:lvlJc w:val="left"/>
      <w:pPr>
        <w:ind w:left="4908" w:hanging="551"/>
      </w:pPr>
      <w:rPr>
        <w:rFonts w:hint="default"/>
        <w:lang w:val="es-ES" w:eastAsia="en-US" w:bidi="ar-SA"/>
      </w:rPr>
    </w:lvl>
    <w:lvl w:ilvl="6">
      <w:numFmt w:val="bullet"/>
      <w:lvlText w:val="•"/>
      <w:lvlJc w:val="left"/>
      <w:pPr>
        <w:ind w:left="5886" w:hanging="551"/>
      </w:pPr>
      <w:rPr>
        <w:rFonts w:hint="default"/>
        <w:lang w:val="es-ES" w:eastAsia="en-US" w:bidi="ar-SA"/>
      </w:rPr>
    </w:lvl>
    <w:lvl w:ilvl="7">
      <w:numFmt w:val="bullet"/>
      <w:lvlText w:val="•"/>
      <w:lvlJc w:val="left"/>
      <w:pPr>
        <w:ind w:left="6863" w:hanging="551"/>
      </w:pPr>
      <w:rPr>
        <w:rFonts w:hint="default"/>
        <w:lang w:val="es-ES" w:eastAsia="en-US" w:bidi="ar-SA"/>
      </w:rPr>
    </w:lvl>
    <w:lvl w:ilvl="8">
      <w:numFmt w:val="bullet"/>
      <w:lvlText w:val="•"/>
      <w:lvlJc w:val="left"/>
      <w:pPr>
        <w:ind w:left="7840" w:hanging="551"/>
      </w:pPr>
      <w:rPr>
        <w:rFonts w:hint="default"/>
        <w:lang w:val="es-ES" w:eastAsia="en-US" w:bidi="ar-SA"/>
      </w:rPr>
    </w:lvl>
  </w:abstractNum>
  <w:abstractNum w:abstractNumId="44">
    <w:nsid w:val="3B7D5D41"/>
    <w:multiLevelType w:val="hybridMultilevel"/>
    <w:tmpl w:val="BE8A44A8"/>
    <w:lvl w:ilvl="0" w:tplc="365486B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905CC36E">
      <w:numFmt w:val="bullet"/>
      <w:lvlText w:val="•"/>
      <w:lvlJc w:val="left"/>
      <w:pPr>
        <w:ind w:left="2005" w:hanging="360"/>
      </w:pPr>
      <w:rPr>
        <w:rFonts w:hint="default"/>
        <w:lang w:val="es-ES" w:eastAsia="en-US" w:bidi="ar-SA"/>
      </w:rPr>
    </w:lvl>
    <w:lvl w:ilvl="2" w:tplc="F0101CCA">
      <w:numFmt w:val="bullet"/>
      <w:lvlText w:val="•"/>
      <w:lvlJc w:val="left"/>
      <w:pPr>
        <w:ind w:left="2871" w:hanging="360"/>
      </w:pPr>
      <w:rPr>
        <w:rFonts w:hint="default"/>
        <w:lang w:val="es-ES" w:eastAsia="en-US" w:bidi="ar-SA"/>
      </w:rPr>
    </w:lvl>
    <w:lvl w:ilvl="3" w:tplc="F5D23380">
      <w:numFmt w:val="bullet"/>
      <w:lvlText w:val="•"/>
      <w:lvlJc w:val="left"/>
      <w:pPr>
        <w:ind w:left="3736" w:hanging="360"/>
      </w:pPr>
      <w:rPr>
        <w:rFonts w:hint="default"/>
        <w:lang w:val="es-ES" w:eastAsia="en-US" w:bidi="ar-SA"/>
      </w:rPr>
    </w:lvl>
    <w:lvl w:ilvl="4" w:tplc="188E40EA">
      <w:numFmt w:val="bullet"/>
      <w:lvlText w:val="•"/>
      <w:lvlJc w:val="left"/>
      <w:pPr>
        <w:ind w:left="4602" w:hanging="360"/>
      </w:pPr>
      <w:rPr>
        <w:rFonts w:hint="default"/>
        <w:lang w:val="es-ES" w:eastAsia="en-US" w:bidi="ar-SA"/>
      </w:rPr>
    </w:lvl>
    <w:lvl w:ilvl="5" w:tplc="D2884428">
      <w:numFmt w:val="bullet"/>
      <w:lvlText w:val="•"/>
      <w:lvlJc w:val="left"/>
      <w:pPr>
        <w:ind w:left="5467" w:hanging="360"/>
      </w:pPr>
      <w:rPr>
        <w:rFonts w:hint="default"/>
        <w:lang w:val="es-ES" w:eastAsia="en-US" w:bidi="ar-SA"/>
      </w:rPr>
    </w:lvl>
    <w:lvl w:ilvl="6" w:tplc="062ABD36">
      <w:numFmt w:val="bullet"/>
      <w:lvlText w:val="•"/>
      <w:lvlJc w:val="left"/>
      <w:pPr>
        <w:ind w:left="6333" w:hanging="360"/>
      </w:pPr>
      <w:rPr>
        <w:rFonts w:hint="default"/>
        <w:lang w:val="es-ES" w:eastAsia="en-US" w:bidi="ar-SA"/>
      </w:rPr>
    </w:lvl>
    <w:lvl w:ilvl="7" w:tplc="6CC6627E">
      <w:numFmt w:val="bullet"/>
      <w:lvlText w:val="•"/>
      <w:lvlJc w:val="left"/>
      <w:pPr>
        <w:ind w:left="7198" w:hanging="360"/>
      </w:pPr>
      <w:rPr>
        <w:rFonts w:hint="default"/>
        <w:lang w:val="es-ES" w:eastAsia="en-US" w:bidi="ar-SA"/>
      </w:rPr>
    </w:lvl>
    <w:lvl w:ilvl="8" w:tplc="F6B65A20">
      <w:numFmt w:val="bullet"/>
      <w:lvlText w:val="•"/>
      <w:lvlJc w:val="left"/>
      <w:pPr>
        <w:ind w:left="8064" w:hanging="360"/>
      </w:pPr>
      <w:rPr>
        <w:rFonts w:hint="default"/>
        <w:lang w:val="es-ES" w:eastAsia="en-US" w:bidi="ar-SA"/>
      </w:rPr>
    </w:lvl>
  </w:abstractNum>
  <w:abstractNum w:abstractNumId="45">
    <w:nsid w:val="3EA4501A"/>
    <w:multiLevelType w:val="hybridMultilevel"/>
    <w:tmpl w:val="942C02FE"/>
    <w:lvl w:ilvl="0" w:tplc="11900BE4">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703AFD62">
      <w:numFmt w:val="bullet"/>
      <w:lvlText w:val="•"/>
      <w:lvlJc w:val="left"/>
      <w:pPr>
        <w:ind w:left="2005" w:hanging="360"/>
      </w:pPr>
      <w:rPr>
        <w:rFonts w:hint="default"/>
        <w:lang w:val="es-ES" w:eastAsia="en-US" w:bidi="ar-SA"/>
      </w:rPr>
    </w:lvl>
    <w:lvl w:ilvl="2" w:tplc="2ABE405E">
      <w:numFmt w:val="bullet"/>
      <w:lvlText w:val="•"/>
      <w:lvlJc w:val="left"/>
      <w:pPr>
        <w:ind w:left="2871" w:hanging="360"/>
      </w:pPr>
      <w:rPr>
        <w:rFonts w:hint="default"/>
        <w:lang w:val="es-ES" w:eastAsia="en-US" w:bidi="ar-SA"/>
      </w:rPr>
    </w:lvl>
    <w:lvl w:ilvl="3" w:tplc="D9589012">
      <w:numFmt w:val="bullet"/>
      <w:lvlText w:val="•"/>
      <w:lvlJc w:val="left"/>
      <w:pPr>
        <w:ind w:left="3736" w:hanging="360"/>
      </w:pPr>
      <w:rPr>
        <w:rFonts w:hint="default"/>
        <w:lang w:val="es-ES" w:eastAsia="en-US" w:bidi="ar-SA"/>
      </w:rPr>
    </w:lvl>
    <w:lvl w:ilvl="4" w:tplc="94FE7A1C">
      <w:numFmt w:val="bullet"/>
      <w:lvlText w:val="•"/>
      <w:lvlJc w:val="left"/>
      <w:pPr>
        <w:ind w:left="4602" w:hanging="360"/>
      </w:pPr>
      <w:rPr>
        <w:rFonts w:hint="default"/>
        <w:lang w:val="es-ES" w:eastAsia="en-US" w:bidi="ar-SA"/>
      </w:rPr>
    </w:lvl>
    <w:lvl w:ilvl="5" w:tplc="2280081C">
      <w:numFmt w:val="bullet"/>
      <w:lvlText w:val="•"/>
      <w:lvlJc w:val="left"/>
      <w:pPr>
        <w:ind w:left="5467" w:hanging="360"/>
      </w:pPr>
      <w:rPr>
        <w:rFonts w:hint="default"/>
        <w:lang w:val="es-ES" w:eastAsia="en-US" w:bidi="ar-SA"/>
      </w:rPr>
    </w:lvl>
    <w:lvl w:ilvl="6" w:tplc="733C25F8">
      <w:numFmt w:val="bullet"/>
      <w:lvlText w:val="•"/>
      <w:lvlJc w:val="left"/>
      <w:pPr>
        <w:ind w:left="6333" w:hanging="360"/>
      </w:pPr>
      <w:rPr>
        <w:rFonts w:hint="default"/>
        <w:lang w:val="es-ES" w:eastAsia="en-US" w:bidi="ar-SA"/>
      </w:rPr>
    </w:lvl>
    <w:lvl w:ilvl="7" w:tplc="FC865198">
      <w:numFmt w:val="bullet"/>
      <w:lvlText w:val="•"/>
      <w:lvlJc w:val="left"/>
      <w:pPr>
        <w:ind w:left="7198" w:hanging="360"/>
      </w:pPr>
      <w:rPr>
        <w:rFonts w:hint="default"/>
        <w:lang w:val="es-ES" w:eastAsia="en-US" w:bidi="ar-SA"/>
      </w:rPr>
    </w:lvl>
    <w:lvl w:ilvl="8" w:tplc="B5809110">
      <w:numFmt w:val="bullet"/>
      <w:lvlText w:val="•"/>
      <w:lvlJc w:val="left"/>
      <w:pPr>
        <w:ind w:left="8064" w:hanging="360"/>
      </w:pPr>
      <w:rPr>
        <w:rFonts w:hint="default"/>
        <w:lang w:val="es-ES" w:eastAsia="en-US" w:bidi="ar-SA"/>
      </w:rPr>
    </w:lvl>
  </w:abstractNum>
  <w:abstractNum w:abstractNumId="46">
    <w:nsid w:val="403B5EA4"/>
    <w:multiLevelType w:val="multilevel"/>
    <w:tmpl w:val="5E963E56"/>
    <w:lvl w:ilvl="0">
      <w:start w:val="6"/>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47">
    <w:nsid w:val="408A2BAB"/>
    <w:multiLevelType w:val="hybridMultilevel"/>
    <w:tmpl w:val="0AF481E4"/>
    <w:lvl w:ilvl="0" w:tplc="8D8E1DB0">
      <w:numFmt w:val="bullet"/>
      <w:lvlText w:val="●"/>
      <w:lvlJc w:val="left"/>
      <w:pPr>
        <w:ind w:left="1145" w:hanging="360"/>
      </w:pPr>
      <w:rPr>
        <w:rFonts w:ascii="Arial" w:eastAsia="Arial" w:hAnsi="Arial" w:cs="Arial" w:hint="default"/>
        <w:b/>
        <w:bCs/>
        <w:i w:val="0"/>
        <w:iCs w:val="0"/>
        <w:spacing w:val="0"/>
        <w:w w:val="100"/>
        <w:sz w:val="22"/>
        <w:szCs w:val="22"/>
        <w:lang w:val="es-ES" w:eastAsia="en-US" w:bidi="ar-SA"/>
      </w:rPr>
    </w:lvl>
    <w:lvl w:ilvl="1" w:tplc="71A06242">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0CF0A7AC">
      <w:numFmt w:val="bullet"/>
      <w:lvlText w:val="•"/>
      <w:lvlJc w:val="left"/>
      <w:pPr>
        <w:ind w:left="2741" w:hanging="360"/>
      </w:pPr>
      <w:rPr>
        <w:rFonts w:hint="default"/>
        <w:lang w:val="es-ES" w:eastAsia="en-US" w:bidi="ar-SA"/>
      </w:rPr>
    </w:lvl>
    <w:lvl w:ilvl="3" w:tplc="FAB6A260">
      <w:numFmt w:val="bullet"/>
      <w:lvlText w:val="•"/>
      <w:lvlJc w:val="left"/>
      <w:pPr>
        <w:ind w:left="3623" w:hanging="360"/>
      </w:pPr>
      <w:rPr>
        <w:rFonts w:hint="default"/>
        <w:lang w:val="es-ES" w:eastAsia="en-US" w:bidi="ar-SA"/>
      </w:rPr>
    </w:lvl>
    <w:lvl w:ilvl="4" w:tplc="E6641474">
      <w:numFmt w:val="bullet"/>
      <w:lvlText w:val="•"/>
      <w:lvlJc w:val="left"/>
      <w:pPr>
        <w:ind w:left="4505" w:hanging="360"/>
      </w:pPr>
      <w:rPr>
        <w:rFonts w:hint="default"/>
        <w:lang w:val="es-ES" w:eastAsia="en-US" w:bidi="ar-SA"/>
      </w:rPr>
    </w:lvl>
    <w:lvl w:ilvl="5" w:tplc="09CE6434">
      <w:numFmt w:val="bullet"/>
      <w:lvlText w:val="•"/>
      <w:lvlJc w:val="left"/>
      <w:pPr>
        <w:ind w:left="5386" w:hanging="360"/>
      </w:pPr>
      <w:rPr>
        <w:rFonts w:hint="default"/>
        <w:lang w:val="es-ES" w:eastAsia="en-US" w:bidi="ar-SA"/>
      </w:rPr>
    </w:lvl>
    <w:lvl w:ilvl="6" w:tplc="98489966">
      <w:numFmt w:val="bullet"/>
      <w:lvlText w:val="•"/>
      <w:lvlJc w:val="left"/>
      <w:pPr>
        <w:ind w:left="6268" w:hanging="360"/>
      </w:pPr>
      <w:rPr>
        <w:rFonts w:hint="default"/>
        <w:lang w:val="es-ES" w:eastAsia="en-US" w:bidi="ar-SA"/>
      </w:rPr>
    </w:lvl>
    <w:lvl w:ilvl="7" w:tplc="4852BE06">
      <w:numFmt w:val="bullet"/>
      <w:lvlText w:val="•"/>
      <w:lvlJc w:val="left"/>
      <w:pPr>
        <w:ind w:left="7150" w:hanging="360"/>
      </w:pPr>
      <w:rPr>
        <w:rFonts w:hint="default"/>
        <w:lang w:val="es-ES" w:eastAsia="en-US" w:bidi="ar-SA"/>
      </w:rPr>
    </w:lvl>
    <w:lvl w:ilvl="8" w:tplc="A06A6AE8">
      <w:numFmt w:val="bullet"/>
      <w:lvlText w:val="•"/>
      <w:lvlJc w:val="left"/>
      <w:pPr>
        <w:ind w:left="8031" w:hanging="360"/>
      </w:pPr>
      <w:rPr>
        <w:rFonts w:hint="default"/>
        <w:lang w:val="es-ES" w:eastAsia="en-US" w:bidi="ar-SA"/>
      </w:rPr>
    </w:lvl>
  </w:abstractNum>
  <w:abstractNum w:abstractNumId="48">
    <w:nsid w:val="41DE31C4"/>
    <w:multiLevelType w:val="hybridMultilevel"/>
    <w:tmpl w:val="C29ED3F6"/>
    <w:lvl w:ilvl="0" w:tplc="02246718">
      <w:numFmt w:val="bullet"/>
      <w:lvlText w:val="●"/>
      <w:lvlJc w:val="left"/>
      <w:pPr>
        <w:ind w:left="720" w:hanging="360"/>
      </w:pPr>
      <w:rPr>
        <w:rFonts w:ascii="Arial MT" w:eastAsia="Arial MT" w:hAnsi="Arial MT" w:cs="Arial MT" w:hint="default"/>
        <w:b w:val="0"/>
        <w:bCs w:val="0"/>
        <w:i w:val="0"/>
        <w:iCs w:val="0"/>
        <w:spacing w:val="0"/>
        <w:w w:val="60"/>
        <w:sz w:val="22"/>
        <w:szCs w:val="22"/>
        <w:lang w:val="es-ES" w:eastAsia="en-US" w:bidi="ar-SA"/>
      </w:rPr>
    </w:lvl>
    <w:lvl w:ilvl="1" w:tplc="8AA8EBB4">
      <w:numFmt w:val="bullet"/>
      <w:lvlText w:val="•"/>
      <w:lvlJc w:val="left"/>
      <w:pPr>
        <w:ind w:left="1087" w:hanging="360"/>
      </w:pPr>
      <w:rPr>
        <w:rFonts w:hint="default"/>
        <w:lang w:val="es-ES" w:eastAsia="en-US" w:bidi="ar-SA"/>
      </w:rPr>
    </w:lvl>
    <w:lvl w:ilvl="2" w:tplc="F6325EFC">
      <w:numFmt w:val="bullet"/>
      <w:lvlText w:val="•"/>
      <w:lvlJc w:val="left"/>
      <w:pPr>
        <w:ind w:left="1454" w:hanging="360"/>
      </w:pPr>
      <w:rPr>
        <w:rFonts w:hint="default"/>
        <w:lang w:val="es-ES" w:eastAsia="en-US" w:bidi="ar-SA"/>
      </w:rPr>
    </w:lvl>
    <w:lvl w:ilvl="3" w:tplc="77EC36A8">
      <w:numFmt w:val="bullet"/>
      <w:lvlText w:val="•"/>
      <w:lvlJc w:val="left"/>
      <w:pPr>
        <w:ind w:left="1821" w:hanging="360"/>
      </w:pPr>
      <w:rPr>
        <w:rFonts w:hint="default"/>
        <w:lang w:val="es-ES" w:eastAsia="en-US" w:bidi="ar-SA"/>
      </w:rPr>
    </w:lvl>
    <w:lvl w:ilvl="4" w:tplc="3B268B24">
      <w:numFmt w:val="bullet"/>
      <w:lvlText w:val="•"/>
      <w:lvlJc w:val="left"/>
      <w:pPr>
        <w:ind w:left="2188" w:hanging="360"/>
      </w:pPr>
      <w:rPr>
        <w:rFonts w:hint="default"/>
        <w:lang w:val="es-ES" w:eastAsia="en-US" w:bidi="ar-SA"/>
      </w:rPr>
    </w:lvl>
    <w:lvl w:ilvl="5" w:tplc="8926F89A">
      <w:numFmt w:val="bullet"/>
      <w:lvlText w:val="•"/>
      <w:lvlJc w:val="left"/>
      <w:pPr>
        <w:ind w:left="2556" w:hanging="360"/>
      </w:pPr>
      <w:rPr>
        <w:rFonts w:hint="default"/>
        <w:lang w:val="es-ES" w:eastAsia="en-US" w:bidi="ar-SA"/>
      </w:rPr>
    </w:lvl>
    <w:lvl w:ilvl="6" w:tplc="F1B0B008">
      <w:numFmt w:val="bullet"/>
      <w:lvlText w:val="•"/>
      <w:lvlJc w:val="left"/>
      <w:pPr>
        <w:ind w:left="2923" w:hanging="360"/>
      </w:pPr>
      <w:rPr>
        <w:rFonts w:hint="default"/>
        <w:lang w:val="es-ES" w:eastAsia="en-US" w:bidi="ar-SA"/>
      </w:rPr>
    </w:lvl>
    <w:lvl w:ilvl="7" w:tplc="A8E85144">
      <w:numFmt w:val="bullet"/>
      <w:lvlText w:val="•"/>
      <w:lvlJc w:val="left"/>
      <w:pPr>
        <w:ind w:left="3290" w:hanging="360"/>
      </w:pPr>
      <w:rPr>
        <w:rFonts w:hint="default"/>
        <w:lang w:val="es-ES" w:eastAsia="en-US" w:bidi="ar-SA"/>
      </w:rPr>
    </w:lvl>
    <w:lvl w:ilvl="8" w:tplc="13CE093E">
      <w:numFmt w:val="bullet"/>
      <w:lvlText w:val="•"/>
      <w:lvlJc w:val="left"/>
      <w:pPr>
        <w:ind w:left="3657" w:hanging="360"/>
      </w:pPr>
      <w:rPr>
        <w:rFonts w:hint="default"/>
        <w:lang w:val="es-ES" w:eastAsia="en-US" w:bidi="ar-SA"/>
      </w:rPr>
    </w:lvl>
  </w:abstractNum>
  <w:abstractNum w:abstractNumId="49">
    <w:nsid w:val="448C7F3F"/>
    <w:multiLevelType w:val="multilevel"/>
    <w:tmpl w:val="F7A63B9E"/>
    <w:lvl w:ilvl="0">
      <w:start w:val="7"/>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2"/>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50">
    <w:nsid w:val="489B38A7"/>
    <w:multiLevelType w:val="multilevel"/>
    <w:tmpl w:val="AC86FB12"/>
    <w:lvl w:ilvl="0">
      <w:start w:val="6"/>
      <w:numFmt w:val="decimal"/>
      <w:lvlText w:val="%1"/>
      <w:lvlJc w:val="left"/>
      <w:pPr>
        <w:ind w:left="822" w:hanging="367"/>
        <w:jc w:val="left"/>
      </w:pPr>
      <w:rPr>
        <w:rFonts w:hint="default"/>
        <w:lang w:val="es-ES" w:eastAsia="en-US" w:bidi="ar-SA"/>
      </w:rPr>
    </w:lvl>
    <w:lvl w:ilvl="1">
      <w:start w:val="1"/>
      <w:numFmt w:val="decimal"/>
      <w:lvlText w:val="%1.%2"/>
      <w:lvlJc w:val="left"/>
      <w:pPr>
        <w:ind w:left="822" w:hanging="367"/>
        <w:jc w:val="left"/>
      </w:pPr>
      <w:rPr>
        <w:rFonts w:ascii="Arial" w:eastAsia="Arial" w:hAnsi="Arial" w:cs="Arial" w:hint="default"/>
        <w:b/>
        <w:bCs/>
        <w:i w:val="0"/>
        <w:iCs w:val="0"/>
        <w:spacing w:val="-1"/>
        <w:w w:val="100"/>
        <w:sz w:val="22"/>
        <w:szCs w:val="22"/>
        <w:lang w:val="es-ES" w:eastAsia="en-US" w:bidi="ar-SA"/>
      </w:rPr>
    </w:lvl>
    <w:lvl w:ilvl="2">
      <w:start w:val="1"/>
      <w:numFmt w:val="decimal"/>
      <w:lvlText w:val="%1.%2.%3"/>
      <w:lvlJc w:val="left"/>
      <w:pPr>
        <w:ind w:left="1005"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3303" w:hanging="360"/>
      </w:pPr>
      <w:rPr>
        <w:rFonts w:hint="default"/>
        <w:lang w:val="es-ES" w:eastAsia="en-US" w:bidi="ar-SA"/>
      </w:rPr>
    </w:lvl>
    <w:lvl w:ilvl="5">
      <w:numFmt w:val="bullet"/>
      <w:lvlText w:val="•"/>
      <w:lvlJc w:val="left"/>
      <w:pPr>
        <w:ind w:left="4385" w:hanging="360"/>
      </w:pPr>
      <w:rPr>
        <w:rFonts w:hint="default"/>
        <w:lang w:val="es-ES" w:eastAsia="en-US" w:bidi="ar-SA"/>
      </w:rPr>
    </w:lvl>
    <w:lvl w:ilvl="6">
      <w:numFmt w:val="bullet"/>
      <w:lvlText w:val="•"/>
      <w:lvlJc w:val="left"/>
      <w:pPr>
        <w:ind w:left="5467" w:hanging="360"/>
      </w:pPr>
      <w:rPr>
        <w:rFonts w:hint="default"/>
        <w:lang w:val="es-ES" w:eastAsia="en-US" w:bidi="ar-SA"/>
      </w:rPr>
    </w:lvl>
    <w:lvl w:ilvl="7">
      <w:numFmt w:val="bullet"/>
      <w:lvlText w:val="•"/>
      <w:lvlJc w:val="left"/>
      <w:pPr>
        <w:ind w:left="6549" w:hanging="360"/>
      </w:pPr>
      <w:rPr>
        <w:rFonts w:hint="default"/>
        <w:lang w:val="es-ES" w:eastAsia="en-US" w:bidi="ar-SA"/>
      </w:rPr>
    </w:lvl>
    <w:lvl w:ilvl="8">
      <w:numFmt w:val="bullet"/>
      <w:lvlText w:val="•"/>
      <w:lvlJc w:val="left"/>
      <w:pPr>
        <w:ind w:left="7631" w:hanging="360"/>
      </w:pPr>
      <w:rPr>
        <w:rFonts w:hint="default"/>
        <w:lang w:val="es-ES" w:eastAsia="en-US" w:bidi="ar-SA"/>
      </w:rPr>
    </w:lvl>
  </w:abstractNum>
  <w:abstractNum w:abstractNumId="51">
    <w:nsid w:val="489D7DFE"/>
    <w:multiLevelType w:val="multilevel"/>
    <w:tmpl w:val="7ACA3A7A"/>
    <w:lvl w:ilvl="0">
      <w:start w:val="7"/>
      <w:numFmt w:val="decimal"/>
      <w:lvlText w:val="%1"/>
      <w:lvlJc w:val="left"/>
      <w:pPr>
        <w:ind w:left="1005" w:hanging="551"/>
        <w:jc w:val="left"/>
      </w:pPr>
      <w:rPr>
        <w:rFonts w:hint="default"/>
        <w:lang w:val="es-ES" w:eastAsia="en-US" w:bidi="ar-SA"/>
      </w:rPr>
    </w:lvl>
    <w:lvl w:ilvl="1">
      <w:start w:val="2"/>
      <w:numFmt w:val="decimal"/>
      <w:lvlText w:val="%1.%2"/>
      <w:lvlJc w:val="left"/>
      <w:pPr>
        <w:ind w:left="1005" w:hanging="551"/>
        <w:jc w:val="left"/>
      </w:pPr>
      <w:rPr>
        <w:rFonts w:hint="default"/>
        <w:lang w:val="es-ES" w:eastAsia="en-US" w:bidi="ar-SA"/>
      </w:rPr>
    </w:lvl>
    <w:lvl w:ilvl="2">
      <w:start w:val="1"/>
      <w:numFmt w:val="decimal"/>
      <w:lvlText w:val="%1.%2.%3"/>
      <w:lvlJc w:val="left"/>
      <w:pPr>
        <w:ind w:left="1005" w:hanging="551"/>
        <w:jc w:val="left"/>
      </w:pPr>
      <w:rPr>
        <w:rFonts w:hint="default"/>
        <w:spacing w:val="-1"/>
        <w:w w:val="100"/>
        <w:lang w:val="es-ES" w:eastAsia="en-US" w:bidi="ar-SA"/>
      </w:rPr>
    </w:lvl>
    <w:lvl w:ilvl="3">
      <w:start w:val="1"/>
      <w:numFmt w:val="decimal"/>
      <w:lvlText w:val="%4."/>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4025" w:hanging="360"/>
      </w:pPr>
      <w:rPr>
        <w:rFonts w:hint="default"/>
        <w:lang w:val="es-ES" w:eastAsia="en-US" w:bidi="ar-SA"/>
      </w:rPr>
    </w:lvl>
    <w:lvl w:ilvl="5">
      <w:numFmt w:val="bullet"/>
      <w:lvlText w:val="•"/>
      <w:lvlJc w:val="left"/>
      <w:pPr>
        <w:ind w:left="4986" w:hanging="360"/>
      </w:pPr>
      <w:rPr>
        <w:rFonts w:hint="default"/>
        <w:lang w:val="es-ES" w:eastAsia="en-US" w:bidi="ar-SA"/>
      </w:rPr>
    </w:lvl>
    <w:lvl w:ilvl="6">
      <w:numFmt w:val="bullet"/>
      <w:lvlText w:val="•"/>
      <w:lvlJc w:val="left"/>
      <w:pPr>
        <w:ind w:left="5948" w:hanging="360"/>
      </w:pPr>
      <w:rPr>
        <w:rFonts w:hint="default"/>
        <w:lang w:val="es-ES" w:eastAsia="en-US" w:bidi="ar-SA"/>
      </w:rPr>
    </w:lvl>
    <w:lvl w:ilvl="7">
      <w:numFmt w:val="bullet"/>
      <w:lvlText w:val="•"/>
      <w:lvlJc w:val="left"/>
      <w:pPr>
        <w:ind w:left="6910" w:hanging="360"/>
      </w:pPr>
      <w:rPr>
        <w:rFonts w:hint="default"/>
        <w:lang w:val="es-ES" w:eastAsia="en-US" w:bidi="ar-SA"/>
      </w:rPr>
    </w:lvl>
    <w:lvl w:ilvl="8">
      <w:numFmt w:val="bullet"/>
      <w:lvlText w:val="•"/>
      <w:lvlJc w:val="left"/>
      <w:pPr>
        <w:ind w:left="7871" w:hanging="360"/>
      </w:pPr>
      <w:rPr>
        <w:rFonts w:hint="default"/>
        <w:lang w:val="es-ES" w:eastAsia="en-US" w:bidi="ar-SA"/>
      </w:rPr>
    </w:lvl>
  </w:abstractNum>
  <w:abstractNum w:abstractNumId="52">
    <w:nsid w:val="49D5305B"/>
    <w:multiLevelType w:val="multilevel"/>
    <w:tmpl w:val="CE2639B0"/>
    <w:lvl w:ilvl="0">
      <w:start w:val="7"/>
      <w:numFmt w:val="decimal"/>
      <w:lvlText w:val="%1"/>
      <w:lvlJc w:val="left"/>
      <w:pPr>
        <w:ind w:left="1152" w:hanging="367"/>
        <w:jc w:val="left"/>
      </w:pPr>
      <w:rPr>
        <w:rFonts w:hint="default"/>
        <w:lang w:val="es-ES" w:eastAsia="en-US" w:bidi="ar-SA"/>
      </w:rPr>
    </w:lvl>
    <w:lvl w:ilvl="1">
      <w:start w:val="5"/>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1820" w:hanging="551"/>
      </w:pPr>
      <w:rPr>
        <w:rFonts w:hint="default"/>
        <w:lang w:val="es-ES" w:eastAsia="en-US" w:bidi="ar-SA"/>
      </w:rPr>
    </w:lvl>
    <w:lvl w:ilvl="4">
      <w:numFmt w:val="bullet"/>
      <w:lvlText w:val="•"/>
      <w:lvlJc w:val="left"/>
      <w:pPr>
        <w:ind w:left="2959" w:hanging="551"/>
      </w:pPr>
      <w:rPr>
        <w:rFonts w:hint="default"/>
        <w:lang w:val="es-ES" w:eastAsia="en-US" w:bidi="ar-SA"/>
      </w:rPr>
    </w:lvl>
    <w:lvl w:ilvl="5">
      <w:numFmt w:val="bullet"/>
      <w:lvlText w:val="•"/>
      <w:lvlJc w:val="left"/>
      <w:pPr>
        <w:ind w:left="4098" w:hanging="551"/>
      </w:pPr>
      <w:rPr>
        <w:rFonts w:hint="default"/>
        <w:lang w:val="es-ES" w:eastAsia="en-US" w:bidi="ar-SA"/>
      </w:rPr>
    </w:lvl>
    <w:lvl w:ilvl="6">
      <w:numFmt w:val="bullet"/>
      <w:lvlText w:val="•"/>
      <w:lvlJc w:val="left"/>
      <w:pPr>
        <w:ind w:left="5237" w:hanging="551"/>
      </w:pPr>
      <w:rPr>
        <w:rFonts w:hint="default"/>
        <w:lang w:val="es-ES" w:eastAsia="en-US" w:bidi="ar-SA"/>
      </w:rPr>
    </w:lvl>
    <w:lvl w:ilvl="7">
      <w:numFmt w:val="bullet"/>
      <w:lvlText w:val="•"/>
      <w:lvlJc w:val="left"/>
      <w:pPr>
        <w:ind w:left="6377" w:hanging="551"/>
      </w:pPr>
      <w:rPr>
        <w:rFonts w:hint="default"/>
        <w:lang w:val="es-ES" w:eastAsia="en-US" w:bidi="ar-SA"/>
      </w:rPr>
    </w:lvl>
    <w:lvl w:ilvl="8">
      <w:numFmt w:val="bullet"/>
      <w:lvlText w:val="•"/>
      <w:lvlJc w:val="left"/>
      <w:pPr>
        <w:ind w:left="7516" w:hanging="551"/>
      </w:pPr>
      <w:rPr>
        <w:rFonts w:hint="default"/>
        <w:lang w:val="es-ES" w:eastAsia="en-US" w:bidi="ar-SA"/>
      </w:rPr>
    </w:lvl>
  </w:abstractNum>
  <w:abstractNum w:abstractNumId="53">
    <w:nsid w:val="4A705F4B"/>
    <w:multiLevelType w:val="hybridMultilevel"/>
    <w:tmpl w:val="321CA54A"/>
    <w:lvl w:ilvl="0" w:tplc="99F84946">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66C292E6">
      <w:numFmt w:val="bullet"/>
      <w:lvlText w:val="•"/>
      <w:lvlJc w:val="left"/>
      <w:pPr>
        <w:ind w:left="2005" w:hanging="360"/>
      </w:pPr>
      <w:rPr>
        <w:rFonts w:hint="default"/>
        <w:lang w:val="es-ES" w:eastAsia="en-US" w:bidi="ar-SA"/>
      </w:rPr>
    </w:lvl>
    <w:lvl w:ilvl="2" w:tplc="07907E1A">
      <w:numFmt w:val="bullet"/>
      <w:lvlText w:val="•"/>
      <w:lvlJc w:val="left"/>
      <w:pPr>
        <w:ind w:left="2871" w:hanging="360"/>
      </w:pPr>
      <w:rPr>
        <w:rFonts w:hint="default"/>
        <w:lang w:val="es-ES" w:eastAsia="en-US" w:bidi="ar-SA"/>
      </w:rPr>
    </w:lvl>
    <w:lvl w:ilvl="3" w:tplc="521EC98E">
      <w:numFmt w:val="bullet"/>
      <w:lvlText w:val="•"/>
      <w:lvlJc w:val="left"/>
      <w:pPr>
        <w:ind w:left="3736" w:hanging="360"/>
      </w:pPr>
      <w:rPr>
        <w:rFonts w:hint="default"/>
        <w:lang w:val="es-ES" w:eastAsia="en-US" w:bidi="ar-SA"/>
      </w:rPr>
    </w:lvl>
    <w:lvl w:ilvl="4" w:tplc="D4B4910C">
      <w:numFmt w:val="bullet"/>
      <w:lvlText w:val="•"/>
      <w:lvlJc w:val="left"/>
      <w:pPr>
        <w:ind w:left="4602" w:hanging="360"/>
      </w:pPr>
      <w:rPr>
        <w:rFonts w:hint="default"/>
        <w:lang w:val="es-ES" w:eastAsia="en-US" w:bidi="ar-SA"/>
      </w:rPr>
    </w:lvl>
    <w:lvl w:ilvl="5" w:tplc="E9B6B1B6">
      <w:numFmt w:val="bullet"/>
      <w:lvlText w:val="•"/>
      <w:lvlJc w:val="left"/>
      <w:pPr>
        <w:ind w:left="5467" w:hanging="360"/>
      </w:pPr>
      <w:rPr>
        <w:rFonts w:hint="default"/>
        <w:lang w:val="es-ES" w:eastAsia="en-US" w:bidi="ar-SA"/>
      </w:rPr>
    </w:lvl>
    <w:lvl w:ilvl="6" w:tplc="09C2DA88">
      <w:numFmt w:val="bullet"/>
      <w:lvlText w:val="•"/>
      <w:lvlJc w:val="left"/>
      <w:pPr>
        <w:ind w:left="6333" w:hanging="360"/>
      </w:pPr>
      <w:rPr>
        <w:rFonts w:hint="default"/>
        <w:lang w:val="es-ES" w:eastAsia="en-US" w:bidi="ar-SA"/>
      </w:rPr>
    </w:lvl>
    <w:lvl w:ilvl="7" w:tplc="378C6252">
      <w:numFmt w:val="bullet"/>
      <w:lvlText w:val="•"/>
      <w:lvlJc w:val="left"/>
      <w:pPr>
        <w:ind w:left="7198" w:hanging="360"/>
      </w:pPr>
      <w:rPr>
        <w:rFonts w:hint="default"/>
        <w:lang w:val="es-ES" w:eastAsia="en-US" w:bidi="ar-SA"/>
      </w:rPr>
    </w:lvl>
    <w:lvl w:ilvl="8" w:tplc="3FF61F34">
      <w:numFmt w:val="bullet"/>
      <w:lvlText w:val="•"/>
      <w:lvlJc w:val="left"/>
      <w:pPr>
        <w:ind w:left="8064" w:hanging="360"/>
      </w:pPr>
      <w:rPr>
        <w:rFonts w:hint="default"/>
        <w:lang w:val="es-ES" w:eastAsia="en-US" w:bidi="ar-SA"/>
      </w:rPr>
    </w:lvl>
  </w:abstractNum>
  <w:abstractNum w:abstractNumId="54">
    <w:nsid w:val="4B42573A"/>
    <w:multiLevelType w:val="hybridMultilevel"/>
    <w:tmpl w:val="1F929E38"/>
    <w:lvl w:ilvl="0" w:tplc="7AD0F006">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DB608FDA">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0024B1AA">
      <w:numFmt w:val="bullet"/>
      <w:lvlText w:val="•"/>
      <w:lvlJc w:val="left"/>
      <w:pPr>
        <w:ind w:left="2741" w:hanging="360"/>
      </w:pPr>
      <w:rPr>
        <w:rFonts w:hint="default"/>
        <w:lang w:val="es-ES" w:eastAsia="en-US" w:bidi="ar-SA"/>
      </w:rPr>
    </w:lvl>
    <w:lvl w:ilvl="3" w:tplc="3BDE08E4">
      <w:numFmt w:val="bullet"/>
      <w:lvlText w:val="•"/>
      <w:lvlJc w:val="left"/>
      <w:pPr>
        <w:ind w:left="3623" w:hanging="360"/>
      </w:pPr>
      <w:rPr>
        <w:rFonts w:hint="default"/>
        <w:lang w:val="es-ES" w:eastAsia="en-US" w:bidi="ar-SA"/>
      </w:rPr>
    </w:lvl>
    <w:lvl w:ilvl="4" w:tplc="74242E4C">
      <w:numFmt w:val="bullet"/>
      <w:lvlText w:val="•"/>
      <w:lvlJc w:val="left"/>
      <w:pPr>
        <w:ind w:left="4505" w:hanging="360"/>
      </w:pPr>
      <w:rPr>
        <w:rFonts w:hint="default"/>
        <w:lang w:val="es-ES" w:eastAsia="en-US" w:bidi="ar-SA"/>
      </w:rPr>
    </w:lvl>
    <w:lvl w:ilvl="5" w:tplc="6D1ADA8A">
      <w:numFmt w:val="bullet"/>
      <w:lvlText w:val="•"/>
      <w:lvlJc w:val="left"/>
      <w:pPr>
        <w:ind w:left="5386" w:hanging="360"/>
      </w:pPr>
      <w:rPr>
        <w:rFonts w:hint="default"/>
        <w:lang w:val="es-ES" w:eastAsia="en-US" w:bidi="ar-SA"/>
      </w:rPr>
    </w:lvl>
    <w:lvl w:ilvl="6" w:tplc="67D61D3E">
      <w:numFmt w:val="bullet"/>
      <w:lvlText w:val="•"/>
      <w:lvlJc w:val="left"/>
      <w:pPr>
        <w:ind w:left="6268" w:hanging="360"/>
      </w:pPr>
      <w:rPr>
        <w:rFonts w:hint="default"/>
        <w:lang w:val="es-ES" w:eastAsia="en-US" w:bidi="ar-SA"/>
      </w:rPr>
    </w:lvl>
    <w:lvl w:ilvl="7" w:tplc="2C0AC58E">
      <w:numFmt w:val="bullet"/>
      <w:lvlText w:val="•"/>
      <w:lvlJc w:val="left"/>
      <w:pPr>
        <w:ind w:left="7150" w:hanging="360"/>
      </w:pPr>
      <w:rPr>
        <w:rFonts w:hint="default"/>
        <w:lang w:val="es-ES" w:eastAsia="en-US" w:bidi="ar-SA"/>
      </w:rPr>
    </w:lvl>
    <w:lvl w:ilvl="8" w:tplc="84423D7A">
      <w:numFmt w:val="bullet"/>
      <w:lvlText w:val="•"/>
      <w:lvlJc w:val="left"/>
      <w:pPr>
        <w:ind w:left="8031" w:hanging="360"/>
      </w:pPr>
      <w:rPr>
        <w:rFonts w:hint="default"/>
        <w:lang w:val="es-ES" w:eastAsia="en-US" w:bidi="ar-SA"/>
      </w:rPr>
    </w:lvl>
  </w:abstractNum>
  <w:abstractNum w:abstractNumId="55">
    <w:nsid w:val="502268E6"/>
    <w:multiLevelType w:val="multilevel"/>
    <w:tmpl w:val="A08492AC"/>
    <w:lvl w:ilvl="0">
      <w:start w:val="5"/>
      <w:numFmt w:val="decimal"/>
      <w:lvlText w:val="%1"/>
      <w:lvlJc w:val="left"/>
      <w:pPr>
        <w:ind w:left="822" w:hanging="367"/>
        <w:jc w:val="left"/>
      </w:pPr>
      <w:rPr>
        <w:rFonts w:hint="default"/>
        <w:lang w:val="es-ES" w:eastAsia="en-US" w:bidi="ar-SA"/>
      </w:rPr>
    </w:lvl>
    <w:lvl w:ilvl="1">
      <w:start w:val="1"/>
      <w:numFmt w:val="decimal"/>
      <w:lvlText w:val="%1.%2"/>
      <w:lvlJc w:val="left"/>
      <w:pPr>
        <w:ind w:left="822" w:hanging="367"/>
        <w:jc w:val="left"/>
      </w:pPr>
      <w:rPr>
        <w:rFonts w:hint="default"/>
        <w:spacing w:val="-1"/>
        <w:w w:val="100"/>
        <w:lang w:val="es-ES" w:eastAsia="en-US" w:bidi="ar-SA"/>
      </w:rPr>
    </w:lvl>
    <w:lvl w:ilvl="2">
      <w:start w:val="1"/>
      <w:numFmt w:val="decimal"/>
      <w:lvlText w:val="%1.%2.%3"/>
      <w:lvlJc w:val="left"/>
      <w:pPr>
        <w:ind w:left="1005" w:hanging="551"/>
        <w:jc w:val="left"/>
      </w:pPr>
      <w:rPr>
        <w:rFonts w:hint="default"/>
        <w:spacing w:val="-1"/>
        <w:w w:val="100"/>
        <w:lang w:val="es-ES" w:eastAsia="en-US" w:bidi="ar-SA"/>
      </w:rPr>
    </w:lvl>
    <w:lvl w:ilvl="3">
      <w:numFmt w:val="bullet"/>
      <w:lvlText w:val="●"/>
      <w:lvlJc w:val="left"/>
      <w:pPr>
        <w:ind w:left="1145" w:hanging="551"/>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2376" w:hanging="551"/>
      </w:pPr>
      <w:rPr>
        <w:rFonts w:hint="default"/>
        <w:lang w:val="es-ES" w:eastAsia="en-US" w:bidi="ar-SA"/>
      </w:rPr>
    </w:lvl>
    <w:lvl w:ilvl="5">
      <w:numFmt w:val="bullet"/>
      <w:lvlText w:val="•"/>
      <w:lvlJc w:val="left"/>
      <w:pPr>
        <w:ind w:left="3612" w:hanging="551"/>
      </w:pPr>
      <w:rPr>
        <w:rFonts w:hint="default"/>
        <w:lang w:val="es-ES" w:eastAsia="en-US" w:bidi="ar-SA"/>
      </w:rPr>
    </w:lvl>
    <w:lvl w:ilvl="6">
      <w:numFmt w:val="bullet"/>
      <w:lvlText w:val="•"/>
      <w:lvlJc w:val="left"/>
      <w:pPr>
        <w:ind w:left="4849" w:hanging="551"/>
      </w:pPr>
      <w:rPr>
        <w:rFonts w:hint="default"/>
        <w:lang w:val="es-ES" w:eastAsia="en-US" w:bidi="ar-SA"/>
      </w:rPr>
    </w:lvl>
    <w:lvl w:ilvl="7">
      <w:numFmt w:val="bullet"/>
      <w:lvlText w:val="•"/>
      <w:lvlJc w:val="left"/>
      <w:pPr>
        <w:ind w:left="6085" w:hanging="551"/>
      </w:pPr>
      <w:rPr>
        <w:rFonts w:hint="default"/>
        <w:lang w:val="es-ES" w:eastAsia="en-US" w:bidi="ar-SA"/>
      </w:rPr>
    </w:lvl>
    <w:lvl w:ilvl="8">
      <w:numFmt w:val="bullet"/>
      <w:lvlText w:val="•"/>
      <w:lvlJc w:val="left"/>
      <w:pPr>
        <w:ind w:left="7322" w:hanging="551"/>
      </w:pPr>
      <w:rPr>
        <w:rFonts w:hint="default"/>
        <w:lang w:val="es-ES" w:eastAsia="en-US" w:bidi="ar-SA"/>
      </w:rPr>
    </w:lvl>
  </w:abstractNum>
  <w:abstractNum w:abstractNumId="56">
    <w:nsid w:val="51265B07"/>
    <w:multiLevelType w:val="hybridMultilevel"/>
    <w:tmpl w:val="D2B8639E"/>
    <w:lvl w:ilvl="0" w:tplc="15082086">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2070C240">
      <w:numFmt w:val="bullet"/>
      <w:lvlText w:val="•"/>
      <w:lvlJc w:val="left"/>
      <w:pPr>
        <w:ind w:left="2005" w:hanging="360"/>
      </w:pPr>
      <w:rPr>
        <w:rFonts w:hint="default"/>
        <w:lang w:val="es-ES" w:eastAsia="en-US" w:bidi="ar-SA"/>
      </w:rPr>
    </w:lvl>
    <w:lvl w:ilvl="2" w:tplc="A1D04AD6">
      <w:numFmt w:val="bullet"/>
      <w:lvlText w:val="•"/>
      <w:lvlJc w:val="left"/>
      <w:pPr>
        <w:ind w:left="2871" w:hanging="360"/>
      </w:pPr>
      <w:rPr>
        <w:rFonts w:hint="default"/>
        <w:lang w:val="es-ES" w:eastAsia="en-US" w:bidi="ar-SA"/>
      </w:rPr>
    </w:lvl>
    <w:lvl w:ilvl="3" w:tplc="80805090">
      <w:numFmt w:val="bullet"/>
      <w:lvlText w:val="•"/>
      <w:lvlJc w:val="left"/>
      <w:pPr>
        <w:ind w:left="3736" w:hanging="360"/>
      </w:pPr>
      <w:rPr>
        <w:rFonts w:hint="default"/>
        <w:lang w:val="es-ES" w:eastAsia="en-US" w:bidi="ar-SA"/>
      </w:rPr>
    </w:lvl>
    <w:lvl w:ilvl="4" w:tplc="FC7A9F6C">
      <w:numFmt w:val="bullet"/>
      <w:lvlText w:val="•"/>
      <w:lvlJc w:val="left"/>
      <w:pPr>
        <w:ind w:left="4602" w:hanging="360"/>
      </w:pPr>
      <w:rPr>
        <w:rFonts w:hint="default"/>
        <w:lang w:val="es-ES" w:eastAsia="en-US" w:bidi="ar-SA"/>
      </w:rPr>
    </w:lvl>
    <w:lvl w:ilvl="5" w:tplc="5BD8D528">
      <w:numFmt w:val="bullet"/>
      <w:lvlText w:val="•"/>
      <w:lvlJc w:val="left"/>
      <w:pPr>
        <w:ind w:left="5467" w:hanging="360"/>
      </w:pPr>
      <w:rPr>
        <w:rFonts w:hint="default"/>
        <w:lang w:val="es-ES" w:eastAsia="en-US" w:bidi="ar-SA"/>
      </w:rPr>
    </w:lvl>
    <w:lvl w:ilvl="6" w:tplc="097E6F3A">
      <w:numFmt w:val="bullet"/>
      <w:lvlText w:val="•"/>
      <w:lvlJc w:val="left"/>
      <w:pPr>
        <w:ind w:left="6333" w:hanging="360"/>
      </w:pPr>
      <w:rPr>
        <w:rFonts w:hint="default"/>
        <w:lang w:val="es-ES" w:eastAsia="en-US" w:bidi="ar-SA"/>
      </w:rPr>
    </w:lvl>
    <w:lvl w:ilvl="7" w:tplc="823CE140">
      <w:numFmt w:val="bullet"/>
      <w:lvlText w:val="•"/>
      <w:lvlJc w:val="left"/>
      <w:pPr>
        <w:ind w:left="7198" w:hanging="360"/>
      </w:pPr>
      <w:rPr>
        <w:rFonts w:hint="default"/>
        <w:lang w:val="es-ES" w:eastAsia="en-US" w:bidi="ar-SA"/>
      </w:rPr>
    </w:lvl>
    <w:lvl w:ilvl="8" w:tplc="F898838E">
      <w:numFmt w:val="bullet"/>
      <w:lvlText w:val="•"/>
      <w:lvlJc w:val="left"/>
      <w:pPr>
        <w:ind w:left="8064" w:hanging="360"/>
      </w:pPr>
      <w:rPr>
        <w:rFonts w:hint="default"/>
        <w:lang w:val="es-ES" w:eastAsia="en-US" w:bidi="ar-SA"/>
      </w:rPr>
    </w:lvl>
  </w:abstractNum>
  <w:abstractNum w:abstractNumId="57">
    <w:nsid w:val="541B5E29"/>
    <w:multiLevelType w:val="hybridMultilevel"/>
    <w:tmpl w:val="2BC81758"/>
    <w:lvl w:ilvl="0" w:tplc="F7FE4C5C">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C6040E6E">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2" w:tplc="D01C6F6E">
      <w:numFmt w:val="bullet"/>
      <w:lvlText w:val="•"/>
      <w:lvlJc w:val="left"/>
      <w:pPr>
        <w:ind w:left="2871" w:hanging="360"/>
      </w:pPr>
      <w:rPr>
        <w:rFonts w:hint="default"/>
        <w:lang w:val="es-ES" w:eastAsia="en-US" w:bidi="ar-SA"/>
      </w:rPr>
    </w:lvl>
    <w:lvl w:ilvl="3" w:tplc="4AA86EB0">
      <w:numFmt w:val="bullet"/>
      <w:lvlText w:val="•"/>
      <w:lvlJc w:val="left"/>
      <w:pPr>
        <w:ind w:left="3736" w:hanging="360"/>
      </w:pPr>
      <w:rPr>
        <w:rFonts w:hint="default"/>
        <w:lang w:val="es-ES" w:eastAsia="en-US" w:bidi="ar-SA"/>
      </w:rPr>
    </w:lvl>
    <w:lvl w:ilvl="4" w:tplc="D9A65890">
      <w:numFmt w:val="bullet"/>
      <w:lvlText w:val="•"/>
      <w:lvlJc w:val="left"/>
      <w:pPr>
        <w:ind w:left="4602" w:hanging="360"/>
      </w:pPr>
      <w:rPr>
        <w:rFonts w:hint="default"/>
        <w:lang w:val="es-ES" w:eastAsia="en-US" w:bidi="ar-SA"/>
      </w:rPr>
    </w:lvl>
    <w:lvl w:ilvl="5" w:tplc="DEC83420">
      <w:numFmt w:val="bullet"/>
      <w:lvlText w:val="•"/>
      <w:lvlJc w:val="left"/>
      <w:pPr>
        <w:ind w:left="5467" w:hanging="360"/>
      </w:pPr>
      <w:rPr>
        <w:rFonts w:hint="default"/>
        <w:lang w:val="es-ES" w:eastAsia="en-US" w:bidi="ar-SA"/>
      </w:rPr>
    </w:lvl>
    <w:lvl w:ilvl="6" w:tplc="02C46AF2">
      <w:numFmt w:val="bullet"/>
      <w:lvlText w:val="•"/>
      <w:lvlJc w:val="left"/>
      <w:pPr>
        <w:ind w:left="6333" w:hanging="360"/>
      </w:pPr>
      <w:rPr>
        <w:rFonts w:hint="default"/>
        <w:lang w:val="es-ES" w:eastAsia="en-US" w:bidi="ar-SA"/>
      </w:rPr>
    </w:lvl>
    <w:lvl w:ilvl="7" w:tplc="4628C8E0">
      <w:numFmt w:val="bullet"/>
      <w:lvlText w:val="•"/>
      <w:lvlJc w:val="left"/>
      <w:pPr>
        <w:ind w:left="7198" w:hanging="360"/>
      </w:pPr>
      <w:rPr>
        <w:rFonts w:hint="default"/>
        <w:lang w:val="es-ES" w:eastAsia="en-US" w:bidi="ar-SA"/>
      </w:rPr>
    </w:lvl>
    <w:lvl w:ilvl="8" w:tplc="D72C4B84">
      <w:numFmt w:val="bullet"/>
      <w:lvlText w:val="•"/>
      <w:lvlJc w:val="left"/>
      <w:pPr>
        <w:ind w:left="8064" w:hanging="360"/>
      </w:pPr>
      <w:rPr>
        <w:rFonts w:hint="default"/>
        <w:lang w:val="es-ES" w:eastAsia="en-US" w:bidi="ar-SA"/>
      </w:rPr>
    </w:lvl>
  </w:abstractNum>
  <w:abstractNum w:abstractNumId="58">
    <w:nsid w:val="56DB603C"/>
    <w:multiLevelType w:val="multilevel"/>
    <w:tmpl w:val="53463704"/>
    <w:lvl w:ilvl="0">
      <w:start w:val="5"/>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righ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righ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59">
    <w:nsid w:val="5796699A"/>
    <w:multiLevelType w:val="hybridMultilevel"/>
    <w:tmpl w:val="FDAAFE44"/>
    <w:lvl w:ilvl="0" w:tplc="41C80C66">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0D5A99B4">
      <w:start w:val="1"/>
      <w:numFmt w:val="lowerLetter"/>
      <w:lvlText w:val="%2."/>
      <w:lvlJc w:val="left"/>
      <w:pPr>
        <w:ind w:left="1865" w:hanging="360"/>
        <w:jc w:val="left"/>
      </w:pPr>
      <w:rPr>
        <w:rFonts w:ascii="Arial MT" w:eastAsia="Arial MT" w:hAnsi="Arial MT" w:cs="Arial MT" w:hint="default"/>
        <w:b w:val="0"/>
        <w:bCs w:val="0"/>
        <w:i w:val="0"/>
        <w:iCs w:val="0"/>
        <w:spacing w:val="-1"/>
        <w:w w:val="100"/>
        <w:sz w:val="22"/>
        <w:szCs w:val="22"/>
        <w:lang w:val="es-ES" w:eastAsia="en-US" w:bidi="ar-SA"/>
      </w:rPr>
    </w:lvl>
    <w:lvl w:ilvl="2" w:tplc="F90E22B2">
      <w:numFmt w:val="bullet"/>
      <w:lvlText w:val="•"/>
      <w:lvlJc w:val="left"/>
      <w:pPr>
        <w:ind w:left="2741" w:hanging="360"/>
      </w:pPr>
      <w:rPr>
        <w:rFonts w:hint="default"/>
        <w:lang w:val="es-ES" w:eastAsia="en-US" w:bidi="ar-SA"/>
      </w:rPr>
    </w:lvl>
    <w:lvl w:ilvl="3" w:tplc="58CAC932">
      <w:numFmt w:val="bullet"/>
      <w:lvlText w:val="•"/>
      <w:lvlJc w:val="left"/>
      <w:pPr>
        <w:ind w:left="3623" w:hanging="360"/>
      </w:pPr>
      <w:rPr>
        <w:rFonts w:hint="default"/>
        <w:lang w:val="es-ES" w:eastAsia="en-US" w:bidi="ar-SA"/>
      </w:rPr>
    </w:lvl>
    <w:lvl w:ilvl="4" w:tplc="2F5E93E8">
      <w:numFmt w:val="bullet"/>
      <w:lvlText w:val="•"/>
      <w:lvlJc w:val="left"/>
      <w:pPr>
        <w:ind w:left="4505" w:hanging="360"/>
      </w:pPr>
      <w:rPr>
        <w:rFonts w:hint="default"/>
        <w:lang w:val="es-ES" w:eastAsia="en-US" w:bidi="ar-SA"/>
      </w:rPr>
    </w:lvl>
    <w:lvl w:ilvl="5" w:tplc="C5A61C4E">
      <w:numFmt w:val="bullet"/>
      <w:lvlText w:val="•"/>
      <w:lvlJc w:val="left"/>
      <w:pPr>
        <w:ind w:left="5386" w:hanging="360"/>
      </w:pPr>
      <w:rPr>
        <w:rFonts w:hint="default"/>
        <w:lang w:val="es-ES" w:eastAsia="en-US" w:bidi="ar-SA"/>
      </w:rPr>
    </w:lvl>
    <w:lvl w:ilvl="6" w:tplc="63B21A5C">
      <w:numFmt w:val="bullet"/>
      <w:lvlText w:val="•"/>
      <w:lvlJc w:val="left"/>
      <w:pPr>
        <w:ind w:left="6268" w:hanging="360"/>
      </w:pPr>
      <w:rPr>
        <w:rFonts w:hint="default"/>
        <w:lang w:val="es-ES" w:eastAsia="en-US" w:bidi="ar-SA"/>
      </w:rPr>
    </w:lvl>
    <w:lvl w:ilvl="7" w:tplc="8B060586">
      <w:numFmt w:val="bullet"/>
      <w:lvlText w:val="•"/>
      <w:lvlJc w:val="left"/>
      <w:pPr>
        <w:ind w:left="7150" w:hanging="360"/>
      </w:pPr>
      <w:rPr>
        <w:rFonts w:hint="default"/>
        <w:lang w:val="es-ES" w:eastAsia="en-US" w:bidi="ar-SA"/>
      </w:rPr>
    </w:lvl>
    <w:lvl w:ilvl="8" w:tplc="47D4E79C">
      <w:numFmt w:val="bullet"/>
      <w:lvlText w:val="•"/>
      <w:lvlJc w:val="left"/>
      <w:pPr>
        <w:ind w:left="8031" w:hanging="360"/>
      </w:pPr>
      <w:rPr>
        <w:rFonts w:hint="default"/>
        <w:lang w:val="es-ES" w:eastAsia="en-US" w:bidi="ar-SA"/>
      </w:rPr>
    </w:lvl>
  </w:abstractNum>
  <w:abstractNum w:abstractNumId="60">
    <w:nsid w:val="59B82311"/>
    <w:multiLevelType w:val="hybridMultilevel"/>
    <w:tmpl w:val="F26A4D86"/>
    <w:lvl w:ilvl="0" w:tplc="6872544E">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9558DAF2">
      <w:numFmt w:val="bullet"/>
      <w:lvlText w:val="•"/>
      <w:lvlJc w:val="left"/>
      <w:pPr>
        <w:ind w:left="2005" w:hanging="360"/>
      </w:pPr>
      <w:rPr>
        <w:rFonts w:hint="default"/>
        <w:lang w:val="es-ES" w:eastAsia="en-US" w:bidi="ar-SA"/>
      </w:rPr>
    </w:lvl>
    <w:lvl w:ilvl="2" w:tplc="36D8855A">
      <w:numFmt w:val="bullet"/>
      <w:lvlText w:val="•"/>
      <w:lvlJc w:val="left"/>
      <w:pPr>
        <w:ind w:left="2871" w:hanging="360"/>
      </w:pPr>
      <w:rPr>
        <w:rFonts w:hint="default"/>
        <w:lang w:val="es-ES" w:eastAsia="en-US" w:bidi="ar-SA"/>
      </w:rPr>
    </w:lvl>
    <w:lvl w:ilvl="3" w:tplc="424018CA">
      <w:numFmt w:val="bullet"/>
      <w:lvlText w:val="•"/>
      <w:lvlJc w:val="left"/>
      <w:pPr>
        <w:ind w:left="3736" w:hanging="360"/>
      </w:pPr>
      <w:rPr>
        <w:rFonts w:hint="default"/>
        <w:lang w:val="es-ES" w:eastAsia="en-US" w:bidi="ar-SA"/>
      </w:rPr>
    </w:lvl>
    <w:lvl w:ilvl="4" w:tplc="4A725954">
      <w:numFmt w:val="bullet"/>
      <w:lvlText w:val="•"/>
      <w:lvlJc w:val="left"/>
      <w:pPr>
        <w:ind w:left="4602" w:hanging="360"/>
      </w:pPr>
      <w:rPr>
        <w:rFonts w:hint="default"/>
        <w:lang w:val="es-ES" w:eastAsia="en-US" w:bidi="ar-SA"/>
      </w:rPr>
    </w:lvl>
    <w:lvl w:ilvl="5" w:tplc="5F245F2A">
      <w:numFmt w:val="bullet"/>
      <w:lvlText w:val="•"/>
      <w:lvlJc w:val="left"/>
      <w:pPr>
        <w:ind w:left="5467" w:hanging="360"/>
      </w:pPr>
      <w:rPr>
        <w:rFonts w:hint="default"/>
        <w:lang w:val="es-ES" w:eastAsia="en-US" w:bidi="ar-SA"/>
      </w:rPr>
    </w:lvl>
    <w:lvl w:ilvl="6" w:tplc="2F8A2262">
      <w:numFmt w:val="bullet"/>
      <w:lvlText w:val="•"/>
      <w:lvlJc w:val="left"/>
      <w:pPr>
        <w:ind w:left="6333" w:hanging="360"/>
      </w:pPr>
      <w:rPr>
        <w:rFonts w:hint="default"/>
        <w:lang w:val="es-ES" w:eastAsia="en-US" w:bidi="ar-SA"/>
      </w:rPr>
    </w:lvl>
    <w:lvl w:ilvl="7" w:tplc="618A555C">
      <w:numFmt w:val="bullet"/>
      <w:lvlText w:val="•"/>
      <w:lvlJc w:val="left"/>
      <w:pPr>
        <w:ind w:left="7198" w:hanging="360"/>
      </w:pPr>
      <w:rPr>
        <w:rFonts w:hint="default"/>
        <w:lang w:val="es-ES" w:eastAsia="en-US" w:bidi="ar-SA"/>
      </w:rPr>
    </w:lvl>
    <w:lvl w:ilvl="8" w:tplc="42AE81C2">
      <w:numFmt w:val="bullet"/>
      <w:lvlText w:val="•"/>
      <w:lvlJc w:val="left"/>
      <w:pPr>
        <w:ind w:left="8064" w:hanging="360"/>
      </w:pPr>
      <w:rPr>
        <w:rFonts w:hint="default"/>
        <w:lang w:val="es-ES" w:eastAsia="en-US" w:bidi="ar-SA"/>
      </w:rPr>
    </w:lvl>
  </w:abstractNum>
  <w:abstractNum w:abstractNumId="61">
    <w:nsid w:val="5D5B44FF"/>
    <w:multiLevelType w:val="multilevel"/>
    <w:tmpl w:val="1A22E60C"/>
    <w:lvl w:ilvl="0">
      <w:start w:val="5"/>
      <w:numFmt w:val="decimal"/>
      <w:lvlText w:val="%1"/>
      <w:lvlJc w:val="left"/>
      <w:pPr>
        <w:ind w:left="1152" w:hanging="367"/>
        <w:jc w:val="left"/>
      </w:pPr>
      <w:rPr>
        <w:rFonts w:hint="default"/>
        <w:lang w:val="es-ES" w:eastAsia="en-US" w:bidi="ar-SA"/>
      </w:rPr>
    </w:lvl>
    <w:lvl w:ilvl="1">
      <w:start w:val="5"/>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numFmt w:val="bullet"/>
      <w:lvlText w:val="•"/>
      <w:lvlJc w:val="left"/>
      <w:pPr>
        <w:ind w:left="2887" w:hanging="367"/>
      </w:pPr>
      <w:rPr>
        <w:rFonts w:hint="default"/>
        <w:lang w:val="es-ES" w:eastAsia="en-US" w:bidi="ar-SA"/>
      </w:rPr>
    </w:lvl>
    <w:lvl w:ilvl="3">
      <w:numFmt w:val="bullet"/>
      <w:lvlText w:val="•"/>
      <w:lvlJc w:val="left"/>
      <w:pPr>
        <w:ind w:left="3750" w:hanging="367"/>
      </w:pPr>
      <w:rPr>
        <w:rFonts w:hint="default"/>
        <w:lang w:val="es-ES" w:eastAsia="en-US" w:bidi="ar-SA"/>
      </w:rPr>
    </w:lvl>
    <w:lvl w:ilvl="4">
      <w:numFmt w:val="bullet"/>
      <w:lvlText w:val="•"/>
      <w:lvlJc w:val="left"/>
      <w:pPr>
        <w:ind w:left="4614" w:hanging="367"/>
      </w:pPr>
      <w:rPr>
        <w:rFonts w:hint="default"/>
        <w:lang w:val="es-ES" w:eastAsia="en-US" w:bidi="ar-SA"/>
      </w:rPr>
    </w:lvl>
    <w:lvl w:ilvl="5">
      <w:numFmt w:val="bullet"/>
      <w:lvlText w:val="•"/>
      <w:lvlJc w:val="left"/>
      <w:pPr>
        <w:ind w:left="5477" w:hanging="367"/>
      </w:pPr>
      <w:rPr>
        <w:rFonts w:hint="default"/>
        <w:lang w:val="es-ES" w:eastAsia="en-US" w:bidi="ar-SA"/>
      </w:rPr>
    </w:lvl>
    <w:lvl w:ilvl="6">
      <w:numFmt w:val="bullet"/>
      <w:lvlText w:val="•"/>
      <w:lvlJc w:val="left"/>
      <w:pPr>
        <w:ind w:left="6341" w:hanging="367"/>
      </w:pPr>
      <w:rPr>
        <w:rFonts w:hint="default"/>
        <w:lang w:val="es-ES" w:eastAsia="en-US" w:bidi="ar-SA"/>
      </w:rPr>
    </w:lvl>
    <w:lvl w:ilvl="7">
      <w:numFmt w:val="bullet"/>
      <w:lvlText w:val="•"/>
      <w:lvlJc w:val="left"/>
      <w:pPr>
        <w:ind w:left="7204" w:hanging="367"/>
      </w:pPr>
      <w:rPr>
        <w:rFonts w:hint="default"/>
        <w:lang w:val="es-ES" w:eastAsia="en-US" w:bidi="ar-SA"/>
      </w:rPr>
    </w:lvl>
    <w:lvl w:ilvl="8">
      <w:numFmt w:val="bullet"/>
      <w:lvlText w:val="•"/>
      <w:lvlJc w:val="left"/>
      <w:pPr>
        <w:ind w:left="8068" w:hanging="367"/>
      </w:pPr>
      <w:rPr>
        <w:rFonts w:hint="default"/>
        <w:lang w:val="es-ES" w:eastAsia="en-US" w:bidi="ar-SA"/>
      </w:rPr>
    </w:lvl>
  </w:abstractNum>
  <w:abstractNum w:abstractNumId="62">
    <w:nsid w:val="5F0A4A90"/>
    <w:multiLevelType w:val="hybridMultilevel"/>
    <w:tmpl w:val="7C66BBE6"/>
    <w:lvl w:ilvl="0" w:tplc="F62E07D2">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66B0DD90">
      <w:numFmt w:val="bullet"/>
      <w:lvlText w:val="•"/>
      <w:lvlJc w:val="left"/>
      <w:pPr>
        <w:ind w:left="2005" w:hanging="360"/>
      </w:pPr>
      <w:rPr>
        <w:rFonts w:hint="default"/>
        <w:lang w:val="es-ES" w:eastAsia="en-US" w:bidi="ar-SA"/>
      </w:rPr>
    </w:lvl>
    <w:lvl w:ilvl="2" w:tplc="5FF830D8">
      <w:numFmt w:val="bullet"/>
      <w:lvlText w:val="•"/>
      <w:lvlJc w:val="left"/>
      <w:pPr>
        <w:ind w:left="2871" w:hanging="360"/>
      </w:pPr>
      <w:rPr>
        <w:rFonts w:hint="default"/>
        <w:lang w:val="es-ES" w:eastAsia="en-US" w:bidi="ar-SA"/>
      </w:rPr>
    </w:lvl>
    <w:lvl w:ilvl="3" w:tplc="31B20A50">
      <w:numFmt w:val="bullet"/>
      <w:lvlText w:val="•"/>
      <w:lvlJc w:val="left"/>
      <w:pPr>
        <w:ind w:left="3736" w:hanging="360"/>
      </w:pPr>
      <w:rPr>
        <w:rFonts w:hint="default"/>
        <w:lang w:val="es-ES" w:eastAsia="en-US" w:bidi="ar-SA"/>
      </w:rPr>
    </w:lvl>
    <w:lvl w:ilvl="4" w:tplc="DCFC3DF6">
      <w:numFmt w:val="bullet"/>
      <w:lvlText w:val="•"/>
      <w:lvlJc w:val="left"/>
      <w:pPr>
        <w:ind w:left="4602" w:hanging="360"/>
      </w:pPr>
      <w:rPr>
        <w:rFonts w:hint="default"/>
        <w:lang w:val="es-ES" w:eastAsia="en-US" w:bidi="ar-SA"/>
      </w:rPr>
    </w:lvl>
    <w:lvl w:ilvl="5" w:tplc="651EA330">
      <w:numFmt w:val="bullet"/>
      <w:lvlText w:val="•"/>
      <w:lvlJc w:val="left"/>
      <w:pPr>
        <w:ind w:left="5467" w:hanging="360"/>
      </w:pPr>
      <w:rPr>
        <w:rFonts w:hint="default"/>
        <w:lang w:val="es-ES" w:eastAsia="en-US" w:bidi="ar-SA"/>
      </w:rPr>
    </w:lvl>
    <w:lvl w:ilvl="6" w:tplc="F56E290A">
      <w:numFmt w:val="bullet"/>
      <w:lvlText w:val="•"/>
      <w:lvlJc w:val="left"/>
      <w:pPr>
        <w:ind w:left="6333" w:hanging="360"/>
      </w:pPr>
      <w:rPr>
        <w:rFonts w:hint="default"/>
        <w:lang w:val="es-ES" w:eastAsia="en-US" w:bidi="ar-SA"/>
      </w:rPr>
    </w:lvl>
    <w:lvl w:ilvl="7" w:tplc="BC6875E8">
      <w:numFmt w:val="bullet"/>
      <w:lvlText w:val="•"/>
      <w:lvlJc w:val="left"/>
      <w:pPr>
        <w:ind w:left="7198" w:hanging="360"/>
      </w:pPr>
      <w:rPr>
        <w:rFonts w:hint="default"/>
        <w:lang w:val="es-ES" w:eastAsia="en-US" w:bidi="ar-SA"/>
      </w:rPr>
    </w:lvl>
    <w:lvl w:ilvl="8" w:tplc="C4DCE6D4">
      <w:numFmt w:val="bullet"/>
      <w:lvlText w:val="•"/>
      <w:lvlJc w:val="left"/>
      <w:pPr>
        <w:ind w:left="8064" w:hanging="360"/>
      </w:pPr>
      <w:rPr>
        <w:rFonts w:hint="default"/>
        <w:lang w:val="es-ES" w:eastAsia="en-US" w:bidi="ar-SA"/>
      </w:rPr>
    </w:lvl>
  </w:abstractNum>
  <w:abstractNum w:abstractNumId="63">
    <w:nsid w:val="5F51689D"/>
    <w:multiLevelType w:val="multilevel"/>
    <w:tmpl w:val="FC26E334"/>
    <w:lvl w:ilvl="0">
      <w:start w:val="4"/>
      <w:numFmt w:val="decimal"/>
      <w:lvlText w:val="%1"/>
      <w:lvlJc w:val="left"/>
      <w:pPr>
        <w:ind w:left="1470" w:hanging="551"/>
        <w:jc w:val="left"/>
      </w:pPr>
      <w:rPr>
        <w:rFonts w:hint="default"/>
        <w:lang w:val="es-ES" w:eastAsia="en-US" w:bidi="ar-SA"/>
      </w:rPr>
    </w:lvl>
    <w:lvl w:ilvl="1">
      <w:start w:val="2"/>
      <w:numFmt w:val="decimal"/>
      <w:lvlText w:val="%1.%2"/>
      <w:lvlJc w:val="left"/>
      <w:pPr>
        <w:ind w:left="1470" w:hanging="551"/>
        <w:jc w:val="left"/>
      </w:pPr>
      <w:rPr>
        <w:rFonts w:hint="default"/>
        <w:lang w:val="es-ES" w:eastAsia="en-US" w:bidi="ar-SA"/>
      </w:rPr>
    </w:lvl>
    <w:lvl w:ilvl="2">
      <w:start w:val="1"/>
      <w:numFmt w:val="decimal"/>
      <w:lvlText w:val="%1.%2.%3"/>
      <w:lvlJc w:val="left"/>
      <w:pPr>
        <w:ind w:left="147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974" w:hanging="551"/>
      </w:pPr>
      <w:rPr>
        <w:rFonts w:hint="default"/>
        <w:lang w:val="es-ES" w:eastAsia="en-US" w:bidi="ar-SA"/>
      </w:rPr>
    </w:lvl>
    <w:lvl w:ilvl="4">
      <w:numFmt w:val="bullet"/>
      <w:lvlText w:val="•"/>
      <w:lvlJc w:val="left"/>
      <w:pPr>
        <w:ind w:left="4806" w:hanging="551"/>
      </w:pPr>
      <w:rPr>
        <w:rFonts w:hint="default"/>
        <w:lang w:val="es-ES" w:eastAsia="en-US" w:bidi="ar-SA"/>
      </w:rPr>
    </w:lvl>
    <w:lvl w:ilvl="5">
      <w:numFmt w:val="bullet"/>
      <w:lvlText w:val="•"/>
      <w:lvlJc w:val="left"/>
      <w:pPr>
        <w:ind w:left="5637" w:hanging="551"/>
      </w:pPr>
      <w:rPr>
        <w:rFonts w:hint="default"/>
        <w:lang w:val="es-ES" w:eastAsia="en-US" w:bidi="ar-SA"/>
      </w:rPr>
    </w:lvl>
    <w:lvl w:ilvl="6">
      <w:numFmt w:val="bullet"/>
      <w:lvlText w:val="•"/>
      <w:lvlJc w:val="left"/>
      <w:pPr>
        <w:ind w:left="6469" w:hanging="551"/>
      </w:pPr>
      <w:rPr>
        <w:rFonts w:hint="default"/>
        <w:lang w:val="es-ES" w:eastAsia="en-US" w:bidi="ar-SA"/>
      </w:rPr>
    </w:lvl>
    <w:lvl w:ilvl="7">
      <w:numFmt w:val="bullet"/>
      <w:lvlText w:val="•"/>
      <w:lvlJc w:val="left"/>
      <w:pPr>
        <w:ind w:left="7300" w:hanging="551"/>
      </w:pPr>
      <w:rPr>
        <w:rFonts w:hint="default"/>
        <w:lang w:val="es-ES" w:eastAsia="en-US" w:bidi="ar-SA"/>
      </w:rPr>
    </w:lvl>
    <w:lvl w:ilvl="8">
      <w:numFmt w:val="bullet"/>
      <w:lvlText w:val="•"/>
      <w:lvlJc w:val="left"/>
      <w:pPr>
        <w:ind w:left="8132" w:hanging="551"/>
      </w:pPr>
      <w:rPr>
        <w:rFonts w:hint="default"/>
        <w:lang w:val="es-ES" w:eastAsia="en-US" w:bidi="ar-SA"/>
      </w:rPr>
    </w:lvl>
  </w:abstractNum>
  <w:abstractNum w:abstractNumId="64">
    <w:nsid w:val="60AF6AF3"/>
    <w:multiLevelType w:val="hybridMultilevel"/>
    <w:tmpl w:val="63483DA0"/>
    <w:lvl w:ilvl="0" w:tplc="96829E22">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1742A2FE">
      <w:numFmt w:val="bullet"/>
      <w:lvlText w:val="•"/>
      <w:lvlJc w:val="left"/>
      <w:pPr>
        <w:ind w:left="2005" w:hanging="360"/>
      </w:pPr>
      <w:rPr>
        <w:rFonts w:hint="default"/>
        <w:lang w:val="es-ES" w:eastAsia="en-US" w:bidi="ar-SA"/>
      </w:rPr>
    </w:lvl>
    <w:lvl w:ilvl="2" w:tplc="96AE161A">
      <w:numFmt w:val="bullet"/>
      <w:lvlText w:val="•"/>
      <w:lvlJc w:val="left"/>
      <w:pPr>
        <w:ind w:left="2871" w:hanging="360"/>
      </w:pPr>
      <w:rPr>
        <w:rFonts w:hint="default"/>
        <w:lang w:val="es-ES" w:eastAsia="en-US" w:bidi="ar-SA"/>
      </w:rPr>
    </w:lvl>
    <w:lvl w:ilvl="3" w:tplc="3D7AD8A6">
      <w:numFmt w:val="bullet"/>
      <w:lvlText w:val="•"/>
      <w:lvlJc w:val="left"/>
      <w:pPr>
        <w:ind w:left="3736" w:hanging="360"/>
      </w:pPr>
      <w:rPr>
        <w:rFonts w:hint="default"/>
        <w:lang w:val="es-ES" w:eastAsia="en-US" w:bidi="ar-SA"/>
      </w:rPr>
    </w:lvl>
    <w:lvl w:ilvl="4" w:tplc="16CE29CC">
      <w:numFmt w:val="bullet"/>
      <w:lvlText w:val="•"/>
      <w:lvlJc w:val="left"/>
      <w:pPr>
        <w:ind w:left="4602" w:hanging="360"/>
      </w:pPr>
      <w:rPr>
        <w:rFonts w:hint="default"/>
        <w:lang w:val="es-ES" w:eastAsia="en-US" w:bidi="ar-SA"/>
      </w:rPr>
    </w:lvl>
    <w:lvl w:ilvl="5" w:tplc="EC389E06">
      <w:numFmt w:val="bullet"/>
      <w:lvlText w:val="•"/>
      <w:lvlJc w:val="left"/>
      <w:pPr>
        <w:ind w:left="5467" w:hanging="360"/>
      </w:pPr>
      <w:rPr>
        <w:rFonts w:hint="default"/>
        <w:lang w:val="es-ES" w:eastAsia="en-US" w:bidi="ar-SA"/>
      </w:rPr>
    </w:lvl>
    <w:lvl w:ilvl="6" w:tplc="F3768BB4">
      <w:numFmt w:val="bullet"/>
      <w:lvlText w:val="•"/>
      <w:lvlJc w:val="left"/>
      <w:pPr>
        <w:ind w:left="6333" w:hanging="360"/>
      </w:pPr>
      <w:rPr>
        <w:rFonts w:hint="default"/>
        <w:lang w:val="es-ES" w:eastAsia="en-US" w:bidi="ar-SA"/>
      </w:rPr>
    </w:lvl>
    <w:lvl w:ilvl="7" w:tplc="0BB47E9C">
      <w:numFmt w:val="bullet"/>
      <w:lvlText w:val="•"/>
      <w:lvlJc w:val="left"/>
      <w:pPr>
        <w:ind w:left="7198" w:hanging="360"/>
      </w:pPr>
      <w:rPr>
        <w:rFonts w:hint="default"/>
        <w:lang w:val="es-ES" w:eastAsia="en-US" w:bidi="ar-SA"/>
      </w:rPr>
    </w:lvl>
    <w:lvl w:ilvl="8" w:tplc="A6720C7A">
      <w:numFmt w:val="bullet"/>
      <w:lvlText w:val="•"/>
      <w:lvlJc w:val="left"/>
      <w:pPr>
        <w:ind w:left="8064" w:hanging="360"/>
      </w:pPr>
      <w:rPr>
        <w:rFonts w:hint="default"/>
        <w:lang w:val="es-ES" w:eastAsia="en-US" w:bidi="ar-SA"/>
      </w:rPr>
    </w:lvl>
  </w:abstractNum>
  <w:abstractNum w:abstractNumId="65">
    <w:nsid w:val="61B933DE"/>
    <w:multiLevelType w:val="multilevel"/>
    <w:tmpl w:val="E0AE0796"/>
    <w:lvl w:ilvl="0">
      <w:start w:val="1"/>
      <w:numFmt w:val="decimal"/>
      <w:lvlText w:val="%1"/>
      <w:lvlJc w:val="left"/>
      <w:pPr>
        <w:ind w:left="792" w:hanging="367"/>
        <w:jc w:val="left"/>
      </w:pPr>
      <w:rPr>
        <w:rFonts w:hint="default"/>
        <w:lang w:val="es-ES" w:eastAsia="en-US" w:bidi="ar-SA"/>
      </w:rPr>
    </w:lvl>
    <w:lvl w:ilvl="1">
      <w:start w:val="1"/>
      <w:numFmt w:val="decimal"/>
      <w:lvlText w:val="%1.%2"/>
      <w:lvlJc w:val="left"/>
      <w:pPr>
        <w:ind w:left="792" w:hanging="367"/>
        <w:jc w:val="left"/>
      </w:pPr>
      <w:rPr>
        <w:rFonts w:ascii="Arial" w:eastAsia="Arial" w:hAnsi="Arial" w:cs="Arial" w:hint="default"/>
        <w:b/>
        <w:bCs/>
        <w:i w:val="0"/>
        <w:iCs w:val="0"/>
        <w:spacing w:val="-1"/>
        <w:w w:val="100"/>
        <w:sz w:val="22"/>
        <w:szCs w:val="22"/>
        <w:lang w:val="es-ES" w:eastAsia="en-US" w:bidi="ar-SA"/>
      </w:rPr>
    </w:lvl>
    <w:lvl w:ilvl="2">
      <w:start w:val="1"/>
      <w:numFmt w:val="decimal"/>
      <w:lvlText w:val="%1.%2.%3"/>
      <w:lvlJc w:val="left"/>
      <w:pPr>
        <w:ind w:left="1470" w:hanging="551"/>
        <w:jc w:val="right"/>
      </w:pPr>
      <w:rPr>
        <w:rFonts w:hint="default"/>
        <w:spacing w:val="-1"/>
        <w:w w:val="100"/>
        <w:lang w:val="es-ES" w:eastAsia="en-US" w:bidi="ar-SA"/>
      </w:rPr>
    </w:lvl>
    <w:lvl w:ilvl="3">
      <w:numFmt w:val="bullet"/>
      <w:lvlText w:val="●"/>
      <w:lvlJc w:val="left"/>
      <w:pPr>
        <w:ind w:left="1865" w:hanging="551"/>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1540" w:hanging="551"/>
      </w:pPr>
      <w:rPr>
        <w:rFonts w:hint="default"/>
        <w:lang w:val="es-ES" w:eastAsia="en-US" w:bidi="ar-SA"/>
      </w:rPr>
    </w:lvl>
    <w:lvl w:ilvl="5">
      <w:numFmt w:val="bullet"/>
      <w:lvlText w:val="•"/>
      <w:lvlJc w:val="left"/>
      <w:pPr>
        <w:ind w:left="1860" w:hanging="551"/>
      </w:pPr>
      <w:rPr>
        <w:rFonts w:hint="default"/>
        <w:lang w:val="es-ES" w:eastAsia="en-US" w:bidi="ar-SA"/>
      </w:rPr>
    </w:lvl>
    <w:lvl w:ilvl="6">
      <w:numFmt w:val="bullet"/>
      <w:lvlText w:val="•"/>
      <w:lvlJc w:val="left"/>
      <w:pPr>
        <w:ind w:left="3447" w:hanging="551"/>
      </w:pPr>
      <w:rPr>
        <w:rFonts w:hint="default"/>
        <w:lang w:val="es-ES" w:eastAsia="en-US" w:bidi="ar-SA"/>
      </w:rPr>
    </w:lvl>
    <w:lvl w:ilvl="7">
      <w:numFmt w:val="bullet"/>
      <w:lvlText w:val="•"/>
      <w:lvlJc w:val="left"/>
      <w:pPr>
        <w:ind w:left="5034" w:hanging="551"/>
      </w:pPr>
      <w:rPr>
        <w:rFonts w:hint="default"/>
        <w:lang w:val="es-ES" w:eastAsia="en-US" w:bidi="ar-SA"/>
      </w:rPr>
    </w:lvl>
    <w:lvl w:ilvl="8">
      <w:numFmt w:val="bullet"/>
      <w:lvlText w:val="•"/>
      <w:lvlJc w:val="left"/>
      <w:pPr>
        <w:ind w:left="6621" w:hanging="551"/>
      </w:pPr>
      <w:rPr>
        <w:rFonts w:hint="default"/>
        <w:lang w:val="es-ES" w:eastAsia="en-US" w:bidi="ar-SA"/>
      </w:rPr>
    </w:lvl>
  </w:abstractNum>
  <w:abstractNum w:abstractNumId="66">
    <w:nsid w:val="638C4A55"/>
    <w:multiLevelType w:val="hybridMultilevel"/>
    <w:tmpl w:val="AC1AE7E2"/>
    <w:lvl w:ilvl="0" w:tplc="5E5A2A50">
      <w:numFmt w:val="bullet"/>
      <w:lvlText w:val="●"/>
      <w:lvlJc w:val="left"/>
      <w:pPr>
        <w:ind w:left="1145" w:hanging="360"/>
      </w:pPr>
      <w:rPr>
        <w:rFonts w:ascii="Arial" w:eastAsia="Arial" w:hAnsi="Arial" w:cs="Arial" w:hint="default"/>
        <w:b/>
        <w:bCs/>
        <w:i w:val="0"/>
        <w:iCs w:val="0"/>
        <w:spacing w:val="0"/>
        <w:w w:val="100"/>
        <w:sz w:val="22"/>
        <w:szCs w:val="22"/>
        <w:lang w:val="es-ES" w:eastAsia="en-US" w:bidi="ar-SA"/>
      </w:rPr>
    </w:lvl>
    <w:lvl w:ilvl="1" w:tplc="9C1C7074">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748C95F8">
      <w:numFmt w:val="bullet"/>
      <w:lvlText w:val="•"/>
      <w:lvlJc w:val="left"/>
      <w:pPr>
        <w:ind w:left="2741" w:hanging="360"/>
      </w:pPr>
      <w:rPr>
        <w:rFonts w:hint="default"/>
        <w:lang w:val="es-ES" w:eastAsia="en-US" w:bidi="ar-SA"/>
      </w:rPr>
    </w:lvl>
    <w:lvl w:ilvl="3" w:tplc="C6B220BA">
      <w:numFmt w:val="bullet"/>
      <w:lvlText w:val="•"/>
      <w:lvlJc w:val="left"/>
      <w:pPr>
        <w:ind w:left="3623" w:hanging="360"/>
      </w:pPr>
      <w:rPr>
        <w:rFonts w:hint="default"/>
        <w:lang w:val="es-ES" w:eastAsia="en-US" w:bidi="ar-SA"/>
      </w:rPr>
    </w:lvl>
    <w:lvl w:ilvl="4" w:tplc="0138FF36">
      <w:numFmt w:val="bullet"/>
      <w:lvlText w:val="•"/>
      <w:lvlJc w:val="left"/>
      <w:pPr>
        <w:ind w:left="4505" w:hanging="360"/>
      </w:pPr>
      <w:rPr>
        <w:rFonts w:hint="default"/>
        <w:lang w:val="es-ES" w:eastAsia="en-US" w:bidi="ar-SA"/>
      </w:rPr>
    </w:lvl>
    <w:lvl w:ilvl="5" w:tplc="5F106AF4">
      <w:numFmt w:val="bullet"/>
      <w:lvlText w:val="•"/>
      <w:lvlJc w:val="left"/>
      <w:pPr>
        <w:ind w:left="5386" w:hanging="360"/>
      </w:pPr>
      <w:rPr>
        <w:rFonts w:hint="default"/>
        <w:lang w:val="es-ES" w:eastAsia="en-US" w:bidi="ar-SA"/>
      </w:rPr>
    </w:lvl>
    <w:lvl w:ilvl="6" w:tplc="9E3C12E4">
      <w:numFmt w:val="bullet"/>
      <w:lvlText w:val="•"/>
      <w:lvlJc w:val="left"/>
      <w:pPr>
        <w:ind w:left="6268" w:hanging="360"/>
      </w:pPr>
      <w:rPr>
        <w:rFonts w:hint="default"/>
        <w:lang w:val="es-ES" w:eastAsia="en-US" w:bidi="ar-SA"/>
      </w:rPr>
    </w:lvl>
    <w:lvl w:ilvl="7" w:tplc="33C2E19A">
      <w:numFmt w:val="bullet"/>
      <w:lvlText w:val="•"/>
      <w:lvlJc w:val="left"/>
      <w:pPr>
        <w:ind w:left="7150" w:hanging="360"/>
      </w:pPr>
      <w:rPr>
        <w:rFonts w:hint="default"/>
        <w:lang w:val="es-ES" w:eastAsia="en-US" w:bidi="ar-SA"/>
      </w:rPr>
    </w:lvl>
    <w:lvl w:ilvl="8" w:tplc="9546247C">
      <w:numFmt w:val="bullet"/>
      <w:lvlText w:val="•"/>
      <w:lvlJc w:val="left"/>
      <w:pPr>
        <w:ind w:left="8031" w:hanging="360"/>
      </w:pPr>
      <w:rPr>
        <w:rFonts w:hint="default"/>
        <w:lang w:val="es-ES" w:eastAsia="en-US" w:bidi="ar-SA"/>
      </w:rPr>
    </w:lvl>
  </w:abstractNum>
  <w:abstractNum w:abstractNumId="67">
    <w:nsid w:val="648D3D07"/>
    <w:multiLevelType w:val="hybridMultilevel"/>
    <w:tmpl w:val="DB9A2502"/>
    <w:lvl w:ilvl="0" w:tplc="4178F620">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E89C301C">
      <w:numFmt w:val="bullet"/>
      <w:lvlText w:val="•"/>
      <w:lvlJc w:val="left"/>
      <w:pPr>
        <w:ind w:left="2005" w:hanging="360"/>
      </w:pPr>
      <w:rPr>
        <w:rFonts w:hint="default"/>
        <w:lang w:val="es-ES" w:eastAsia="en-US" w:bidi="ar-SA"/>
      </w:rPr>
    </w:lvl>
    <w:lvl w:ilvl="2" w:tplc="F49CCBA4">
      <w:numFmt w:val="bullet"/>
      <w:lvlText w:val="•"/>
      <w:lvlJc w:val="left"/>
      <w:pPr>
        <w:ind w:left="2871" w:hanging="360"/>
      </w:pPr>
      <w:rPr>
        <w:rFonts w:hint="default"/>
        <w:lang w:val="es-ES" w:eastAsia="en-US" w:bidi="ar-SA"/>
      </w:rPr>
    </w:lvl>
    <w:lvl w:ilvl="3" w:tplc="CF2C6294">
      <w:numFmt w:val="bullet"/>
      <w:lvlText w:val="•"/>
      <w:lvlJc w:val="left"/>
      <w:pPr>
        <w:ind w:left="3736" w:hanging="360"/>
      </w:pPr>
      <w:rPr>
        <w:rFonts w:hint="default"/>
        <w:lang w:val="es-ES" w:eastAsia="en-US" w:bidi="ar-SA"/>
      </w:rPr>
    </w:lvl>
    <w:lvl w:ilvl="4" w:tplc="5ED4632C">
      <w:numFmt w:val="bullet"/>
      <w:lvlText w:val="•"/>
      <w:lvlJc w:val="left"/>
      <w:pPr>
        <w:ind w:left="4602" w:hanging="360"/>
      </w:pPr>
      <w:rPr>
        <w:rFonts w:hint="default"/>
        <w:lang w:val="es-ES" w:eastAsia="en-US" w:bidi="ar-SA"/>
      </w:rPr>
    </w:lvl>
    <w:lvl w:ilvl="5" w:tplc="1590891A">
      <w:numFmt w:val="bullet"/>
      <w:lvlText w:val="•"/>
      <w:lvlJc w:val="left"/>
      <w:pPr>
        <w:ind w:left="5467" w:hanging="360"/>
      </w:pPr>
      <w:rPr>
        <w:rFonts w:hint="default"/>
        <w:lang w:val="es-ES" w:eastAsia="en-US" w:bidi="ar-SA"/>
      </w:rPr>
    </w:lvl>
    <w:lvl w:ilvl="6" w:tplc="511ACF66">
      <w:numFmt w:val="bullet"/>
      <w:lvlText w:val="•"/>
      <w:lvlJc w:val="left"/>
      <w:pPr>
        <w:ind w:left="6333" w:hanging="360"/>
      </w:pPr>
      <w:rPr>
        <w:rFonts w:hint="default"/>
        <w:lang w:val="es-ES" w:eastAsia="en-US" w:bidi="ar-SA"/>
      </w:rPr>
    </w:lvl>
    <w:lvl w:ilvl="7" w:tplc="1A103BDC">
      <w:numFmt w:val="bullet"/>
      <w:lvlText w:val="•"/>
      <w:lvlJc w:val="left"/>
      <w:pPr>
        <w:ind w:left="7198" w:hanging="360"/>
      </w:pPr>
      <w:rPr>
        <w:rFonts w:hint="default"/>
        <w:lang w:val="es-ES" w:eastAsia="en-US" w:bidi="ar-SA"/>
      </w:rPr>
    </w:lvl>
    <w:lvl w:ilvl="8" w:tplc="B7388DE4">
      <w:numFmt w:val="bullet"/>
      <w:lvlText w:val="•"/>
      <w:lvlJc w:val="left"/>
      <w:pPr>
        <w:ind w:left="8064" w:hanging="360"/>
      </w:pPr>
      <w:rPr>
        <w:rFonts w:hint="default"/>
        <w:lang w:val="es-ES" w:eastAsia="en-US" w:bidi="ar-SA"/>
      </w:rPr>
    </w:lvl>
  </w:abstractNum>
  <w:abstractNum w:abstractNumId="68">
    <w:nsid w:val="65F77F5C"/>
    <w:multiLevelType w:val="hybridMultilevel"/>
    <w:tmpl w:val="9FC6E6C2"/>
    <w:lvl w:ilvl="0" w:tplc="670E1F00">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BD447648">
      <w:numFmt w:val="bullet"/>
      <w:lvlText w:val="○"/>
      <w:lvlJc w:val="left"/>
      <w:pPr>
        <w:ind w:left="1865" w:hanging="360"/>
      </w:pPr>
      <w:rPr>
        <w:rFonts w:ascii="Arial MT" w:eastAsia="Arial MT" w:hAnsi="Arial MT" w:cs="Arial MT" w:hint="default"/>
        <w:b w:val="0"/>
        <w:bCs w:val="0"/>
        <w:i w:val="0"/>
        <w:iCs w:val="0"/>
        <w:spacing w:val="0"/>
        <w:w w:val="60"/>
        <w:sz w:val="22"/>
        <w:szCs w:val="22"/>
        <w:lang w:val="es-ES" w:eastAsia="en-US" w:bidi="ar-SA"/>
      </w:rPr>
    </w:lvl>
    <w:lvl w:ilvl="2" w:tplc="347032DA">
      <w:numFmt w:val="bullet"/>
      <w:lvlText w:val="•"/>
      <w:lvlJc w:val="left"/>
      <w:pPr>
        <w:ind w:left="2741" w:hanging="360"/>
      </w:pPr>
      <w:rPr>
        <w:rFonts w:hint="default"/>
        <w:lang w:val="es-ES" w:eastAsia="en-US" w:bidi="ar-SA"/>
      </w:rPr>
    </w:lvl>
    <w:lvl w:ilvl="3" w:tplc="1D22E7AE">
      <w:numFmt w:val="bullet"/>
      <w:lvlText w:val="•"/>
      <w:lvlJc w:val="left"/>
      <w:pPr>
        <w:ind w:left="3623" w:hanging="360"/>
      </w:pPr>
      <w:rPr>
        <w:rFonts w:hint="default"/>
        <w:lang w:val="es-ES" w:eastAsia="en-US" w:bidi="ar-SA"/>
      </w:rPr>
    </w:lvl>
    <w:lvl w:ilvl="4" w:tplc="A1AA7A64">
      <w:numFmt w:val="bullet"/>
      <w:lvlText w:val="•"/>
      <w:lvlJc w:val="left"/>
      <w:pPr>
        <w:ind w:left="4505" w:hanging="360"/>
      </w:pPr>
      <w:rPr>
        <w:rFonts w:hint="default"/>
        <w:lang w:val="es-ES" w:eastAsia="en-US" w:bidi="ar-SA"/>
      </w:rPr>
    </w:lvl>
    <w:lvl w:ilvl="5" w:tplc="A9CEEC96">
      <w:numFmt w:val="bullet"/>
      <w:lvlText w:val="•"/>
      <w:lvlJc w:val="left"/>
      <w:pPr>
        <w:ind w:left="5386" w:hanging="360"/>
      </w:pPr>
      <w:rPr>
        <w:rFonts w:hint="default"/>
        <w:lang w:val="es-ES" w:eastAsia="en-US" w:bidi="ar-SA"/>
      </w:rPr>
    </w:lvl>
    <w:lvl w:ilvl="6" w:tplc="B9161026">
      <w:numFmt w:val="bullet"/>
      <w:lvlText w:val="•"/>
      <w:lvlJc w:val="left"/>
      <w:pPr>
        <w:ind w:left="6268" w:hanging="360"/>
      </w:pPr>
      <w:rPr>
        <w:rFonts w:hint="default"/>
        <w:lang w:val="es-ES" w:eastAsia="en-US" w:bidi="ar-SA"/>
      </w:rPr>
    </w:lvl>
    <w:lvl w:ilvl="7" w:tplc="CC2EACA6">
      <w:numFmt w:val="bullet"/>
      <w:lvlText w:val="•"/>
      <w:lvlJc w:val="left"/>
      <w:pPr>
        <w:ind w:left="7150" w:hanging="360"/>
      </w:pPr>
      <w:rPr>
        <w:rFonts w:hint="default"/>
        <w:lang w:val="es-ES" w:eastAsia="en-US" w:bidi="ar-SA"/>
      </w:rPr>
    </w:lvl>
    <w:lvl w:ilvl="8" w:tplc="0F64C158">
      <w:numFmt w:val="bullet"/>
      <w:lvlText w:val="•"/>
      <w:lvlJc w:val="left"/>
      <w:pPr>
        <w:ind w:left="8031" w:hanging="360"/>
      </w:pPr>
      <w:rPr>
        <w:rFonts w:hint="default"/>
        <w:lang w:val="es-ES" w:eastAsia="en-US" w:bidi="ar-SA"/>
      </w:rPr>
    </w:lvl>
  </w:abstractNum>
  <w:abstractNum w:abstractNumId="69">
    <w:nsid w:val="6939715E"/>
    <w:multiLevelType w:val="multilevel"/>
    <w:tmpl w:val="477E4388"/>
    <w:lvl w:ilvl="0">
      <w:start w:val="4"/>
      <w:numFmt w:val="decimal"/>
      <w:lvlText w:val="%1"/>
      <w:lvlJc w:val="left"/>
      <w:pPr>
        <w:ind w:left="792" w:hanging="367"/>
        <w:jc w:val="left"/>
      </w:pPr>
      <w:rPr>
        <w:rFonts w:hint="default"/>
        <w:lang w:val="es-ES" w:eastAsia="en-US" w:bidi="ar-SA"/>
      </w:rPr>
    </w:lvl>
    <w:lvl w:ilvl="1">
      <w:start w:val="3"/>
      <w:numFmt w:val="decimal"/>
      <w:lvlText w:val="%1.%2"/>
      <w:lvlJc w:val="left"/>
      <w:pPr>
        <w:ind w:left="792" w:hanging="367"/>
        <w:jc w:val="left"/>
      </w:pPr>
      <w:rPr>
        <w:rFonts w:ascii="Arial" w:eastAsia="Arial" w:hAnsi="Arial" w:cs="Arial" w:hint="default"/>
        <w:b/>
        <w:bCs/>
        <w:i w:val="0"/>
        <w:iCs w:val="0"/>
        <w:spacing w:val="-1"/>
        <w:w w:val="100"/>
        <w:sz w:val="22"/>
        <w:szCs w:val="22"/>
        <w:lang w:val="es-ES" w:eastAsia="en-US" w:bidi="ar-SA"/>
      </w:rPr>
    </w:lvl>
    <w:lvl w:ilvl="2">
      <w:start w:val="1"/>
      <w:numFmt w:val="decimal"/>
      <w:lvlText w:val="%1.%2.%3"/>
      <w:lvlJc w:val="left"/>
      <w:pPr>
        <w:ind w:left="1470" w:hanging="551"/>
        <w:jc w:val="right"/>
      </w:pPr>
      <w:rPr>
        <w:rFonts w:ascii="Arial" w:eastAsia="Arial" w:hAnsi="Arial" w:cs="Arial" w:hint="default"/>
        <w:b/>
        <w:bCs/>
        <w:i/>
        <w:iCs/>
        <w:spacing w:val="-1"/>
        <w:w w:val="100"/>
        <w:sz w:val="22"/>
        <w:szCs w:val="22"/>
        <w:lang w:val="es-ES" w:eastAsia="en-US" w:bidi="ar-SA"/>
      </w:rPr>
    </w:lvl>
    <w:lvl w:ilvl="3">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1140" w:hanging="360"/>
      </w:pPr>
      <w:rPr>
        <w:rFonts w:hint="default"/>
        <w:lang w:val="es-ES" w:eastAsia="en-US" w:bidi="ar-SA"/>
      </w:rPr>
    </w:lvl>
    <w:lvl w:ilvl="5">
      <w:numFmt w:val="bullet"/>
      <w:lvlText w:val="•"/>
      <w:lvlJc w:val="left"/>
      <w:pPr>
        <w:ind w:left="1480" w:hanging="360"/>
      </w:pPr>
      <w:rPr>
        <w:rFonts w:hint="default"/>
        <w:lang w:val="es-ES" w:eastAsia="en-US" w:bidi="ar-SA"/>
      </w:rPr>
    </w:lvl>
    <w:lvl w:ilvl="6">
      <w:numFmt w:val="bullet"/>
      <w:lvlText w:val="•"/>
      <w:lvlJc w:val="left"/>
      <w:pPr>
        <w:ind w:left="1700" w:hanging="360"/>
      </w:pPr>
      <w:rPr>
        <w:rFonts w:hint="default"/>
        <w:lang w:val="es-ES" w:eastAsia="en-US" w:bidi="ar-SA"/>
      </w:rPr>
    </w:lvl>
    <w:lvl w:ilvl="7">
      <w:numFmt w:val="bullet"/>
      <w:lvlText w:val="•"/>
      <w:lvlJc w:val="left"/>
      <w:pPr>
        <w:ind w:left="1860" w:hanging="360"/>
      </w:pPr>
      <w:rPr>
        <w:rFonts w:hint="default"/>
        <w:lang w:val="es-ES" w:eastAsia="en-US" w:bidi="ar-SA"/>
      </w:rPr>
    </w:lvl>
    <w:lvl w:ilvl="8">
      <w:numFmt w:val="bullet"/>
      <w:lvlText w:val="•"/>
      <w:lvlJc w:val="left"/>
      <w:pPr>
        <w:ind w:left="4505" w:hanging="360"/>
      </w:pPr>
      <w:rPr>
        <w:rFonts w:hint="default"/>
        <w:lang w:val="es-ES" w:eastAsia="en-US" w:bidi="ar-SA"/>
      </w:rPr>
    </w:lvl>
  </w:abstractNum>
  <w:abstractNum w:abstractNumId="70">
    <w:nsid w:val="6AD40F4B"/>
    <w:multiLevelType w:val="multilevel"/>
    <w:tmpl w:val="27DCA0A4"/>
    <w:lvl w:ilvl="0">
      <w:start w:val="7"/>
      <w:numFmt w:val="decimal"/>
      <w:lvlText w:val="%1"/>
      <w:lvlJc w:val="left"/>
      <w:pPr>
        <w:ind w:left="1695" w:hanging="551"/>
        <w:jc w:val="left"/>
      </w:pPr>
      <w:rPr>
        <w:rFonts w:hint="default"/>
        <w:lang w:val="es-ES" w:eastAsia="en-US" w:bidi="ar-SA"/>
      </w:rPr>
    </w:lvl>
    <w:lvl w:ilvl="1">
      <w:start w:val="2"/>
      <w:numFmt w:val="decimal"/>
      <w:lvlText w:val="%1.%2"/>
      <w:lvlJc w:val="left"/>
      <w:pPr>
        <w:ind w:left="1695" w:hanging="551"/>
        <w:jc w:val="left"/>
      </w:pPr>
      <w:rPr>
        <w:rFonts w:hint="default"/>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71">
    <w:nsid w:val="6E4D4372"/>
    <w:multiLevelType w:val="multilevel"/>
    <w:tmpl w:val="4748FFA8"/>
    <w:lvl w:ilvl="0">
      <w:start w:val="4"/>
      <w:numFmt w:val="decimal"/>
      <w:lvlText w:val="%1"/>
      <w:lvlJc w:val="left"/>
      <w:pPr>
        <w:ind w:left="1695" w:hanging="551"/>
        <w:jc w:val="left"/>
      </w:pPr>
      <w:rPr>
        <w:rFonts w:hint="default"/>
        <w:lang w:val="es-ES" w:eastAsia="en-US" w:bidi="ar-SA"/>
      </w:rPr>
    </w:lvl>
    <w:lvl w:ilvl="1">
      <w:start w:val="2"/>
      <w:numFmt w:val="decimal"/>
      <w:lvlText w:val="%1.%2"/>
      <w:lvlJc w:val="left"/>
      <w:pPr>
        <w:ind w:left="1695" w:hanging="551"/>
        <w:jc w:val="left"/>
      </w:pPr>
      <w:rPr>
        <w:rFonts w:hint="default"/>
        <w:lang w:val="es-ES" w:eastAsia="en-US" w:bidi="ar-SA"/>
      </w:rPr>
    </w:lvl>
    <w:lvl w:ilvl="2">
      <w:start w:val="3"/>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72">
    <w:nsid w:val="6F24043E"/>
    <w:multiLevelType w:val="hybridMultilevel"/>
    <w:tmpl w:val="E68E635C"/>
    <w:lvl w:ilvl="0" w:tplc="4A40E7C4">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0E60DF48">
      <w:numFmt w:val="bullet"/>
      <w:lvlText w:val="•"/>
      <w:lvlJc w:val="left"/>
      <w:pPr>
        <w:ind w:left="2005" w:hanging="360"/>
      </w:pPr>
      <w:rPr>
        <w:rFonts w:hint="default"/>
        <w:lang w:val="es-ES" w:eastAsia="en-US" w:bidi="ar-SA"/>
      </w:rPr>
    </w:lvl>
    <w:lvl w:ilvl="2" w:tplc="53EE6514">
      <w:numFmt w:val="bullet"/>
      <w:lvlText w:val="•"/>
      <w:lvlJc w:val="left"/>
      <w:pPr>
        <w:ind w:left="2871" w:hanging="360"/>
      </w:pPr>
      <w:rPr>
        <w:rFonts w:hint="default"/>
        <w:lang w:val="es-ES" w:eastAsia="en-US" w:bidi="ar-SA"/>
      </w:rPr>
    </w:lvl>
    <w:lvl w:ilvl="3" w:tplc="206876E0">
      <w:numFmt w:val="bullet"/>
      <w:lvlText w:val="•"/>
      <w:lvlJc w:val="left"/>
      <w:pPr>
        <w:ind w:left="3736" w:hanging="360"/>
      </w:pPr>
      <w:rPr>
        <w:rFonts w:hint="default"/>
        <w:lang w:val="es-ES" w:eastAsia="en-US" w:bidi="ar-SA"/>
      </w:rPr>
    </w:lvl>
    <w:lvl w:ilvl="4" w:tplc="D14E1898">
      <w:numFmt w:val="bullet"/>
      <w:lvlText w:val="•"/>
      <w:lvlJc w:val="left"/>
      <w:pPr>
        <w:ind w:left="4602" w:hanging="360"/>
      </w:pPr>
      <w:rPr>
        <w:rFonts w:hint="default"/>
        <w:lang w:val="es-ES" w:eastAsia="en-US" w:bidi="ar-SA"/>
      </w:rPr>
    </w:lvl>
    <w:lvl w:ilvl="5" w:tplc="E33889DE">
      <w:numFmt w:val="bullet"/>
      <w:lvlText w:val="•"/>
      <w:lvlJc w:val="left"/>
      <w:pPr>
        <w:ind w:left="5467" w:hanging="360"/>
      </w:pPr>
      <w:rPr>
        <w:rFonts w:hint="default"/>
        <w:lang w:val="es-ES" w:eastAsia="en-US" w:bidi="ar-SA"/>
      </w:rPr>
    </w:lvl>
    <w:lvl w:ilvl="6" w:tplc="7D9C4AEE">
      <w:numFmt w:val="bullet"/>
      <w:lvlText w:val="•"/>
      <w:lvlJc w:val="left"/>
      <w:pPr>
        <w:ind w:left="6333" w:hanging="360"/>
      </w:pPr>
      <w:rPr>
        <w:rFonts w:hint="default"/>
        <w:lang w:val="es-ES" w:eastAsia="en-US" w:bidi="ar-SA"/>
      </w:rPr>
    </w:lvl>
    <w:lvl w:ilvl="7" w:tplc="21C866E4">
      <w:numFmt w:val="bullet"/>
      <w:lvlText w:val="•"/>
      <w:lvlJc w:val="left"/>
      <w:pPr>
        <w:ind w:left="7198" w:hanging="360"/>
      </w:pPr>
      <w:rPr>
        <w:rFonts w:hint="default"/>
        <w:lang w:val="es-ES" w:eastAsia="en-US" w:bidi="ar-SA"/>
      </w:rPr>
    </w:lvl>
    <w:lvl w:ilvl="8" w:tplc="D69E08D2">
      <w:numFmt w:val="bullet"/>
      <w:lvlText w:val="•"/>
      <w:lvlJc w:val="left"/>
      <w:pPr>
        <w:ind w:left="8064" w:hanging="360"/>
      </w:pPr>
      <w:rPr>
        <w:rFonts w:hint="default"/>
        <w:lang w:val="es-ES" w:eastAsia="en-US" w:bidi="ar-SA"/>
      </w:rPr>
    </w:lvl>
  </w:abstractNum>
  <w:abstractNum w:abstractNumId="73">
    <w:nsid w:val="6FE87543"/>
    <w:multiLevelType w:val="multilevel"/>
    <w:tmpl w:val="8F009524"/>
    <w:lvl w:ilvl="0">
      <w:start w:val="4"/>
      <w:numFmt w:val="decimal"/>
      <w:lvlText w:val="%1"/>
      <w:lvlJc w:val="left"/>
      <w:pPr>
        <w:ind w:left="1695" w:hanging="551"/>
        <w:jc w:val="left"/>
      </w:pPr>
      <w:rPr>
        <w:rFonts w:hint="default"/>
        <w:lang w:val="es-ES" w:eastAsia="en-US" w:bidi="ar-SA"/>
      </w:rPr>
    </w:lvl>
    <w:lvl w:ilvl="1">
      <w:start w:val="2"/>
      <w:numFmt w:val="decimal"/>
      <w:lvlText w:val="%1.%2"/>
      <w:lvlJc w:val="left"/>
      <w:pPr>
        <w:ind w:left="1695" w:hanging="551"/>
        <w:jc w:val="left"/>
      </w:pPr>
      <w:rPr>
        <w:rFonts w:hint="default"/>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4128" w:hanging="551"/>
      </w:pPr>
      <w:rPr>
        <w:rFonts w:hint="default"/>
        <w:lang w:val="es-ES" w:eastAsia="en-US" w:bidi="ar-SA"/>
      </w:rPr>
    </w:lvl>
    <w:lvl w:ilvl="4">
      <w:numFmt w:val="bullet"/>
      <w:lvlText w:val="•"/>
      <w:lvlJc w:val="left"/>
      <w:pPr>
        <w:ind w:left="4938" w:hanging="551"/>
      </w:pPr>
      <w:rPr>
        <w:rFonts w:hint="default"/>
        <w:lang w:val="es-ES" w:eastAsia="en-US" w:bidi="ar-SA"/>
      </w:rPr>
    </w:lvl>
    <w:lvl w:ilvl="5">
      <w:numFmt w:val="bullet"/>
      <w:lvlText w:val="•"/>
      <w:lvlJc w:val="left"/>
      <w:pPr>
        <w:ind w:left="5747" w:hanging="551"/>
      </w:pPr>
      <w:rPr>
        <w:rFonts w:hint="default"/>
        <w:lang w:val="es-ES" w:eastAsia="en-US" w:bidi="ar-SA"/>
      </w:rPr>
    </w:lvl>
    <w:lvl w:ilvl="6">
      <w:numFmt w:val="bullet"/>
      <w:lvlText w:val="•"/>
      <w:lvlJc w:val="left"/>
      <w:pPr>
        <w:ind w:left="6557" w:hanging="551"/>
      </w:pPr>
      <w:rPr>
        <w:rFonts w:hint="default"/>
        <w:lang w:val="es-ES" w:eastAsia="en-US" w:bidi="ar-SA"/>
      </w:rPr>
    </w:lvl>
    <w:lvl w:ilvl="7">
      <w:numFmt w:val="bullet"/>
      <w:lvlText w:val="•"/>
      <w:lvlJc w:val="left"/>
      <w:pPr>
        <w:ind w:left="7366" w:hanging="551"/>
      </w:pPr>
      <w:rPr>
        <w:rFonts w:hint="default"/>
        <w:lang w:val="es-ES" w:eastAsia="en-US" w:bidi="ar-SA"/>
      </w:rPr>
    </w:lvl>
    <w:lvl w:ilvl="8">
      <w:numFmt w:val="bullet"/>
      <w:lvlText w:val="•"/>
      <w:lvlJc w:val="left"/>
      <w:pPr>
        <w:ind w:left="8176" w:hanging="551"/>
      </w:pPr>
      <w:rPr>
        <w:rFonts w:hint="default"/>
        <w:lang w:val="es-ES" w:eastAsia="en-US" w:bidi="ar-SA"/>
      </w:rPr>
    </w:lvl>
  </w:abstractNum>
  <w:abstractNum w:abstractNumId="74">
    <w:nsid w:val="716D3255"/>
    <w:multiLevelType w:val="multilevel"/>
    <w:tmpl w:val="F378DEB4"/>
    <w:lvl w:ilvl="0">
      <w:start w:val="4"/>
      <w:numFmt w:val="decimal"/>
      <w:lvlText w:val="%1"/>
      <w:lvlJc w:val="left"/>
      <w:pPr>
        <w:ind w:left="792" w:hanging="367"/>
        <w:jc w:val="left"/>
      </w:pPr>
      <w:rPr>
        <w:rFonts w:hint="default"/>
        <w:lang w:val="es-ES" w:eastAsia="en-US" w:bidi="ar-SA"/>
      </w:rPr>
    </w:lvl>
    <w:lvl w:ilvl="1">
      <w:start w:val="1"/>
      <w:numFmt w:val="decimal"/>
      <w:lvlText w:val="%1.%2"/>
      <w:lvlJc w:val="left"/>
      <w:pPr>
        <w:ind w:left="792" w:hanging="367"/>
        <w:jc w:val="left"/>
      </w:pPr>
      <w:rPr>
        <w:rFonts w:ascii="Arial" w:eastAsia="Arial" w:hAnsi="Arial" w:cs="Arial" w:hint="default"/>
        <w:b/>
        <w:bCs/>
        <w:i w:val="0"/>
        <w:iCs w:val="0"/>
        <w:spacing w:val="-1"/>
        <w:w w:val="100"/>
        <w:sz w:val="22"/>
        <w:szCs w:val="22"/>
        <w:lang w:val="es-ES" w:eastAsia="en-US" w:bidi="ar-SA"/>
      </w:rPr>
    </w:lvl>
    <w:lvl w:ilvl="2">
      <w:start w:val="1"/>
      <w:numFmt w:val="decimal"/>
      <w:lvlText w:val="%1.%2.%3"/>
      <w:lvlJc w:val="left"/>
      <w:pPr>
        <w:ind w:left="75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2798" w:hanging="551"/>
      </w:pPr>
      <w:rPr>
        <w:rFonts w:hint="default"/>
        <w:lang w:val="es-ES" w:eastAsia="en-US" w:bidi="ar-SA"/>
      </w:rPr>
    </w:lvl>
    <w:lvl w:ilvl="4">
      <w:numFmt w:val="bullet"/>
      <w:lvlText w:val="•"/>
      <w:lvlJc w:val="left"/>
      <w:pPr>
        <w:ind w:left="3798" w:hanging="551"/>
      </w:pPr>
      <w:rPr>
        <w:rFonts w:hint="default"/>
        <w:lang w:val="es-ES" w:eastAsia="en-US" w:bidi="ar-SA"/>
      </w:rPr>
    </w:lvl>
    <w:lvl w:ilvl="5">
      <w:numFmt w:val="bullet"/>
      <w:lvlText w:val="•"/>
      <w:lvlJc w:val="left"/>
      <w:pPr>
        <w:ind w:left="4797" w:hanging="551"/>
      </w:pPr>
      <w:rPr>
        <w:rFonts w:hint="default"/>
        <w:lang w:val="es-ES" w:eastAsia="en-US" w:bidi="ar-SA"/>
      </w:rPr>
    </w:lvl>
    <w:lvl w:ilvl="6">
      <w:numFmt w:val="bullet"/>
      <w:lvlText w:val="•"/>
      <w:lvlJc w:val="left"/>
      <w:pPr>
        <w:ind w:left="5797" w:hanging="551"/>
      </w:pPr>
      <w:rPr>
        <w:rFonts w:hint="default"/>
        <w:lang w:val="es-ES" w:eastAsia="en-US" w:bidi="ar-SA"/>
      </w:rPr>
    </w:lvl>
    <w:lvl w:ilvl="7">
      <w:numFmt w:val="bullet"/>
      <w:lvlText w:val="•"/>
      <w:lvlJc w:val="left"/>
      <w:pPr>
        <w:ind w:left="6796" w:hanging="551"/>
      </w:pPr>
      <w:rPr>
        <w:rFonts w:hint="default"/>
        <w:lang w:val="es-ES" w:eastAsia="en-US" w:bidi="ar-SA"/>
      </w:rPr>
    </w:lvl>
    <w:lvl w:ilvl="8">
      <w:numFmt w:val="bullet"/>
      <w:lvlText w:val="•"/>
      <w:lvlJc w:val="left"/>
      <w:pPr>
        <w:ind w:left="7796" w:hanging="551"/>
      </w:pPr>
      <w:rPr>
        <w:rFonts w:hint="default"/>
        <w:lang w:val="es-ES" w:eastAsia="en-US" w:bidi="ar-SA"/>
      </w:rPr>
    </w:lvl>
  </w:abstractNum>
  <w:abstractNum w:abstractNumId="75">
    <w:nsid w:val="7291070A"/>
    <w:multiLevelType w:val="hybridMultilevel"/>
    <w:tmpl w:val="8404EF26"/>
    <w:lvl w:ilvl="0" w:tplc="030884B8">
      <w:numFmt w:val="bullet"/>
      <w:lvlText w:val="●"/>
      <w:lvlJc w:val="left"/>
      <w:pPr>
        <w:ind w:left="720" w:hanging="360"/>
      </w:pPr>
      <w:rPr>
        <w:rFonts w:ascii="Arial MT" w:eastAsia="Arial MT" w:hAnsi="Arial MT" w:cs="Arial MT" w:hint="default"/>
        <w:b w:val="0"/>
        <w:bCs w:val="0"/>
        <w:i w:val="0"/>
        <w:iCs w:val="0"/>
        <w:spacing w:val="0"/>
        <w:w w:val="60"/>
        <w:sz w:val="22"/>
        <w:szCs w:val="22"/>
        <w:lang w:val="es-ES" w:eastAsia="en-US" w:bidi="ar-SA"/>
      </w:rPr>
    </w:lvl>
    <w:lvl w:ilvl="1" w:tplc="25EC1630">
      <w:numFmt w:val="bullet"/>
      <w:lvlText w:val="•"/>
      <w:lvlJc w:val="left"/>
      <w:pPr>
        <w:ind w:left="1087" w:hanging="360"/>
      </w:pPr>
      <w:rPr>
        <w:rFonts w:hint="default"/>
        <w:lang w:val="es-ES" w:eastAsia="en-US" w:bidi="ar-SA"/>
      </w:rPr>
    </w:lvl>
    <w:lvl w:ilvl="2" w:tplc="878A2BA4">
      <w:numFmt w:val="bullet"/>
      <w:lvlText w:val="•"/>
      <w:lvlJc w:val="left"/>
      <w:pPr>
        <w:ind w:left="1454" w:hanging="360"/>
      </w:pPr>
      <w:rPr>
        <w:rFonts w:hint="default"/>
        <w:lang w:val="es-ES" w:eastAsia="en-US" w:bidi="ar-SA"/>
      </w:rPr>
    </w:lvl>
    <w:lvl w:ilvl="3" w:tplc="79BCA0EA">
      <w:numFmt w:val="bullet"/>
      <w:lvlText w:val="•"/>
      <w:lvlJc w:val="left"/>
      <w:pPr>
        <w:ind w:left="1821" w:hanging="360"/>
      </w:pPr>
      <w:rPr>
        <w:rFonts w:hint="default"/>
        <w:lang w:val="es-ES" w:eastAsia="en-US" w:bidi="ar-SA"/>
      </w:rPr>
    </w:lvl>
    <w:lvl w:ilvl="4" w:tplc="CF883F56">
      <w:numFmt w:val="bullet"/>
      <w:lvlText w:val="•"/>
      <w:lvlJc w:val="left"/>
      <w:pPr>
        <w:ind w:left="2188" w:hanging="360"/>
      </w:pPr>
      <w:rPr>
        <w:rFonts w:hint="default"/>
        <w:lang w:val="es-ES" w:eastAsia="en-US" w:bidi="ar-SA"/>
      </w:rPr>
    </w:lvl>
    <w:lvl w:ilvl="5" w:tplc="15C4406E">
      <w:numFmt w:val="bullet"/>
      <w:lvlText w:val="•"/>
      <w:lvlJc w:val="left"/>
      <w:pPr>
        <w:ind w:left="2556" w:hanging="360"/>
      </w:pPr>
      <w:rPr>
        <w:rFonts w:hint="default"/>
        <w:lang w:val="es-ES" w:eastAsia="en-US" w:bidi="ar-SA"/>
      </w:rPr>
    </w:lvl>
    <w:lvl w:ilvl="6" w:tplc="2B50104E">
      <w:numFmt w:val="bullet"/>
      <w:lvlText w:val="•"/>
      <w:lvlJc w:val="left"/>
      <w:pPr>
        <w:ind w:left="2923" w:hanging="360"/>
      </w:pPr>
      <w:rPr>
        <w:rFonts w:hint="default"/>
        <w:lang w:val="es-ES" w:eastAsia="en-US" w:bidi="ar-SA"/>
      </w:rPr>
    </w:lvl>
    <w:lvl w:ilvl="7" w:tplc="E618B120">
      <w:numFmt w:val="bullet"/>
      <w:lvlText w:val="•"/>
      <w:lvlJc w:val="left"/>
      <w:pPr>
        <w:ind w:left="3290" w:hanging="360"/>
      </w:pPr>
      <w:rPr>
        <w:rFonts w:hint="default"/>
        <w:lang w:val="es-ES" w:eastAsia="en-US" w:bidi="ar-SA"/>
      </w:rPr>
    </w:lvl>
    <w:lvl w:ilvl="8" w:tplc="B9BCD9C4">
      <w:numFmt w:val="bullet"/>
      <w:lvlText w:val="•"/>
      <w:lvlJc w:val="left"/>
      <w:pPr>
        <w:ind w:left="3657" w:hanging="360"/>
      </w:pPr>
      <w:rPr>
        <w:rFonts w:hint="default"/>
        <w:lang w:val="es-ES" w:eastAsia="en-US" w:bidi="ar-SA"/>
      </w:rPr>
    </w:lvl>
  </w:abstractNum>
  <w:abstractNum w:abstractNumId="76">
    <w:nsid w:val="74733736"/>
    <w:multiLevelType w:val="hybridMultilevel"/>
    <w:tmpl w:val="BD5269F2"/>
    <w:lvl w:ilvl="0" w:tplc="D5F258C2">
      <w:numFmt w:val="bullet"/>
      <w:lvlText w:val="●"/>
      <w:lvlJc w:val="left"/>
      <w:pPr>
        <w:ind w:left="828" w:hanging="360"/>
      </w:pPr>
      <w:rPr>
        <w:rFonts w:ascii="Arial MT" w:eastAsia="Arial MT" w:hAnsi="Arial MT" w:cs="Arial MT" w:hint="default"/>
        <w:b w:val="0"/>
        <w:bCs w:val="0"/>
        <w:i w:val="0"/>
        <w:iCs w:val="0"/>
        <w:spacing w:val="0"/>
        <w:w w:val="60"/>
        <w:sz w:val="22"/>
        <w:szCs w:val="22"/>
        <w:lang w:val="es-ES" w:eastAsia="en-US" w:bidi="ar-SA"/>
      </w:rPr>
    </w:lvl>
    <w:lvl w:ilvl="1" w:tplc="91FABABE">
      <w:numFmt w:val="bullet"/>
      <w:lvlText w:val="•"/>
      <w:lvlJc w:val="left"/>
      <w:pPr>
        <w:ind w:left="1198" w:hanging="360"/>
      </w:pPr>
      <w:rPr>
        <w:rFonts w:hint="default"/>
        <w:lang w:val="es-ES" w:eastAsia="en-US" w:bidi="ar-SA"/>
      </w:rPr>
    </w:lvl>
    <w:lvl w:ilvl="2" w:tplc="7DB2A152">
      <w:numFmt w:val="bullet"/>
      <w:lvlText w:val="•"/>
      <w:lvlJc w:val="left"/>
      <w:pPr>
        <w:ind w:left="1577" w:hanging="360"/>
      </w:pPr>
      <w:rPr>
        <w:rFonts w:hint="default"/>
        <w:lang w:val="es-ES" w:eastAsia="en-US" w:bidi="ar-SA"/>
      </w:rPr>
    </w:lvl>
    <w:lvl w:ilvl="3" w:tplc="605AD5F8">
      <w:numFmt w:val="bullet"/>
      <w:lvlText w:val="•"/>
      <w:lvlJc w:val="left"/>
      <w:pPr>
        <w:ind w:left="1956" w:hanging="360"/>
      </w:pPr>
      <w:rPr>
        <w:rFonts w:hint="default"/>
        <w:lang w:val="es-ES" w:eastAsia="en-US" w:bidi="ar-SA"/>
      </w:rPr>
    </w:lvl>
    <w:lvl w:ilvl="4" w:tplc="30D83404">
      <w:numFmt w:val="bullet"/>
      <w:lvlText w:val="•"/>
      <w:lvlJc w:val="left"/>
      <w:pPr>
        <w:ind w:left="2335" w:hanging="360"/>
      </w:pPr>
      <w:rPr>
        <w:rFonts w:hint="default"/>
        <w:lang w:val="es-ES" w:eastAsia="en-US" w:bidi="ar-SA"/>
      </w:rPr>
    </w:lvl>
    <w:lvl w:ilvl="5" w:tplc="07B06DCE">
      <w:numFmt w:val="bullet"/>
      <w:lvlText w:val="•"/>
      <w:lvlJc w:val="left"/>
      <w:pPr>
        <w:ind w:left="2714" w:hanging="360"/>
      </w:pPr>
      <w:rPr>
        <w:rFonts w:hint="default"/>
        <w:lang w:val="es-ES" w:eastAsia="en-US" w:bidi="ar-SA"/>
      </w:rPr>
    </w:lvl>
    <w:lvl w:ilvl="6" w:tplc="D5A0E4D8">
      <w:numFmt w:val="bullet"/>
      <w:lvlText w:val="•"/>
      <w:lvlJc w:val="left"/>
      <w:pPr>
        <w:ind w:left="3093" w:hanging="360"/>
      </w:pPr>
      <w:rPr>
        <w:rFonts w:hint="default"/>
        <w:lang w:val="es-ES" w:eastAsia="en-US" w:bidi="ar-SA"/>
      </w:rPr>
    </w:lvl>
    <w:lvl w:ilvl="7" w:tplc="CC56BEBC">
      <w:numFmt w:val="bullet"/>
      <w:lvlText w:val="•"/>
      <w:lvlJc w:val="left"/>
      <w:pPr>
        <w:ind w:left="3472" w:hanging="360"/>
      </w:pPr>
      <w:rPr>
        <w:rFonts w:hint="default"/>
        <w:lang w:val="es-ES" w:eastAsia="en-US" w:bidi="ar-SA"/>
      </w:rPr>
    </w:lvl>
    <w:lvl w:ilvl="8" w:tplc="A6B4F8D0">
      <w:numFmt w:val="bullet"/>
      <w:lvlText w:val="•"/>
      <w:lvlJc w:val="left"/>
      <w:pPr>
        <w:ind w:left="3851" w:hanging="360"/>
      </w:pPr>
      <w:rPr>
        <w:rFonts w:hint="default"/>
        <w:lang w:val="es-ES" w:eastAsia="en-US" w:bidi="ar-SA"/>
      </w:rPr>
    </w:lvl>
  </w:abstractNum>
  <w:abstractNum w:abstractNumId="77">
    <w:nsid w:val="75ED57D4"/>
    <w:multiLevelType w:val="multilevel"/>
    <w:tmpl w:val="61706D34"/>
    <w:lvl w:ilvl="0">
      <w:start w:val="7"/>
      <w:numFmt w:val="decimal"/>
      <w:lvlText w:val="%1"/>
      <w:lvlJc w:val="left"/>
      <w:pPr>
        <w:ind w:left="1005" w:hanging="551"/>
        <w:jc w:val="left"/>
      </w:pPr>
      <w:rPr>
        <w:rFonts w:hint="default"/>
        <w:lang w:val="es-ES" w:eastAsia="en-US" w:bidi="ar-SA"/>
      </w:rPr>
    </w:lvl>
    <w:lvl w:ilvl="1">
      <w:start w:val="3"/>
      <w:numFmt w:val="decimal"/>
      <w:lvlText w:val="%1.%2"/>
      <w:lvlJc w:val="left"/>
      <w:pPr>
        <w:ind w:left="1005" w:hanging="551"/>
        <w:jc w:val="left"/>
      </w:pPr>
      <w:rPr>
        <w:rFonts w:hint="default"/>
        <w:lang w:val="es-ES" w:eastAsia="en-US" w:bidi="ar-SA"/>
      </w:rPr>
    </w:lvl>
    <w:lvl w:ilvl="2">
      <w:start w:val="1"/>
      <w:numFmt w:val="decimal"/>
      <w:lvlText w:val="%1.%2.%3"/>
      <w:lvlJc w:val="left"/>
      <w:pPr>
        <w:ind w:left="1005" w:hanging="551"/>
        <w:jc w:val="left"/>
      </w:pPr>
      <w:rPr>
        <w:rFonts w:hint="default"/>
        <w:spacing w:val="-1"/>
        <w:w w:val="100"/>
        <w:lang w:val="es-ES" w:eastAsia="en-US" w:bidi="ar-SA"/>
      </w:rPr>
    </w:lvl>
    <w:lvl w:ilvl="3">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4">
      <w:numFmt w:val="bullet"/>
      <w:lvlText w:val="•"/>
      <w:lvlJc w:val="left"/>
      <w:pPr>
        <w:ind w:left="4025" w:hanging="360"/>
      </w:pPr>
      <w:rPr>
        <w:rFonts w:hint="default"/>
        <w:lang w:val="es-ES" w:eastAsia="en-US" w:bidi="ar-SA"/>
      </w:rPr>
    </w:lvl>
    <w:lvl w:ilvl="5">
      <w:numFmt w:val="bullet"/>
      <w:lvlText w:val="•"/>
      <w:lvlJc w:val="left"/>
      <w:pPr>
        <w:ind w:left="4986" w:hanging="360"/>
      </w:pPr>
      <w:rPr>
        <w:rFonts w:hint="default"/>
        <w:lang w:val="es-ES" w:eastAsia="en-US" w:bidi="ar-SA"/>
      </w:rPr>
    </w:lvl>
    <w:lvl w:ilvl="6">
      <w:numFmt w:val="bullet"/>
      <w:lvlText w:val="•"/>
      <w:lvlJc w:val="left"/>
      <w:pPr>
        <w:ind w:left="5948" w:hanging="360"/>
      </w:pPr>
      <w:rPr>
        <w:rFonts w:hint="default"/>
        <w:lang w:val="es-ES" w:eastAsia="en-US" w:bidi="ar-SA"/>
      </w:rPr>
    </w:lvl>
    <w:lvl w:ilvl="7">
      <w:numFmt w:val="bullet"/>
      <w:lvlText w:val="•"/>
      <w:lvlJc w:val="left"/>
      <w:pPr>
        <w:ind w:left="6910" w:hanging="360"/>
      </w:pPr>
      <w:rPr>
        <w:rFonts w:hint="default"/>
        <w:lang w:val="es-ES" w:eastAsia="en-US" w:bidi="ar-SA"/>
      </w:rPr>
    </w:lvl>
    <w:lvl w:ilvl="8">
      <w:numFmt w:val="bullet"/>
      <w:lvlText w:val="•"/>
      <w:lvlJc w:val="left"/>
      <w:pPr>
        <w:ind w:left="7871" w:hanging="360"/>
      </w:pPr>
      <w:rPr>
        <w:rFonts w:hint="default"/>
        <w:lang w:val="es-ES" w:eastAsia="en-US" w:bidi="ar-SA"/>
      </w:rPr>
    </w:lvl>
  </w:abstractNum>
  <w:abstractNum w:abstractNumId="78">
    <w:nsid w:val="76102697"/>
    <w:multiLevelType w:val="multilevel"/>
    <w:tmpl w:val="D354B8DC"/>
    <w:lvl w:ilvl="0">
      <w:start w:val="2"/>
      <w:numFmt w:val="decimal"/>
      <w:lvlText w:val="%1"/>
      <w:lvlJc w:val="left"/>
      <w:pPr>
        <w:ind w:left="1470" w:hanging="551"/>
        <w:jc w:val="left"/>
      </w:pPr>
      <w:rPr>
        <w:rFonts w:hint="default"/>
        <w:lang w:val="es-ES" w:eastAsia="en-US" w:bidi="ar-SA"/>
      </w:rPr>
    </w:lvl>
    <w:lvl w:ilvl="1">
      <w:start w:val="4"/>
      <w:numFmt w:val="decimal"/>
      <w:lvlText w:val="%1.%2"/>
      <w:lvlJc w:val="left"/>
      <w:pPr>
        <w:ind w:left="1470" w:hanging="551"/>
        <w:jc w:val="left"/>
      </w:pPr>
      <w:rPr>
        <w:rFonts w:hint="default"/>
        <w:lang w:val="es-ES" w:eastAsia="en-US" w:bidi="ar-SA"/>
      </w:rPr>
    </w:lvl>
    <w:lvl w:ilvl="2">
      <w:start w:val="3"/>
      <w:numFmt w:val="decimal"/>
      <w:lvlText w:val="%1.%2.%3"/>
      <w:lvlJc w:val="left"/>
      <w:pPr>
        <w:ind w:left="147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974" w:hanging="551"/>
      </w:pPr>
      <w:rPr>
        <w:rFonts w:hint="default"/>
        <w:lang w:val="es-ES" w:eastAsia="en-US" w:bidi="ar-SA"/>
      </w:rPr>
    </w:lvl>
    <w:lvl w:ilvl="4">
      <w:numFmt w:val="bullet"/>
      <w:lvlText w:val="•"/>
      <w:lvlJc w:val="left"/>
      <w:pPr>
        <w:ind w:left="4806" w:hanging="551"/>
      </w:pPr>
      <w:rPr>
        <w:rFonts w:hint="default"/>
        <w:lang w:val="es-ES" w:eastAsia="en-US" w:bidi="ar-SA"/>
      </w:rPr>
    </w:lvl>
    <w:lvl w:ilvl="5">
      <w:numFmt w:val="bullet"/>
      <w:lvlText w:val="•"/>
      <w:lvlJc w:val="left"/>
      <w:pPr>
        <w:ind w:left="5637" w:hanging="551"/>
      </w:pPr>
      <w:rPr>
        <w:rFonts w:hint="default"/>
        <w:lang w:val="es-ES" w:eastAsia="en-US" w:bidi="ar-SA"/>
      </w:rPr>
    </w:lvl>
    <w:lvl w:ilvl="6">
      <w:numFmt w:val="bullet"/>
      <w:lvlText w:val="•"/>
      <w:lvlJc w:val="left"/>
      <w:pPr>
        <w:ind w:left="6469" w:hanging="551"/>
      </w:pPr>
      <w:rPr>
        <w:rFonts w:hint="default"/>
        <w:lang w:val="es-ES" w:eastAsia="en-US" w:bidi="ar-SA"/>
      </w:rPr>
    </w:lvl>
    <w:lvl w:ilvl="7">
      <w:numFmt w:val="bullet"/>
      <w:lvlText w:val="•"/>
      <w:lvlJc w:val="left"/>
      <w:pPr>
        <w:ind w:left="7300" w:hanging="551"/>
      </w:pPr>
      <w:rPr>
        <w:rFonts w:hint="default"/>
        <w:lang w:val="es-ES" w:eastAsia="en-US" w:bidi="ar-SA"/>
      </w:rPr>
    </w:lvl>
    <w:lvl w:ilvl="8">
      <w:numFmt w:val="bullet"/>
      <w:lvlText w:val="•"/>
      <w:lvlJc w:val="left"/>
      <w:pPr>
        <w:ind w:left="8132" w:hanging="551"/>
      </w:pPr>
      <w:rPr>
        <w:rFonts w:hint="default"/>
        <w:lang w:val="es-ES" w:eastAsia="en-US" w:bidi="ar-SA"/>
      </w:rPr>
    </w:lvl>
  </w:abstractNum>
  <w:abstractNum w:abstractNumId="79">
    <w:nsid w:val="767A74EE"/>
    <w:multiLevelType w:val="multilevel"/>
    <w:tmpl w:val="5A746E12"/>
    <w:lvl w:ilvl="0">
      <w:start w:val="4"/>
      <w:numFmt w:val="decimal"/>
      <w:lvlText w:val="%1"/>
      <w:lvlJc w:val="left"/>
      <w:pPr>
        <w:ind w:left="1152" w:hanging="367"/>
        <w:jc w:val="left"/>
      </w:pPr>
      <w:rPr>
        <w:rFonts w:hint="default"/>
        <w:lang w:val="es-ES" w:eastAsia="en-US" w:bidi="ar-SA"/>
      </w:rPr>
    </w:lvl>
    <w:lvl w:ilvl="1">
      <w:start w:val="1"/>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498" w:hanging="551"/>
      </w:pPr>
      <w:rPr>
        <w:rFonts w:hint="default"/>
        <w:lang w:val="es-ES" w:eastAsia="en-US" w:bidi="ar-SA"/>
      </w:rPr>
    </w:lvl>
    <w:lvl w:ilvl="4">
      <w:numFmt w:val="bullet"/>
      <w:lvlText w:val="•"/>
      <w:lvlJc w:val="left"/>
      <w:pPr>
        <w:ind w:left="4398" w:hanging="551"/>
      </w:pPr>
      <w:rPr>
        <w:rFonts w:hint="default"/>
        <w:lang w:val="es-ES" w:eastAsia="en-US" w:bidi="ar-SA"/>
      </w:rPr>
    </w:lvl>
    <w:lvl w:ilvl="5">
      <w:numFmt w:val="bullet"/>
      <w:lvlText w:val="•"/>
      <w:lvlJc w:val="left"/>
      <w:pPr>
        <w:ind w:left="5297" w:hanging="551"/>
      </w:pPr>
      <w:rPr>
        <w:rFonts w:hint="default"/>
        <w:lang w:val="es-ES" w:eastAsia="en-US" w:bidi="ar-SA"/>
      </w:rPr>
    </w:lvl>
    <w:lvl w:ilvl="6">
      <w:numFmt w:val="bullet"/>
      <w:lvlText w:val="•"/>
      <w:lvlJc w:val="left"/>
      <w:pPr>
        <w:ind w:left="6197" w:hanging="551"/>
      </w:pPr>
      <w:rPr>
        <w:rFonts w:hint="default"/>
        <w:lang w:val="es-ES" w:eastAsia="en-US" w:bidi="ar-SA"/>
      </w:rPr>
    </w:lvl>
    <w:lvl w:ilvl="7">
      <w:numFmt w:val="bullet"/>
      <w:lvlText w:val="•"/>
      <w:lvlJc w:val="left"/>
      <w:pPr>
        <w:ind w:left="7096" w:hanging="551"/>
      </w:pPr>
      <w:rPr>
        <w:rFonts w:hint="default"/>
        <w:lang w:val="es-ES" w:eastAsia="en-US" w:bidi="ar-SA"/>
      </w:rPr>
    </w:lvl>
    <w:lvl w:ilvl="8">
      <w:numFmt w:val="bullet"/>
      <w:lvlText w:val="•"/>
      <w:lvlJc w:val="left"/>
      <w:pPr>
        <w:ind w:left="7996" w:hanging="551"/>
      </w:pPr>
      <w:rPr>
        <w:rFonts w:hint="default"/>
        <w:lang w:val="es-ES" w:eastAsia="en-US" w:bidi="ar-SA"/>
      </w:rPr>
    </w:lvl>
  </w:abstractNum>
  <w:abstractNum w:abstractNumId="80">
    <w:nsid w:val="770E2661"/>
    <w:multiLevelType w:val="hybridMultilevel"/>
    <w:tmpl w:val="08BEBF4E"/>
    <w:lvl w:ilvl="0" w:tplc="AF34FFBE">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BB8681D8">
      <w:numFmt w:val="bullet"/>
      <w:lvlText w:val="•"/>
      <w:lvlJc w:val="left"/>
      <w:pPr>
        <w:ind w:left="2005" w:hanging="360"/>
      </w:pPr>
      <w:rPr>
        <w:rFonts w:hint="default"/>
        <w:lang w:val="es-ES" w:eastAsia="en-US" w:bidi="ar-SA"/>
      </w:rPr>
    </w:lvl>
    <w:lvl w:ilvl="2" w:tplc="D84EA8EC">
      <w:numFmt w:val="bullet"/>
      <w:lvlText w:val="•"/>
      <w:lvlJc w:val="left"/>
      <w:pPr>
        <w:ind w:left="2871" w:hanging="360"/>
      </w:pPr>
      <w:rPr>
        <w:rFonts w:hint="default"/>
        <w:lang w:val="es-ES" w:eastAsia="en-US" w:bidi="ar-SA"/>
      </w:rPr>
    </w:lvl>
    <w:lvl w:ilvl="3" w:tplc="E68AD572">
      <w:numFmt w:val="bullet"/>
      <w:lvlText w:val="•"/>
      <w:lvlJc w:val="left"/>
      <w:pPr>
        <w:ind w:left="3736" w:hanging="360"/>
      </w:pPr>
      <w:rPr>
        <w:rFonts w:hint="default"/>
        <w:lang w:val="es-ES" w:eastAsia="en-US" w:bidi="ar-SA"/>
      </w:rPr>
    </w:lvl>
    <w:lvl w:ilvl="4" w:tplc="F29C06CC">
      <w:numFmt w:val="bullet"/>
      <w:lvlText w:val="•"/>
      <w:lvlJc w:val="left"/>
      <w:pPr>
        <w:ind w:left="4602" w:hanging="360"/>
      </w:pPr>
      <w:rPr>
        <w:rFonts w:hint="default"/>
        <w:lang w:val="es-ES" w:eastAsia="en-US" w:bidi="ar-SA"/>
      </w:rPr>
    </w:lvl>
    <w:lvl w:ilvl="5" w:tplc="40767AC4">
      <w:numFmt w:val="bullet"/>
      <w:lvlText w:val="•"/>
      <w:lvlJc w:val="left"/>
      <w:pPr>
        <w:ind w:left="5467" w:hanging="360"/>
      </w:pPr>
      <w:rPr>
        <w:rFonts w:hint="default"/>
        <w:lang w:val="es-ES" w:eastAsia="en-US" w:bidi="ar-SA"/>
      </w:rPr>
    </w:lvl>
    <w:lvl w:ilvl="6" w:tplc="4CD27664">
      <w:numFmt w:val="bullet"/>
      <w:lvlText w:val="•"/>
      <w:lvlJc w:val="left"/>
      <w:pPr>
        <w:ind w:left="6333" w:hanging="360"/>
      </w:pPr>
      <w:rPr>
        <w:rFonts w:hint="default"/>
        <w:lang w:val="es-ES" w:eastAsia="en-US" w:bidi="ar-SA"/>
      </w:rPr>
    </w:lvl>
    <w:lvl w:ilvl="7" w:tplc="7362CFB2">
      <w:numFmt w:val="bullet"/>
      <w:lvlText w:val="•"/>
      <w:lvlJc w:val="left"/>
      <w:pPr>
        <w:ind w:left="7198" w:hanging="360"/>
      </w:pPr>
      <w:rPr>
        <w:rFonts w:hint="default"/>
        <w:lang w:val="es-ES" w:eastAsia="en-US" w:bidi="ar-SA"/>
      </w:rPr>
    </w:lvl>
    <w:lvl w:ilvl="8" w:tplc="7EC84C66">
      <w:numFmt w:val="bullet"/>
      <w:lvlText w:val="•"/>
      <w:lvlJc w:val="left"/>
      <w:pPr>
        <w:ind w:left="8064" w:hanging="360"/>
      </w:pPr>
      <w:rPr>
        <w:rFonts w:hint="default"/>
        <w:lang w:val="es-ES" w:eastAsia="en-US" w:bidi="ar-SA"/>
      </w:rPr>
    </w:lvl>
  </w:abstractNum>
  <w:abstractNum w:abstractNumId="81">
    <w:nsid w:val="786B6B62"/>
    <w:multiLevelType w:val="hybridMultilevel"/>
    <w:tmpl w:val="94CAA2F8"/>
    <w:lvl w:ilvl="0" w:tplc="B39608BC">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8F3C56FE">
      <w:numFmt w:val="bullet"/>
      <w:lvlText w:val="•"/>
      <w:lvlJc w:val="left"/>
      <w:pPr>
        <w:ind w:left="2005" w:hanging="360"/>
      </w:pPr>
      <w:rPr>
        <w:rFonts w:hint="default"/>
        <w:lang w:val="es-ES" w:eastAsia="en-US" w:bidi="ar-SA"/>
      </w:rPr>
    </w:lvl>
    <w:lvl w:ilvl="2" w:tplc="DD7424E4">
      <w:numFmt w:val="bullet"/>
      <w:lvlText w:val="•"/>
      <w:lvlJc w:val="left"/>
      <w:pPr>
        <w:ind w:left="2871" w:hanging="360"/>
      </w:pPr>
      <w:rPr>
        <w:rFonts w:hint="default"/>
        <w:lang w:val="es-ES" w:eastAsia="en-US" w:bidi="ar-SA"/>
      </w:rPr>
    </w:lvl>
    <w:lvl w:ilvl="3" w:tplc="94F4C438">
      <w:numFmt w:val="bullet"/>
      <w:lvlText w:val="•"/>
      <w:lvlJc w:val="left"/>
      <w:pPr>
        <w:ind w:left="3736" w:hanging="360"/>
      </w:pPr>
      <w:rPr>
        <w:rFonts w:hint="default"/>
        <w:lang w:val="es-ES" w:eastAsia="en-US" w:bidi="ar-SA"/>
      </w:rPr>
    </w:lvl>
    <w:lvl w:ilvl="4" w:tplc="2BA83B2A">
      <w:numFmt w:val="bullet"/>
      <w:lvlText w:val="•"/>
      <w:lvlJc w:val="left"/>
      <w:pPr>
        <w:ind w:left="4602" w:hanging="360"/>
      </w:pPr>
      <w:rPr>
        <w:rFonts w:hint="default"/>
        <w:lang w:val="es-ES" w:eastAsia="en-US" w:bidi="ar-SA"/>
      </w:rPr>
    </w:lvl>
    <w:lvl w:ilvl="5" w:tplc="3B86CF58">
      <w:numFmt w:val="bullet"/>
      <w:lvlText w:val="•"/>
      <w:lvlJc w:val="left"/>
      <w:pPr>
        <w:ind w:left="5467" w:hanging="360"/>
      </w:pPr>
      <w:rPr>
        <w:rFonts w:hint="default"/>
        <w:lang w:val="es-ES" w:eastAsia="en-US" w:bidi="ar-SA"/>
      </w:rPr>
    </w:lvl>
    <w:lvl w:ilvl="6" w:tplc="1208413C">
      <w:numFmt w:val="bullet"/>
      <w:lvlText w:val="•"/>
      <w:lvlJc w:val="left"/>
      <w:pPr>
        <w:ind w:left="6333" w:hanging="360"/>
      </w:pPr>
      <w:rPr>
        <w:rFonts w:hint="default"/>
        <w:lang w:val="es-ES" w:eastAsia="en-US" w:bidi="ar-SA"/>
      </w:rPr>
    </w:lvl>
    <w:lvl w:ilvl="7" w:tplc="E56C0096">
      <w:numFmt w:val="bullet"/>
      <w:lvlText w:val="•"/>
      <w:lvlJc w:val="left"/>
      <w:pPr>
        <w:ind w:left="7198" w:hanging="360"/>
      </w:pPr>
      <w:rPr>
        <w:rFonts w:hint="default"/>
        <w:lang w:val="es-ES" w:eastAsia="en-US" w:bidi="ar-SA"/>
      </w:rPr>
    </w:lvl>
    <w:lvl w:ilvl="8" w:tplc="ECA8738C">
      <w:numFmt w:val="bullet"/>
      <w:lvlText w:val="•"/>
      <w:lvlJc w:val="left"/>
      <w:pPr>
        <w:ind w:left="8064" w:hanging="360"/>
      </w:pPr>
      <w:rPr>
        <w:rFonts w:hint="default"/>
        <w:lang w:val="es-ES" w:eastAsia="en-US" w:bidi="ar-SA"/>
      </w:rPr>
    </w:lvl>
  </w:abstractNum>
  <w:abstractNum w:abstractNumId="82">
    <w:nsid w:val="796E4EFB"/>
    <w:multiLevelType w:val="multilevel"/>
    <w:tmpl w:val="1FE28F40"/>
    <w:lvl w:ilvl="0">
      <w:start w:val="2"/>
      <w:numFmt w:val="decimal"/>
      <w:lvlText w:val="%1"/>
      <w:lvlJc w:val="left"/>
      <w:pPr>
        <w:ind w:left="1470" w:hanging="551"/>
        <w:jc w:val="left"/>
      </w:pPr>
      <w:rPr>
        <w:rFonts w:hint="default"/>
        <w:lang w:val="es-ES" w:eastAsia="en-US" w:bidi="ar-SA"/>
      </w:rPr>
    </w:lvl>
    <w:lvl w:ilvl="1">
      <w:start w:val="4"/>
      <w:numFmt w:val="decimal"/>
      <w:lvlText w:val="%1.%2"/>
      <w:lvlJc w:val="left"/>
      <w:pPr>
        <w:ind w:left="1470" w:hanging="551"/>
        <w:jc w:val="left"/>
      </w:pPr>
      <w:rPr>
        <w:rFonts w:hint="default"/>
        <w:lang w:val="es-ES" w:eastAsia="en-US" w:bidi="ar-SA"/>
      </w:rPr>
    </w:lvl>
    <w:lvl w:ilvl="2">
      <w:start w:val="3"/>
      <w:numFmt w:val="decimal"/>
      <w:lvlText w:val="%1.%2.%3"/>
      <w:lvlJc w:val="left"/>
      <w:pPr>
        <w:ind w:left="1470" w:hanging="551"/>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974" w:hanging="551"/>
      </w:pPr>
      <w:rPr>
        <w:rFonts w:hint="default"/>
        <w:lang w:val="es-ES" w:eastAsia="en-US" w:bidi="ar-SA"/>
      </w:rPr>
    </w:lvl>
    <w:lvl w:ilvl="4">
      <w:numFmt w:val="bullet"/>
      <w:lvlText w:val="•"/>
      <w:lvlJc w:val="left"/>
      <w:pPr>
        <w:ind w:left="4806" w:hanging="551"/>
      </w:pPr>
      <w:rPr>
        <w:rFonts w:hint="default"/>
        <w:lang w:val="es-ES" w:eastAsia="en-US" w:bidi="ar-SA"/>
      </w:rPr>
    </w:lvl>
    <w:lvl w:ilvl="5">
      <w:numFmt w:val="bullet"/>
      <w:lvlText w:val="•"/>
      <w:lvlJc w:val="left"/>
      <w:pPr>
        <w:ind w:left="5637" w:hanging="551"/>
      </w:pPr>
      <w:rPr>
        <w:rFonts w:hint="default"/>
        <w:lang w:val="es-ES" w:eastAsia="en-US" w:bidi="ar-SA"/>
      </w:rPr>
    </w:lvl>
    <w:lvl w:ilvl="6">
      <w:numFmt w:val="bullet"/>
      <w:lvlText w:val="•"/>
      <w:lvlJc w:val="left"/>
      <w:pPr>
        <w:ind w:left="6469" w:hanging="551"/>
      </w:pPr>
      <w:rPr>
        <w:rFonts w:hint="default"/>
        <w:lang w:val="es-ES" w:eastAsia="en-US" w:bidi="ar-SA"/>
      </w:rPr>
    </w:lvl>
    <w:lvl w:ilvl="7">
      <w:numFmt w:val="bullet"/>
      <w:lvlText w:val="•"/>
      <w:lvlJc w:val="left"/>
      <w:pPr>
        <w:ind w:left="7300" w:hanging="551"/>
      </w:pPr>
      <w:rPr>
        <w:rFonts w:hint="default"/>
        <w:lang w:val="es-ES" w:eastAsia="en-US" w:bidi="ar-SA"/>
      </w:rPr>
    </w:lvl>
    <w:lvl w:ilvl="8">
      <w:numFmt w:val="bullet"/>
      <w:lvlText w:val="•"/>
      <w:lvlJc w:val="left"/>
      <w:pPr>
        <w:ind w:left="8132" w:hanging="551"/>
      </w:pPr>
      <w:rPr>
        <w:rFonts w:hint="default"/>
        <w:lang w:val="es-ES" w:eastAsia="en-US" w:bidi="ar-SA"/>
      </w:rPr>
    </w:lvl>
  </w:abstractNum>
  <w:abstractNum w:abstractNumId="83">
    <w:nsid w:val="7C121055"/>
    <w:multiLevelType w:val="hybridMultilevel"/>
    <w:tmpl w:val="8646B15C"/>
    <w:lvl w:ilvl="0" w:tplc="C0540C2A">
      <w:numFmt w:val="bullet"/>
      <w:lvlText w:val="●"/>
      <w:lvlJc w:val="left"/>
      <w:pPr>
        <w:ind w:left="1145" w:hanging="360"/>
      </w:pPr>
      <w:rPr>
        <w:rFonts w:ascii="Arial MT" w:eastAsia="Arial MT" w:hAnsi="Arial MT" w:cs="Arial MT" w:hint="default"/>
        <w:b w:val="0"/>
        <w:bCs w:val="0"/>
        <w:i w:val="0"/>
        <w:iCs w:val="0"/>
        <w:spacing w:val="0"/>
        <w:w w:val="60"/>
        <w:sz w:val="22"/>
        <w:szCs w:val="22"/>
        <w:lang w:val="es-ES" w:eastAsia="en-US" w:bidi="ar-SA"/>
      </w:rPr>
    </w:lvl>
    <w:lvl w:ilvl="1" w:tplc="F5869FC2">
      <w:numFmt w:val="bullet"/>
      <w:lvlText w:val="•"/>
      <w:lvlJc w:val="left"/>
      <w:pPr>
        <w:ind w:left="2005" w:hanging="360"/>
      </w:pPr>
      <w:rPr>
        <w:rFonts w:hint="default"/>
        <w:lang w:val="es-ES" w:eastAsia="en-US" w:bidi="ar-SA"/>
      </w:rPr>
    </w:lvl>
    <w:lvl w:ilvl="2" w:tplc="5602EE12">
      <w:numFmt w:val="bullet"/>
      <w:lvlText w:val="•"/>
      <w:lvlJc w:val="left"/>
      <w:pPr>
        <w:ind w:left="2871" w:hanging="360"/>
      </w:pPr>
      <w:rPr>
        <w:rFonts w:hint="default"/>
        <w:lang w:val="es-ES" w:eastAsia="en-US" w:bidi="ar-SA"/>
      </w:rPr>
    </w:lvl>
    <w:lvl w:ilvl="3" w:tplc="D49A8EE6">
      <w:numFmt w:val="bullet"/>
      <w:lvlText w:val="•"/>
      <w:lvlJc w:val="left"/>
      <w:pPr>
        <w:ind w:left="3736" w:hanging="360"/>
      </w:pPr>
      <w:rPr>
        <w:rFonts w:hint="default"/>
        <w:lang w:val="es-ES" w:eastAsia="en-US" w:bidi="ar-SA"/>
      </w:rPr>
    </w:lvl>
    <w:lvl w:ilvl="4" w:tplc="71C295E8">
      <w:numFmt w:val="bullet"/>
      <w:lvlText w:val="•"/>
      <w:lvlJc w:val="left"/>
      <w:pPr>
        <w:ind w:left="4602" w:hanging="360"/>
      </w:pPr>
      <w:rPr>
        <w:rFonts w:hint="default"/>
        <w:lang w:val="es-ES" w:eastAsia="en-US" w:bidi="ar-SA"/>
      </w:rPr>
    </w:lvl>
    <w:lvl w:ilvl="5" w:tplc="8A08C6B6">
      <w:numFmt w:val="bullet"/>
      <w:lvlText w:val="•"/>
      <w:lvlJc w:val="left"/>
      <w:pPr>
        <w:ind w:left="5467" w:hanging="360"/>
      </w:pPr>
      <w:rPr>
        <w:rFonts w:hint="default"/>
        <w:lang w:val="es-ES" w:eastAsia="en-US" w:bidi="ar-SA"/>
      </w:rPr>
    </w:lvl>
    <w:lvl w:ilvl="6" w:tplc="C0609B9A">
      <w:numFmt w:val="bullet"/>
      <w:lvlText w:val="•"/>
      <w:lvlJc w:val="left"/>
      <w:pPr>
        <w:ind w:left="6333" w:hanging="360"/>
      </w:pPr>
      <w:rPr>
        <w:rFonts w:hint="default"/>
        <w:lang w:val="es-ES" w:eastAsia="en-US" w:bidi="ar-SA"/>
      </w:rPr>
    </w:lvl>
    <w:lvl w:ilvl="7" w:tplc="CFB84FF0">
      <w:numFmt w:val="bullet"/>
      <w:lvlText w:val="•"/>
      <w:lvlJc w:val="left"/>
      <w:pPr>
        <w:ind w:left="7198" w:hanging="360"/>
      </w:pPr>
      <w:rPr>
        <w:rFonts w:hint="default"/>
        <w:lang w:val="es-ES" w:eastAsia="en-US" w:bidi="ar-SA"/>
      </w:rPr>
    </w:lvl>
    <w:lvl w:ilvl="8" w:tplc="2034DA7A">
      <w:numFmt w:val="bullet"/>
      <w:lvlText w:val="•"/>
      <w:lvlJc w:val="left"/>
      <w:pPr>
        <w:ind w:left="8064" w:hanging="360"/>
      </w:pPr>
      <w:rPr>
        <w:rFonts w:hint="default"/>
        <w:lang w:val="es-ES" w:eastAsia="en-US" w:bidi="ar-SA"/>
      </w:rPr>
    </w:lvl>
  </w:abstractNum>
  <w:abstractNum w:abstractNumId="84">
    <w:nsid w:val="7D602ABA"/>
    <w:multiLevelType w:val="multilevel"/>
    <w:tmpl w:val="1BA6338E"/>
    <w:lvl w:ilvl="0">
      <w:start w:val="3"/>
      <w:numFmt w:val="decimal"/>
      <w:lvlText w:val="%1."/>
      <w:lvlJc w:val="left"/>
      <w:pPr>
        <w:ind w:left="1030" w:hanging="245"/>
        <w:jc w:val="left"/>
      </w:pPr>
      <w:rPr>
        <w:rFonts w:ascii="Arial MT" w:eastAsia="Arial MT" w:hAnsi="Arial MT" w:cs="Arial MT" w:hint="default"/>
        <w:b w:val="0"/>
        <w:bCs w:val="0"/>
        <w:i w:val="0"/>
        <w:iCs w:val="0"/>
        <w:spacing w:val="-1"/>
        <w:w w:val="100"/>
        <w:sz w:val="22"/>
        <w:szCs w:val="22"/>
        <w:lang w:val="es-ES" w:eastAsia="en-US" w:bidi="ar-SA"/>
      </w:rPr>
    </w:lvl>
    <w:lvl w:ilvl="1">
      <w:start w:val="2"/>
      <w:numFmt w:val="decimal"/>
      <w:lvlText w:val="%1.%2"/>
      <w:lvlJc w:val="left"/>
      <w:pPr>
        <w:ind w:left="1152"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695" w:hanging="551"/>
        <w:jc w:val="left"/>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2711" w:hanging="551"/>
      </w:pPr>
      <w:rPr>
        <w:rFonts w:hint="default"/>
        <w:lang w:val="es-ES" w:eastAsia="en-US" w:bidi="ar-SA"/>
      </w:rPr>
    </w:lvl>
    <w:lvl w:ilvl="4">
      <w:numFmt w:val="bullet"/>
      <w:lvlText w:val="•"/>
      <w:lvlJc w:val="left"/>
      <w:pPr>
        <w:ind w:left="3723" w:hanging="551"/>
      </w:pPr>
      <w:rPr>
        <w:rFonts w:hint="default"/>
        <w:lang w:val="es-ES" w:eastAsia="en-US" w:bidi="ar-SA"/>
      </w:rPr>
    </w:lvl>
    <w:lvl w:ilvl="5">
      <w:numFmt w:val="bullet"/>
      <w:lvlText w:val="•"/>
      <w:lvlJc w:val="left"/>
      <w:pPr>
        <w:ind w:left="4735" w:hanging="551"/>
      </w:pPr>
      <w:rPr>
        <w:rFonts w:hint="default"/>
        <w:lang w:val="es-ES" w:eastAsia="en-US" w:bidi="ar-SA"/>
      </w:rPr>
    </w:lvl>
    <w:lvl w:ilvl="6">
      <w:numFmt w:val="bullet"/>
      <w:lvlText w:val="•"/>
      <w:lvlJc w:val="left"/>
      <w:pPr>
        <w:ind w:left="5747" w:hanging="551"/>
      </w:pPr>
      <w:rPr>
        <w:rFonts w:hint="default"/>
        <w:lang w:val="es-ES" w:eastAsia="en-US" w:bidi="ar-SA"/>
      </w:rPr>
    </w:lvl>
    <w:lvl w:ilvl="7">
      <w:numFmt w:val="bullet"/>
      <w:lvlText w:val="•"/>
      <w:lvlJc w:val="left"/>
      <w:pPr>
        <w:ind w:left="6759" w:hanging="551"/>
      </w:pPr>
      <w:rPr>
        <w:rFonts w:hint="default"/>
        <w:lang w:val="es-ES" w:eastAsia="en-US" w:bidi="ar-SA"/>
      </w:rPr>
    </w:lvl>
    <w:lvl w:ilvl="8">
      <w:numFmt w:val="bullet"/>
      <w:lvlText w:val="•"/>
      <w:lvlJc w:val="left"/>
      <w:pPr>
        <w:ind w:left="7771" w:hanging="551"/>
      </w:pPr>
      <w:rPr>
        <w:rFonts w:hint="default"/>
        <w:lang w:val="es-ES" w:eastAsia="en-US" w:bidi="ar-SA"/>
      </w:rPr>
    </w:lvl>
  </w:abstractNum>
  <w:abstractNum w:abstractNumId="85">
    <w:nsid w:val="7EAF623C"/>
    <w:multiLevelType w:val="hybridMultilevel"/>
    <w:tmpl w:val="C6E2570C"/>
    <w:lvl w:ilvl="0" w:tplc="DC8EB71E">
      <w:start w:val="1"/>
      <w:numFmt w:val="decimal"/>
      <w:lvlText w:val="%1."/>
      <w:lvlJc w:val="left"/>
      <w:pPr>
        <w:ind w:left="1145" w:hanging="360"/>
        <w:jc w:val="left"/>
      </w:pPr>
      <w:rPr>
        <w:rFonts w:ascii="Arial MT" w:eastAsia="Arial MT" w:hAnsi="Arial MT" w:cs="Arial MT" w:hint="default"/>
        <w:b w:val="0"/>
        <w:bCs w:val="0"/>
        <w:i w:val="0"/>
        <w:iCs w:val="0"/>
        <w:spacing w:val="-1"/>
        <w:w w:val="100"/>
        <w:sz w:val="22"/>
        <w:szCs w:val="22"/>
        <w:lang w:val="es-ES" w:eastAsia="en-US" w:bidi="ar-SA"/>
      </w:rPr>
    </w:lvl>
    <w:lvl w:ilvl="1" w:tplc="7B6450D6">
      <w:numFmt w:val="bullet"/>
      <w:lvlText w:val="•"/>
      <w:lvlJc w:val="left"/>
      <w:pPr>
        <w:ind w:left="2005" w:hanging="360"/>
      </w:pPr>
      <w:rPr>
        <w:rFonts w:hint="default"/>
        <w:lang w:val="es-ES" w:eastAsia="en-US" w:bidi="ar-SA"/>
      </w:rPr>
    </w:lvl>
    <w:lvl w:ilvl="2" w:tplc="B7E0ACAC">
      <w:numFmt w:val="bullet"/>
      <w:lvlText w:val="•"/>
      <w:lvlJc w:val="left"/>
      <w:pPr>
        <w:ind w:left="2871" w:hanging="360"/>
      </w:pPr>
      <w:rPr>
        <w:rFonts w:hint="default"/>
        <w:lang w:val="es-ES" w:eastAsia="en-US" w:bidi="ar-SA"/>
      </w:rPr>
    </w:lvl>
    <w:lvl w:ilvl="3" w:tplc="C852AD5A">
      <w:numFmt w:val="bullet"/>
      <w:lvlText w:val="•"/>
      <w:lvlJc w:val="left"/>
      <w:pPr>
        <w:ind w:left="3736" w:hanging="360"/>
      </w:pPr>
      <w:rPr>
        <w:rFonts w:hint="default"/>
        <w:lang w:val="es-ES" w:eastAsia="en-US" w:bidi="ar-SA"/>
      </w:rPr>
    </w:lvl>
    <w:lvl w:ilvl="4" w:tplc="06B833E8">
      <w:numFmt w:val="bullet"/>
      <w:lvlText w:val="•"/>
      <w:lvlJc w:val="left"/>
      <w:pPr>
        <w:ind w:left="4602" w:hanging="360"/>
      </w:pPr>
      <w:rPr>
        <w:rFonts w:hint="default"/>
        <w:lang w:val="es-ES" w:eastAsia="en-US" w:bidi="ar-SA"/>
      </w:rPr>
    </w:lvl>
    <w:lvl w:ilvl="5" w:tplc="B5A2A720">
      <w:numFmt w:val="bullet"/>
      <w:lvlText w:val="•"/>
      <w:lvlJc w:val="left"/>
      <w:pPr>
        <w:ind w:left="5467" w:hanging="360"/>
      </w:pPr>
      <w:rPr>
        <w:rFonts w:hint="default"/>
        <w:lang w:val="es-ES" w:eastAsia="en-US" w:bidi="ar-SA"/>
      </w:rPr>
    </w:lvl>
    <w:lvl w:ilvl="6" w:tplc="E9588014">
      <w:numFmt w:val="bullet"/>
      <w:lvlText w:val="•"/>
      <w:lvlJc w:val="left"/>
      <w:pPr>
        <w:ind w:left="6333" w:hanging="360"/>
      </w:pPr>
      <w:rPr>
        <w:rFonts w:hint="default"/>
        <w:lang w:val="es-ES" w:eastAsia="en-US" w:bidi="ar-SA"/>
      </w:rPr>
    </w:lvl>
    <w:lvl w:ilvl="7" w:tplc="ED9888B6">
      <w:numFmt w:val="bullet"/>
      <w:lvlText w:val="•"/>
      <w:lvlJc w:val="left"/>
      <w:pPr>
        <w:ind w:left="7198" w:hanging="360"/>
      </w:pPr>
      <w:rPr>
        <w:rFonts w:hint="default"/>
        <w:lang w:val="es-ES" w:eastAsia="en-US" w:bidi="ar-SA"/>
      </w:rPr>
    </w:lvl>
    <w:lvl w:ilvl="8" w:tplc="0E8201EA">
      <w:numFmt w:val="bullet"/>
      <w:lvlText w:val="•"/>
      <w:lvlJc w:val="left"/>
      <w:pPr>
        <w:ind w:left="8064" w:hanging="360"/>
      </w:pPr>
      <w:rPr>
        <w:rFonts w:hint="default"/>
        <w:lang w:val="es-ES" w:eastAsia="en-US" w:bidi="ar-SA"/>
      </w:rPr>
    </w:lvl>
  </w:abstractNum>
  <w:num w:numId="1">
    <w:abstractNumId w:val="15"/>
  </w:num>
  <w:num w:numId="2">
    <w:abstractNumId w:val="13"/>
  </w:num>
  <w:num w:numId="3">
    <w:abstractNumId w:val="40"/>
  </w:num>
  <w:num w:numId="4">
    <w:abstractNumId w:val="8"/>
  </w:num>
  <w:num w:numId="5">
    <w:abstractNumId w:val="19"/>
  </w:num>
  <w:num w:numId="6">
    <w:abstractNumId w:val="31"/>
  </w:num>
  <w:num w:numId="7">
    <w:abstractNumId w:val="60"/>
  </w:num>
  <w:num w:numId="8">
    <w:abstractNumId w:val="34"/>
  </w:num>
  <w:num w:numId="9">
    <w:abstractNumId w:val="54"/>
  </w:num>
  <w:num w:numId="10">
    <w:abstractNumId w:val="1"/>
  </w:num>
  <w:num w:numId="11">
    <w:abstractNumId w:val="77"/>
  </w:num>
  <w:num w:numId="12">
    <w:abstractNumId w:val="4"/>
  </w:num>
  <w:num w:numId="13">
    <w:abstractNumId w:val="51"/>
  </w:num>
  <w:num w:numId="14">
    <w:abstractNumId w:val="43"/>
  </w:num>
  <w:num w:numId="15">
    <w:abstractNumId w:val="6"/>
  </w:num>
  <w:num w:numId="16">
    <w:abstractNumId w:val="21"/>
  </w:num>
  <w:num w:numId="17">
    <w:abstractNumId w:val="20"/>
  </w:num>
  <w:num w:numId="18">
    <w:abstractNumId w:val="3"/>
  </w:num>
  <w:num w:numId="19">
    <w:abstractNumId w:val="56"/>
  </w:num>
  <w:num w:numId="20">
    <w:abstractNumId w:val="45"/>
  </w:num>
  <w:num w:numId="21">
    <w:abstractNumId w:val="50"/>
  </w:num>
  <w:num w:numId="22">
    <w:abstractNumId w:val="30"/>
  </w:num>
  <w:num w:numId="23">
    <w:abstractNumId w:val="29"/>
  </w:num>
  <w:num w:numId="24">
    <w:abstractNumId w:val="11"/>
  </w:num>
  <w:num w:numId="25">
    <w:abstractNumId w:val="28"/>
  </w:num>
  <w:num w:numId="26">
    <w:abstractNumId w:val="32"/>
  </w:num>
  <w:num w:numId="27">
    <w:abstractNumId w:val="85"/>
  </w:num>
  <w:num w:numId="28">
    <w:abstractNumId w:val="67"/>
  </w:num>
  <w:num w:numId="29">
    <w:abstractNumId w:val="72"/>
  </w:num>
  <w:num w:numId="30">
    <w:abstractNumId w:val="55"/>
  </w:num>
  <w:num w:numId="31">
    <w:abstractNumId w:val="26"/>
  </w:num>
  <w:num w:numId="32">
    <w:abstractNumId w:val="0"/>
  </w:num>
  <w:num w:numId="33">
    <w:abstractNumId w:val="16"/>
  </w:num>
  <w:num w:numId="34">
    <w:abstractNumId w:val="59"/>
  </w:num>
  <w:num w:numId="35">
    <w:abstractNumId w:val="81"/>
  </w:num>
  <w:num w:numId="36">
    <w:abstractNumId w:val="17"/>
  </w:num>
  <w:num w:numId="37">
    <w:abstractNumId w:val="36"/>
  </w:num>
  <w:num w:numId="38">
    <w:abstractNumId w:val="69"/>
  </w:num>
  <w:num w:numId="39">
    <w:abstractNumId w:val="9"/>
  </w:num>
  <w:num w:numId="40">
    <w:abstractNumId w:val="63"/>
  </w:num>
  <w:num w:numId="41">
    <w:abstractNumId w:val="74"/>
  </w:num>
  <w:num w:numId="42">
    <w:abstractNumId w:val="42"/>
  </w:num>
  <w:num w:numId="43">
    <w:abstractNumId w:val="83"/>
  </w:num>
  <w:num w:numId="44">
    <w:abstractNumId w:val="10"/>
  </w:num>
  <w:num w:numId="45">
    <w:abstractNumId w:val="57"/>
  </w:num>
  <w:num w:numId="46">
    <w:abstractNumId w:val="41"/>
  </w:num>
  <w:num w:numId="47">
    <w:abstractNumId w:val="44"/>
  </w:num>
  <w:num w:numId="48">
    <w:abstractNumId w:val="5"/>
  </w:num>
  <w:num w:numId="49">
    <w:abstractNumId w:val="64"/>
  </w:num>
  <w:num w:numId="50">
    <w:abstractNumId w:val="7"/>
  </w:num>
  <w:num w:numId="51">
    <w:abstractNumId w:val="53"/>
  </w:num>
  <w:num w:numId="52">
    <w:abstractNumId w:val="47"/>
  </w:num>
  <w:num w:numId="53">
    <w:abstractNumId w:val="68"/>
  </w:num>
  <w:num w:numId="54">
    <w:abstractNumId w:val="66"/>
  </w:num>
  <w:num w:numId="55">
    <w:abstractNumId w:val="80"/>
  </w:num>
  <w:num w:numId="56">
    <w:abstractNumId w:val="24"/>
  </w:num>
  <w:num w:numId="57">
    <w:abstractNumId w:val="18"/>
  </w:num>
  <w:num w:numId="58">
    <w:abstractNumId w:val="33"/>
  </w:num>
  <w:num w:numId="59">
    <w:abstractNumId w:val="78"/>
  </w:num>
  <w:num w:numId="60">
    <w:abstractNumId w:val="82"/>
  </w:num>
  <w:num w:numId="61">
    <w:abstractNumId w:val="14"/>
  </w:num>
  <w:num w:numId="62">
    <w:abstractNumId w:val="37"/>
  </w:num>
  <w:num w:numId="63">
    <w:abstractNumId w:val="62"/>
  </w:num>
  <w:num w:numId="64">
    <w:abstractNumId w:val="12"/>
  </w:num>
  <w:num w:numId="65">
    <w:abstractNumId w:val="48"/>
  </w:num>
  <w:num w:numId="66">
    <w:abstractNumId w:val="76"/>
  </w:num>
  <w:num w:numId="67">
    <w:abstractNumId w:val="75"/>
  </w:num>
  <w:num w:numId="68">
    <w:abstractNumId w:val="65"/>
  </w:num>
  <w:num w:numId="69">
    <w:abstractNumId w:val="52"/>
  </w:num>
  <w:num w:numId="70">
    <w:abstractNumId w:val="25"/>
  </w:num>
  <w:num w:numId="71">
    <w:abstractNumId w:val="70"/>
  </w:num>
  <w:num w:numId="72">
    <w:abstractNumId w:val="49"/>
  </w:num>
  <w:num w:numId="73">
    <w:abstractNumId w:val="46"/>
  </w:num>
  <w:num w:numId="74">
    <w:abstractNumId w:val="61"/>
  </w:num>
  <w:num w:numId="75">
    <w:abstractNumId w:val="22"/>
  </w:num>
  <w:num w:numId="76">
    <w:abstractNumId w:val="58"/>
  </w:num>
  <w:num w:numId="77">
    <w:abstractNumId w:val="38"/>
  </w:num>
  <w:num w:numId="78">
    <w:abstractNumId w:val="71"/>
  </w:num>
  <w:num w:numId="79">
    <w:abstractNumId w:val="73"/>
  </w:num>
  <w:num w:numId="80">
    <w:abstractNumId w:val="79"/>
  </w:num>
  <w:num w:numId="81">
    <w:abstractNumId w:val="84"/>
  </w:num>
  <w:num w:numId="82">
    <w:abstractNumId w:val="2"/>
  </w:num>
  <w:num w:numId="83">
    <w:abstractNumId w:val="27"/>
  </w:num>
  <w:num w:numId="84">
    <w:abstractNumId w:val="23"/>
  </w:num>
  <w:num w:numId="85">
    <w:abstractNumId w:val="39"/>
  </w:num>
  <w:num w:numId="86">
    <w:abstractNumId w:val="3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B4BB4"/>
    <w:rsid w:val="009B4BB4"/>
    <w:rsid w:val="00C44001"/>
    <w:rsid w:val="00E166F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455"/>
      <w:outlineLvl w:val="0"/>
    </w:pPr>
    <w:rPr>
      <w:rFonts w:ascii="Arial" w:eastAsia="Arial" w:hAnsi="Arial" w:cs="Arial"/>
      <w:b/>
      <w:bCs/>
    </w:rPr>
  </w:style>
  <w:style w:type="paragraph" w:styleId="Ttulo2">
    <w:name w:val="heading 2"/>
    <w:basedOn w:val="Normal"/>
    <w:uiPriority w:val="1"/>
    <w:qFormat/>
    <w:pPr>
      <w:spacing w:before="240"/>
      <w:ind w:left="1000" w:hanging="545"/>
      <w:outlineLvl w:val="1"/>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60"/>
      <w:ind w:left="425"/>
    </w:pPr>
    <w:rPr>
      <w:rFonts w:ascii="Arial" w:eastAsia="Arial" w:hAnsi="Arial" w:cs="Arial"/>
      <w:b/>
      <w:bCs/>
    </w:rPr>
  </w:style>
  <w:style w:type="paragraph" w:styleId="TDC2">
    <w:name w:val="toc 2"/>
    <w:basedOn w:val="Normal"/>
    <w:uiPriority w:val="1"/>
    <w:qFormat/>
    <w:pPr>
      <w:ind w:left="486"/>
    </w:pPr>
    <w:rPr>
      <w:rFonts w:ascii="Arial" w:eastAsia="Arial" w:hAnsi="Arial" w:cs="Arial"/>
      <w:b/>
      <w:bCs/>
    </w:rPr>
  </w:style>
  <w:style w:type="paragraph" w:styleId="TDC3">
    <w:name w:val="toc 3"/>
    <w:basedOn w:val="Normal"/>
    <w:uiPriority w:val="1"/>
    <w:qFormat/>
    <w:pPr>
      <w:spacing w:before="60"/>
      <w:ind w:left="1148" w:hanging="363"/>
    </w:pPr>
  </w:style>
  <w:style w:type="paragraph" w:styleId="TDC4">
    <w:name w:val="toc 4"/>
    <w:basedOn w:val="Normal"/>
    <w:uiPriority w:val="1"/>
    <w:qFormat/>
    <w:pPr>
      <w:spacing w:before="60"/>
      <w:ind w:left="1690" w:hanging="545"/>
    </w:pPr>
  </w:style>
  <w:style w:type="paragraph" w:styleId="TDC5">
    <w:name w:val="toc 5"/>
    <w:basedOn w:val="Normal"/>
    <w:uiPriority w:val="1"/>
    <w:qFormat/>
    <w:pPr>
      <w:spacing w:before="33" w:line="620" w:lineRule="exact"/>
      <w:ind w:left="425" w:right="602" w:firstLine="4079"/>
    </w:pPr>
    <w:rPr>
      <w:rFonts w:ascii="Arial" w:eastAsia="Arial" w:hAnsi="Arial" w:cs="Arial"/>
      <w:b/>
      <w:bCs/>
    </w:rPr>
  </w:style>
  <w:style w:type="paragraph" w:styleId="Textoindependiente">
    <w:name w:val="Body Text"/>
    <w:basedOn w:val="Normal"/>
    <w:uiPriority w:val="1"/>
    <w:qFormat/>
    <w:pPr>
      <w:spacing w:before="240"/>
    </w:pPr>
  </w:style>
  <w:style w:type="paragraph" w:styleId="Prrafodelista">
    <w:name w:val="List Paragraph"/>
    <w:basedOn w:val="Normal"/>
    <w:uiPriority w:val="1"/>
    <w:qFormat/>
    <w:pPr>
      <w:spacing w:before="240"/>
      <w:ind w:left="1145"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E166FC"/>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6FC"/>
    <w:rPr>
      <w:rFonts w:ascii="Tahoma" w:eastAsia="Arial MT"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455"/>
      <w:outlineLvl w:val="0"/>
    </w:pPr>
    <w:rPr>
      <w:rFonts w:ascii="Arial" w:eastAsia="Arial" w:hAnsi="Arial" w:cs="Arial"/>
      <w:b/>
      <w:bCs/>
    </w:rPr>
  </w:style>
  <w:style w:type="paragraph" w:styleId="Ttulo2">
    <w:name w:val="heading 2"/>
    <w:basedOn w:val="Normal"/>
    <w:uiPriority w:val="1"/>
    <w:qFormat/>
    <w:pPr>
      <w:spacing w:before="240"/>
      <w:ind w:left="1000" w:hanging="545"/>
      <w:outlineLvl w:val="1"/>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60"/>
      <w:ind w:left="425"/>
    </w:pPr>
    <w:rPr>
      <w:rFonts w:ascii="Arial" w:eastAsia="Arial" w:hAnsi="Arial" w:cs="Arial"/>
      <w:b/>
      <w:bCs/>
    </w:rPr>
  </w:style>
  <w:style w:type="paragraph" w:styleId="TDC2">
    <w:name w:val="toc 2"/>
    <w:basedOn w:val="Normal"/>
    <w:uiPriority w:val="1"/>
    <w:qFormat/>
    <w:pPr>
      <w:ind w:left="486"/>
    </w:pPr>
    <w:rPr>
      <w:rFonts w:ascii="Arial" w:eastAsia="Arial" w:hAnsi="Arial" w:cs="Arial"/>
      <w:b/>
      <w:bCs/>
    </w:rPr>
  </w:style>
  <w:style w:type="paragraph" w:styleId="TDC3">
    <w:name w:val="toc 3"/>
    <w:basedOn w:val="Normal"/>
    <w:uiPriority w:val="1"/>
    <w:qFormat/>
    <w:pPr>
      <w:spacing w:before="60"/>
      <w:ind w:left="1148" w:hanging="363"/>
    </w:pPr>
  </w:style>
  <w:style w:type="paragraph" w:styleId="TDC4">
    <w:name w:val="toc 4"/>
    <w:basedOn w:val="Normal"/>
    <w:uiPriority w:val="1"/>
    <w:qFormat/>
    <w:pPr>
      <w:spacing w:before="60"/>
      <w:ind w:left="1690" w:hanging="545"/>
    </w:pPr>
  </w:style>
  <w:style w:type="paragraph" w:styleId="TDC5">
    <w:name w:val="toc 5"/>
    <w:basedOn w:val="Normal"/>
    <w:uiPriority w:val="1"/>
    <w:qFormat/>
    <w:pPr>
      <w:spacing w:before="33" w:line="620" w:lineRule="exact"/>
      <w:ind w:left="425" w:right="602" w:firstLine="4079"/>
    </w:pPr>
    <w:rPr>
      <w:rFonts w:ascii="Arial" w:eastAsia="Arial" w:hAnsi="Arial" w:cs="Arial"/>
      <w:b/>
      <w:bCs/>
    </w:rPr>
  </w:style>
  <w:style w:type="paragraph" w:styleId="Textoindependiente">
    <w:name w:val="Body Text"/>
    <w:basedOn w:val="Normal"/>
    <w:uiPriority w:val="1"/>
    <w:qFormat/>
    <w:pPr>
      <w:spacing w:before="240"/>
    </w:pPr>
  </w:style>
  <w:style w:type="paragraph" w:styleId="Prrafodelista">
    <w:name w:val="List Paragraph"/>
    <w:basedOn w:val="Normal"/>
    <w:uiPriority w:val="1"/>
    <w:qFormat/>
    <w:pPr>
      <w:spacing w:before="240"/>
      <w:ind w:left="1145"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E166FC"/>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6FC"/>
    <w:rPr>
      <w:rFonts w:ascii="Tahoma" w:eastAsia="Arial MT"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minsights.com/" TargetMode="External"/><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hyperlink" Target="https://pages.stern.nyu.edu/~adamodar/New_Home_Page/datafile/ctryprem.html" TargetMode="External"/><Relationship Id="rId47" Type="http://schemas.openxmlformats.org/officeDocument/2006/relationships/hyperlink" Target="https://www.expertoanimal.com/abejas/abeja-melipona.html" TargetMode="External"/><Relationship Id="rId50" Type="http://schemas.openxmlformats.org/officeDocument/2006/relationships/hyperlink" Target="https://www.fortunebusinessinsights.com/industry-reports/honey-market-100551" TargetMode="External"/><Relationship Id="rId55" Type="http://schemas.openxmlformats.org/officeDocument/2006/relationships/hyperlink" Target="https://www.inegi.org.mx/contenidos/sala_prensa/aproposito/2022/EAP_Abejas22" TargetMode="External"/><Relationship Id="rId63" Type="http://schemas.openxmlformats.org/officeDocument/2006/relationships/hyperlink" Target="https://doi.org/10.3390/su14041932" TargetMode="External"/><Relationship Id="rId68" Type="http://schemas.openxmlformats.org/officeDocument/2006/relationships/hyperlink" Target="https://www.perceptivetravel.com/issues/1122/mexico_bees.html" TargetMode="External"/><Relationship Id="rId76" Type="http://schemas.openxmlformats.org/officeDocument/2006/relationships/hyperlink" Target="https://doi.org/10.3390/su132413408" TargetMode="External"/><Relationship Id="rId7" Type="http://schemas.openxmlformats.org/officeDocument/2006/relationships/endnotes" Target="endnotes.xml"/><Relationship Id="rId71" Type="http://schemas.openxmlformats.org/officeDocument/2006/relationships/hyperlink" Target="https://doi.org/10.22319/rmcp.v13i4.6005" TargetMode="Externa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hyperlink" Target="https://www.euromonitor.com/innovating-around-premiumisation-in-todays-economy/report" TargetMode="External"/><Relationship Id="rId53" Type="http://schemas.openxmlformats.org/officeDocument/2006/relationships/hyperlink" Target="https://www.gminsights.com/industry-analysis/honey-market" TargetMode="External"/><Relationship Id="rId58" Type="http://schemas.openxmlformats.org/officeDocument/2006/relationships/hyperlink" Target="https://www.jpmorgan.com/markets/index-research/composition-docs" TargetMode="External"/><Relationship Id="rId66" Type="http://schemas.openxmlformats.org/officeDocument/2006/relationships/hyperlink" Target="https://socialvalueuk.org/resource/a-guide-to-social-return-on-investment-2012/" TargetMode="External"/><Relationship Id="rId74" Type="http://schemas.openxmlformats.org/officeDocument/2006/relationships/hyperlink" Target="https://www.gob.mx/senasica/acciones-y-programas/certificacion-organica" TargetMode="External"/><Relationship Id="rId79" Type="http://schemas.openxmlformats.org/officeDocument/2006/relationships/hyperlink" Target="https://doi.org/10.1080/0005772X.2005.11099651" TargetMode="External"/><Relationship Id="rId5" Type="http://schemas.openxmlformats.org/officeDocument/2006/relationships/webSettings" Target="webSettings.xml"/><Relationship Id="rId61" Type="http://schemas.openxmlformats.org/officeDocument/2006/relationships/hyperlink" Target="https://eujournal.org/index.php/esj/article/view/16842" TargetMode="External"/><Relationship Id="rId82" Type="http://schemas.openxmlformats.org/officeDocument/2006/relationships/theme" Target="theme/theme1.xml"/><Relationship Id="rId10" Type="http://schemas.openxmlformats.org/officeDocument/2006/relationships/hyperlink" Target="mailto:steph.riv@gmail.com" TargetMode="Externa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hyperlink" Target="https://www.ey.com/en_gl/insights/consumer-products/future-consumer-index-whe" TargetMode="External"/><Relationship Id="rId52" Type="http://schemas.openxmlformats.org/officeDocument/2006/relationships/hyperlink" Target="https://www.giz.de/en/downloads/giz2023-mx-cadenas-valor-miel.pdf" TargetMode="External"/><Relationship Id="rId60" Type="http://schemas.openxmlformats.org/officeDocument/2006/relationships/hyperlink" Target="https://www.marketresearchfuture.com/reports/honey-market-1889" TargetMode="External"/><Relationship Id="rId65" Type="http://schemas.openxmlformats.org/officeDocument/2006/relationships/hyperlink" Target="https://doi.org/10.1016/j.aos.2009.04.008" TargetMode="External"/><Relationship Id="rId73" Type="http://schemas.openxmlformats.org/officeDocument/2006/relationships/hyperlink" Target="http://www.sefotur.yucatan.gob.mx/" TargetMode="External"/><Relationship Id="rId78" Type="http://schemas.openxmlformats.org/officeDocument/2006/relationships/hyperlink" Target="https://home.treasury.gov/"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3.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hyperlink" Target="https://www.datamexico.org/es/profile/product/natural-honey" TargetMode="External"/><Relationship Id="rId48" Type="http://schemas.openxmlformats.org/officeDocument/2006/relationships/hyperlink" Target="https://doi.org/10.4060/cc6125en" TargetMode="External"/><Relationship Id="rId56" Type="http://schemas.openxmlformats.org/officeDocument/2006/relationships/hyperlink" Target="https://nube.siap.gob.mx/cierreagricola/" TargetMode="External"/><Relationship Id="rId64" Type="http://schemas.openxmlformats.org/officeDocument/2006/relationships/hyperlink" Target="https://nbs.net/latin-american-b-corp-sustainability-challenges-2015/" TargetMode="External"/><Relationship Id="rId69" Type="http://schemas.openxmlformats.org/officeDocument/2006/relationships/hyperlink" Target="https://pitchbook.com/news/reports/2024-sustainable-investment-survey" TargetMode="External"/><Relationship Id="rId77" Type="http://schemas.openxmlformats.org/officeDocument/2006/relationships/hyperlink" Target="https://sgp.undp.org/resources-155/our-stories/654-queens-of-their-hives" TargetMode="External"/><Relationship Id="rId8" Type="http://schemas.openxmlformats.org/officeDocument/2006/relationships/image" Target="media/image1.jpeg"/><Relationship Id="rId51" Type="http://schemas.openxmlformats.org/officeDocument/2006/relationships/hyperlink" Target="https://eujournal.org/index.php/esj/article/view/19297" TargetMode="External"/><Relationship Id="rId72" Type="http://schemas.openxmlformats.org/officeDocument/2006/relationships/hyperlink" Target="https://yucatan.travel/estadisticas-turismo/" TargetMode="External"/><Relationship Id="rId80" Type="http://schemas.openxmlformats.org/officeDocument/2006/relationships/hyperlink" Target="https://www.yucatanliving.com/" TargetMode="External"/><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hyperlink" Target="https://www.marketresearch.com/Euromonitor-International-v746/Health-Wellness-Mexico-43568176/" TargetMode="External"/><Relationship Id="rId59" Type="http://schemas.openxmlformats.org/officeDocument/2006/relationships/hyperlink" Target="https://doi.org/10.30973/aap/2025.11.0111001" TargetMode="External"/><Relationship Id="rId67" Type="http://schemas.openxmlformats.org/officeDocument/2006/relationships/hyperlink" Target="https://www.dof.gob.mx/nota_detalle.php?codigo=5583529&amp;fecha=07/01/2020" TargetMode="External"/><Relationship Id="rId20" Type="http://schemas.openxmlformats.org/officeDocument/2006/relationships/image" Target="media/image9.jpeg"/><Relationship Id="rId41" Type="http://schemas.openxmlformats.org/officeDocument/2006/relationships/hyperlink" Target="https://doi.org/10.4060/cc0821en" TargetMode="External"/><Relationship Id="rId54" Type="http://schemas.openxmlformats.org/officeDocument/2006/relationships/hyperlink" Target="https://doi.org/10.3389/fmicb.2020.00315" TargetMode="External"/><Relationship Id="rId62" Type="http://schemas.openxmlformats.org/officeDocument/2006/relationships/hyperlink" Target="https://mexiconewsdaily.com/lifestyle/melipona-honey-mayan-elixir-extinction/" TargetMode="External"/><Relationship Id="rId70" Type="http://schemas.openxmlformats.org/officeDocument/2006/relationships/hyperlink" Target="https://www.undp.org/es/sustainable-development-goals" TargetMode="External"/><Relationship Id="rId75" Type="http://schemas.openxmlformats.org/officeDocument/2006/relationships/hyperlink" Target="https://doi.org/10.3402/gha.v7.24121"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hyperlink" Target="https://www.fairtrade.net/library/fairtrade-living-income-progress-report-2023" TargetMode="External"/><Relationship Id="rId57" Type="http://schemas.openxmlformats.org/officeDocument/2006/relationships/hyperlink" Target="https://libreria.inifap.gob.mx/index.php/publicaciones/mercado-apicola-mexico-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44384</Words>
  <Characters>244118</Characters>
  <Application>Microsoft Office Word</Application>
  <DocSecurity>0</DocSecurity>
  <Lines>2034</Lines>
  <Paragraphs>575</Paragraphs>
  <ScaleCrop>false</ScaleCrop>
  <Company>Universidad de Palermo</Company>
  <LinksUpToDate>false</LinksUpToDate>
  <CharactersWithSpaces>287927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Negocios-Miel Melipona -Stephanie Rivero </dc:title>
  <cp:lastModifiedBy>MBA</cp:lastModifiedBy>
  <cp:revision>3</cp:revision>
  <dcterms:created xsi:type="dcterms:W3CDTF">2026-09-23T21:07:00Z</dcterms:created>
  <dcterms:modified xsi:type="dcterms:W3CDTF">2026-09-23T21:10:00Z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Producer">
    <vt:lpwstr>Skia/PDF m149 Google Docs Renderer</vt:lpwstr>
  </property>
  <property fmtid="{D5CDD505-2E9C-101B-9397-08002B2CF9AE}" pid="5" name="LastSaved">
    <vt:filetime>2026-09-23T00:00:00Z</vt:filetime>
  </property>
</Properties>
</file>