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9AF35" w14:textId="761CDAC7" w:rsidR="00C21178" w:rsidRPr="003B6453" w:rsidRDefault="00C21178" w:rsidP="003B6453">
      <w:pPr>
        <w:pStyle w:val="paragraph"/>
        <w:spacing w:before="0" w:beforeAutospacing="0" w:after="0" w:afterAutospacing="0" w:line="360" w:lineRule="auto"/>
        <w:jc w:val="center"/>
        <w:textAlignment w:val="baseline"/>
      </w:pPr>
      <w:bookmarkStart w:id="0" w:name="_Hlk204209382"/>
      <w:r w:rsidRPr="003B6453">
        <w:rPr>
          <w:rFonts w:eastAsiaTheme="minorHAnsi"/>
          <w:noProof/>
        </w:rPr>
        <w:drawing>
          <wp:inline distT="0" distB="0" distL="0" distR="0" wp14:anchorId="7DC82AC9" wp14:editId="031E5A42">
            <wp:extent cx="2514600" cy="2514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inline>
        </w:drawing>
      </w:r>
    </w:p>
    <w:p w14:paraId="08134D76" w14:textId="77777777" w:rsidR="00C21178" w:rsidRPr="003B6453" w:rsidRDefault="00C21178" w:rsidP="003B6453">
      <w:pPr>
        <w:pStyle w:val="paragraph"/>
        <w:spacing w:before="0" w:beforeAutospacing="0" w:after="0" w:afterAutospacing="0" w:line="360" w:lineRule="auto"/>
        <w:jc w:val="both"/>
        <w:textAlignment w:val="baseline"/>
      </w:pPr>
      <w:r w:rsidRPr="003B6453">
        <w:rPr>
          <w:rStyle w:val="eop"/>
          <w:rFonts w:eastAsiaTheme="majorEastAsia"/>
        </w:rPr>
        <w:t> </w:t>
      </w:r>
    </w:p>
    <w:p w14:paraId="678F6D19" w14:textId="77777777" w:rsidR="00C21178" w:rsidRPr="003B6453" w:rsidRDefault="00C21178" w:rsidP="003B6453">
      <w:pPr>
        <w:pStyle w:val="paragraph"/>
        <w:spacing w:before="0" w:beforeAutospacing="0" w:after="0" w:afterAutospacing="0" w:line="360" w:lineRule="auto"/>
        <w:jc w:val="both"/>
        <w:textAlignment w:val="baseline"/>
      </w:pPr>
      <w:r w:rsidRPr="003B6453">
        <w:rPr>
          <w:rStyle w:val="eop"/>
          <w:rFonts w:eastAsiaTheme="majorEastAsia"/>
        </w:rPr>
        <w:t> </w:t>
      </w:r>
    </w:p>
    <w:p w14:paraId="71AB450D" w14:textId="18FB041F" w:rsidR="00C21178" w:rsidRPr="003B6453" w:rsidRDefault="00C21178" w:rsidP="003B6453">
      <w:pPr>
        <w:pStyle w:val="paragraph"/>
        <w:spacing w:before="0" w:beforeAutospacing="0" w:after="0" w:afterAutospacing="0" w:line="360" w:lineRule="auto"/>
        <w:jc w:val="center"/>
        <w:textAlignment w:val="baseline"/>
      </w:pPr>
      <w:r w:rsidRPr="003B6453">
        <w:rPr>
          <w:rStyle w:val="normaltextrun"/>
          <w:b/>
          <w:bCs/>
        </w:rPr>
        <w:t>Tesis Final</w:t>
      </w:r>
      <w:r w:rsidR="009932CD" w:rsidRPr="003B6453">
        <w:rPr>
          <w:rStyle w:val="normaltextrun"/>
          <w:b/>
          <w:bCs/>
        </w:rPr>
        <w:br/>
        <w:t>Análisis de factibilidad para la implementación de una franquicia de medialunas gourmet en el corredor urbano del Alto Valle de Río Negro y Neuquén</w:t>
      </w:r>
    </w:p>
    <w:p w14:paraId="52850460" w14:textId="77777777" w:rsidR="00C21178" w:rsidRPr="003B6453" w:rsidRDefault="00C21178" w:rsidP="003B6453">
      <w:pPr>
        <w:pStyle w:val="paragraph"/>
        <w:spacing w:before="0" w:beforeAutospacing="0" w:after="0" w:afterAutospacing="0" w:line="360" w:lineRule="auto"/>
        <w:jc w:val="both"/>
        <w:textAlignment w:val="baseline"/>
      </w:pPr>
      <w:r w:rsidRPr="003B6453">
        <w:rPr>
          <w:rStyle w:val="eop"/>
          <w:rFonts w:eastAsiaTheme="majorEastAsia"/>
        </w:rPr>
        <w:t> </w:t>
      </w:r>
    </w:p>
    <w:p w14:paraId="49E6885D"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201E41C7"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5B14F7D1"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5117EB7A"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3CFCDBD8"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2543BC6D"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71F031B0"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3BD8A9EE" w14:textId="77777777" w:rsidR="001D5F87" w:rsidRPr="003B6453" w:rsidRDefault="001D5F87" w:rsidP="003B6453">
      <w:pPr>
        <w:pStyle w:val="paragraph"/>
        <w:spacing w:before="0" w:beforeAutospacing="0" w:after="0" w:afterAutospacing="0" w:line="360" w:lineRule="auto"/>
        <w:jc w:val="both"/>
        <w:textAlignment w:val="baseline"/>
        <w:rPr>
          <w:rStyle w:val="normaltextrun"/>
          <w:b/>
          <w:bCs/>
        </w:rPr>
      </w:pPr>
    </w:p>
    <w:p w14:paraId="5405AC11" w14:textId="50A506E9" w:rsidR="00C21178" w:rsidRPr="003B6453" w:rsidRDefault="00C21178" w:rsidP="003B6453">
      <w:pPr>
        <w:pStyle w:val="paragraph"/>
        <w:spacing w:before="0" w:beforeAutospacing="0" w:after="0" w:afterAutospacing="0" w:line="360" w:lineRule="auto"/>
        <w:jc w:val="both"/>
        <w:textAlignment w:val="baseline"/>
      </w:pPr>
      <w:r w:rsidRPr="003B6453">
        <w:rPr>
          <w:rStyle w:val="normaltextrun"/>
          <w:b/>
          <w:bCs/>
        </w:rPr>
        <w:t>Autor</w:t>
      </w:r>
      <w:r w:rsidRPr="003B6453">
        <w:rPr>
          <w:rStyle w:val="normaltextrun"/>
        </w:rPr>
        <w:t>:</w:t>
      </w:r>
      <w:r w:rsidRPr="003B6453">
        <w:rPr>
          <w:rStyle w:val="eop"/>
          <w:rFonts w:eastAsiaTheme="majorEastAsia"/>
        </w:rPr>
        <w:t> </w:t>
      </w:r>
    </w:p>
    <w:p w14:paraId="78A6F62B" w14:textId="0FA9A173" w:rsidR="00C21178" w:rsidRPr="003B6453" w:rsidRDefault="00C21178" w:rsidP="003B6453">
      <w:pPr>
        <w:pStyle w:val="paragraph"/>
        <w:spacing w:before="0" w:beforeAutospacing="0" w:after="0" w:afterAutospacing="0" w:line="360" w:lineRule="auto"/>
        <w:jc w:val="both"/>
        <w:textAlignment w:val="baseline"/>
      </w:pPr>
      <w:r w:rsidRPr="003B6453">
        <w:rPr>
          <w:rStyle w:val="normaltextrun"/>
        </w:rPr>
        <w:t xml:space="preserve">Coria Santiago </w:t>
      </w:r>
    </w:p>
    <w:p w14:paraId="383EC256" w14:textId="77777777" w:rsidR="00C21178" w:rsidRPr="003B6453" w:rsidRDefault="00C21178" w:rsidP="003B6453">
      <w:pPr>
        <w:pStyle w:val="paragraph"/>
        <w:spacing w:before="0" w:beforeAutospacing="0" w:after="0" w:afterAutospacing="0" w:line="360" w:lineRule="auto"/>
        <w:jc w:val="both"/>
        <w:textAlignment w:val="baseline"/>
      </w:pPr>
      <w:r w:rsidRPr="003B6453">
        <w:rPr>
          <w:rStyle w:val="eop"/>
          <w:rFonts w:eastAsiaTheme="majorEastAsia"/>
        </w:rPr>
        <w:t> </w:t>
      </w:r>
    </w:p>
    <w:p w14:paraId="5AB23AAD" w14:textId="77777777" w:rsidR="00C21178" w:rsidRPr="003B6453" w:rsidRDefault="00C21178" w:rsidP="003B6453">
      <w:pPr>
        <w:pStyle w:val="paragraph"/>
        <w:spacing w:before="0" w:beforeAutospacing="0" w:after="0" w:afterAutospacing="0" w:line="360" w:lineRule="auto"/>
        <w:jc w:val="both"/>
        <w:textAlignment w:val="baseline"/>
      </w:pPr>
      <w:r w:rsidRPr="003B6453">
        <w:rPr>
          <w:rStyle w:val="eop"/>
          <w:rFonts w:eastAsiaTheme="majorEastAsia"/>
        </w:rPr>
        <w:t> </w:t>
      </w:r>
    </w:p>
    <w:p w14:paraId="0281EC19" w14:textId="67F82F7D" w:rsidR="00C21178" w:rsidRPr="003B6453" w:rsidRDefault="00C21178" w:rsidP="003B6453">
      <w:pPr>
        <w:pStyle w:val="paragraph"/>
        <w:spacing w:before="0" w:beforeAutospacing="0" w:after="0" w:afterAutospacing="0" w:line="360" w:lineRule="auto"/>
        <w:jc w:val="both"/>
        <w:textAlignment w:val="baseline"/>
      </w:pPr>
      <w:r w:rsidRPr="003B6453">
        <w:rPr>
          <w:rStyle w:val="normaltextrun"/>
          <w:b/>
          <w:bCs/>
        </w:rPr>
        <w:t>Tutor</w:t>
      </w:r>
      <w:r w:rsidRPr="003B6453">
        <w:rPr>
          <w:rStyle w:val="normaltextrun"/>
        </w:rPr>
        <w:t>:</w:t>
      </w:r>
      <w:r w:rsidRPr="003B6453">
        <w:rPr>
          <w:rStyle w:val="scxw197454529"/>
        </w:rPr>
        <w:t> </w:t>
      </w:r>
      <w:r w:rsidRPr="003B6453">
        <w:br/>
      </w:r>
      <w:r w:rsidRPr="003B6453">
        <w:rPr>
          <w:rStyle w:val="normaltextrun"/>
        </w:rPr>
        <w:t xml:space="preserve">Tapia Gerardo </w:t>
      </w:r>
      <w:r w:rsidRPr="003B6453">
        <w:rPr>
          <w:rStyle w:val="eop"/>
          <w:rFonts w:eastAsiaTheme="majorEastAsia"/>
        </w:rPr>
        <w:t> </w:t>
      </w:r>
    </w:p>
    <w:p w14:paraId="744DDF88" w14:textId="247FD121" w:rsidR="00926D23" w:rsidRPr="003B6453" w:rsidRDefault="00C21178" w:rsidP="003B6453">
      <w:pPr>
        <w:pStyle w:val="paragraph"/>
        <w:spacing w:before="0" w:beforeAutospacing="0" w:after="0" w:afterAutospacing="0" w:line="360" w:lineRule="auto"/>
        <w:jc w:val="both"/>
        <w:textAlignment w:val="baseline"/>
        <w:rPr>
          <w:b/>
          <w:bCs/>
        </w:rPr>
      </w:pPr>
      <w:r w:rsidRPr="003B6453">
        <w:rPr>
          <w:rStyle w:val="eop"/>
          <w:rFonts w:eastAsiaTheme="majorEastAsia"/>
        </w:rPr>
        <w:t> </w:t>
      </w:r>
      <w:r w:rsidR="00926D23" w:rsidRPr="003B6453">
        <w:rPr>
          <w:b/>
          <w:bCs/>
        </w:rPr>
        <w:t>Dedicatoria</w:t>
      </w:r>
    </w:p>
    <w:p w14:paraId="6A856C66" w14:textId="749C783B" w:rsidR="00926D23" w:rsidRPr="003B6453" w:rsidRDefault="00926D2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A </w:t>
      </w:r>
      <w:r w:rsidR="00531DA5" w:rsidRPr="003B6453">
        <w:rPr>
          <w:rFonts w:ascii="Times New Roman" w:hAnsi="Times New Roman" w:cs="Times New Roman"/>
          <w:sz w:val="24"/>
          <w:szCs w:val="24"/>
          <w:lang w:val="es-AR"/>
        </w:rPr>
        <w:t xml:space="preserve">mi compañera de vida </w:t>
      </w:r>
      <w:r w:rsidRPr="003B6453">
        <w:rPr>
          <w:rFonts w:ascii="Times New Roman" w:hAnsi="Times New Roman" w:cs="Times New Roman"/>
          <w:sz w:val="24"/>
          <w:szCs w:val="24"/>
          <w:lang w:val="es-AR"/>
        </w:rPr>
        <w:t xml:space="preserve">Agustina </w:t>
      </w:r>
      <w:r w:rsidR="00633533" w:rsidRPr="003B6453">
        <w:rPr>
          <w:rFonts w:ascii="Times New Roman" w:hAnsi="Times New Roman" w:cs="Times New Roman"/>
          <w:sz w:val="24"/>
          <w:szCs w:val="24"/>
          <w:lang w:val="es-AR"/>
        </w:rPr>
        <w:t>y mi</w:t>
      </w:r>
      <w:r w:rsidRPr="003B6453">
        <w:rPr>
          <w:rFonts w:ascii="Times New Roman" w:hAnsi="Times New Roman" w:cs="Times New Roman"/>
          <w:sz w:val="24"/>
          <w:szCs w:val="24"/>
          <w:lang w:val="es-AR"/>
        </w:rPr>
        <w:t xml:space="preserve"> hija Martina,</w:t>
      </w:r>
      <w:r w:rsidRPr="003B6453">
        <w:rPr>
          <w:rFonts w:ascii="Times New Roman" w:hAnsi="Times New Roman" w:cs="Times New Roman"/>
          <w:sz w:val="24"/>
          <w:szCs w:val="24"/>
          <w:lang w:val="es-AR"/>
        </w:rPr>
        <w:br/>
        <w:t>mi familia, mi sostén y mi mayor inspiración.</w:t>
      </w:r>
    </w:p>
    <w:p w14:paraId="1B9C78F9" w14:textId="77777777" w:rsidR="00926D23" w:rsidRPr="003B6453" w:rsidRDefault="00926D2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Esta tesis no hubiera sido posible sin su amor, su paciencia y su compañía constante en cada paso del camino.</w:t>
      </w:r>
      <w:r w:rsidRPr="003B6453">
        <w:rPr>
          <w:rFonts w:ascii="Times New Roman" w:hAnsi="Times New Roman" w:cs="Times New Roman"/>
          <w:sz w:val="24"/>
          <w:szCs w:val="24"/>
          <w:lang w:val="es-AR"/>
        </w:rPr>
        <w:br/>
        <w:t>A ustedes, que son mi motivo y mi fuerza, les dedico con todo mi corazón este trabajo.</w:t>
      </w:r>
    </w:p>
    <w:p w14:paraId="4F999E3C" w14:textId="77777777" w:rsidR="00C21178" w:rsidRPr="003B6453" w:rsidRDefault="00C21178" w:rsidP="003B6453">
      <w:pPr>
        <w:spacing w:line="360" w:lineRule="auto"/>
        <w:jc w:val="both"/>
        <w:rPr>
          <w:rFonts w:ascii="Times New Roman" w:hAnsi="Times New Roman" w:cs="Times New Roman"/>
          <w:sz w:val="24"/>
          <w:szCs w:val="24"/>
          <w:lang w:val="es-AR"/>
        </w:rPr>
      </w:pPr>
    </w:p>
    <w:p w14:paraId="29EF1CE1" w14:textId="77777777" w:rsidR="00926D23" w:rsidRPr="003B6453" w:rsidRDefault="00926D23" w:rsidP="003B6453">
      <w:pPr>
        <w:spacing w:line="360" w:lineRule="auto"/>
        <w:jc w:val="both"/>
        <w:rPr>
          <w:rFonts w:ascii="Times New Roman" w:hAnsi="Times New Roman" w:cs="Times New Roman"/>
          <w:b/>
          <w:bCs/>
          <w:sz w:val="24"/>
          <w:szCs w:val="24"/>
          <w:lang w:val="es-AR"/>
        </w:rPr>
      </w:pPr>
      <w:r w:rsidRPr="003B6453">
        <w:rPr>
          <w:rFonts w:ascii="Times New Roman" w:hAnsi="Times New Roman" w:cs="Times New Roman"/>
          <w:b/>
          <w:bCs/>
          <w:sz w:val="24"/>
          <w:szCs w:val="24"/>
          <w:lang w:val="es-AR"/>
        </w:rPr>
        <w:t>Agradecimientos</w:t>
      </w:r>
    </w:p>
    <w:p w14:paraId="55339BEF" w14:textId="77777777" w:rsidR="00926D23" w:rsidRPr="003B6453" w:rsidRDefault="00926D2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Quiero expresar mi más sincero agradecimiento a </w:t>
      </w:r>
      <w:r w:rsidRPr="003B6453">
        <w:rPr>
          <w:rFonts w:ascii="Times New Roman" w:hAnsi="Times New Roman" w:cs="Times New Roman"/>
          <w:b/>
          <w:bCs/>
          <w:sz w:val="24"/>
          <w:szCs w:val="24"/>
          <w:lang w:val="es-AR"/>
        </w:rPr>
        <w:t>Gerardo Tapia</w:t>
      </w:r>
      <w:r w:rsidRPr="003B6453">
        <w:rPr>
          <w:rFonts w:ascii="Times New Roman" w:hAnsi="Times New Roman" w:cs="Times New Roman"/>
          <w:sz w:val="24"/>
          <w:szCs w:val="24"/>
          <w:lang w:val="es-AR"/>
        </w:rPr>
        <w:t>, director de esta tesis, por su acompañamiento, claridad conceptual y valiosas observaciones a lo largo del proceso. Su guía académica y humana fue fundamental para el desarrollo de este trabajo.</w:t>
      </w:r>
    </w:p>
    <w:p w14:paraId="37F20281" w14:textId="77777777" w:rsidR="00926D23" w:rsidRPr="003B6453" w:rsidRDefault="00926D2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También agradezco a los </w:t>
      </w:r>
      <w:r w:rsidRPr="003B6453">
        <w:rPr>
          <w:rFonts w:ascii="Times New Roman" w:hAnsi="Times New Roman" w:cs="Times New Roman"/>
          <w:b/>
          <w:bCs/>
          <w:sz w:val="24"/>
          <w:szCs w:val="24"/>
          <w:lang w:val="es-AR"/>
        </w:rPr>
        <w:t>profesores y profesoras de la Maestría en Dirección de Empresas de la Universidad de Palermo</w:t>
      </w:r>
      <w:r w:rsidRPr="003B6453">
        <w:rPr>
          <w:rFonts w:ascii="Times New Roman" w:hAnsi="Times New Roman" w:cs="Times New Roman"/>
          <w:sz w:val="24"/>
          <w:szCs w:val="24"/>
          <w:lang w:val="es-AR"/>
        </w:rPr>
        <w:t>, por el conocimiento compartido, el compromiso con la formación profesional y los desafíos que me impulsaron a crecer.</w:t>
      </w:r>
    </w:p>
    <w:p w14:paraId="5A56F12B" w14:textId="77777777" w:rsidR="00926D23" w:rsidRPr="003B6453" w:rsidRDefault="00926D2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 manera especial, agradezco a </w:t>
      </w:r>
      <w:r w:rsidRPr="003B6453">
        <w:rPr>
          <w:rFonts w:ascii="Times New Roman" w:hAnsi="Times New Roman" w:cs="Times New Roman"/>
          <w:b/>
          <w:bCs/>
          <w:sz w:val="24"/>
          <w:szCs w:val="24"/>
          <w:lang w:val="es-AR"/>
        </w:rPr>
        <w:t xml:space="preserve">Ana </w:t>
      </w:r>
      <w:proofErr w:type="spellStart"/>
      <w:r w:rsidRPr="003B6453">
        <w:rPr>
          <w:rFonts w:ascii="Times New Roman" w:hAnsi="Times New Roman" w:cs="Times New Roman"/>
          <w:b/>
          <w:bCs/>
          <w:sz w:val="24"/>
          <w:szCs w:val="24"/>
          <w:lang w:val="es-AR"/>
        </w:rPr>
        <w:t>Engelman</w:t>
      </w:r>
      <w:proofErr w:type="spellEnd"/>
      <w:r w:rsidRPr="003B6453">
        <w:rPr>
          <w:rFonts w:ascii="Times New Roman" w:hAnsi="Times New Roman" w:cs="Times New Roman"/>
          <w:sz w:val="24"/>
          <w:szCs w:val="24"/>
          <w:lang w:val="es-AR"/>
        </w:rPr>
        <w:t>, por su calidad docente, su apertura al diálogo y su motivación constante hacia la excelencia académica.</w:t>
      </w:r>
    </w:p>
    <w:p w14:paraId="546EE473" w14:textId="77777777" w:rsidR="00926D23" w:rsidRPr="003B6453" w:rsidRDefault="00926D2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Finalmente, agradezco a mi familia y a todas las personas que, de una u otra manera, me brindaron apoyo, ánimo y contención durante esta etapa.</w:t>
      </w:r>
    </w:p>
    <w:p w14:paraId="20FDB6D6" w14:textId="77777777" w:rsidR="00531DA5" w:rsidRPr="003B6453" w:rsidRDefault="00531DA5" w:rsidP="003B6453">
      <w:pPr>
        <w:spacing w:line="360" w:lineRule="auto"/>
        <w:jc w:val="both"/>
        <w:rPr>
          <w:rFonts w:ascii="Times New Roman" w:hAnsi="Times New Roman" w:cs="Times New Roman"/>
          <w:sz w:val="24"/>
          <w:szCs w:val="24"/>
          <w:lang w:val="es-AR"/>
        </w:rPr>
      </w:pPr>
    </w:p>
    <w:p w14:paraId="2420CF4D" w14:textId="77777777" w:rsidR="00531DA5" w:rsidRPr="003B6453" w:rsidRDefault="00531DA5" w:rsidP="003B6453">
      <w:pPr>
        <w:spacing w:line="360" w:lineRule="auto"/>
        <w:jc w:val="both"/>
        <w:rPr>
          <w:rFonts w:ascii="Times New Roman" w:hAnsi="Times New Roman" w:cs="Times New Roman"/>
          <w:sz w:val="24"/>
          <w:szCs w:val="24"/>
          <w:lang w:val="es-AR"/>
        </w:rPr>
      </w:pPr>
    </w:p>
    <w:p w14:paraId="3B58A3A2" w14:textId="77777777" w:rsidR="00531DA5" w:rsidRPr="003B6453" w:rsidRDefault="00531DA5" w:rsidP="003B6453">
      <w:pPr>
        <w:spacing w:line="360" w:lineRule="auto"/>
        <w:jc w:val="both"/>
        <w:rPr>
          <w:rFonts w:ascii="Times New Roman" w:hAnsi="Times New Roman" w:cs="Times New Roman"/>
          <w:sz w:val="24"/>
          <w:szCs w:val="24"/>
          <w:lang w:val="es-AR"/>
        </w:rPr>
      </w:pPr>
    </w:p>
    <w:p w14:paraId="576295DC" w14:textId="77777777" w:rsidR="00531DA5" w:rsidRPr="003B6453" w:rsidRDefault="00531DA5" w:rsidP="003B6453">
      <w:pPr>
        <w:spacing w:line="360" w:lineRule="auto"/>
        <w:jc w:val="both"/>
        <w:rPr>
          <w:rFonts w:ascii="Times New Roman" w:hAnsi="Times New Roman" w:cs="Times New Roman"/>
          <w:sz w:val="24"/>
          <w:szCs w:val="24"/>
          <w:lang w:val="es-AR"/>
        </w:rPr>
      </w:pPr>
    </w:p>
    <w:p w14:paraId="7FAB2DF1" w14:textId="77777777" w:rsidR="00531DA5" w:rsidRPr="003B6453" w:rsidRDefault="00531DA5" w:rsidP="003B6453">
      <w:pPr>
        <w:spacing w:line="360" w:lineRule="auto"/>
        <w:jc w:val="both"/>
        <w:rPr>
          <w:rFonts w:ascii="Times New Roman" w:hAnsi="Times New Roman" w:cs="Times New Roman"/>
          <w:sz w:val="24"/>
          <w:szCs w:val="24"/>
          <w:lang w:val="es-AR"/>
        </w:rPr>
      </w:pPr>
    </w:p>
    <w:p w14:paraId="5F4273AA" w14:textId="77777777" w:rsidR="00531DA5" w:rsidRPr="003B6453" w:rsidRDefault="00531DA5" w:rsidP="003B6453">
      <w:pPr>
        <w:spacing w:line="360" w:lineRule="auto"/>
        <w:jc w:val="both"/>
        <w:rPr>
          <w:rFonts w:ascii="Times New Roman" w:hAnsi="Times New Roman" w:cs="Times New Roman"/>
          <w:sz w:val="24"/>
          <w:szCs w:val="24"/>
          <w:lang w:val="es-AR"/>
        </w:rPr>
      </w:pPr>
    </w:p>
    <w:p w14:paraId="5D6BC6F1" w14:textId="77777777" w:rsidR="00531DA5" w:rsidRDefault="00531DA5" w:rsidP="003B6453">
      <w:pPr>
        <w:spacing w:line="360" w:lineRule="auto"/>
        <w:jc w:val="both"/>
        <w:rPr>
          <w:rFonts w:ascii="Times New Roman" w:hAnsi="Times New Roman" w:cs="Times New Roman"/>
          <w:sz w:val="24"/>
          <w:szCs w:val="24"/>
          <w:lang w:val="es-AR"/>
        </w:rPr>
      </w:pPr>
    </w:p>
    <w:p w14:paraId="0EE80CFA" w14:textId="77777777" w:rsidR="003B6453" w:rsidRPr="003B6453" w:rsidRDefault="003B6453" w:rsidP="003B6453">
      <w:pPr>
        <w:spacing w:line="360" w:lineRule="auto"/>
        <w:jc w:val="both"/>
        <w:rPr>
          <w:rFonts w:ascii="Times New Roman" w:hAnsi="Times New Roman" w:cs="Times New Roman"/>
          <w:sz w:val="24"/>
          <w:szCs w:val="24"/>
          <w:lang w:val="es-AR"/>
        </w:rPr>
      </w:pPr>
    </w:p>
    <w:sdt>
      <w:sdtPr>
        <w:rPr>
          <w:rFonts w:ascii="Times New Roman" w:hAnsi="Times New Roman" w:cs="Times New Roman"/>
          <w:sz w:val="24"/>
          <w:szCs w:val="24"/>
        </w:rPr>
        <w:id w:val="-222916301"/>
        <w:docPartObj>
          <w:docPartGallery w:val="Table of Contents"/>
          <w:docPartUnique/>
        </w:docPartObj>
      </w:sdtPr>
      <w:sdtEndPr>
        <w:rPr>
          <w:b/>
          <w:bCs/>
          <w:noProof/>
        </w:rPr>
      </w:sdtEndPr>
      <w:sdtContent>
        <w:p w14:paraId="29216EE9" w14:textId="297574AD" w:rsidR="00C21178" w:rsidRPr="003B6453" w:rsidRDefault="00C21178"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Conten</w:t>
          </w:r>
          <w:r w:rsidR="00BA2053" w:rsidRPr="003B6453">
            <w:rPr>
              <w:rFonts w:ascii="Times New Roman" w:hAnsi="Times New Roman" w:cs="Times New Roman"/>
              <w:sz w:val="24"/>
              <w:szCs w:val="24"/>
            </w:rPr>
            <w:t>ido</w:t>
          </w:r>
          <w:proofErr w:type="spellEnd"/>
        </w:p>
        <w:p w14:paraId="6B8CBD45" w14:textId="3E2EAB26" w:rsidR="003B6453" w:rsidRDefault="00C21178">
          <w:pPr>
            <w:pStyle w:val="TDC1"/>
            <w:tabs>
              <w:tab w:val="right" w:leader="dot" w:pos="8828"/>
            </w:tabs>
            <w:rPr>
              <w:rFonts w:eastAsiaTheme="minorEastAsia"/>
              <w:noProof/>
            </w:rPr>
          </w:pPr>
          <w:r w:rsidRPr="003B6453">
            <w:rPr>
              <w:rFonts w:ascii="Times New Roman" w:hAnsi="Times New Roman" w:cs="Times New Roman"/>
              <w:sz w:val="24"/>
              <w:szCs w:val="24"/>
            </w:rPr>
            <w:fldChar w:fldCharType="begin"/>
          </w:r>
          <w:r w:rsidRPr="003B6453">
            <w:rPr>
              <w:rFonts w:ascii="Times New Roman" w:hAnsi="Times New Roman" w:cs="Times New Roman"/>
              <w:sz w:val="24"/>
              <w:szCs w:val="24"/>
            </w:rPr>
            <w:instrText xml:space="preserve"> TOC \o "1-3" \h \z \u </w:instrText>
          </w:r>
          <w:r w:rsidRPr="003B6453">
            <w:rPr>
              <w:rFonts w:ascii="Times New Roman" w:hAnsi="Times New Roman" w:cs="Times New Roman"/>
              <w:sz w:val="24"/>
              <w:szCs w:val="24"/>
            </w:rPr>
            <w:fldChar w:fldCharType="separate"/>
          </w:r>
          <w:hyperlink w:anchor="_Toc228546569" w:history="1">
            <w:r w:rsidR="003B6453" w:rsidRPr="00F03279">
              <w:rPr>
                <w:rStyle w:val="Hipervnculo"/>
                <w:rFonts w:ascii="Times New Roman" w:hAnsi="Times New Roman" w:cs="Times New Roman"/>
                <w:noProof/>
                <w:lang w:val="es-AR"/>
              </w:rPr>
              <w:t>CAPÍTULO 1: MARCO TEÓRICO</w:t>
            </w:r>
            <w:r w:rsidR="003B6453">
              <w:rPr>
                <w:noProof/>
                <w:webHidden/>
              </w:rPr>
              <w:tab/>
            </w:r>
            <w:r w:rsidR="003B6453">
              <w:rPr>
                <w:noProof/>
                <w:webHidden/>
              </w:rPr>
              <w:fldChar w:fldCharType="begin"/>
            </w:r>
            <w:r w:rsidR="003B6453">
              <w:rPr>
                <w:noProof/>
                <w:webHidden/>
              </w:rPr>
              <w:instrText xml:space="preserve"> PAGEREF _Toc228546569 \h </w:instrText>
            </w:r>
            <w:r w:rsidR="003B6453">
              <w:rPr>
                <w:noProof/>
                <w:webHidden/>
              </w:rPr>
            </w:r>
            <w:r w:rsidR="003B6453">
              <w:rPr>
                <w:noProof/>
                <w:webHidden/>
              </w:rPr>
              <w:fldChar w:fldCharType="separate"/>
            </w:r>
            <w:r w:rsidR="003B6453">
              <w:rPr>
                <w:noProof/>
                <w:webHidden/>
              </w:rPr>
              <w:t>4</w:t>
            </w:r>
            <w:r w:rsidR="003B6453">
              <w:rPr>
                <w:noProof/>
                <w:webHidden/>
              </w:rPr>
              <w:fldChar w:fldCharType="end"/>
            </w:r>
          </w:hyperlink>
        </w:p>
        <w:p w14:paraId="1145E333" w14:textId="1A690B87" w:rsidR="003B6453" w:rsidRDefault="00F7619B">
          <w:pPr>
            <w:pStyle w:val="TDC2"/>
            <w:tabs>
              <w:tab w:val="left" w:pos="880"/>
              <w:tab w:val="right" w:leader="dot" w:pos="8828"/>
            </w:tabs>
            <w:rPr>
              <w:rFonts w:eastAsiaTheme="minorEastAsia"/>
              <w:noProof/>
            </w:rPr>
          </w:pPr>
          <w:hyperlink w:anchor="_Toc228546570" w:history="1">
            <w:r w:rsidR="003B6453" w:rsidRPr="00F03279">
              <w:rPr>
                <w:rStyle w:val="Hipervnculo"/>
                <w:rFonts w:ascii="Times New Roman" w:hAnsi="Times New Roman" w:cs="Times New Roman"/>
                <w:noProof/>
                <w:lang w:val="es-AR"/>
              </w:rPr>
              <w:t>1.1</w:t>
            </w:r>
            <w:r w:rsidR="003B6453">
              <w:rPr>
                <w:rFonts w:eastAsiaTheme="minorEastAsia"/>
                <w:noProof/>
              </w:rPr>
              <w:tab/>
            </w:r>
            <w:r w:rsidR="003B6453" w:rsidRPr="00F03279">
              <w:rPr>
                <w:rStyle w:val="Hipervnculo"/>
                <w:rFonts w:ascii="Times New Roman" w:hAnsi="Times New Roman" w:cs="Times New Roman"/>
                <w:noProof/>
                <w:lang w:val="es-AR"/>
              </w:rPr>
              <w:t>Modelos de franquicias</w:t>
            </w:r>
            <w:r w:rsidR="003B6453">
              <w:rPr>
                <w:noProof/>
                <w:webHidden/>
              </w:rPr>
              <w:tab/>
            </w:r>
            <w:r w:rsidR="003B6453">
              <w:rPr>
                <w:noProof/>
                <w:webHidden/>
              </w:rPr>
              <w:fldChar w:fldCharType="begin"/>
            </w:r>
            <w:r w:rsidR="003B6453">
              <w:rPr>
                <w:noProof/>
                <w:webHidden/>
              </w:rPr>
              <w:instrText xml:space="preserve"> PAGEREF _Toc228546570 \h </w:instrText>
            </w:r>
            <w:r w:rsidR="003B6453">
              <w:rPr>
                <w:noProof/>
                <w:webHidden/>
              </w:rPr>
            </w:r>
            <w:r w:rsidR="003B6453">
              <w:rPr>
                <w:noProof/>
                <w:webHidden/>
              </w:rPr>
              <w:fldChar w:fldCharType="separate"/>
            </w:r>
            <w:r w:rsidR="003B6453">
              <w:rPr>
                <w:noProof/>
                <w:webHidden/>
              </w:rPr>
              <w:t>4</w:t>
            </w:r>
            <w:r w:rsidR="003B6453">
              <w:rPr>
                <w:noProof/>
                <w:webHidden/>
              </w:rPr>
              <w:fldChar w:fldCharType="end"/>
            </w:r>
          </w:hyperlink>
        </w:p>
        <w:p w14:paraId="4129E688" w14:textId="010FF0CF" w:rsidR="003B6453" w:rsidRDefault="00F7619B">
          <w:pPr>
            <w:pStyle w:val="TDC2"/>
            <w:tabs>
              <w:tab w:val="left" w:pos="880"/>
              <w:tab w:val="right" w:leader="dot" w:pos="8828"/>
            </w:tabs>
            <w:rPr>
              <w:rFonts w:eastAsiaTheme="minorEastAsia"/>
              <w:noProof/>
            </w:rPr>
          </w:pPr>
          <w:hyperlink w:anchor="_Toc228546571" w:history="1">
            <w:r w:rsidR="003B6453" w:rsidRPr="00F03279">
              <w:rPr>
                <w:rStyle w:val="Hipervnculo"/>
                <w:rFonts w:ascii="Times New Roman" w:hAnsi="Times New Roman" w:cs="Times New Roman"/>
                <w:noProof/>
                <w:lang w:val="es-AR"/>
              </w:rPr>
              <w:t>1.2</w:t>
            </w:r>
            <w:r w:rsidR="003B6453">
              <w:rPr>
                <w:rFonts w:eastAsiaTheme="minorEastAsia"/>
                <w:noProof/>
              </w:rPr>
              <w:tab/>
            </w:r>
            <w:r w:rsidR="003B6453" w:rsidRPr="00F03279">
              <w:rPr>
                <w:rStyle w:val="Hipervnculo"/>
                <w:rFonts w:ascii="Times New Roman" w:hAnsi="Times New Roman" w:cs="Times New Roman"/>
                <w:noProof/>
                <w:lang w:val="es-AR"/>
              </w:rPr>
              <w:t>Factibilidad económica de las franquicias</w:t>
            </w:r>
            <w:r w:rsidR="003B6453">
              <w:rPr>
                <w:noProof/>
                <w:webHidden/>
              </w:rPr>
              <w:tab/>
            </w:r>
            <w:r w:rsidR="003B6453">
              <w:rPr>
                <w:noProof/>
                <w:webHidden/>
              </w:rPr>
              <w:fldChar w:fldCharType="begin"/>
            </w:r>
            <w:r w:rsidR="003B6453">
              <w:rPr>
                <w:noProof/>
                <w:webHidden/>
              </w:rPr>
              <w:instrText xml:space="preserve"> PAGEREF _Toc228546571 \h </w:instrText>
            </w:r>
            <w:r w:rsidR="003B6453">
              <w:rPr>
                <w:noProof/>
                <w:webHidden/>
              </w:rPr>
            </w:r>
            <w:r w:rsidR="003B6453">
              <w:rPr>
                <w:noProof/>
                <w:webHidden/>
              </w:rPr>
              <w:fldChar w:fldCharType="separate"/>
            </w:r>
            <w:r w:rsidR="003B6453">
              <w:rPr>
                <w:noProof/>
                <w:webHidden/>
              </w:rPr>
              <w:t>10</w:t>
            </w:r>
            <w:r w:rsidR="003B6453">
              <w:rPr>
                <w:noProof/>
                <w:webHidden/>
              </w:rPr>
              <w:fldChar w:fldCharType="end"/>
            </w:r>
          </w:hyperlink>
        </w:p>
        <w:p w14:paraId="7F7DC26C" w14:textId="57F3A79D" w:rsidR="003B6453" w:rsidRDefault="00F7619B">
          <w:pPr>
            <w:pStyle w:val="TDC2"/>
            <w:tabs>
              <w:tab w:val="right" w:leader="dot" w:pos="8828"/>
            </w:tabs>
            <w:rPr>
              <w:rFonts w:eastAsiaTheme="minorEastAsia"/>
              <w:noProof/>
            </w:rPr>
          </w:pPr>
          <w:hyperlink w:anchor="_Toc228546572" w:history="1">
            <w:r w:rsidR="003B6453" w:rsidRPr="00F03279">
              <w:rPr>
                <w:rStyle w:val="Hipervnculo"/>
                <w:rFonts w:ascii="Times New Roman" w:hAnsi="Times New Roman" w:cs="Times New Roman"/>
                <w:noProof/>
                <w:lang w:val="es-AR"/>
              </w:rPr>
              <w:t>1.3 Comportamiento del consumidor gastronómico</w:t>
            </w:r>
            <w:r w:rsidR="003B6453">
              <w:rPr>
                <w:noProof/>
                <w:webHidden/>
              </w:rPr>
              <w:tab/>
            </w:r>
            <w:r w:rsidR="003B6453">
              <w:rPr>
                <w:noProof/>
                <w:webHidden/>
              </w:rPr>
              <w:fldChar w:fldCharType="begin"/>
            </w:r>
            <w:r w:rsidR="003B6453">
              <w:rPr>
                <w:noProof/>
                <w:webHidden/>
              </w:rPr>
              <w:instrText xml:space="preserve"> PAGEREF _Toc228546572 \h </w:instrText>
            </w:r>
            <w:r w:rsidR="003B6453">
              <w:rPr>
                <w:noProof/>
                <w:webHidden/>
              </w:rPr>
            </w:r>
            <w:r w:rsidR="003B6453">
              <w:rPr>
                <w:noProof/>
                <w:webHidden/>
              </w:rPr>
              <w:fldChar w:fldCharType="separate"/>
            </w:r>
            <w:r w:rsidR="003B6453">
              <w:rPr>
                <w:noProof/>
                <w:webHidden/>
              </w:rPr>
              <w:t>16</w:t>
            </w:r>
            <w:r w:rsidR="003B6453">
              <w:rPr>
                <w:noProof/>
                <w:webHidden/>
              </w:rPr>
              <w:fldChar w:fldCharType="end"/>
            </w:r>
          </w:hyperlink>
        </w:p>
        <w:p w14:paraId="1698B354" w14:textId="668278AE" w:rsidR="003B6453" w:rsidRDefault="00F7619B">
          <w:pPr>
            <w:pStyle w:val="TDC2"/>
            <w:tabs>
              <w:tab w:val="right" w:leader="dot" w:pos="8828"/>
            </w:tabs>
            <w:rPr>
              <w:rFonts w:eastAsiaTheme="minorEastAsia"/>
              <w:noProof/>
            </w:rPr>
          </w:pPr>
          <w:hyperlink w:anchor="_Toc228546573" w:history="1">
            <w:r w:rsidR="003B6453" w:rsidRPr="00F03279">
              <w:rPr>
                <w:rStyle w:val="Hipervnculo"/>
                <w:rFonts w:ascii="Times New Roman" w:hAnsi="Times New Roman" w:cs="Times New Roman"/>
                <w:noProof/>
                <w:lang w:val="es-AR"/>
              </w:rPr>
              <w:t>1.4 Particularidades del desarrollo de franquicias en contextos regionales</w:t>
            </w:r>
            <w:r w:rsidR="003B6453">
              <w:rPr>
                <w:noProof/>
                <w:webHidden/>
              </w:rPr>
              <w:tab/>
            </w:r>
            <w:r w:rsidR="003B6453">
              <w:rPr>
                <w:noProof/>
                <w:webHidden/>
              </w:rPr>
              <w:fldChar w:fldCharType="begin"/>
            </w:r>
            <w:r w:rsidR="003B6453">
              <w:rPr>
                <w:noProof/>
                <w:webHidden/>
              </w:rPr>
              <w:instrText xml:space="preserve"> PAGEREF _Toc228546573 \h </w:instrText>
            </w:r>
            <w:r w:rsidR="003B6453">
              <w:rPr>
                <w:noProof/>
                <w:webHidden/>
              </w:rPr>
            </w:r>
            <w:r w:rsidR="003B6453">
              <w:rPr>
                <w:noProof/>
                <w:webHidden/>
              </w:rPr>
              <w:fldChar w:fldCharType="separate"/>
            </w:r>
            <w:r w:rsidR="003B6453">
              <w:rPr>
                <w:noProof/>
                <w:webHidden/>
              </w:rPr>
              <w:t>23</w:t>
            </w:r>
            <w:r w:rsidR="003B6453">
              <w:rPr>
                <w:noProof/>
                <w:webHidden/>
              </w:rPr>
              <w:fldChar w:fldCharType="end"/>
            </w:r>
          </w:hyperlink>
        </w:p>
        <w:p w14:paraId="7B246E5C" w14:textId="1E540CAA" w:rsidR="003B6453" w:rsidRDefault="00F7619B">
          <w:pPr>
            <w:pStyle w:val="TDC2"/>
            <w:tabs>
              <w:tab w:val="right" w:leader="dot" w:pos="8828"/>
            </w:tabs>
            <w:rPr>
              <w:rFonts w:eastAsiaTheme="minorEastAsia"/>
              <w:noProof/>
            </w:rPr>
          </w:pPr>
          <w:hyperlink w:anchor="_Toc228546574" w:history="1">
            <w:r w:rsidR="003B6453" w:rsidRPr="00F03279">
              <w:rPr>
                <w:rStyle w:val="Hipervnculo"/>
                <w:rFonts w:ascii="Times New Roman" w:hAnsi="Times New Roman" w:cs="Times New Roman"/>
                <w:noProof/>
                <w:lang w:val="es-AR"/>
              </w:rPr>
              <w:t>1.5 Modelos de negocio y herramientas estratégicas</w:t>
            </w:r>
            <w:r w:rsidR="003B6453">
              <w:rPr>
                <w:noProof/>
                <w:webHidden/>
              </w:rPr>
              <w:tab/>
            </w:r>
            <w:r w:rsidR="003B6453">
              <w:rPr>
                <w:noProof/>
                <w:webHidden/>
              </w:rPr>
              <w:fldChar w:fldCharType="begin"/>
            </w:r>
            <w:r w:rsidR="003B6453">
              <w:rPr>
                <w:noProof/>
                <w:webHidden/>
              </w:rPr>
              <w:instrText xml:space="preserve"> PAGEREF _Toc228546574 \h </w:instrText>
            </w:r>
            <w:r w:rsidR="003B6453">
              <w:rPr>
                <w:noProof/>
                <w:webHidden/>
              </w:rPr>
            </w:r>
            <w:r w:rsidR="003B6453">
              <w:rPr>
                <w:noProof/>
                <w:webHidden/>
              </w:rPr>
              <w:fldChar w:fldCharType="separate"/>
            </w:r>
            <w:r w:rsidR="003B6453">
              <w:rPr>
                <w:noProof/>
                <w:webHidden/>
              </w:rPr>
              <w:t>29</w:t>
            </w:r>
            <w:r w:rsidR="003B6453">
              <w:rPr>
                <w:noProof/>
                <w:webHidden/>
              </w:rPr>
              <w:fldChar w:fldCharType="end"/>
            </w:r>
          </w:hyperlink>
        </w:p>
        <w:p w14:paraId="3FAABF40" w14:textId="4CAD89C3" w:rsidR="003B6453" w:rsidRDefault="00F7619B">
          <w:pPr>
            <w:pStyle w:val="TDC2"/>
            <w:tabs>
              <w:tab w:val="right" w:leader="dot" w:pos="8828"/>
            </w:tabs>
            <w:rPr>
              <w:rFonts w:eastAsiaTheme="minorEastAsia"/>
              <w:noProof/>
            </w:rPr>
          </w:pPr>
          <w:hyperlink w:anchor="_Toc228546575" w:history="1">
            <w:r w:rsidR="003B6453" w:rsidRPr="00F03279">
              <w:rPr>
                <w:rStyle w:val="Hipervnculo"/>
                <w:rFonts w:ascii="Times New Roman" w:hAnsi="Times New Roman" w:cs="Times New Roman"/>
                <w:noProof/>
                <w:lang w:val="es-AR"/>
              </w:rPr>
              <w:t>1.6 Síntesis y articulación con el caso de estudio</w:t>
            </w:r>
            <w:r w:rsidR="003B6453">
              <w:rPr>
                <w:noProof/>
                <w:webHidden/>
              </w:rPr>
              <w:tab/>
            </w:r>
            <w:r w:rsidR="003B6453">
              <w:rPr>
                <w:noProof/>
                <w:webHidden/>
              </w:rPr>
              <w:fldChar w:fldCharType="begin"/>
            </w:r>
            <w:r w:rsidR="003B6453">
              <w:rPr>
                <w:noProof/>
                <w:webHidden/>
              </w:rPr>
              <w:instrText xml:space="preserve"> PAGEREF _Toc228546575 \h </w:instrText>
            </w:r>
            <w:r w:rsidR="003B6453">
              <w:rPr>
                <w:noProof/>
                <w:webHidden/>
              </w:rPr>
            </w:r>
            <w:r w:rsidR="003B6453">
              <w:rPr>
                <w:noProof/>
                <w:webHidden/>
              </w:rPr>
              <w:fldChar w:fldCharType="separate"/>
            </w:r>
            <w:r w:rsidR="003B6453">
              <w:rPr>
                <w:noProof/>
                <w:webHidden/>
              </w:rPr>
              <w:t>34</w:t>
            </w:r>
            <w:r w:rsidR="003B6453">
              <w:rPr>
                <w:noProof/>
                <w:webHidden/>
              </w:rPr>
              <w:fldChar w:fldCharType="end"/>
            </w:r>
          </w:hyperlink>
        </w:p>
        <w:p w14:paraId="1477CF99" w14:textId="7ACE6D0F" w:rsidR="003B6453" w:rsidRDefault="00F7619B">
          <w:pPr>
            <w:pStyle w:val="TDC1"/>
            <w:tabs>
              <w:tab w:val="right" w:leader="dot" w:pos="8828"/>
            </w:tabs>
            <w:rPr>
              <w:rFonts w:eastAsiaTheme="minorEastAsia"/>
              <w:noProof/>
            </w:rPr>
          </w:pPr>
          <w:hyperlink w:anchor="_Toc228546576" w:history="1">
            <w:r w:rsidR="003B6453" w:rsidRPr="00F03279">
              <w:rPr>
                <w:rStyle w:val="Hipervnculo"/>
                <w:rFonts w:ascii="Times New Roman" w:hAnsi="Times New Roman" w:cs="Times New Roman"/>
                <w:noProof/>
                <w:lang w:val="es-AR"/>
              </w:rPr>
              <w:t>Capítulo 2: Análisis del Sector y del Entorno</w:t>
            </w:r>
            <w:r w:rsidR="003B6453">
              <w:rPr>
                <w:noProof/>
                <w:webHidden/>
              </w:rPr>
              <w:tab/>
            </w:r>
            <w:r w:rsidR="003B6453">
              <w:rPr>
                <w:noProof/>
                <w:webHidden/>
              </w:rPr>
              <w:fldChar w:fldCharType="begin"/>
            </w:r>
            <w:r w:rsidR="003B6453">
              <w:rPr>
                <w:noProof/>
                <w:webHidden/>
              </w:rPr>
              <w:instrText xml:space="preserve"> PAGEREF _Toc228546576 \h </w:instrText>
            </w:r>
            <w:r w:rsidR="003B6453">
              <w:rPr>
                <w:noProof/>
                <w:webHidden/>
              </w:rPr>
            </w:r>
            <w:r w:rsidR="003B6453">
              <w:rPr>
                <w:noProof/>
                <w:webHidden/>
              </w:rPr>
              <w:fldChar w:fldCharType="separate"/>
            </w:r>
            <w:r w:rsidR="003B6453">
              <w:rPr>
                <w:noProof/>
                <w:webHidden/>
              </w:rPr>
              <w:t>36</w:t>
            </w:r>
            <w:r w:rsidR="003B6453">
              <w:rPr>
                <w:noProof/>
                <w:webHidden/>
              </w:rPr>
              <w:fldChar w:fldCharType="end"/>
            </w:r>
          </w:hyperlink>
        </w:p>
        <w:p w14:paraId="5363CFC9" w14:textId="60D8A2C0" w:rsidR="003B6453" w:rsidRDefault="00F7619B">
          <w:pPr>
            <w:pStyle w:val="TDC2"/>
            <w:tabs>
              <w:tab w:val="right" w:leader="dot" w:pos="8828"/>
            </w:tabs>
            <w:rPr>
              <w:rFonts w:eastAsiaTheme="minorEastAsia"/>
              <w:noProof/>
            </w:rPr>
          </w:pPr>
          <w:hyperlink w:anchor="_Toc228546577" w:history="1">
            <w:r w:rsidR="003B6453" w:rsidRPr="00F03279">
              <w:rPr>
                <w:rStyle w:val="Hipervnculo"/>
                <w:rFonts w:ascii="Times New Roman" w:hAnsi="Times New Roman" w:cs="Times New Roman"/>
                <w:noProof/>
                <w:lang w:val="es-AR"/>
              </w:rPr>
              <w:t>2.1 Análisis PESTEL del entorno macroeconómico</w:t>
            </w:r>
            <w:r w:rsidR="003B6453">
              <w:rPr>
                <w:noProof/>
                <w:webHidden/>
              </w:rPr>
              <w:tab/>
            </w:r>
            <w:r w:rsidR="003B6453">
              <w:rPr>
                <w:noProof/>
                <w:webHidden/>
              </w:rPr>
              <w:fldChar w:fldCharType="begin"/>
            </w:r>
            <w:r w:rsidR="003B6453">
              <w:rPr>
                <w:noProof/>
                <w:webHidden/>
              </w:rPr>
              <w:instrText xml:space="preserve"> PAGEREF _Toc228546577 \h </w:instrText>
            </w:r>
            <w:r w:rsidR="003B6453">
              <w:rPr>
                <w:noProof/>
                <w:webHidden/>
              </w:rPr>
            </w:r>
            <w:r w:rsidR="003B6453">
              <w:rPr>
                <w:noProof/>
                <w:webHidden/>
              </w:rPr>
              <w:fldChar w:fldCharType="separate"/>
            </w:r>
            <w:r w:rsidR="003B6453">
              <w:rPr>
                <w:noProof/>
                <w:webHidden/>
              </w:rPr>
              <w:t>38</w:t>
            </w:r>
            <w:r w:rsidR="003B6453">
              <w:rPr>
                <w:noProof/>
                <w:webHidden/>
              </w:rPr>
              <w:fldChar w:fldCharType="end"/>
            </w:r>
          </w:hyperlink>
        </w:p>
        <w:p w14:paraId="37273C7E" w14:textId="57F5293A" w:rsidR="003B6453" w:rsidRDefault="00F7619B">
          <w:pPr>
            <w:pStyle w:val="TDC2"/>
            <w:tabs>
              <w:tab w:val="right" w:leader="dot" w:pos="8828"/>
            </w:tabs>
            <w:rPr>
              <w:rFonts w:eastAsiaTheme="minorEastAsia"/>
              <w:noProof/>
            </w:rPr>
          </w:pPr>
          <w:hyperlink w:anchor="_Toc228546578" w:history="1">
            <w:r w:rsidR="003B6453" w:rsidRPr="00F03279">
              <w:rPr>
                <w:rStyle w:val="Hipervnculo"/>
                <w:rFonts w:ascii="Times New Roman" w:hAnsi="Times New Roman" w:cs="Times New Roman"/>
                <w:noProof/>
                <w:lang w:val="es-AR"/>
              </w:rPr>
              <w:t>2.2 Cadena de Valor de Porter</w:t>
            </w:r>
            <w:r w:rsidR="003B6453">
              <w:rPr>
                <w:noProof/>
                <w:webHidden/>
              </w:rPr>
              <w:tab/>
            </w:r>
            <w:r w:rsidR="003B6453">
              <w:rPr>
                <w:noProof/>
                <w:webHidden/>
              </w:rPr>
              <w:fldChar w:fldCharType="begin"/>
            </w:r>
            <w:r w:rsidR="003B6453">
              <w:rPr>
                <w:noProof/>
                <w:webHidden/>
              </w:rPr>
              <w:instrText xml:space="preserve"> PAGEREF _Toc228546578 \h </w:instrText>
            </w:r>
            <w:r w:rsidR="003B6453">
              <w:rPr>
                <w:noProof/>
                <w:webHidden/>
              </w:rPr>
            </w:r>
            <w:r w:rsidR="003B6453">
              <w:rPr>
                <w:noProof/>
                <w:webHidden/>
              </w:rPr>
              <w:fldChar w:fldCharType="separate"/>
            </w:r>
            <w:r w:rsidR="003B6453">
              <w:rPr>
                <w:noProof/>
                <w:webHidden/>
              </w:rPr>
              <w:t>42</w:t>
            </w:r>
            <w:r w:rsidR="003B6453">
              <w:rPr>
                <w:noProof/>
                <w:webHidden/>
              </w:rPr>
              <w:fldChar w:fldCharType="end"/>
            </w:r>
          </w:hyperlink>
        </w:p>
        <w:p w14:paraId="77488BE1" w14:textId="3424C3FB" w:rsidR="003B6453" w:rsidRDefault="00F7619B">
          <w:pPr>
            <w:pStyle w:val="TDC2"/>
            <w:tabs>
              <w:tab w:val="right" w:leader="dot" w:pos="8828"/>
            </w:tabs>
            <w:rPr>
              <w:rFonts w:eastAsiaTheme="minorEastAsia"/>
              <w:noProof/>
            </w:rPr>
          </w:pPr>
          <w:hyperlink w:anchor="_Toc228546579" w:history="1">
            <w:r w:rsidR="003B6453" w:rsidRPr="00F03279">
              <w:rPr>
                <w:rStyle w:val="Hipervnculo"/>
                <w:rFonts w:ascii="Times New Roman" w:hAnsi="Times New Roman" w:cs="Times New Roman"/>
                <w:noProof/>
                <w:lang w:val="es-AR"/>
              </w:rPr>
              <w:t>2.3 Modelo Canvas de Negocio</w:t>
            </w:r>
            <w:r w:rsidR="003B6453">
              <w:rPr>
                <w:noProof/>
                <w:webHidden/>
              </w:rPr>
              <w:tab/>
            </w:r>
            <w:r w:rsidR="003B6453">
              <w:rPr>
                <w:noProof/>
                <w:webHidden/>
              </w:rPr>
              <w:fldChar w:fldCharType="begin"/>
            </w:r>
            <w:r w:rsidR="003B6453">
              <w:rPr>
                <w:noProof/>
                <w:webHidden/>
              </w:rPr>
              <w:instrText xml:space="preserve"> PAGEREF _Toc228546579 \h </w:instrText>
            </w:r>
            <w:r w:rsidR="003B6453">
              <w:rPr>
                <w:noProof/>
                <w:webHidden/>
              </w:rPr>
            </w:r>
            <w:r w:rsidR="003B6453">
              <w:rPr>
                <w:noProof/>
                <w:webHidden/>
              </w:rPr>
              <w:fldChar w:fldCharType="separate"/>
            </w:r>
            <w:r w:rsidR="003B6453">
              <w:rPr>
                <w:noProof/>
                <w:webHidden/>
              </w:rPr>
              <w:t>49</w:t>
            </w:r>
            <w:r w:rsidR="003B6453">
              <w:rPr>
                <w:noProof/>
                <w:webHidden/>
              </w:rPr>
              <w:fldChar w:fldCharType="end"/>
            </w:r>
          </w:hyperlink>
        </w:p>
        <w:p w14:paraId="352B3C56" w14:textId="754A68A2" w:rsidR="003B6453" w:rsidRDefault="00F7619B">
          <w:pPr>
            <w:pStyle w:val="TDC2"/>
            <w:tabs>
              <w:tab w:val="right" w:leader="dot" w:pos="8828"/>
            </w:tabs>
            <w:rPr>
              <w:rFonts w:eastAsiaTheme="minorEastAsia"/>
              <w:noProof/>
            </w:rPr>
          </w:pPr>
          <w:hyperlink w:anchor="_Toc228546580" w:history="1">
            <w:r w:rsidR="003B6453" w:rsidRPr="00F03279">
              <w:rPr>
                <w:rStyle w:val="Hipervnculo"/>
                <w:rFonts w:ascii="Times New Roman" w:hAnsi="Times New Roman" w:cs="Times New Roman"/>
                <w:noProof/>
                <w:lang w:val="es-AR"/>
              </w:rPr>
              <w:t>2.4 Análisis de las Cinco Fuerzas de Porter</w:t>
            </w:r>
            <w:r w:rsidR="003B6453">
              <w:rPr>
                <w:noProof/>
                <w:webHidden/>
              </w:rPr>
              <w:tab/>
            </w:r>
            <w:r w:rsidR="003B6453">
              <w:rPr>
                <w:noProof/>
                <w:webHidden/>
              </w:rPr>
              <w:fldChar w:fldCharType="begin"/>
            </w:r>
            <w:r w:rsidR="003B6453">
              <w:rPr>
                <w:noProof/>
                <w:webHidden/>
              </w:rPr>
              <w:instrText xml:space="preserve"> PAGEREF _Toc228546580 \h </w:instrText>
            </w:r>
            <w:r w:rsidR="003B6453">
              <w:rPr>
                <w:noProof/>
                <w:webHidden/>
              </w:rPr>
            </w:r>
            <w:r w:rsidR="003B6453">
              <w:rPr>
                <w:noProof/>
                <w:webHidden/>
              </w:rPr>
              <w:fldChar w:fldCharType="separate"/>
            </w:r>
            <w:r w:rsidR="003B6453">
              <w:rPr>
                <w:noProof/>
                <w:webHidden/>
              </w:rPr>
              <w:t>54</w:t>
            </w:r>
            <w:r w:rsidR="003B6453">
              <w:rPr>
                <w:noProof/>
                <w:webHidden/>
              </w:rPr>
              <w:fldChar w:fldCharType="end"/>
            </w:r>
          </w:hyperlink>
        </w:p>
        <w:p w14:paraId="56B683FC" w14:textId="0D9D750F" w:rsidR="003B6453" w:rsidRDefault="00F7619B">
          <w:pPr>
            <w:pStyle w:val="TDC2"/>
            <w:tabs>
              <w:tab w:val="right" w:leader="dot" w:pos="8828"/>
            </w:tabs>
            <w:rPr>
              <w:rFonts w:eastAsiaTheme="minorEastAsia"/>
              <w:noProof/>
            </w:rPr>
          </w:pPr>
          <w:hyperlink w:anchor="_Toc228546581" w:history="1">
            <w:r w:rsidR="003B6453" w:rsidRPr="00F03279">
              <w:rPr>
                <w:rStyle w:val="Hipervnculo"/>
                <w:rFonts w:ascii="Times New Roman" w:hAnsi="Times New Roman" w:cs="Times New Roman"/>
                <w:noProof/>
                <w:lang w:val="es-AR"/>
              </w:rPr>
              <w:t>2.5 Análisis FODA</w:t>
            </w:r>
            <w:r w:rsidR="003B6453">
              <w:rPr>
                <w:noProof/>
                <w:webHidden/>
              </w:rPr>
              <w:tab/>
            </w:r>
            <w:r w:rsidR="003B6453">
              <w:rPr>
                <w:noProof/>
                <w:webHidden/>
              </w:rPr>
              <w:fldChar w:fldCharType="begin"/>
            </w:r>
            <w:r w:rsidR="003B6453">
              <w:rPr>
                <w:noProof/>
                <w:webHidden/>
              </w:rPr>
              <w:instrText xml:space="preserve"> PAGEREF _Toc228546581 \h </w:instrText>
            </w:r>
            <w:r w:rsidR="003B6453">
              <w:rPr>
                <w:noProof/>
                <w:webHidden/>
              </w:rPr>
            </w:r>
            <w:r w:rsidR="003B6453">
              <w:rPr>
                <w:noProof/>
                <w:webHidden/>
              </w:rPr>
              <w:fldChar w:fldCharType="separate"/>
            </w:r>
            <w:r w:rsidR="003B6453">
              <w:rPr>
                <w:noProof/>
                <w:webHidden/>
              </w:rPr>
              <w:t>59</w:t>
            </w:r>
            <w:r w:rsidR="003B6453">
              <w:rPr>
                <w:noProof/>
                <w:webHidden/>
              </w:rPr>
              <w:fldChar w:fldCharType="end"/>
            </w:r>
          </w:hyperlink>
        </w:p>
        <w:p w14:paraId="32F24519" w14:textId="281483EF" w:rsidR="003B6453" w:rsidRDefault="00F7619B">
          <w:pPr>
            <w:pStyle w:val="TDC2"/>
            <w:tabs>
              <w:tab w:val="right" w:leader="dot" w:pos="8828"/>
            </w:tabs>
            <w:rPr>
              <w:rFonts w:eastAsiaTheme="minorEastAsia"/>
              <w:noProof/>
            </w:rPr>
          </w:pPr>
          <w:hyperlink w:anchor="_Toc228546582" w:history="1">
            <w:r w:rsidR="003B6453" w:rsidRPr="00F03279">
              <w:rPr>
                <w:rStyle w:val="Hipervnculo"/>
                <w:rFonts w:ascii="Times New Roman" w:hAnsi="Times New Roman" w:cs="Times New Roman"/>
                <w:noProof/>
                <w:lang w:val="es-AR"/>
              </w:rPr>
              <w:t>Capítulo 3: Diseño de la Investigación</w:t>
            </w:r>
            <w:r w:rsidR="003B6453">
              <w:rPr>
                <w:noProof/>
                <w:webHidden/>
              </w:rPr>
              <w:tab/>
            </w:r>
            <w:r w:rsidR="003B6453">
              <w:rPr>
                <w:noProof/>
                <w:webHidden/>
              </w:rPr>
              <w:fldChar w:fldCharType="begin"/>
            </w:r>
            <w:r w:rsidR="003B6453">
              <w:rPr>
                <w:noProof/>
                <w:webHidden/>
              </w:rPr>
              <w:instrText xml:space="preserve"> PAGEREF _Toc228546582 \h </w:instrText>
            </w:r>
            <w:r w:rsidR="003B6453">
              <w:rPr>
                <w:noProof/>
                <w:webHidden/>
              </w:rPr>
            </w:r>
            <w:r w:rsidR="003B6453">
              <w:rPr>
                <w:noProof/>
                <w:webHidden/>
              </w:rPr>
              <w:fldChar w:fldCharType="separate"/>
            </w:r>
            <w:r w:rsidR="003B6453">
              <w:rPr>
                <w:noProof/>
                <w:webHidden/>
              </w:rPr>
              <w:t>69</w:t>
            </w:r>
            <w:r w:rsidR="003B6453">
              <w:rPr>
                <w:noProof/>
                <w:webHidden/>
              </w:rPr>
              <w:fldChar w:fldCharType="end"/>
            </w:r>
          </w:hyperlink>
        </w:p>
        <w:p w14:paraId="13518ECD" w14:textId="70A0CD22" w:rsidR="003B6453" w:rsidRDefault="00F7619B">
          <w:pPr>
            <w:pStyle w:val="TDC1"/>
            <w:tabs>
              <w:tab w:val="right" w:leader="dot" w:pos="8828"/>
            </w:tabs>
            <w:rPr>
              <w:rFonts w:eastAsiaTheme="minorEastAsia"/>
              <w:noProof/>
            </w:rPr>
          </w:pPr>
          <w:hyperlink w:anchor="_Toc228546583" w:history="1">
            <w:r w:rsidR="003B6453" w:rsidRPr="00F03279">
              <w:rPr>
                <w:rStyle w:val="Hipervnculo"/>
                <w:rFonts w:ascii="Times New Roman" w:hAnsi="Times New Roman" w:cs="Times New Roman"/>
                <w:noProof/>
                <w:lang w:val="es-AR"/>
              </w:rPr>
              <w:t>Capítulo 4: Análisis de Resultados</w:t>
            </w:r>
            <w:r w:rsidR="003B6453">
              <w:rPr>
                <w:noProof/>
                <w:webHidden/>
              </w:rPr>
              <w:tab/>
            </w:r>
            <w:r w:rsidR="003B6453">
              <w:rPr>
                <w:noProof/>
                <w:webHidden/>
              </w:rPr>
              <w:fldChar w:fldCharType="begin"/>
            </w:r>
            <w:r w:rsidR="003B6453">
              <w:rPr>
                <w:noProof/>
                <w:webHidden/>
              </w:rPr>
              <w:instrText xml:space="preserve"> PAGEREF _Toc228546583 \h </w:instrText>
            </w:r>
            <w:r w:rsidR="003B6453">
              <w:rPr>
                <w:noProof/>
                <w:webHidden/>
              </w:rPr>
            </w:r>
            <w:r w:rsidR="003B6453">
              <w:rPr>
                <w:noProof/>
                <w:webHidden/>
              </w:rPr>
              <w:fldChar w:fldCharType="separate"/>
            </w:r>
            <w:r w:rsidR="003B6453">
              <w:rPr>
                <w:noProof/>
                <w:webHidden/>
              </w:rPr>
              <w:t>75</w:t>
            </w:r>
            <w:r w:rsidR="003B6453">
              <w:rPr>
                <w:noProof/>
                <w:webHidden/>
              </w:rPr>
              <w:fldChar w:fldCharType="end"/>
            </w:r>
          </w:hyperlink>
        </w:p>
        <w:p w14:paraId="3AE00339" w14:textId="304FB52B" w:rsidR="003B6453" w:rsidRDefault="00F7619B">
          <w:pPr>
            <w:pStyle w:val="TDC2"/>
            <w:tabs>
              <w:tab w:val="right" w:leader="dot" w:pos="8828"/>
            </w:tabs>
            <w:rPr>
              <w:rFonts w:eastAsiaTheme="minorEastAsia"/>
              <w:noProof/>
            </w:rPr>
          </w:pPr>
          <w:hyperlink w:anchor="_Toc228546584" w:history="1">
            <w:r w:rsidR="003B6453" w:rsidRPr="00F03279">
              <w:rPr>
                <w:rStyle w:val="Hipervnculo"/>
                <w:rFonts w:ascii="Times New Roman" w:hAnsi="Times New Roman" w:cs="Times New Roman"/>
                <w:noProof/>
                <w:lang w:val="es-AR"/>
              </w:rPr>
              <w:t>4.1 Hábitos de consumo de medialunas y estabilidad de la demanda</w:t>
            </w:r>
            <w:r w:rsidR="003B6453">
              <w:rPr>
                <w:noProof/>
                <w:webHidden/>
              </w:rPr>
              <w:tab/>
            </w:r>
            <w:r w:rsidR="003B6453">
              <w:rPr>
                <w:noProof/>
                <w:webHidden/>
              </w:rPr>
              <w:fldChar w:fldCharType="begin"/>
            </w:r>
            <w:r w:rsidR="003B6453">
              <w:rPr>
                <w:noProof/>
                <w:webHidden/>
              </w:rPr>
              <w:instrText xml:space="preserve"> PAGEREF _Toc228546584 \h </w:instrText>
            </w:r>
            <w:r w:rsidR="003B6453">
              <w:rPr>
                <w:noProof/>
                <w:webHidden/>
              </w:rPr>
            </w:r>
            <w:r w:rsidR="003B6453">
              <w:rPr>
                <w:noProof/>
                <w:webHidden/>
              </w:rPr>
              <w:fldChar w:fldCharType="separate"/>
            </w:r>
            <w:r w:rsidR="003B6453">
              <w:rPr>
                <w:noProof/>
                <w:webHidden/>
              </w:rPr>
              <w:t>76</w:t>
            </w:r>
            <w:r w:rsidR="003B6453">
              <w:rPr>
                <w:noProof/>
                <w:webHidden/>
              </w:rPr>
              <w:fldChar w:fldCharType="end"/>
            </w:r>
          </w:hyperlink>
        </w:p>
        <w:p w14:paraId="3EE876C0" w14:textId="420AF82E" w:rsidR="003B6453" w:rsidRDefault="00F7619B">
          <w:pPr>
            <w:pStyle w:val="TDC2"/>
            <w:tabs>
              <w:tab w:val="right" w:leader="dot" w:pos="8828"/>
            </w:tabs>
            <w:rPr>
              <w:rFonts w:eastAsiaTheme="minorEastAsia"/>
              <w:noProof/>
            </w:rPr>
          </w:pPr>
          <w:hyperlink w:anchor="_Toc228546585" w:history="1">
            <w:r w:rsidR="003B6453" w:rsidRPr="00F03279">
              <w:rPr>
                <w:rStyle w:val="Hipervnculo"/>
                <w:rFonts w:ascii="Times New Roman" w:hAnsi="Times New Roman" w:cs="Times New Roman"/>
                <w:noProof/>
                <w:lang w:val="es-AR"/>
              </w:rPr>
              <w:t>4.2 Canales de compra, multicanalidad y experiencia del consumidor</w:t>
            </w:r>
            <w:r w:rsidR="003B6453">
              <w:rPr>
                <w:noProof/>
                <w:webHidden/>
              </w:rPr>
              <w:tab/>
            </w:r>
            <w:r w:rsidR="003B6453">
              <w:rPr>
                <w:noProof/>
                <w:webHidden/>
              </w:rPr>
              <w:fldChar w:fldCharType="begin"/>
            </w:r>
            <w:r w:rsidR="003B6453">
              <w:rPr>
                <w:noProof/>
                <w:webHidden/>
              </w:rPr>
              <w:instrText xml:space="preserve"> PAGEREF _Toc228546585 \h </w:instrText>
            </w:r>
            <w:r w:rsidR="003B6453">
              <w:rPr>
                <w:noProof/>
                <w:webHidden/>
              </w:rPr>
            </w:r>
            <w:r w:rsidR="003B6453">
              <w:rPr>
                <w:noProof/>
                <w:webHidden/>
              </w:rPr>
              <w:fldChar w:fldCharType="separate"/>
            </w:r>
            <w:r w:rsidR="003B6453">
              <w:rPr>
                <w:noProof/>
                <w:webHidden/>
              </w:rPr>
              <w:t>77</w:t>
            </w:r>
            <w:r w:rsidR="003B6453">
              <w:rPr>
                <w:noProof/>
                <w:webHidden/>
              </w:rPr>
              <w:fldChar w:fldCharType="end"/>
            </w:r>
          </w:hyperlink>
        </w:p>
        <w:p w14:paraId="772083CE" w14:textId="2B4A94CF" w:rsidR="003B6453" w:rsidRDefault="00F7619B">
          <w:pPr>
            <w:pStyle w:val="TDC2"/>
            <w:tabs>
              <w:tab w:val="right" w:leader="dot" w:pos="8828"/>
            </w:tabs>
            <w:rPr>
              <w:rFonts w:eastAsiaTheme="minorEastAsia"/>
              <w:noProof/>
            </w:rPr>
          </w:pPr>
          <w:hyperlink w:anchor="_Toc228546586" w:history="1">
            <w:r w:rsidR="003B6453" w:rsidRPr="00F03279">
              <w:rPr>
                <w:rStyle w:val="Hipervnculo"/>
                <w:rFonts w:ascii="Times New Roman" w:hAnsi="Times New Roman" w:cs="Times New Roman"/>
                <w:noProof/>
                <w:lang w:val="es-AR"/>
              </w:rPr>
              <w:t>4.3 Disposición a pagar y validación del posicionamiento gourmet</w:t>
            </w:r>
            <w:r w:rsidR="003B6453">
              <w:rPr>
                <w:noProof/>
                <w:webHidden/>
              </w:rPr>
              <w:tab/>
            </w:r>
            <w:r w:rsidR="003B6453">
              <w:rPr>
                <w:noProof/>
                <w:webHidden/>
              </w:rPr>
              <w:fldChar w:fldCharType="begin"/>
            </w:r>
            <w:r w:rsidR="003B6453">
              <w:rPr>
                <w:noProof/>
                <w:webHidden/>
              </w:rPr>
              <w:instrText xml:space="preserve"> PAGEREF _Toc228546586 \h </w:instrText>
            </w:r>
            <w:r w:rsidR="003B6453">
              <w:rPr>
                <w:noProof/>
                <w:webHidden/>
              </w:rPr>
            </w:r>
            <w:r w:rsidR="003B6453">
              <w:rPr>
                <w:noProof/>
                <w:webHidden/>
              </w:rPr>
              <w:fldChar w:fldCharType="separate"/>
            </w:r>
            <w:r w:rsidR="003B6453">
              <w:rPr>
                <w:noProof/>
                <w:webHidden/>
              </w:rPr>
              <w:t>78</w:t>
            </w:r>
            <w:r w:rsidR="003B6453">
              <w:rPr>
                <w:noProof/>
                <w:webHidden/>
              </w:rPr>
              <w:fldChar w:fldCharType="end"/>
            </w:r>
          </w:hyperlink>
        </w:p>
        <w:p w14:paraId="356D70CB" w14:textId="2214C7DA" w:rsidR="003B6453" w:rsidRDefault="00F7619B">
          <w:pPr>
            <w:pStyle w:val="TDC2"/>
            <w:tabs>
              <w:tab w:val="right" w:leader="dot" w:pos="8828"/>
            </w:tabs>
            <w:rPr>
              <w:rFonts w:eastAsiaTheme="minorEastAsia"/>
              <w:noProof/>
            </w:rPr>
          </w:pPr>
          <w:hyperlink w:anchor="_Toc228546587" w:history="1">
            <w:r w:rsidR="003B6453" w:rsidRPr="00F03279">
              <w:rPr>
                <w:rStyle w:val="Hipervnculo"/>
                <w:rFonts w:ascii="Times New Roman" w:hAnsi="Times New Roman" w:cs="Times New Roman"/>
                <w:noProof/>
              </w:rPr>
              <w:t>4.4 Atributos valorados, innovación y consumo consciente</w:t>
            </w:r>
            <w:r w:rsidR="003B6453">
              <w:rPr>
                <w:noProof/>
                <w:webHidden/>
              </w:rPr>
              <w:tab/>
            </w:r>
            <w:r w:rsidR="003B6453">
              <w:rPr>
                <w:noProof/>
                <w:webHidden/>
              </w:rPr>
              <w:fldChar w:fldCharType="begin"/>
            </w:r>
            <w:r w:rsidR="003B6453">
              <w:rPr>
                <w:noProof/>
                <w:webHidden/>
              </w:rPr>
              <w:instrText xml:space="preserve"> PAGEREF _Toc228546587 \h </w:instrText>
            </w:r>
            <w:r w:rsidR="003B6453">
              <w:rPr>
                <w:noProof/>
                <w:webHidden/>
              </w:rPr>
            </w:r>
            <w:r w:rsidR="003B6453">
              <w:rPr>
                <w:noProof/>
                <w:webHidden/>
              </w:rPr>
              <w:fldChar w:fldCharType="separate"/>
            </w:r>
            <w:r w:rsidR="003B6453">
              <w:rPr>
                <w:noProof/>
                <w:webHidden/>
              </w:rPr>
              <w:t>79</w:t>
            </w:r>
            <w:r w:rsidR="003B6453">
              <w:rPr>
                <w:noProof/>
                <w:webHidden/>
              </w:rPr>
              <w:fldChar w:fldCharType="end"/>
            </w:r>
          </w:hyperlink>
        </w:p>
        <w:p w14:paraId="428CF86F" w14:textId="2E010465" w:rsidR="003B6453" w:rsidRDefault="00F7619B">
          <w:pPr>
            <w:pStyle w:val="TDC2"/>
            <w:tabs>
              <w:tab w:val="right" w:leader="dot" w:pos="8828"/>
            </w:tabs>
            <w:rPr>
              <w:rFonts w:eastAsiaTheme="minorEastAsia"/>
              <w:noProof/>
            </w:rPr>
          </w:pPr>
          <w:hyperlink w:anchor="_Toc228546588" w:history="1">
            <w:r w:rsidR="003B6453" w:rsidRPr="00F03279">
              <w:rPr>
                <w:rStyle w:val="Hipervnculo"/>
                <w:rFonts w:ascii="Times New Roman" w:hAnsi="Times New Roman" w:cs="Times New Roman"/>
                <w:noProof/>
                <w:lang w:val="es-AR"/>
              </w:rPr>
              <w:t>4.5 Marca, franquicias y predisposición a la adopción</w:t>
            </w:r>
            <w:r w:rsidR="003B6453">
              <w:rPr>
                <w:noProof/>
                <w:webHidden/>
              </w:rPr>
              <w:tab/>
            </w:r>
            <w:r w:rsidR="003B6453">
              <w:rPr>
                <w:noProof/>
                <w:webHidden/>
              </w:rPr>
              <w:fldChar w:fldCharType="begin"/>
            </w:r>
            <w:r w:rsidR="003B6453">
              <w:rPr>
                <w:noProof/>
                <w:webHidden/>
              </w:rPr>
              <w:instrText xml:space="preserve"> PAGEREF _Toc228546588 \h </w:instrText>
            </w:r>
            <w:r w:rsidR="003B6453">
              <w:rPr>
                <w:noProof/>
                <w:webHidden/>
              </w:rPr>
            </w:r>
            <w:r w:rsidR="003B6453">
              <w:rPr>
                <w:noProof/>
                <w:webHidden/>
              </w:rPr>
              <w:fldChar w:fldCharType="separate"/>
            </w:r>
            <w:r w:rsidR="003B6453">
              <w:rPr>
                <w:noProof/>
                <w:webHidden/>
              </w:rPr>
              <w:t>79</w:t>
            </w:r>
            <w:r w:rsidR="003B6453">
              <w:rPr>
                <w:noProof/>
                <w:webHidden/>
              </w:rPr>
              <w:fldChar w:fldCharType="end"/>
            </w:r>
          </w:hyperlink>
        </w:p>
        <w:p w14:paraId="35238840" w14:textId="04AABC05" w:rsidR="003B6453" w:rsidRDefault="00F7619B">
          <w:pPr>
            <w:pStyle w:val="TDC2"/>
            <w:tabs>
              <w:tab w:val="right" w:leader="dot" w:pos="8828"/>
            </w:tabs>
            <w:rPr>
              <w:rFonts w:eastAsiaTheme="minorEastAsia"/>
              <w:noProof/>
            </w:rPr>
          </w:pPr>
          <w:hyperlink w:anchor="_Toc228546589" w:history="1">
            <w:r w:rsidR="003B6453" w:rsidRPr="00F03279">
              <w:rPr>
                <w:rStyle w:val="Hipervnculo"/>
                <w:rFonts w:ascii="Times New Roman" w:hAnsi="Times New Roman" w:cs="Times New Roman"/>
                <w:noProof/>
                <w:lang w:val="es-AR"/>
              </w:rPr>
              <w:t>4.6 Aportes cualitativos y validación contextual</w:t>
            </w:r>
            <w:r w:rsidR="003B6453">
              <w:rPr>
                <w:noProof/>
                <w:webHidden/>
              </w:rPr>
              <w:tab/>
            </w:r>
            <w:r w:rsidR="003B6453">
              <w:rPr>
                <w:noProof/>
                <w:webHidden/>
              </w:rPr>
              <w:fldChar w:fldCharType="begin"/>
            </w:r>
            <w:r w:rsidR="003B6453">
              <w:rPr>
                <w:noProof/>
                <w:webHidden/>
              </w:rPr>
              <w:instrText xml:space="preserve"> PAGEREF _Toc228546589 \h </w:instrText>
            </w:r>
            <w:r w:rsidR="003B6453">
              <w:rPr>
                <w:noProof/>
                <w:webHidden/>
              </w:rPr>
            </w:r>
            <w:r w:rsidR="003B6453">
              <w:rPr>
                <w:noProof/>
                <w:webHidden/>
              </w:rPr>
              <w:fldChar w:fldCharType="separate"/>
            </w:r>
            <w:r w:rsidR="003B6453">
              <w:rPr>
                <w:noProof/>
                <w:webHidden/>
              </w:rPr>
              <w:t>80</w:t>
            </w:r>
            <w:r w:rsidR="003B6453">
              <w:rPr>
                <w:noProof/>
                <w:webHidden/>
              </w:rPr>
              <w:fldChar w:fldCharType="end"/>
            </w:r>
          </w:hyperlink>
        </w:p>
        <w:p w14:paraId="2F2ED57E" w14:textId="306E57EC" w:rsidR="003B6453" w:rsidRDefault="00F7619B">
          <w:pPr>
            <w:pStyle w:val="TDC2"/>
            <w:tabs>
              <w:tab w:val="right" w:leader="dot" w:pos="8828"/>
            </w:tabs>
            <w:rPr>
              <w:rFonts w:eastAsiaTheme="minorEastAsia"/>
              <w:noProof/>
            </w:rPr>
          </w:pPr>
          <w:hyperlink w:anchor="_Toc228546590" w:history="1">
            <w:r w:rsidR="003B6453" w:rsidRPr="00F03279">
              <w:rPr>
                <w:rStyle w:val="Hipervnculo"/>
                <w:rFonts w:ascii="Times New Roman" w:hAnsi="Times New Roman" w:cs="Times New Roman"/>
                <w:noProof/>
                <w:lang w:val="es-AR"/>
              </w:rPr>
              <w:t>4.7 Síntesis integradora de resultados</w:t>
            </w:r>
            <w:r w:rsidR="003B6453">
              <w:rPr>
                <w:noProof/>
                <w:webHidden/>
              </w:rPr>
              <w:tab/>
            </w:r>
            <w:r w:rsidR="003B6453">
              <w:rPr>
                <w:noProof/>
                <w:webHidden/>
              </w:rPr>
              <w:fldChar w:fldCharType="begin"/>
            </w:r>
            <w:r w:rsidR="003B6453">
              <w:rPr>
                <w:noProof/>
                <w:webHidden/>
              </w:rPr>
              <w:instrText xml:space="preserve"> PAGEREF _Toc228546590 \h </w:instrText>
            </w:r>
            <w:r w:rsidR="003B6453">
              <w:rPr>
                <w:noProof/>
                <w:webHidden/>
              </w:rPr>
            </w:r>
            <w:r w:rsidR="003B6453">
              <w:rPr>
                <w:noProof/>
                <w:webHidden/>
              </w:rPr>
              <w:fldChar w:fldCharType="separate"/>
            </w:r>
            <w:r w:rsidR="003B6453">
              <w:rPr>
                <w:noProof/>
                <w:webHidden/>
              </w:rPr>
              <w:t>80</w:t>
            </w:r>
            <w:r w:rsidR="003B6453">
              <w:rPr>
                <w:noProof/>
                <w:webHidden/>
              </w:rPr>
              <w:fldChar w:fldCharType="end"/>
            </w:r>
          </w:hyperlink>
        </w:p>
        <w:p w14:paraId="32C11F3C" w14:textId="7ED4A704" w:rsidR="003B6453" w:rsidRDefault="00F7619B">
          <w:pPr>
            <w:pStyle w:val="TDC1"/>
            <w:tabs>
              <w:tab w:val="right" w:leader="dot" w:pos="8828"/>
            </w:tabs>
            <w:rPr>
              <w:rFonts w:eastAsiaTheme="minorEastAsia"/>
              <w:noProof/>
            </w:rPr>
          </w:pPr>
          <w:hyperlink w:anchor="_Toc228546591" w:history="1">
            <w:r w:rsidR="003B6453" w:rsidRPr="00F03279">
              <w:rPr>
                <w:rStyle w:val="Hipervnculo"/>
                <w:rFonts w:ascii="Times New Roman" w:hAnsi="Times New Roman" w:cs="Times New Roman"/>
                <w:noProof/>
                <w:lang w:val="es-AR"/>
              </w:rPr>
              <w:t>Capítulo 5 – Análisis económico y financiero del proyecto</w:t>
            </w:r>
            <w:r w:rsidR="003B6453">
              <w:rPr>
                <w:noProof/>
                <w:webHidden/>
              </w:rPr>
              <w:tab/>
            </w:r>
            <w:r w:rsidR="003B6453">
              <w:rPr>
                <w:noProof/>
                <w:webHidden/>
              </w:rPr>
              <w:fldChar w:fldCharType="begin"/>
            </w:r>
            <w:r w:rsidR="003B6453">
              <w:rPr>
                <w:noProof/>
                <w:webHidden/>
              </w:rPr>
              <w:instrText xml:space="preserve"> PAGEREF _Toc228546591 \h </w:instrText>
            </w:r>
            <w:r w:rsidR="003B6453">
              <w:rPr>
                <w:noProof/>
                <w:webHidden/>
              </w:rPr>
            </w:r>
            <w:r w:rsidR="003B6453">
              <w:rPr>
                <w:noProof/>
                <w:webHidden/>
              </w:rPr>
              <w:fldChar w:fldCharType="separate"/>
            </w:r>
            <w:r w:rsidR="003B6453">
              <w:rPr>
                <w:noProof/>
                <w:webHidden/>
              </w:rPr>
              <w:t>81</w:t>
            </w:r>
            <w:r w:rsidR="003B6453">
              <w:rPr>
                <w:noProof/>
                <w:webHidden/>
              </w:rPr>
              <w:fldChar w:fldCharType="end"/>
            </w:r>
          </w:hyperlink>
        </w:p>
        <w:p w14:paraId="35D8202E" w14:textId="40840445" w:rsidR="003B6453" w:rsidRDefault="00F7619B">
          <w:pPr>
            <w:pStyle w:val="TDC1"/>
            <w:tabs>
              <w:tab w:val="right" w:leader="dot" w:pos="8828"/>
            </w:tabs>
            <w:rPr>
              <w:rFonts w:eastAsiaTheme="minorEastAsia"/>
              <w:noProof/>
            </w:rPr>
          </w:pPr>
          <w:hyperlink w:anchor="_Toc228546592" w:history="1">
            <w:r w:rsidR="003B6453" w:rsidRPr="00F03279">
              <w:rPr>
                <w:rStyle w:val="Hipervnculo"/>
                <w:rFonts w:ascii="Times New Roman" w:hAnsi="Times New Roman" w:cs="Times New Roman"/>
                <w:noProof/>
                <w:lang w:val="es-AR"/>
              </w:rPr>
              <w:t>Capítulo 6 – Conclusiones y recomendaciones</w:t>
            </w:r>
            <w:r w:rsidR="003B6453">
              <w:rPr>
                <w:noProof/>
                <w:webHidden/>
              </w:rPr>
              <w:tab/>
            </w:r>
            <w:r w:rsidR="003B6453">
              <w:rPr>
                <w:noProof/>
                <w:webHidden/>
              </w:rPr>
              <w:fldChar w:fldCharType="begin"/>
            </w:r>
            <w:r w:rsidR="003B6453">
              <w:rPr>
                <w:noProof/>
                <w:webHidden/>
              </w:rPr>
              <w:instrText xml:space="preserve"> PAGEREF _Toc228546592 \h </w:instrText>
            </w:r>
            <w:r w:rsidR="003B6453">
              <w:rPr>
                <w:noProof/>
                <w:webHidden/>
              </w:rPr>
            </w:r>
            <w:r w:rsidR="003B6453">
              <w:rPr>
                <w:noProof/>
                <w:webHidden/>
              </w:rPr>
              <w:fldChar w:fldCharType="separate"/>
            </w:r>
            <w:r w:rsidR="003B6453">
              <w:rPr>
                <w:noProof/>
                <w:webHidden/>
              </w:rPr>
              <w:t>85</w:t>
            </w:r>
            <w:r w:rsidR="003B6453">
              <w:rPr>
                <w:noProof/>
                <w:webHidden/>
              </w:rPr>
              <w:fldChar w:fldCharType="end"/>
            </w:r>
          </w:hyperlink>
        </w:p>
        <w:p w14:paraId="3F576751" w14:textId="5BC7481D" w:rsidR="003B6453" w:rsidRDefault="00F7619B">
          <w:pPr>
            <w:pStyle w:val="TDC1"/>
            <w:tabs>
              <w:tab w:val="right" w:leader="dot" w:pos="8828"/>
            </w:tabs>
            <w:rPr>
              <w:rFonts w:eastAsiaTheme="minorEastAsia"/>
              <w:noProof/>
            </w:rPr>
          </w:pPr>
          <w:hyperlink w:anchor="_Toc228546593" w:history="1">
            <w:r w:rsidR="003B6453" w:rsidRPr="00F03279">
              <w:rPr>
                <w:rStyle w:val="Hipervnculo"/>
                <w:rFonts w:ascii="Times New Roman" w:hAnsi="Times New Roman" w:cs="Times New Roman"/>
                <w:noProof/>
                <w:lang w:val="es-AR"/>
              </w:rPr>
              <w:t>Anexo I: Encuestas</w:t>
            </w:r>
            <w:r w:rsidR="003B6453">
              <w:rPr>
                <w:noProof/>
                <w:webHidden/>
              </w:rPr>
              <w:tab/>
            </w:r>
            <w:r w:rsidR="003B6453">
              <w:rPr>
                <w:noProof/>
                <w:webHidden/>
              </w:rPr>
              <w:fldChar w:fldCharType="begin"/>
            </w:r>
            <w:r w:rsidR="003B6453">
              <w:rPr>
                <w:noProof/>
                <w:webHidden/>
              </w:rPr>
              <w:instrText xml:space="preserve"> PAGEREF _Toc228546593 \h </w:instrText>
            </w:r>
            <w:r w:rsidR="003B6453">
              <w:rPr>
                <w:noProof/>
                <w:webHidden/>
              </w:rPr>
            </w:r>
            <w:r w:rsidR="003B6453">
              <w:rPr>
                <w:noProof/>
                <w:webHidden/>
              </w:rPr>
              <w:fldChar w:fldCharType="separate"/>
            </w:r>
            <w:r w:rsidR="003B6453">
              <w:rPr>
                <w:noProof/>
                <w:webHidden/>
              </w:rPr>
              <w:t>90</w:t>
            </w:r>
            <w:r w:rsidR="003B6453">
              <w:rPr>
                <w:noProof/>
                <w:webHidden/>
              </w:rPr>
              <w:fldChar w:fldCharType="end"/>
            </w:r>
          </w:hyperlink>
        </w:p>
        <w:p w14:paraId="172369C4" w14:textId="7797E48F" w:rsidR="003B6453" w:rsidRDefault="00F7619B">
          <w:pPr>
            <w:pStyle w:val="TDC1"/>
            <w:tabs>
              <w:tab w:val="right" w:leader="dot" w:pos="8828"/>
            </w:tabs>
            <w:rPr>
              <w:rFonts w:eastAsiaTheme="minorEastAsia"/>
              <w:noProof/>
            </w:rPr>
          </w:pPr>
          <w:hyperlink w:anchor="_Toc228546594" w:history="1">
            <w:r w:rsidR="003B6453" w:rsidRPr="00F03279">
              <w:rPr>
                <w:rStyle w:val="Hipervnculo"/>
                <w:rFonts w:ascii="Times New Roman" w:hAnsi="Times New Roman" w:cs="Times New Roman"/>
                <w:noProof/>
                <w:lang w:val="es-AR"/>
              </w:rPr>
              <w:t>Anexo II: Gráficos de análisis</w:t>
            </w:r>
            <w:r w:rsidR="003B6453">
              <w:rPr>
                <w:noProof/>
                <w:webHidden/>
              </w:rPr>
              <w:tab/>
            </w:r>
            <w:r w:rsidR="003B6453">
              <w:rPr>
                <w:noProof/>
                <w:webHidden/>
              </w:rPr>
              <w:fldChar w:fldCharType="begin"/>
            </w:r>
            <w:r w:rsidR="003B6453">
              <w:rPr>
                <w:noProof/>
                <w:webHidden/>
              </w:rPr>
              <w:instrText xml:space="preserve"> PAGEREF _Toc228546594 \h </w:instrText>
            </w:r>
            <w:r w:rsidR="003B6453">
              <w:rPr>
                <w:noProof/>
                <w:webHidden/>
              </w:rPr>
            </w:r>
            <w:r w:rsidR="003B6453">
              <w:rPr>
                <w:noProof/>
                <w:webHidden/>
              </w:rPr>
              <w:fldChar w:fldCharType="separate"/>
            </w:r>
            <w:r w:rsidR="003B6453">
              <w:rPr>
                <w:noProof/>
                <w:webHidden/>
              </w:rPr>
              <w:t>93</w:t>
            </w:r>
            <w:r w:rsidR="003B6453">
              <w:rPr>
                <w:noProof/>
                <w:webHidden/>
              </w:rPr>
              <w:fldChar w:fldCharType="end"/>
            </w:r>
          </w:hyperlink>
        </w:p>
        <w:p w14:paraId="449D47CA" w14:textId="2841B704" w:rsidR="003B6453" w:rsidRDefault="00F7619B">
          <w:pPr>
            <w:pStyle w:val="TDC1"/>
            <w:tabs>
              <w:tab w:val="right" w:leader="dot" w:pos="8828"/>
            </w:tabs>
            <w:rPr>
              <w:rFonts w:eastAsiaTheme="minorEastAsia"/>
              <w:noProof/>
            </w:rPr>
          </w:pPr>
          <w:hyperlink w:anchor="_Toc228546595" w:history="1">
            <w:r w:rsidR="003B6453" w:rsidRPr="00F03279">
              <w:rPr>
                <w:rStyle w:val="Hipervnculo"/>
                <w:rFonts w:ascii="Times New Roman" w:hAnsi="Times New Roman" w:cs="Times New Roman"/>
                <w:noProof/>
                <w:lang w:val="es-AR"/>
              </w:rPr>
              <w:t>Capítulo 7: Bibliografía / Referencias</w:t>
            </w:r>
            <w:r w:rsidR="003B6453">
              <w:rPr>
                <w:noProof/>
                <w:webHidden/>
              </w:rPr>
              <w:tab/>
            </w:r>
            <w:r w:rsidR="003B6453">
              <w:rPr>
                <w:noProof/>
                <w:webHidden/>
              </w:rPr>
              <w:fldChar w:fldCharType="begin"/>
            </w:r>
            <w:r w:rsidR="003B6453">
              <w:rPr>
                <w:noProof/>
                <w:webHidden/>
              </w:rPr>
              <w:instrText xml:space="preserve"> PAGEREF _Toc228546595 \h </w:instrText>
            </w:r>
            <w:r w:rsidR="003B6453">
              <w:rPr>
                <w:noProof/>
                <w:webHidden/>
              </w:rPr>
            </w:r>
            <w:r w:rsidR="003B6453">
              <w:rPr>
                <w:noProof/>
                <w:webHidden/>
              </w:rPr>
              <w:fldChar w:fldCharType="separate"/>
            </w:r>
            <w:r w:rsidR="003B6453">
              <w:rPr>
                <w:noProof/>
                <w:webHidden/>
              </w:rPr>
              <w:t>102</w:t>
            </w:r>
            <w:r w:rsidR="003B6453">
              <w:rPr>
                <w:noProof/>
                <w:webHidden/>
              </w:rPr>
              <w:fldChar w:fldCharType="end"/>
            </w:r>
          </w:hyperlink>
        </w:p>
        <w:p w14:paraId="60D7E413" w14:textId="47A94849" w:rsidR="003B6453" w:rsidRDefault="00F7619B">
          <w:pPr>
            <w:pStyle w:val="TDC1"/>
            <w:tabs>
              <w:tab w:val="right" w:leader="dot" w:pos="8828"/>
            </w:tabs>
            <w:rPr>
              <w:rFonts w:eastAsiaTheme="minorEastAsia"/>
              <w:noProof/>
            </w:rPr>
          </w:pPr>
          <w:hyperlink w:anchor="_Toc228546596" w:history="1">
            <w:r w:rsidR="003B6453" w:rsidRPr="00F03279">
              <w:rPr>
                <w:rStyle w:val="Hipervnculo"/>
                <w:rFonts w:ascii="Times New Roman" w:hAnsi="Times New Roman" w:cs="Times New Roman"/>
                <w:noProof/>
                <w:lang w:val="es-AR"/>
              </w:rPr>
              <w:t>Resumen Ejecutivo</w:t>
            </w:r>
            <w:r w:rsidR="003B6453">
              <w:rPr>
                <w:noProof/>
                <w:webHidden/>
              </w:rPr>
              <w:tab/>
            </w:r>
            <w:r w:rsidR="003B6453">
              <w:rPr>
                <w:noProof/>
                <w:webHidden/>
              </w:rPr>
              <w:fldChar w:fldCharType="begin"/>
            </w:r>
            <w:r w:rsidR="003B6453">
              <w:rPr>
                <w:noProof/>
                <w:webHidden/>
              </w:rPr>
              <w:instrText xml:space="preserve"> PAGEREF _Toc228546596 \h </w:instrText>
            </w:r>
            <w:r w:rsidR="003B6453">
              <w:rPr>
                <w:noProof/>
                <w:webHidden/>
              </w:rPr>
            </w:r>
            <w:r w:rsidR="003B6453">
              <w:rPr>
                <w:noProof/>
                <w:webHidden/>
              </w:rPr>
              <w:fldChar w:fldCharType="separate"/>
            </w:r>
            <w:r w:rsidR="003B6453">
              <w:rPr>
                <w:noProof/>
                <w:webHidden/>
              </w:rPr>
              <w:t>104</w:t>
            </w:r>
            <w:r w:rsidR="003B6453">
              <w:rPr>
                <w:noProof/>
                <w:webHidden/>
              </w:rPr>
              <w:fldChar w:fldCharType="end"/>
            </w:r>
          </w:hyperlink>
        </w:p>
        <w:p w14:paraId="02A8B34B" w14:textId="5555A8FC" w:rsidR="00C21178" w:rsidRPr="003B6453" w:rsidRDefault="00C21178" w:rsidP="003B6453">
          <w:pPr>
            <w:spacing w:line="360" w:lineRule="auto"/>
            <w:jc w:val="both"/>
            <w:rPr>
              <w:rFonts w:ascii="Times New Roman" w:hAnsi="Times New Roman" w:cs="Times New Roman"/>
              <w:sz w:val="24"/>
              <w:szCs w:val="24"/>
            </w:rPr>
          </w:pPr>
          <w:r w:rsidRPr="003B6453">
            <w:rPr>
              <w:rFonts w:ascii="Times New Roman" w:hAnsi="Times New Roman" w:cs="Times New Roman"/>
              <w:b/>
              <w:bCs/>
              <w:noProof/>
              <w:sz w:val="24"/>
              <w:szCs w:val="24"/>
            </w:rPr>
            <w:fldChar w:fldCharType="end"/>
          </w:r>
        </w:p>
      </w:sdtContent>
    </w:sdt>
    <w:p w14:paraId="6256705C" w14:textId="77777777" w:rsidR="00C21178" w:rsidRPr="003B6453" w:rsidRDefault="00C21178" w:rsidP="003B6453">
      <w:pPr>
        <w:spacing w:line="360" w:lineRule="auto"/>
        <w:jc w:val="both"/>
        <w:rPr>
          <w:rFonts w:ascii="Times New Roman" w:hAnsi="Times New Roman" w:cs="Times New Roman"/>
          <w:b/>
          <w:bCs/>
          <w:sz w:val="24"/>
          <w:szCs w:val="24"/>
          <w:lang w:val="es-AR"/>
        </w:rPr>
      </w:pPr>
    </w:p>
    <w:p w14:paraId="1E3C2D74" w14:textId="77777777" w:rsidR="00CC669E" w:rsidRPr="003B6453" w:rsidRDefault="60D1727F" w:rsidP="3143223D">
      <w:pPr>
        <w:pStyle w:val="Ttulo1"/>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lastRenderedPageBreak/>
        <w:t>Resumen Ejecutivo</w:t>
      </w:r>
    </w:p>
    <w:p w14:paraId="03EBF550" w14:textId="77777777" w:rsidR="00CC669E" w:rsidRPr="003B6453" w:rsidRDefault="60D1727F" w:rsidP="3143223D">
      <w:pPr>
        <w:spacing w:line="360" w:lineRule="auto"/>
        <w:jc w:val="both"/>
        <w:rPr>
          <w:rFonts w:ascii="Times New Roman" w:hAnsi="Times New Roman" w:cs="Times New Roman"/>
          <w:sz w:val="24"/>
          <w:szCs w:val="24"/>
          <w:lang w:val="es-AR"/>
        </w:rPr>
      </w:pPr>
      <w:bookmarkStart w:id="1" w:name="_GoBack"/>
      <w:r w:rsidRPr="3143223D">
        <w:rPr>
          <w:rFonts w:ascii="Times New Roman" w:hAnsi="Times New Roman" w:cs="Times New Roman"/>
          <w:sz w:val="24"/>
          <w:szCs w:val="24"/>
          <w:lang w:val="es-AR"/>
        </w:rPr>
        <w:t xml:space="preserve">La presente tesis tiene por objetivo analizar de manera integral la factibilidad estratégica, operativa, comercial y económico-financiera de implementar una franquicia gastronómica especializada en medialunas gourmet en el corredor urbano del Alto Valle de Río Negro y Neuquén, comprendiendo las ciudades de Neuquén capital, </w:t>
      </w:r>
      <w:proofErr w:type="spellStart"/>
      <w:r w:rsidRPr="3143223D">
        <w:rPr>
          <w:rFonts w:ascii="Times New Roman" w:hAnsi="Times New Roman" w:cs="Times New Roman"/>
          <w:sz w:val="24"/>
          <w:szCs w:val="24"/>
          <w:lang w:val="es-AR"/>
        </w:rPr>
        <w:t>Cipolletti</w:t>
      </w:r>
      <w:proofErr w:type="spellEnd"/>
      <w:r w:rsidRPr="3143223D">
        <w:rPr>
          <w:rFonts w:ascii="Times New Roman" w:hAnsi="Times New Roman" w:cs="Times New Roman"/>
          <w:sz w:val="24"/>
          <w:szCs w:val="24"/>
          <w:lang w:val="es-AR"/>
        </w:rPr>
        <w:t xml:space="preserve">, </w:t>
      </w:r>
      <w:proofErr w:type="spellStart"/>
      <w:r w:rsidRPr="3143223D">
        <w:rPr>
          <w:rFonts w:ascii="Times New Roman" w:hAnsi="Times New Roman" w:cs="Times New Roman"/>
          <w:sz w:val="24"/>
          <w:szCs w:val="24"/>
          <w:lang w:val="es-AR"/>
        </w:rPr>
        <w:t>Plottier</w:t>
      </w:r>
      <w:proofErr w:type="spellEnd"/>
      <w:r w:rsidRPr="3143223D">
        <w:rPr>
          <w:rFonts w:ascii="Times New Roman" w:hAnsi="Times New Roman" w:cs="Times New Roman"/>
          <w:sz w:val="24"/>
          <w:szCs w:val="24"/>
          <w:lang w:val="es-AR"/>
        </w:rPr>
        <w:t xml:space="preserve"> y Centenario. La propuesta se orienta al diseño de un modelo de negocio que articule un producto artesanal de alta calidad con una identidad de marca diferenciada, procesos estandarizados y una experiencia de consumo coherente con las tendencias actuales del mercado gastronómico, caracterizadas por la búsqueda de personalización, valor simbólico y experiencias significativas.</w:t>
      </w:r>
    </w:p>
    <w:bookmarkEnd w:id="1"/>
    <w:p w14:paraId="56F915B4" w14:textId="77777777" w:rsidR="00CC669E" w:rsidRPr="003B6453" w:rsidRDefault="60D1727F"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 xml:space="preserve">El estudio adopta una perspectiva estratégico-gerencial, sustentada en marcos teóricos del </w:t>
      </w:r>
      <w:proofErr w:type="spellStart"/>
      <w:r w:rsidRPr="3143223D">
        <w:rPr>
          <w:rFonts w:ascii="Times New Roman" w:hAnsi="Times New Roman" w:cs="Times New Roman"/>
          <w:sz w:val="24"/>
          <w:szCs w:val="24"/>
          <w:lang w:val="es-AR"/>
        </w:rPr>
        <w:t>management</w:t>
      </w:r>
      <w:proofErr w:type="spellEnd"/>
      <w:r w:rsidRPr="3143223D">
        <w:rPr>
          <w:rFonts w:ascii="Times New Roman" w:hAnsi="Times New Roman" w:cs="Times New Roman"/>
          <w:sz w:val="24"/>
          <w:szCs w:val="24"/>
          <w:lang w:val="es-AR"/>
        </w:rPr>
        <w:t xml:space="preserve">, la estrategia competitiva y el marketing contemporáneo. Para el análisis del entorno y del modelo de negocio se utilizaron herramientas ampliamente validadas en la literatura académica, tales como el análisis PESTEL, la Cadena de Valor y las Cinco Fuerzas Competitivas de </w:t>
      </w:r>
      <w:proofErr w:type="spellStart"/>
      <w:r w:rsidRPr="3143223D">
        <w:rPr>
          <w:rFonts w:ascii="Times New Roman" w:hAnsi="Times New Roman" w:cs="Times New Roman"/>
          <w:sz w:val="24"/>
          <w:szCs w:val="24"/>
          <w:lang w:val="es-AR"/>
        </w:rPr>
        <w:t>Porter</w:t>
      </w:r>
      <w:proofErr w:type="spellEnd"/>
      <w:r w:rsidRPr="3143223D">
        <w:rPr>
          <w:rFonts w:ascii="Times New Roman" w:hAnsi="Times New Roman" w:cs="Times New Roman"/>
          <w:sz w:val="24"/>
          <w:szCs w:val="24"/>
          <w:lang w:val="es-AR"/>
        </w:rPr>
        <w:t xml:space="preserve">, la matriz FODA y el modelo </w:t>
      </w:r>
      <w:proofErr w:type="spellStart"/>
      <w:r w:rsidRPr="3143223D">
        <w:rPr>
          <w:rFonts w:ascii="Times New Roman" w:hAnsi="Times New Roman" w:cs="Times New Roman"/>
          <w:sz w:val="24"/>
          <w:szCs w:val="24"/>
          <w:lang w:val="es-AR"/>
        </w:rPr>
        <w:t>Canvas</w:t>
      </w:r>
      <w:proofErr w:type="spellEnd"/>
      <w:r w:rsidRPr="3143223D">
        <w:rPr>
          <w:rFonts w:ascii="Times New Roman" w:hAnsi="Times New Roman" w:cs="Times New Roman"/>
          <w:sz w:val="24"/>
          <w:szCs w:val="24"/>
          <w:lang w:val="es-AR"/>
        </w:rPr>
        <w:t>. Estos instrumentos fueron complementados con una investigación empírica orientada a validar los supuestos teóricos y estratégicos del proyecto en el contexto regional.</w:t>
      </w:r>
    </w:p>
    <w:p w14:paraId="36D5239E" w14:textId="77777777" w:rsidR="00CC669E" w:rsidRPr="003B6453" w:rsidRDefault="60D1727F"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 xml:space="preserve">La investigación de campo se desarrolló a partir de un enfoque metodológico mixto. En el plano cuantitativo, se aplicó una encuesta estructurada a 51 consumidores potenciales del Alto Valle, cuyos resultados evidencian una alta frecuencia de consumo de medialunas, una disposición significativa a pagar precios </w:t>
      </w:r>
      <w:proofErr w:type="spellStart"/>
      <w:r w:rsidRPr="3143223D">
        <w:rPr>
          <w:rFonts w:ascii="Times New Roman" w:hAnsi="Times New Roman" w:cs="Times New Roman"/>
          <w:sz w:val="24"/>
          <w:szCs w:val="24"/>
          <w:lang w:val="es-AR"/>
        </w:rPr>
        <w:t>premium</w:t>
      </w:r>
      <w:proofErr w:type="spellEnd"/>
      <w:r w:rsidRPr="3143223D">
        <w:rPr>
          <w:rFonts w:ascii="Times New Roman" w:hAnsi="Times New Roman" w:cs="Times New Roman"/>
          <w:sz w:val="24"/>
          <w:szCs w:val="24"/>
          <w:lang w:val="es-AR"/>
        </w:rPr>
        <w:t xml:space="preserve"> por productos gourmet y una percepción positiva del formato de franquicia gastronómica como mecanismo de garantía de calidad, estandarización y confianza. En el plano cualitativo, se realizaron entrevistas a referentes del sector gastronómico y observaciones directas en puntos de consumo, lo que permitió profundizar la comprensión de los hábitos de compra, la temporalidad del consumo y las dinámicas operativas del mercado regional.</w:t>
      </w:r>
    </w:p>
    <w:p w14:paraId="52840362" w14:textId="77777777" w:rsidR="00CC669E" w:rsidRPr="003B6453" w:rsidRDefault="60D1727F"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 xml:space="preserve">Los resultados cualitativos permitieron identificar desafíos estructurales relevantes, entre los que se destacan la disponibilidad limitada de mano de obra gastronómica calificada, fuertemente condicionada por la competencia salarial del sector </w:t>
      </w:r>
      <w:proofErr w:type="spellStart"/>
      <w:r w:rsidRPr="3143223D">
        <w:rPr>
          <w:rFonts w:ascii="Times New Roman" w:hAnsi="Times New Roman" w:cs="Times New Roman"/>
          <w:sz w:val="24"/>
          <w:szCs w:val="24"/>
          <w:lang w:val="es-AR"/>
        </w:rPr>
        <w:t>hidrocarburífero</w:t>
      </w:r>
      <w:proofErr w:type="spellEnd"/>
      <w:r w:rsidRPr="3143223D">
        <w:rPr>
          <w:rFonts w:ascii="Times New Roman" w:hAnsi="Times New Roman" w:cs="Times New Roman"/>
          <w:sz w:val="24"/>
          <w:szCs w:val="24"/>
          <w:lang w:val="es-AR"/>
        </w:rPr>
        <w:t xml:space="preserve">, y ciertas restricciones logísticas derivadas de la localización geográfica del Alto Valle. No obstante, </w:t>
      </w:r>
      <w:r w:rsidRPr="3143223D">
        <w:rPr>
          <w:rFonts w:ascii="Times New Roman" w:hAnsi="Times New Roman" w:cs="Times New Roman"/>
          <w:sz w:val="24"/>
          <w:szCs w:val="24"/>
          <w:lang w:val="es-AR"/>
        </w:rPr>
        <w:lastRenderedPageBreak/>
        <w:t xml:space="preserve">el análisis integral del entorno indica que la región presenta condiciones favorables para la implementación del modelo propuesto, siempre que se prioricen unidades operativamente eficientes, procesos claramente estandarizados y una estrategia de marketing </w:t>
      </w:r>
      <w:proofErr w:type="spellStart"/>
      <w:r w:rsidRPr="3143223D">
        <w:rPr>
          <w:rFonts w:ascii="Times New Roman" w:hAnsi="Times New Roman" w:cs="Times New Roman"/>
          <w:sz w:val="24"/>
          <w:szCs w:val="24"/>
          <w:lang w:val="es-AR"/>
        </w:rPr>
        <w:t>geolocalizada</w:t>
      </w:r>
      <w:proofErr w:type="spellEnd"/>
      <w:r w:rsidRPr="3143223D">
        <w:rPr>
          <w:rFonts w:ascii="Times New Roman" w:hAnsi="Times New Roman" w:cs="Times New Roman"/>
          <w:sz w:val="24"/>
          <w:szCs w:val="24"/>
          <w:lang w:val="es-AR"/>
        </w:rPr>
        <w:t>, apoyada en la digitalización y en la construcción de una narrativa de marca sólida y coherente.</w:t>
      </w:r>
    </w:p>
    <w:p w14:paraId="5DD82653" w14:textId="16B773C9" w:rsidR="00CC669E" w:rsidRPr="003B6453" w:rsidRDefault="60D1727F"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Desde el punto de vista económico-financiero, el proyecto exhibe indicadores altamente satisfactorios. El modelo financiero arroja un Valor Actual Neto (VAN) de $1.674.374, una Tasa Interna de Retorno (TIR) del 144,9% y un período de recupero de la inversión (</w:t>
      </w:r>
      <w:proofErr w:type="spellStart"/>
      <w:r w:rsidRPr="3143223D">
        <w:rPr>
          <w:rFonts w:ascii="Times New Roman" w:hAnsi="Times New Roman" w:cs="Times New Roman"/>
          <w:sz w:val="24"/>
          <w:szCs w:val="24"/>
          <w:lang w:val="es-AR"/>
        </w:rPr>
        <w:t>Payback</w:t>
      </w:r>
      <w:proofErr w:type="spellEnd"/>
      <w:r w:rsidRPr="3143223D">
        <w:rPr>
          <w:rFonts w:ascii="Times New Roman" w:hAnsi="Times New Roman" w:cs="Times New Roman"/>
          <w:sz w:val="24"/>
          <w:szCs w:val="24"/>
          <w:lang w:val="es-AR"/>
        </w:rPr>
        <w:t xml:space="preserve">) de 1,1 años. Estos resultados evidencian una elevada rentabilidad, una rápida recuperación del capital invertido y una notable </w:t>
      </w:r>
      <w:proofErr w:type="spellStart"/>
      <w:r w:rsidRPr="3143223D">
        <w:rPr>
          <w:rFonts w:ascii="Times New Roman" w:hAnsi="Times New Roman" w:cs="Times New Roman"/>
          <w:sz w:val="24"/>
          <w:szCs w:val="24"/>
          <w:lang w:val="es-AR"/>
        </w:rPr>
        <w:t>resiliencia</w:t>
      </w:r>
      <w:proofErr w:type="spellEnd"/>
      <w:r w:rsidRPr="3143223D">
        <w:rPr>
          <w:rFonts w:ascii="Times New Roman" w:hAnsi="Times New Roman" w:cs="Times New Roman"/>
          <w:sz w:val="24"/>
          <w:szCs w:val="24"/>
          <w:lang w:val="es-AR"/>
        </w:rPr>
        <w:t xml:space="preserve"> frente a escenarios adversos, lo que consolida la viabilidad cuantitativa del proyecto y refuerza su atractivo como oportunidad de inversión regional.</w:t>
      </w:r>
    </w:p>
    <w:p w14:paraId="0B542AA4" w14:textId="4EB4366D" w:rsidR="00CC669E" w:rsidRPr="003B6453" w:rsidRDefault="60D1727F"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 xml:space="preserve">En función de los hallazgos obtenidos, se recomienda una estrategia de expansión gradual, iniciando con una unidad piloto que permita validar y ajustar el modelo operativo, comercial y de gestión, para luego avanzar hacia el desarrollo de una red de franquicias bajo un esquema de acompañamiento intensivo, capacitación continua y abastecimiento local. Asimismo, se propone integrar el desarrollo digital como eje transversal de la estrategia, articulando redes sociales, plataformas de </w:t>
      </w:r>
      <w:proofErr w:type="spellStart"/>
      <w:r w:rsidRPr="3143223D">
        <w:rPr>
          <w:rFonts w:ascii="Times New Roman" w:hAnsi="Times New Roman" w:cs="Times New Roman"/>
          <w:sz w:val="24"/>
          <w:szCs w:val="24"/>
          <w:lang w:val="es-AR"/>
        </w:rPr>
        <w:t>delivery</w:t>
      </w:r>
      <w:proofErr w:type="spellEnd"/>
      <w:r w:rsidRPr="3143223D">
        <w:rPr>
          <w:rFonts w:ascii="Times New Roman" w:hAnsi="Times New Roman" w:cs="Times New Roman"/>
          <w:sz w:val="24"/>
          <w:szCs w:val="24"/>
          <w:lang w:val="es-AR"/>
        </w:rPr>
        <w:t xml:space="preserve"> y marketing de experiencias con el objetivo de fortalecer el posicionamiento de la marca y la relación con los consumidores.</w:t>
      </w:r>
    </w:p>
    <w:p w14:paraId="309BBBE7" w14:textId="7298DCA5" w:rsidR="00CC669E" w:rsidRPr="003B6453" w:rsidRDefault="60D1727F"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En síntesis, la tesis aporta una propuesta sólida, sustentada teórica y empíricamente, que conjuga innovación, identidad regional y sostenibilidad económica. Sus resultados ofrecen un marco analítico y metodológico replicable para el desarrollo de emprendimientos gastronómicos de base local que aspiren a profesionalizarse y escalar mediante el formato de franquicia y una gestión estratégica del valor gourmet.</w:t>
      </w:r>
    </w:p>
    <w:p w14:paraId="120E5AF3" w14:textId="7D3E8955" w:rsidR="00CC669E" w:rsidRPr="003B6453" w:rsidRDefault="00CC669E" w:rsidP="003B6453">
      <w:pPr>
        <w:spacing w:line="360" w:lineRule="auto"/>
        <w:jc w:val="both"/>
        <w:rPr>
          <w:rFonts w:ascii="Times New Roman" w:hAnsi="Times New Roman" w:cs="Times New Roman"/>
          <w:b/>
          <w:bCs/>
          <w:sz w:val="24"/>
          <w:szCs w:val="24"/>
          <w:lang w:val="es-AR"/>
        </w:rPr>
      </w:pPr>
    </w:p>
    <w:p w14:paraId="5F783180" w14:textId="77777777" w:rsidR="00E2331D" w:rsidRPr="003B6453" w:rsidRDefault="00E2331D" w:rsidP="003B6453">
      <w:pPr>
        <w:pStyle w:val="Ttulo1"/>
        <w:spacing w:line="360" w:lineRule="auto"/>
        <w:jc w:val="both"/>
        <w:rPr>
          <w:rFonts w:ascii="Times New Roman" w:hAnsi="Times New Roman" w:cs="Times New Roman"/>
          <w:sz w:val="24"/>
          <w:szCs w:val="24"/>
          <w:lang w:val="es-AR"/>
        </w:rPr>
      </w:pPr>
      <w:bookmarkStart w:id="2" w:name="_Toc228546569"/>
      <w:r w:rsidRPr="003B6453">
        <w:rPr>
          <w:rFonts w:ascii="Times New Roman" w:hAnsi="Times New Roman" w:cs="Times New Roman"/>
          <w:sz w:val="24"/>
          <w:szCs w:val="24"/>
          <w:lang w:val="es-AR"/>
        </w:rPr>
        <w:lastRenderedPageBreak/>
        <w:t>CAPÍTULO 1: MARCO TEÓRICO</w:t>
      </w:r>
      <w:bookmarkEnd w:id="2"/>
    </w:p>
    <w:p w14:paraId="1CB1FE5C" w14:textId="24CF018B" w:rsidR="00F94EC8" w:rsidRPr="003B6453" w:rsidRDefault="00F94EC8" w:rsidP="003B6453">
      <w:pPr>
        <w:pStyle w:val="Ttulo2"/>
        <w:numPr>
          <w:ilvl w:val="1"/>
          <w:numId w:val="1"/>
        </w:numPr>
        <w:spacing w:line="360" w:lineRule="auto"/>
        <w:jc w:val="both"/>
        <w:rPr>
          <w:rFonts w:ascii="Times New Roman" w:eastAsiaTheme="minorHAnsi" w:hAnsi="Times New Roman" w:cs="Times New Roman"/>
          <w:sz w:val="24"/>
          <w:szCs w:val="24"/>
          <w:lang w:val="es-AR"/>
        </w:rPr>
      </w:pPr>
      <w:bookmarkStart w:id="3" w:name="_Toc228546570"/>
      <w:r w:rsidRPr="003B6453">
        <w:rPr>
          <w:rFonts w:ascii="Times New Roman" w:eastAsiaTheme="minorHAnsi" w:hAnsi="Times New Roman" w:cs="Times New Roman"/>
          <w:sz w:val="24"/>
          <w:szCs w:val="24"/>
          <w:lang w:val="es-AR"/>
        </w:rPr>
        <w:t>Modelos de franquicias</w:t>
      </w:r>
      <w:bookmarkEnd w:id="3"/>
    </w:p>
    <w:p w14:paraId="135E48F8" w14:textId="097A33B4" w:rsidR="0087793E"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franquicia es un modelo de expansión empresarial que ha demostrado ser altamente eficiente para el crecimiento de organizaciones en diversos sectores, en particular en el gastronómico, donde la necesidad de escalar operaciones manteniendo estándares de calidad y coherencia de marca resulta especialmente crítica. Se trata de un contrato mediante el cual una empresa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otorga a otra (franquiciado) el derecho a operar un negocio bajo su marca, siguiendo procesos, estándares y protocolos previamente establecidos, que incluyen no solo aspectos operativos, sino también lineamientos comerciales, de gestión y de comunicación (</w:t>
      </w:r>
      <w:proofErr w:type="spellStart"/>
      <w:r w:rsidRPr="003B6453">
        <w:rPr>
          <w:rFonts w:ascii="Times New Roman" w:hAnsi="Times New Roman" w:cs="Times New Roman"/>
          <w:sz w:val="24"/>
          <w:szCs w:val="24"/>
          <w:lang w:val="es-AR"/>
        </w:rPr>
        <w:t>Combs</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Ketchen</w:t>
      </w:r>
      <w:proofErr w:type="spellEnd"/>
      <w:r w:rsidRPr="003B6453">
        <w:rPr>
          <w:rFonts w:ascii="Times New Roman" w:hAnsi="Times New Roman" w:cs="Times New Roman"/>
          <w:sz w:val="24"/>
          <w:szCs w:val="24"/>
          <w:lang w:val="es-AR"/>
        </w:rPr>
        <w:t xml:space="preserve"> &amp; Short, 2011). A través de este esquema, 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xml:space="preserve"> conserva el control estratégico del negocio, resguardando los activos intangibles fundamentales —como la marca, el know-how y la propuesta de valor—, mientras que el franquiciado asume la inversión inicial, la gestión cotidiana del punto de venta y el conocimiento específico del mercado local en el que opera. Esta distribución de roles y responsabilidades genera una estructura organizacional híbrida, en la que se combinan centralización estratégica y descentralización operativa, permitiendo un crecimiento más ágil y eficiente que otros modelos de expansión tradicional. Asimismo, la franquicia posibilita una rápida penetración en nuevas geografías, ya que reduce los costos de coordinación, supervisión y control asociados a la apertura de unidades propias, al tiempo que distribuye los riesgos operativos y financieros entre las partes involucradas. En contextos económicos volátiles, como los característicos de los mercados regionales, esta capacidad de expansión con menor exposición directa al riesgo constituye una de las principales ventajas competitivas del sistema de franquicias.</w:t>
      </w:r>
    </w:p>
    <w:p w14:paraId="417CBAB0" w14:textId="77777777" w:rsidR="00347EE7"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literatura especializada interpreta la franquicia desde distintos marcos teóricos que permiten comprender su lógica organizacional y su eficacia como modelo de expansión empresarial. Entre los enfoques más relevantes se encuentra la teoría de la agencia, la cual sostiene que este formato contribuye a alinear los incentivos entre el propietario de la marca y el operador local. Desde esta perspectiva, el franquiciado, al ser propietario de su unidad y participar directamente de los resultados económicos, posee un fuerte interés en maximizar su rendimiento, optimizar la gestión cotidiana y preservar la calidad del negocio, reduciendo así los comportamientos oportunistas que suelen presentarse en estructuras </w:t>
      </w:r>
      <w:r w:rsidRPr="003B6453">
        <w:rPr>
          <w:rFonts w:ascii="Times New Roman" w:hAnsi="Times New Roman" w:cs="Times New Roman"/>
          <w:sz w:val="24"/>
          <w:szCs w:val="24"/>
          <w:lang w:val="es-AR"/>
        </w:rPr>
        <w:lastRenderedPageBreak/>
        <w:t>organizacionales más centralizadas (</w:t>
      </w:r>
      <w:proofErr w:type="spellStart"/>
      <w:r w:rsidRPr="003B6453">
        <w:rPr>
          <w:rFonts w:ascii="Times New Roman" w:hAnsi="Times New Roman" w:cs="Times New Roman"/>
          <w:sz w:val="24"/>
          <w:szCs w:val="24"/>
          <w:lang w:val="es-AR"/>
        </w:rPr>
        <w:t>Rubin</w:t>
      </w:r>
      <w:proofErr w:type="spellEnd"/>
      <w:r w:rsidRPr="003B6453">
        <w:rPr>
          <w:rFonts w:ascii="Times New Roman" w:hAnsi="Times New Roman" w:cs="Times New Roman"/>
          <w:sz w:val="24"/>
          <w:szCs w:val="24"/>
          <w:lang w:val="es-AR"/>
        </w:rPr>
        <w:t>, 1978). Esta alineación de incentivos resulta particularmente relevante en sectores intensivos en capital humano, como el gastronómico, donde el desempeño operativo depende en gran medida del compromiso del gestor local y de su capacidad para sostener estándares de servicio y producto.</w:t>
      </w:r>
    </w:p>
    <w:p w14:paraId="5DFE772C" w14:textId="2221A7BF" w:rsidR="00347EE7"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Por su parte, la teoría de los costos de transacción ofrece una explicación complementaria al señalar que la franquicia permite disminuir los costos de supervisión, control y coordinación que enfrentaría la empresa si gestionara directamente todas sus unidades. Al delegar la operación en franquiciados independientes, 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xml:space="preserve"> transfiere parte del riesgo operativo y de la responsabilidad gerencial, reduciendo la necesidad de estructuras jerárquicas complejas y de sistemas de control costosos (</w:t>
      </w:r>
      <w:proofErr w:type="spellStart"/>
      <w:r w:rsidRPr="003B6453">
        <w:rPr>
          <w:rFonts w:ascii="Times New Roman" w:hAnsi="Times New Roman" w:cs="Times New Roman"/>
          <w:sz w:val="24"/>
          <w:szCs w:val="24"/>
          <w:lang w:val="es-AR"/>
        </w:rPr>
        <w:t>Lafontaine</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Slade</w:t>
      </w:r>
      <w:proofErr w:type="spellEnd"/>
      <w:r w:rsidRPr="003B6453">
        <w:rPr>
          <w:rFonts w:ascii="Times New Roman" w:hAnsi="Times New Roman" w:cs="Times New Roman"/>
          <w:sz w:val="24"/>
          <w:szCs w:val="24"/>
          <w:lang w:val="es-AR"/>
        </w:rPr>
        <w:t>, 2007). Este enfoque resulta especialmente pertinente en contextos de expansión geográfica, donde la distancia física y la heterogeneidad de los mercados incrementan los costos de monitoreo y dificultan la gestión centralizada.</w:t>
      </w:r>
    </w:p>
    <w:p w14:paraId="23220A24" w14:textId="002D19F7" w:rsidR="0087793E"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Wright y </w:t>
      </w:r>
      <w:proofErr w:type="spellStart"/>
      <w:r w:rsidRPr="003B6453">
        <w:rPr>
          <w:rFonts w:ascii="Times New Roman" w:hAnsi="Times New Roman" w:cs="Times New Roman"/>
          <w:sz w:val="24"/>
          <w:szCs w:val="24"/>
          <w:lang w:val="es-AR"/>
        </w:rPr>
        <w:t>Frazer</w:t>
      </w:r>
      <w:proofErr w:type="spellEnd"/>
      <w:r w:rsidRPr="003B6453">
        <w:rPr>
          <w:rFonts w:ascii="Times New Roman" w:hAnsi="Times New Roman" w:cs="Times New Roman"/>
          <w:sz w:val="24"/>
          <w:szCs w:val="24"/>
          <w:lang w:val="es-AR"/>
        </w:rPr>
        <w:t xml:space="preserve"> (2007) amplían este análisis al proponer que la franquicia debe entenderse también como un mecanismo de transferencia de conocimiento y de capital social. En este esquema, 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xml:space="preserve"> aporta activos estratégicos fundamentales —como la marca, el know-how operativo, los sistemas de gestión y la asistencia continua—, mientras que el franquiciado contribuye con inversión de capital, esfuerzo gerencial y conocimiento del entorno local. Esta interacción genera una relación de interdependencia que favorece la adaptación del modelo de negocio a contextos específicos sin perder coherencia global. En consecuencia, la franquicia no solo optimiza la asignación de recursos y la gestión del riesgo, sino que también facilita la circulación de conocimientos tácitos y prácticas organizacionales, fortaleciendo la capacidad del sistema para sostener su propuesta de valor en mercados diversos y dinámicos.</w:t>
      </w:r>
    </w:p>
    <w:p w14:paraId="27EF0B9E" w14:textId="5D49C875" w:rsidR="00347EE7"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tipología de franquicias distingue principalmente tres formatos: la franquicia de producto o marca registrada, la franquicia de formato de negocio y la franquicia maestra. La primera se orienta fundamentalmente a la distribución y comercialización de un producto bajo una marca determinada, sin otorgar al franquiciado acceso integral al sistema de gestión, al know-how operativo ni a la totalidad de los procesos organizacionales del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xml:space="preserve">. Este formato suele presentar un menor grado de estandarización y control, ya </w:t>
      </w:r>
      <w:r w:rsidRPr="003B6453">
        <w:rPr>
          <w:rFonts w:ascii="Times New Roman" w:hAnsi="Times New Roman" w:cs="Times New Roman"/>
          <w:sz w:val="24"/>
          <w:szCs w:val="24"/>
          <w:lang w:val="es-AR"/>
        </w:rPr>
        <w:lastRenderedPageBreak/>
        <w:t>que la relación se concentra en el uso de la marca y en acuerdos de provisión, más que en la replicación completa del modelo de negocio.</w:t>
      </w:r>
    </w:p>
    <w:p w14:paraId="6D284FDB" w14:textId="71374D84" w:rsidR="00347EE7"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franquicia de formato de negocio, en cambio, implica la cesión integral del concepto empresarial desarrollado por 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xml:space="preserve">. Este formato incluye no solo el derecho de uso de la marca, sino también la transferencia de procesos operativos, manuales de gestión, diseño y </w:t>
      </w:r>
      <w:proofErr w:type="spellStart"/>
      <w:r w:rsidRPr="003B6453">
        <w:rPr>
          <w:rFonts w:ascii="Times New Roman" w:hAnsi="Times New Roman" w:cs="Times New Roman"/>
          <w:sz w:val="24"/>
          <w:szCs w:val="24"/>
          <w:lang w:val="es-AR"/>
        </w:rPr>
        <w:t>layout</w:t>
      </w:r>
      <w:proofErr w:type="spellEnd"/>
      <w:r w:rsidRPr="003B6453">
        <w:rPr>
          <w:rFonts w:ascii="Times New Roman" w:hAnsi="Times New Roman" w:cs="Times New Roman"/>
          <w:sz w:val="24"/>
          <w:szCs w:val="24"/>
          <w:lang w:val="es-AR"/>
        </w:rPr>
        <w:t xml:space="preserve"> de los locales, sistemas de abastecimiento, políticas comerciales, estrategias de marketing y protocolos de calidad. De este modo, el franquiciado reproduce de manera sistemática la propuesta de valor original, asegurando una experiencia homogénea para el consumidor independientemente de la ubicación geográfica de la unidad. Esta modalidad es considerada la más compleja, pero también la más robusta desde el punto de vista estratégico, ya que permite escalar el negocio manteniendo coherencia organizacional y control sobre los activos intangibles.</w:t>
      </w:r>
    </w:p>
    <w:p w14:paraId="2FAE5FF0" w14:textId="71A5A295" w:rsidR="00347EE7"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Por su parte, la franquicia maestra otorga a un franquiciado regional la potestad de desarrollar y </w:t>
      </w:r>
      <w:proofErr w:type="spellStart"/>
      <w:r w:rsidRPr="003B6453">
        <w:rPr>
          <w:rFonts w:ascii="Times New Roman" w:hAnsi="Times New Roman" w:cs="Times New Roman"/>
          <w:sz w:val="24"/>
          <w:szCs w:val="24"/>
          <w:lang w:val="es-AR"/>
        </w:rPr>
        <w:t>subfranquiciar</w:t>
      </w:r>
      <w:proofErr w:type="spellEnd"/>
      <w:r w:rsidRPr="003B6453">
        <w:rPr>
          <w:rFonts w:ascii="Times New Roman" w:hAnsi="Times New Roman" w:cs="Times New Roman"/>
          <w:sz w:val="24"/>
          <w:szCs w:val="24"/>
          <w:lang w:val="es-AR"/>
        </w:rPr>
        <w:t xml:space="preserve"> el concepto en un territorio determinado. En este esquema, el franquiciado maestro asume funciones similares a las del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xml:space="preserve"> original dentro de su área de influencia, incluyendo la selección, capacitación y supervisión de </w:t>
      </w:r>
      <w:proofErr w:type="spellStart"/>
      <w:r w:rsidRPr="003B6453">
        <w:rPr>
          <w:rFonts w:ascii="Times New Roman" w:hAnsi="Times New Roman" w:cs="Times New Roman"/>
          <w:sz w:val="24"/>
          <w:szCs w:val="24"/>
          <w:lang w:val="es-AR"/>
        </w:rPr>
        <w:t>subfranquiciados</w:t>
      </w:r>
      <w:proofErr w:type="spellEnd"/>
      <w:r w:rsidRPr="003B6453">
        <w:rPr>
          <w:rFonts w:ascii="Times New Roman" w:hAnsi="Times New Roman" w:cs="Times New Roman"/>
          <w:sz w:val="24"/>
          <w:szCs w:val="24"/>
          <w:lang w:val="es-AR"/>
        </w:rPr>
        <w:t>. Si bien este formato facilita una expansión territorial acelerada, también introduce mayores desafíos en términos de control y alineación estratégica, dado que incorpora un nivel adicional de intermediación dentro del sistema.</w:t>
      </w:r>
    </w:p>
    <w:p w14:paraId="6BEBDBD2" w14:textId="4315B92E" w:rsidR="0087793E"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ámbito gastronómico, la franquicia de formato de negocio es la modalidad más utilizada y valorada, ya que permite garantizar la consistencia en la experiencia del cliente y en la calidad de los productos ofrecidos. La estandarización de recetas, procesos de producción, atención al cliente y ambientación del punto de venta resulta fundamental en un sector donde pequeñas variaciones pueden impactar negativamente en la percepción del consumidor. Por esta razón, las franquicias gastronómicas tienden a privilegiar formatos que aseguren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control de calidad y coherencia de marca, elementos centrales para sostener un posicionamiento competitivo y una propuesta de valor diferenciada en el tiempo.</w:t>
      </w:r>
    </w:p>
    <w:p w14:paraId="72B32BB2" w14:textId="77777777" w:rsidR="00CC669E" w:rsidRPr="003B6453" w:rsidRDefault="00CC669E" w:rsidP="003B6453">
      <w:pPr>
        <w:spacing w:line="360" w:lineRule="auto"/>
        <w:jc w:val="both"/>
        <w:rPr>
          <w:rFonts w:ascii="Times New Roman" w:hAnsi="Times New Roman" w:cs="Times New Roman"/>
          <w:sz w:val="24"/>
          <w:szCs w:val="24"/>
          <w:lang w:val="es-AR"/>
        </w:rPr>
      </w:pPr>
    </w:p>
    <w:p w14:paraId="44C809C6" w14:textId="5951CA19" w:rsidR="00CC669E" w:rsidRPr="003B6453" w:rsidRDefault="00347EE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A fin de sistematizar los principales formatos de franquicia identificados en la literatura, la Tabla 1 presenta una síntesis comparativa de los tipos más relevantes, sus características distintivas y algunos ejemplos representativos del sector gastronómico. Esta clasificación permite visualizar las diferencias en términos de grado de estandarización, transferencia de know-how y nivel de control ejercido por 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w:t>
      </w:r>
    </w:p>
    <w:p w14:paraId="525CF1D6" w14:textId="284E0C52" w:rsidR="0087793E" w:rsidRPr="003B6453" w:rsidRDefault="0087793E" w:rsidP="003B6453">
      <w:pPr>
        <w:spacing w:line="360" w:lineRule="auto"/>
        <w:jc w:val="both"/>
        <w:rPr>
          <w:rFonts w:ascii="Times New Roman" w:hAnsi="Times New Roman" w:cs="Times New Roman"/>
          <w:sz w:val="24"/>
          <w:szCs w:val="24"/>
        </w:rPr>
      </w:pPr>
      <w:proofErr w:type="spellStart"/>
      <w:proofErr w:type="gramStart"/>
      <w:r w:rsidRPr="003B6453">
        <w:rPr>
          <w:rFonts w:ascii="Times New Roman" w:hAnsi="Times New Roman" w:cs="Times New Roman"/>
          <w:b/>
          <w:bCs/>
          <w:sz w:val="24"/>
          <w:szCs w:val="24"/>
        </w:rPr>
        <w:t>Tabla</w:t>
      </w:r>
      <w:proofErr w:type="spellEnd"/>
      <w:r w:rsidRPr="003B6453">
        <w:rPr>
          <w:rFonts w:ascii="Times New Roman" w:hAnsi="Times New Roman" w:cs="Times New Roman"/>
          <w:b/>
          <w:bCs/>
          <w:sz w:val="24"/>
          <w:szCs w:val="24"/>
        </w:rPr>
        <w:t xml:space="preserve"> 1.</w:t>
      </w:r>
      <w:proofErr w:type="gramEnd"/>
      <w:r w:rsidRPr="003B6453">
        <w:rPr>
          <w:rFonts w:ascii="Times New Roman" w:hAnsi="Times New Roman" w:cs="Times New Roman"/>
          <w:b/>
          <w:bCs/>
          <w:sz w:val="24"/>
          <w:szCs w:val="24"/>
        </w:rPr>
        <w:t xml:space="preserve"> </w:t>
      </w:r>
      <w:proofErr w:type="spellStart"/>
      <w:r w:rsidRPr="003B6453">
        <w:rPr>
          <w:rFonts w:ascii="Times New Roman" w:hAnsi="Times New Roman" w:cs="Times New Roman"/>
          <w:b/>
          <w:bCs/>
          <w:sz w:val="24"/>
          <w:szCs w:val="24"/>
        </w:rPr>
        <w:t>Tipos</w:t>
      </w:r>
      <w:proofErr w:type="spellEnd"/>
      <w:r w:rsidRPr="003B6453">
        <w:rPr>
          <w:rFonts w:ascii="Times New Roman" w:hAnsi="Times New Roman" w:cs="Times New Roman"/>
          <w:b/>
          <w:bCs/>
          <w:sz w:val="24"/>
          <w:szCs w:val="24"/>
        </w:rPr>
        <w:t xml:space="preserve"> de </w:t>
      </w:r>
      <w:proofErr w:type="spellStart"/>
      <w:r w:rsidRPr="003B6453">
        <w:rPr>
          <w:rFonts w:ascii="Times New Roman" w:hAnsi="Times New Roman" w:cs="Times New Roman"/>
          <w:b/>
          <w:bCs/>
          <w:sz w:val="24"/>
          <w:szCs w:val="24"/>
        </w:rPr>
        <w:t>franquicia</w:t>
      </w:r>
      <w:proofErr w:type="spellEnd"/>
    </w:p>
    <w:tbl>
      <w:tblPr>
        <w:tblStyle w:val="GridTable5DarkAccent5"/>
        <w:tblW w:w="0" w:type="auto"/>
        <w:tblLook w:val="04A0" w:firstRow="1" w:lastRow="0" w:firstColumn="1" w:lastColumn="0" w:noHBand="0" w:noVBand="1"/>
      </w:tblPr>
      <w:tblGrid>
        <w:gridCol w:w="2018"/>
        <w:gridCol w:w="4743"/>
        <w:gridCol w:w="2293"/>
      </w:tblGrid>
      <w:tr w:rsidR="0087793E" w:rsidRPr="003B6453" w14:paraId="56109D54" w14:textId="77777777" w:rsidTr="00FB78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B683F8" w14:textId="77777777" w:rsidR="0087793E" w:rsidRPr="003B6453" w:rsidRDefault="0087793E"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Tipo</w:t>
            </w:r>
            <w:proofErr w:type="spellEnd"/>
            <w:r w:rsidRPr="003B6453">
              <w:rPr>
                <w:rFonts w:ascii="Times New Roman" w:hAnsi="Times New Roman" w:cs="Times New Roman"/>
                <w:sz w:val="24"/>
                <w:szCs w:val="24"/>
              </w:rPr>
              <w:t xml:space="preserve"> de </w:t>
            </w:r>
            <w:proofErr w:type="spellStart"/>
            <w:r w:rsidRPr="003B6453">
              <w:rPr>
                <w:rFonts w:ascii="Times New Roman" w:hAnsi="Times New Roman" w:cs="Times New Roman"/>
                <w:sz w:val="24"/>
                <w:szCs w:val="24"/>
              </w:rPr>
              <w:t>franquicia</w:t>
            </w:r>
            <w:proofErr w:type="spellEnd"/>
          </w:p>
        </w:tc>
        <w:tc>
          <w:tcPr>
            <w:tcW w:w="0" w:type="auto"/>
            <w:hideMark/>
          </w:tcPr>
          <w:p w14:paraId="3EF1AA25" w14:textId="77777777" w:rsidR="0087793E" w:rsidRPr="003B6453" w:rsidRDefault="0087793E"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Características</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principales</w:t>
            </w:r>
            <w:proofErr w:type="spellEnd"/>
          </w:p>
        </w:tc>
        <w:tc>
          <w:tcPr>
            <w:tcW w:w="0" w:type="auto"/>
            <w:hideMark/>
          </w:tcPr>
          <w:p w14:paraId="58191A3E" w14:textId="77777777" w:rsidR="0087793E" w:rsidRPr="003B6453" w:rsidRDefault="0087793E"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Ejemplos</w:t>
            </w:r>
            <w:proofErr w:type="spellEnd"/>
            <w:r w:rsidRPr="003B6453">
              <w:rPr>
                <w:rFonts w:ascii="Times New Roman" w:hAnsi="Times New Roman" w:cs="Times New Roman"/>
                <w:sz w:val="24"/>
                <w:szCs w:val="24"/>
              </w:rPr>
              <w:t xml:space="preserve"> en </w:t>
            </w:r>
            <w:proofErr w:type="spellStart"/>
            <w:r w:rsidRPr="003B6453">
              <w:rPr>
                <w:rFonts w:ascii="Times New Roman" w:hAnsi="Times New Roman" w:cs="Times New Roman"/>
                <w:sz w:val="24"/>
                <w:szCs w:val="24"/>
              </w:rPr>
              <w:t>gastronomía</w:t>
            </w:r>
            <w:proofErr w:type="spellEnd"/>
          </w:p>
        </w:tc>
      </w:tr>
      <w:tr w:rsidR="0087793E" w:rsidRPr="003B6453" w14:paraId="2AECB8F1" w14:textId="77777777" w:rsidTr="00FB7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70936E"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Producto</w:t>
            </w:r>
            <w:proofErr w:type="spellEnd"/>
            <w:r w:rsidRPr="003B6453">
              <w:rPr>
                <w:rFonts w:ascii="Times New Roman" w:hAnsi="Times New Roman" w:cs="Times New Roman"/>
                <w:sz w:val="24"/>
                <w:szCs w:val="24"/>
              </w:rPr>
              <w:t xml:space="preserve"> o </w:t>
            </w:r>
            <w:proofErr w:type="spellStart"/>
            <w:r w:rsidRPr="003B6453">
              <w:rPr>
                <w:rFonts w:ascii="Times New Roman" w:hAnsi="Times New Roman" w:cs="Times New Roman"/>
                <w:sz w:val="24"/>
                <w:szCs w:val="24"/>
              </w:rPr>
              <w:t>marca</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registrada</w:t>
            </w:r>
            <w:proofErr w:type="spellEnd"/>
          </w:p>
        </w:tc>
        <w:tc>
          <w:tcPr>
            <w:tcW w:w="0" w:type="auto"/>
            <w:hideMark/>
          </w:tcPr>
          <w:p w14:paraId="37D4BCBA"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El franquiciado distribuye un producto de marca sin gestionar la totalidad del negocio.</w:t>
            </w:r>
          </w:p>
        </w:tc>
        <w:tc>
          <w:tcPr>
            <w:tcW w:w="0" w:type="auto"/>
            <w:hideMark/>
          </w:tcPr>
          <w:p w14:paraId="7758F645"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Distribuidores</w:t>
            </w:r>
            <w:proofErr w:type="spellEnd"/>
            <w:r w:rsidRPr="003B6453">
              <w:rPr>
                <w:rFonts w:ascii="Times New Roman" w:hAnsi="Times New Roman" w:cs="Times New Roman"/>
                <w:sz w:val="24"/>
                <w:szCs w:val="24"/>
              </w:rPr>
              <w:t xml:space="preserve"> de </w:t>
            </w:r>
            <w:proofErr w:type="spellStart"/>
            <w:proofErr w:type="gramStart"/>
            <w:r w:rsidRPr="003B6453">
              <w:rPr>
                <w:rFonts w:ascii="Times New Roman" w:hAnsi="Times New Roman" w:cs="Times New Roman"/>
                <w:sz w:val="24"/>
                <w:szCs w:val="24"/>
              </w:rPr>
              <w:t>bebidas</w:t>
            </w:r>
            <w:proofErr w:type="spellEnd"/>
            <w:r w:rsidRPr="003B6453">
              <w:rPr>
                <w:rFonts w:ascii="Times New Roman" w:hAnsi="Times New Roman" w:cs="Times New Roman"/>
                <w:sz w:val="24"/>
                <w:szCs w:val="24"/>
              </w:rPr>
              <w:t>,</w:t>
            </w:r>
            <w:proofErr w:type="gramEnd"/>
            <w:r w:rsidRPr="003B6453">
              <w:rPr>
                <w:rFonts w:ascii="Times New Roman" w:hAnsi="Times New Roman" w:cs="Times New Roman"/>
                <w:sz w:val="24"/>
                <w:szCs w:val="24"/>
              </w:rPr>
              <w:t xml:space="preserve"> snacks.</w:t>
            </w:r>
          </w:p>
        </w:tc>
      </w:tr>
      <w:tr w:rsidR="0087793E" w:rsidRPr="003B6453" w14:paraId="706C482F" w14:textId="77777777" w:rsidTr="00FB7846">
        <w:tc>
          <w:tcPr>
            <w:cnfStyle w:val="001000000000" w:firstRow="0" w:lastRow="0" w:firstColumn="1" w:lastColumn="0" w:oddVBand="0" w:evenVBand="0" w:oddHBand="0" w:evenHBand="0" w:firstRowFirstColumn="0" w:firstRowLastColumn="0" w:lastRowFirstColumn="0" w:lastRowLastColumn="0"/>
            <w:tcW w:w="0" w:type="auto"/>
            <w:hideMark/>
          </w:tcPr>
          <w:p w14:paraId="567FC366"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Formato</w:t>
            </w:r>
            <w:proofErr w:type="spellEnd"/>
            <w:r w:rsidRPr="003B6453">
              <w:rPr>
                <w:rFonts w:ascii="Times New Roman" w:hAnsi="Times New Roman" w:cs="Times New Roman"/>
                <w:sz w:val="24"/>
                <w:szCs w:val="24"/>
              </w:rPr>
              <w:t xml:space="preserve"> de </w:t>
            </w:r>
            <w:proofErr w:type="spellStart"/>
            <w:r w:rsidRPr="003B6453">
              <w:rPr>
                <w:rFonts w:ascii="Times New Roman" w:hAnsi="Times New Roman" w:cs="Times New Roman"/>
                <w:sz w:val="24"/>
                <w:szCs w:val="24"/>
              </w:rPr>
              <w:t>negocio</w:t>
            </w:r>
            <w:proofErr w:type="spellEnd"/>
          </w:p>
        </w:tc>
        <w:tc>
          <w:tcPr>
            <w:tcW w:w="0" w:type="auto"/>
            <w:hideMark/>
          </w:tcPr>
          <w:p w14:paraId="7E7815B0"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El franquiciado recibe manuales, procesos, diseño y capacitación para replicar la operación integral.</w:t>
            </w:r>
          </w:p>
        </w:tc>
        <w:tc>
          <w:tcPr>
            <w:tcW w:w="0" w:type="auto"/>
            <w:hideMark/>
          </w:tcPr>
          <w:p w14:paraId="5FE507E2"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 xml:space="preserve">McDonald’s, </w:t>
            </w:r>
            <w:proofErr w:type="spellStart"/>
            <w:r w:rsidRPr="003B6453">
              <w:rPr>
                <w:rFonts w:ascii="Times New Roman" w:hAnsi="Times New Roman" w:cs="Times New Roman"/>
                <w:sz w:val="24"/>
                <w:szCs w:val="24"/>
              </w:rPr>
              <w:t>Havanna</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Grido</w:t>
            </w:r>
            <w:proofErr w:type="spellEnd"/>
            <w:r w:rsidRPr="003B6453">
              <w:rPr>
                <w:rFonts w:ascii="Times New Roman" w:hAnsi="Times New Roman" w:cs="Times New Roman"/>
                <w:sz w:val="24"/>
                <w:szCs w:val="24"/>
              </w:rPr>
              <w:t>.</w:t>
            </w:r>
          </w:p>
        </w:tc>
      </w:tr>
      <w:tr w:rsidR="0087793E" w:rsidRPr="003B6453" w14:paraId="3640D048" w14:textId="77777777" w:rsidTr="00FB78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1A202C"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Franquicia</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maestra</w:t>
            </w:r>
            <w:proofErr w:type="spellEnd"/>
          </w:p>
        </w:tc>
        <w:tc>
          <w:tcPr>
            <w:tcW w:w="0" w:type="auto"/>
            <w:hideMark/>
          </w:tcPr>
          <w:p w14:paraId="5650FD71"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franquiciado adquiere derechos para </w:t>
            </w:r>
            <w:proofErr w:type="spellStart"/>
            <w:r w:rsidRPr="003B6453">
              <w:rPr>
                <w:rFonts w:ascii="Times New Roman" w:hAnsi="Times New Roman" w:cs="Times New Roman"/>
                <w:sz w:val="24"/>
                <w:szCs w:val="24"/>
                <w:lang w:val="es-AR"/>
              </w:rPr>
              <w:t>subfranquiciar</w:t>
            </w:r>
            <w:proofErr w:type="spellEnd"/>
            <w:r w:rsidRPr="003B6453">
              <w:rPr>
                <w:rFonts w:ascii="Times New Roman" w:hAnsi="Times New Roman" w:cs="Times New Roman"/>
                <w:sz w:val="24"/>
                <w:szCs w:val="24"/>
                <w:lang w:val="es-AR"/>
              </w:rPr>
              <w:t xml:space="preserve"> en un área o país específico.</w:t>
            </w:r>
          </w:p>
        </w:tc>
        <w:tc>
          <w:tcPr>
            <w:tcW w:w="0" w:type="auto"/>
            <w:hideMark/>
          </w:tcPr>
          <w:p w14:paraId="7C17C07F"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Starbucks, Burger King.</w:t>
            </w:r>
          </w:p>
        </w:tc>
      </w:tr>
    </w:tbl>
    <w:p w14:paraId="6F8335A4" w14:textId="77777777" w:rsidR="0087793E" w:rsidRPr="003B6453" w:rsidRDefault="0087793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w:t>
      </w:r>
      <w:proofErr w:type="spellStart"/>
      <w:r w:rsidRPr="003B6453">
        <w:rPr>
          <w:rFonts w:ascii="Times New Roman" w:hAnsi="Times New Roman" w:cs="Times New Roman"/>
          <w:sz w:val="24"/>
          <w:szCs w:val="24"/>
          <w:lang w:val="es-AR"/>
        </w:rPr>
        <w:t>Lafontaine</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Slade</w:t>
      </w:r>
      <w:proofErr w:type="spellEnd"/>
      <w:r w:rsidRPr="003B6453">
        <w:rPr>
          <w:rFonts w:ascii="Times New Roman" w:hAnsi="Times New Roman" w:cs="Times New Roman"/>
          <w:sz w:val="24"/>
          <w:szCs w:val="24"/>
          <w:lang w:val="es-AR"/>
        </w:rPr>
        <w:t xml:space="preserve"> (2007); Wright &amp; </w:t>
      </w:r>
      <w:proofErr w:type="spellStart"/>
      <w:r w:rsidRPr="003B6453">
        <w:rPr>
          <w:rFonts w:ascii="Times New Roman" w:hAnsi="Times New Roman" w:cs="Times New Roman"/>
          <w:sz w:val="24"/>
          <w:szCs w:val="24"/>
          <w:lang w:val="es-AR"/>
        </w:rPr>
        <w:t>Frazer</w:t>
      </w:r>
      <w:proofErr w:type="spellEnd"/>
      <w:r w:rsidRPr="003B6453">
        <w:rPr>
          <w:rFonts w:ascii="Times New Roman" w:hAnsi="Times New Roman" w:cs="Times New Roman"/>
          <w:sz w:val="24"/>
          <w:szCs w:val="24"/>
          <w:lang w:val="es-AR"/>
        </w:rPr>
        <w:t xml:space="preserve"> (2007).</w:t>
      </w:r>
    </w:p>
    <w:p w14:paraId="4EB9C3D7" w14:textId="5E551E18"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Tal como se observa en la Tabla 1, los distintos tipos de franquicia se diferencian fundamentalmente por el alcance de la transferencia del modelo de negocio y el nivel de control ejercido por el </w:t>
      </w:r>
      <w:proofErr w:type="spellStart"/>
      <w:r w:rsidRPr="003B6453">
        <w:rPr>
          <w:rFonts w:ascii="Times New Roman" w:hAnsi="Times New Roman" w:cs="Times New Roman"/>
          <w:sz w:val="24"/>
          <w:szCs w:val="24"/>
          <w:lang w:val="es-AR"/>
        </w:rPr>
        <w:t>franquiciante</w:t>
      </w:r>
      <w:proofErr w:type="spellEnd"/>
      <w:r w:rsidRPr="003B6453">
        <w:rPr>
          <w:rFonts w:ascii="Times New Roman" w:hAnsi="Times New Roman" w:cs="Times New Roman"/>
          <w:sz w:val="24"/>
          <w:szCs w:val="24"/>
          <w:lang w:val="es-AR"/>
        </w:rPr>
        <w:t>. Mientras que la franquicia de producto o marca registrada se limita a la comercialización de bienes bajo una identidad determinada, la franquicia de formato de negocio supone una replicación integral del sistema organizacional, incluyendo procesos operativos, diseño del punto de venta y protocolos de calidad. Esta diferencia resulta particularmente relevante en el sector gastronómico, donde la experiencia del cliente y la consistencia del producto constituyen variables críticas para la sostenibilidad del negocio. En este sentido, la predominancia del formato de negocio en la gastronomía responde a la necesidad de reducir la variabilidad operativa y garantizar estándares homogéneos en todas las unidades.</w:t>
      </w:r>
    </w:p>
    <w:p w14:paraId="2E70FC8B" w14:textId="77777777"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Argentina, la franquicia ha experimentado un desarrollo sostenido y progresivo durante las últimas décadas, consolidándose como uno de los principales mecanismos de expansión </w:t>
      </w:r>
      <w:r w:rsidRPr="003B6453">
        <w:rPr>
          <w:rFonts w:ascii="Times New Roman" w:hAnsi="Times New Roman" w:cs="Times New Roman"/>
          <w:sz w:val="24"/>
          <w:szCs w:val="24"/>
          <w:lang w:val="es-AR"/>
        </w:rPr>
        <w:lastRenderedPageBreak/>
        <w:t xml:space="preserve">empresarial en múltiples sectores de la economía. De acuerdo con datos de la Asociación Argentina de Marcas y Franquicias (AAMF, 2023), el país cuenta actualmente con más de 1.300 marcas </w:t>
      </w:r>
      <w:proofErr w:type="spellStart"/>
      <w:r w:rsidRPr="003B6453">
        <w:rPr>
          <w:rFonts w:ascii="Times New Roman" w:hAnsi="Times New Roman" w:cs="Times New Roman"/>
          <w:sz w:val="24"/>
          <w:szCs w:val="24"/>
          <w:lang w:val="es-AR"/>
        </w:rPr>
        <w:t>franquiciantes</w:t>
      </w:r>
      <w:proofErr w:type="spellEnd"/>
      <w:r w:rsidRPr="003B6453">
        <w:rPr>
          <w:rFonts w:ascii="Times New Roman" w:hAnsi="Times New Roman" w:cs="Times New Roman"/>
          <w:sz w:val="24"/>
          <w:szCs w:val="24"/>
          <w:lang w:val="es-AR"/>
        </w:rPr>
        <w:t xml:space="preserve"> y cerca de 30.000 locales operativos, los cuales generan más de 200.000 puestos de trabajo directos. Estas cifras evidencian no solo la magnitud del sistema de franquicias en el entramado productivo nacional, sino también su relevancia como generador de empleo y como herramienta de formalización de actividades económicas, especialmente en contextos de alta volatilidad macroeconómica.</w:t>
      </w:r>
    </w:p>
    <w:p w14:paraId="5B8F9F8B" w14:textId="77777777"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Dentro de este universo, el sector gastronómico se destaca como uno de los más dinámicos y representativos del modelo de franquicias en Argentina. Cadenas como </w:t>
      </w:r>
      <w:proofErr w:type="spellStart"/>
      <w:r w:rsidRPr="003B6453">
        <w:rPr>
          <w:rFonts w:ascii="Times New Roman" w:hAnsi="Times New Roman" w:cs="Times New Roman"/>
          <w:sz w:val="24"/>
          <w:szCs w:val="24"/>
          <w:lang w:val="es-AR"/>
        </w:rPr>
        <w:t>Havanna</w:t>
      </w:r>
      <w:proofErr w:type="spellEnd"/>
      <w:r w:rsidRPr="003B6453">
        <w:rPr>
          <w:rFonts w:ascii="Times New Roman" w:hAnsi="Times New Roman" w:cs="Times New Roman"/>
          <w:sz w:val="24"/>
          <w:szCs w:val="24"/>
          <w:lang w:val="es-AR"/>
        </w:rPr>
        <w:t xml:space="preserve">, especializada en cafetería y chocolatería; </w:t>
      </w:r>
      <w:proofErr w:type="spellStart"/>
      <w:r w:rsidRPr="003B6453">
        <w:rPr>
          <w:rFonts w:ascii="Times New Roman" w:hAnsi="Times New Roman" w:cs="Times New Roman"/>
          <w:sz w:val="24"/>
          <w:szCs w:val="24"/>
          <w:lang w:val="es-AR"/>
        </w:rPr>
        <w:t>Grido</w:t>
      </w:r>
      <w:proofErr w:type="spellEnd"/>
      <w:r w:rsidRPr="003B6453">
        <w:rPr>
          <w:rFonts w:ascii="Times New Roman" w:hAnsi="Times New Roman" w:cs="Times New Roman"/>
          <w:sz w:val="24"/>
          <w:szCs w:val="24"/>
          <w:lang w:val="es-AR"/>
        </w:rPr>
        <w:t xml:space="preserve">, referente en el mercado de helados; Mostaza, en el segmento de comida rápida; y </w:t>
      </w:r>
      <w:proofErr w:type="spellStart"/>
      <w:r w:rsidRPr="003B6453">
        <w:rPr>
          <w:rFonts w:ascii="Times New Roman" w:hAnsi="Times New Roman" w:cs="Times New Roman"/>
          <w:sz w:val="24"/>
          <w:szCs w:val="24"/>
          <w:lang w:val="es-AR"/>
        </w:rPr>
        <w:t>Freddo</w:t>
      </w:r>
      <w:proofErr w:type="spellEnd"/>
      <w:r w:rsidRPr="003B6453">
        <w:rPr>
          <w:rFonts w:ascii="Times New Roman" w:hAnsi="Times New Roman" w:cs="Times New Roman"/>
          <w:sz w:val="24"/>
          <w:szCs w:val="24"/>
          <w:lang w:val="es-AR"/>
        </w:rPr>
        <w:t xml:space="preserve">, posicionada en el rubro de helados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constituyen casos paradigmáticos de expansión exitosa mediante este formato. Estas marcas lograron transformar emprendimientos de origen local en organizaciones con alcance nacional e incluso internacional, apoyándose en la estandarización de procesos, la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del modelo de negocio y una estrategia consistente de construcción de marca.</w:t>
      </w:r>
    </w:p>
    <w:p w14:paraId="6C93044A" w14:textId="77777777"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experiencia de estas franquicias demuestra que el éxito del modelo no depende exclusivamente del crecimiento en cantidad de locales, sino de la capacidad para sostener una identidad de marca coherente, garantizar estándares homogéneos de calidad y adaptarse a las particularidades culturales, sociales y regionales de los distintos mercados en los que operan. En este sentido, la franquicia se presenta como un sistema flexible, capaz de combinar lineamientos centrales con ajustes locales, lo que resulta especialmente relevante en un país caracterizado por marcadas diferencias regionales en hábitos de consumo, </w:t>
      </w:r>
      <w:proofErr w:type="gramStart"/>
      <w:r w:rsidRPr="003B6453">
        <w:rPr>
          <w:rFonts w:ascii="Times New Roman" w:hAnsi="Times New Roman" w:cs="Times New Roman"/>
          <w:sz w:val="24"/>
          <w:szCs w:val="24"/>
          <w:lang w:val="es-AR"/>
        </w:rPr>
        <w:t>poder adquisitivo y dinámicas socioculturales</w:t>
      </w:r>
      <w:proofErr w:type="gramEnd"/>
      <w:r w:rsidRPr="003B6453">
        <w:rPr>
          <w:rFonts w:ascii="Times New Roman" w:hAnsi="Times New Roman" w:cs="Times New Roman"/>
          <w:sz w:val="24"/>
          <w:szCs w:val="24"/>
          <w:lang w:val="es-AR"/>
        </w:rPr>
        <w:t>. Esta capacidad de adaptación, sumada a la estandarización operativa, explica en gran medida por qué la franquicia se ha consolidado en Argentina como una alternativa viable y atractiva para la expansión de emprendimientos gastronómicos con vocación de crecimiento sostenido.</w:t>
      </w:r>
    </w:p>
    <w:p w14:paraId="3D101E03" w14:textId="672FAB46"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Con el fin de visualizar la evolución reciente del sistema de franquicias gastronómicas en Argentina, la Figura 1 presenta una estimación del crecimiento en cantidad de marcas, locales y empleo generado para el período 2023–2025. Esta representación permite </w:t>
      </w:r>
      <w:r w:rsidRPr="003B6453">
        <w:rPr>
          <w:rFonts w:ascii="Times New Roman" w:hAnsi="Times New Roman" w:cs="Times New Roman"/>
          <w:sz w:val="24"/>
          <w:szCs w:val="24"/>
          <w:lang w:val="es-AR"/>
        </w:rPr>
        <w:lastRenderedPageBreak/>
        <w:t>dimensionar la relevancia económica y social del sector, así como su aporte al mercado laboral y a la consolidación de marcas gastronómicas a nivel nacional.</w:t>
      </w:r>
    </w:p>
    <w:p w14:paraId="419A7BF9" w14:textId="5F187A73" w:rsidR="0011670A" w:rsidRPr="003B6453" w:rsidRDefault="00116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noProof/>
          <w:sz w:val="24"/>
          <w:szCs w:val="24"/>
          <w:lang w:val="es-AR" w:eastAsia="es-AR"/>
        </w:rPr>
        <w:drawing>
          <wp:inline distT="0" distB="0" distL="0" distR="0" wp14:anchorId="69AB54E9" wp14:editId="74EDDFB5">
            <wp:extent cx="4659630" cy="3007301"/>
            <wp:effectExtent l="0" t="0" r="7620" b="3175"/>
            <wp:docPr id="1526023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23678" name=""/>
                    <pic:cNvPicPr/>
                  </pic:nvPicPr>
                  <pic:blipFill>
                    <a:blip r:embed="rId8"/>
                    <a:stretch>
                      <a:fillRect/>
                    </a:stretch>
                  </pic:blipFill>
                  <pic:spPr>
                    <a:xfrm>
                      <a:off x="0" y="0"/>
                      <a:ext cx="4664812" cy="3010646"/>
                    </a:xfrm>
                    <a:prstGeom prst="rect">
                      <a:avLst/>
                    </a:prstGeom>
                  </pic:spPr>
                </pic:pic>
              </a:graphicData>
            </a:graphic>
          </wp:inline>
        </w:drawing>
      </w:r>
    </w:p>
    <w:p w14:paraId="64F6D3CA" w14:textId="1F447F6D"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Tal como se observa en la Figura 1, las franquicias gastronómicas en Argentina exhiben una tendencia de crecimiento sostenido tanto en cantidad de locales como en empleo generado. Las estimaciones indican un aumento progresivo de los locales gastronómicos franquiciados entre 2023 y 2025, acompañado por una expansión significativa del empleo asociado al sector. Este comportamiento confirma el carácter intensivo en mano de obra de la actividad gastronómica y refuerza el rol de la franquicia como mecanismo de generación de empleo formal. Asimismo, el crecimiento del número de marcas gastronómicas sugiere un proceso continuo de diversificación y sofisticación de la oferta, en línea con la demanda de propuestas diferenciadas por parte de los consumidores. En este contexto, la franquicia se consolida como un modelo organizacional capaz de canalizar el crecimiento del sector gastronómico, combinando escalabilidad, estandarización y creación de valor económico y social.</w:t>
      </w:r>
    </w:p>
    <w:p w14:paraId="6D722DB9" w14:textId="3D9538A8"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caso de este estudio, orientado a la implementación de una franquicia de medialunas gourmet en el Alto Valle, el formato de franquicia de negocio aparece como el más adecuado para alcanzar los objetivos estratégicos del proyecto. Este tipo de franquicia permite preservar de manera consistente la identidad artesanal del producto, al tiempo que </w:t>
      </w:r>
      <w:r w:rsidRPr="003B6453">
        <w:rPr>
          <w:rFonts w:ascii="Times New Roman" w:hAnsi="Times New Roman" w:cs="Times New Roman"/>
          <w:sz w:val="24"/>
          <w:szCs w:val="24"/>
          <w:lang w:val="es-AR"/>
        </w:rPr>
        <w:lastRenderedPageBreak/>
        <w:t xml:space="preserve">garantiza la aplicación de estándares homogéneos de producción, servicio y presentación en todas las unidades que integren la red. A diferencia de otros formatos más flexibles, la franquicia de negocio asegura la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integral del concepto, lo cual resulta fundamental para sostener un posicionamiento gourmet y evitar desviaciones que puedan afectar la percepción de calidad por parte de los consumidores.</w:t>
      </w:r>
    </w:p>
    <w:p w14:paraId="4DD23F35" w14:textId="20AB5728"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estandarización de procesos clave —como el amasado, el horneado, la selección de insumos, la presentación del producto y la atención al cliente— constituye un elemento indispensable para transmitir la propuesta de valor asociada a lo gourmet y consolidar la confianza del público. En el ámbito gastronómico, pequeñas variaciones en estos procesos pueden generar diferencias significativas en la experiencia de consumo, impactando negativamente en la imagen de marca. Por esta razón, la definición de manuales operativos detallados, protocolos de calidad y mecanismos de control se vuelve central para asegurar la coherencia del sistema a medida que se produce la expansión territorial.</w:t>
      </w:r>
    </w:p>
    <w:p w14:paraId="391C1ADE" w14:textId="15CFA76D" w:rsidR="00F94EC8"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Asimismo, la adopción de un formato de negocio facilita la construcción de una experiencia de consumo uniforme en cada punto de venta, reforzando el reconocimiento de la marca y la fidelización del cliente. En ciudades intermedias como las que integran el Alto Valle, donde los consumidores presentan niveles crecientes de exigencia y acceso a propuestas gastronómicas diversas, la consistencia en la calidad y en la experiencia se convierte en un factor crítico de competitividad. En este contexto, el sistema de franquicias no solo actúa como un vehículo de crecimiento y escalabilidad, sino también como un mecanismo estratégico que resguarda la calidad, la coherencia y la credibilidad de la marca frente al desafío de expandirse en mercados regionales en proceso de transformación.</w:t>
      </w:r>
    </w:p>
    <w:p w14:paraId="4F51E02F" w14:textId="251EE8F4" w:rsidR="00F94EC8" w:rsidRPr="003B6453" w:rsidRDefault="00F94EC8" w:rsidP="003B6453">
      <w:pPr>
        <w:pStyle w:val="Ttulo2"/>
        <w:numPr>
          <w:ilvl w:val="1"/>
          <w:numId w:val="1"/>
        </w:numPr>
        <w:spacing w:line="360" w:lineRule="auto"/>
        <w:jc w:val="both"/>
        <w:rPr>
          <w:rFonts w:ascii="Times New Roman" w:eastAsiaTheme="minorHAnsi" w:hAnsi="Times New Roman" w:cs="Times New Roman"/>
          <w:sz w:val="24"/>
          <w:szCs w:val="24"/>
          <w:lang w:val="es-AR"/>
        </w:rPr>
      </w:pPr>
      <w:bookmarkStart w:id="4" w:name="_Toc228546571"/>
      <w:r w:rsidRPr="003B6453">
        <w:rPr>
          <w:rFonts w:ascii="Times New Roman" w:eastAsiaTheme="minorHAnsi" w:hAnsi="Times New Roman" w:cs="Times New Roman"/>
          <w:sz w:val="24"/>
          <w:szCs w:val="24"/>
          <w:lang w:val="es-AR"/>
        </w:rPr>
        <w:t>Factibilidad económica de las franquicias</w:t>
      </w:r>
      <w:bookmarkEnd w:id="4"/>
    </w:p>
    <w:p w14:paraId="6B43DA69" w14:textId="77777777" w:rsidR="006A4B61" w:rsidRPr="003B6453" w:rsidRDefault="006A4B61" w:rsidP="003B6453">
      <w:pPr>
        <w:pStyle w:val="Prrafodelista"/>
        <w:spacing w:line="360" w:lineRule="auto"/>
        <w:ind w:left="384"/>
        <w:jc w:val="both"/>
        <w:rPr>
          <w:rFonts w:ascii="Times New Roman" w:hAnsi="Times New Roman" w:cs="Times New Roman"/>
          <w:sz w:val="24"/>
          <w:szCs w:val="24"/>
          <w:lang w:val="es-AR"/>
        </w:rPr>
      </w:pPr>
    </w:p>
    <w:p w14:paraId="1D2CDA9D" w14:textId="77777777" w:rsidR="004B2326" w:rsidRPr="003B6453" w:rsidRDefault="00F94EC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 </w:t>
      </w:r>
      <w:r w:rsidR="004B2326" w:rsidRPr="003B6453">
        <w:rPr>
          <w:rFonts w:ascii="Times New Roman" w:hAnsi="Times New Roman" w:cs="Times New Roman"/>
          <w:sz w:val="24"/>
          <w:szCs w:val="24"/>
          <w:lang w:val="es-AR"/>
        </w:rPr>
        <w:t xml:space="preserve">La factibilidad económica constituye uno de los elementos centrales a considerar en la evaluación de un proyecto de franquicia, en tanto determina si la inversión inicial y los costos asociados podrán recuperarse en un plazo razonable y con un nivel de rentabilidad atractivo para el inversor. Desde la perspectiva financiera, la literatura especializada propone diversas herramientas para estimar la conveniencia de un negocio y reducir la incertidumbre asociada a las decisiones de inversión, entre las que se destacan el Valor </w:t>
      </w:r>
      <w:r w:rsidR="004B2326" w:rsidRPr="003B6453">
        <w:rPr>
          <w:rFonts w:ascii="Times New Roman" w:hAnsi="Times New Roman" w:cs="Times New Roman"/>
          <w:sz w:val="24"/>
          <w:szCs w:val="24"/>
          <w:lang w:val="es-AR"/>
        </w:rPr>
        <w:lastRenderedPageBreak/>
        <w:t xml:space="preserve">Actual Neto (VAN), la Tasa Interna de Retorno (TIR) y el período de repago o </w:t>
      </w:r>
      <w:proofErr w:type="spellStart"/>
      <w:r w:rsidR="004B2326" w:rsidRPr="003B6453">
        <w:rPr>
          <w:rFonts w:ascii="Times New Roman" w:hAnsi="Times New Roman" w:cs="Times New Roman"/>
          <w:sz w:val="24"/>
          <w:szCs w:val="24"/>
          <w:lang w:val="es-AR"/>
        </w:rPr>
        <w:t>payback</w:t>
      </w:r>
      <w:proofErr w:type="spellEnd"/>
      <w:r w:rsidR="004B2326" w:rsidRPr="003B6453">
        <w:rPr>
          <w:rFonts w:ascii="Times New Roman" w:hAnsi="Times New Roman" w:cs="Times New Roman"/>
          <w:sz w:val="24"/>
          <w:szCs w:val="24"/>
          <w:lang w:val="es-AR"/>
        </w:rPr>
        <w:t xml:space="preserve">. El VAN permite calcular la diferencia entre el valor presente de los flujos de caja futuros esperados y el monto de la inversión inicial; un resultado positivo indica que el proyecto no solo recupera el capital invertido, sino que además genera valor económico adicional para el inversor (Ross, </w:t>
      </w:r>
      <w:proofErr w:type="spellStart"/>
      <w:r w:rsidR="004B2326" w:rsidRPr="003B6453">
        <w:rPr>
          <w:rFonts w:ascii="Times New Roman" w:hAnsi="Times New Roman" w:cs="Times New Roman"/>
          <w:sz w:val="24"/>
          <w:szCs w:val="24"/>
          <w:lang w:val="es-AR"/>
        </w:rPr>
        <w:t>Westerfield</w:t>
      </w:r>
      <w:proofErr w:type="spellEnd"/>
      <w:r w:rsidR="004B2326" w:rsidRPr="003B6453">
        <w:rPr>
          <w:rFonts w:ascii="Times New Roman" w:hAnsi="Times New Roman" w:cs="Times New Roman"/>
          <w:sz w:val="24"/>
          <w:szCs w:val="24"/>
          <w:lang w:val="es-AR"/>
        </w:rPr>
        <w:t xml:space="preserve"> &amp; </w:t>
      </w:r>
      <w:proofErr w:type="spellStart"/>
      <w:r w:rsidR="004B2326" w:rsidRPr="003B6453">
        <w:rPr>
          <w:rFonts w:ascii="Times New Roman" w:hAnsi="Times New Roman" w:cs="Times New Roman"/>
          <w:sz w:val="24"/>
          <w:szCs w:val="24"/>
          <w:lang w:val="es-AR"/>
        </w:rPr>
        <w:t>Jordan</w:t>
      </w:r>
      <w:proofErr w:type="spellEnd"/>
      <w:r w:rsidR="004B2326" w:rsidRPr="003B6453">
        <w:rPr>
          <w:rFonts w:ascii="Times New Roman" w:hAnsi="Times New Roman" w:cs="Times New Roman"/>
          <w:sz w:val="24"/>
          <w:szCs w:val="24"/>
          <w:lang w:val="es-AR"/>
        </w:rPr>
        <w:t>, 2018). La TIR, por su parte, representa la tasa de descuento que iguala el valor presente de los ingresos proyectados con el desembolso inicial, constituyéndose en una medida relativa de rentabilidad que facilita la comparación entre proyectos alternativos; cuando la TIR supera al costo de capital, el proyecto es considerado financieramente viable (</w:t>
      </w:r>
      <w:proofErr w:type="spellStart"/>
      <w:r w:rsidR="004B2326" w:rsidRPr="003B6453">
        <w:rPr>
          <w:rFonts w:ascii="Times New Roman" w:hAnsi="Times New Roman" w:cs="Times New Roman"/>
          <w:sz w:val="24"/>
          <w:szCs w:val="24"/>
          <w:lang w:val="es-AR"/>
        </w:rPr>
        <w:t>Brealey</w:t>
      </w:r>
      <w:proofErr w:type="spellEnd"/>
      <w:r w:rsidR="004B2326" w:rsidRPr="003B6453">
        <w:rPr>
          <w:rFonts w:ascii="Times New Roman" w:hAnsi="Times New Roman" w:cs="Times New Roman"/>
          <w:sz w:val="24"/>
          <w:szCs w:val="24"/>
          <w:lang w:val="es-AR"/>
        </w:rPr>
        <w:t xml:space="preserve"> &amp; Myers, 2013). Finalmente, el </w:t>
      </w:r>
      <w:proofErr w:type="spellStart"/>
      <w:r w:rsidR="004B2326" w:rsidRPr="003B6453">
        <w:rPr>
          <w:rFonts w:ascii="Times New Roman" w:hAnsi="Times New Roman" w:cs="Times New Roman"/>
          <w:sz w:val="24"/>
          <w:szCs w:val="24"/>
          <w:lang w:val="es-AR"/>
        </w:rPr>
        <w:t>payback</w:t>
      </w:r>
      <w:proofErr w:type="spellEnd"/>
      <w:r w:rsidR="004B2326" w:rsidRPr="003B6453">
        <w:rPr>
          <w:rFonts w:ascii="Times New Roman" w:hAnsi="Times New Roman" w:cs="Times New Roman"/>
          <w:sz w:val="24"/>
          <w:szCs w:val="24"/>
          <w:lang w:val="es-AR"/>
        </w:rPr>
        <w:t>, si bien es un indicador más sencillo y con limitaciones teóricas, resulta útil para estimar el tiempo necesario para recuperar la inversión inicial a partir de los flujos de caja acumulados, aspecto especialmente valorado por inversores que priorizan la liquidez y la reducción del riesgo en contextos inciertos.</w:t>
      </w:r>
    </w:p>
    <w:p w14:paraId="03C0E73F" w14:textId="54BA6270"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No obstante, la evaluación de la factibilidad económica no puede limitarse exclusivamente al cálculo de indicadores financieros tradicionales. </w:t>
      </w:r>
      <w:proofErr w:type="spellStart"/>
      <w:r w:rsidRPr="003B6453">
        <w:rPr>
          <w:rFonts w:ascii="Times New Roman" w:hAnsi="Times New Roman" w:cs="Times New Roman"/>
          <w:sz w:val="24"/>
          <w:szCs w:val="24"/>
          <w:lang w:val="es-AR"/>
        </w:rPr>
        <w:t>Damodaran</w:t>
      </w:r>
      <w:proofErr w:type="spellEnd"/>
      <w:r w:rsidRPr="003B6453">
        <w:rPr>
          <w:rFonts w:ascii="Times New Roman" w:hAnsi="Times New Roman" w:cs="Times New Roman"/>
          <w:sz w:val="24"/>
          <w:szCs w:val="24"/>
          <w:lang w:val="es-AR"/>
        </w:rPr>
        <w:t xml:space="preserve"> (2012) enfatiza </w:t>
      </w:r>
      <w:r w:rsidR="006A4B61" w:rsidRPr="003B6453">
        <w:rPr>
          <w:rFonts w:ascii="Times New Roman" w:hAnsi="Times New Roman" w:cs="Times New Roman"/>
          <w:sz w:val="24"/>
          <w:szCs w:val="24"/>
          <w:lang w:val="es-AR"/>
        </w:rPr>
        <w:t>que,</w:t>
      </w:r>
      <w:r w:rsidRPr="003B6453">
        <w:rPr>
          <w:rFonts w:ascii="Times New Roman" w:hAnsi="Times New Roman" w:cs="Times New Roman"/>
          <w:sz w:val="24"/>
          <w:szCs w:val="24"/>
          <w:lang w:val="es-AR"/>
        </w:rPr>
        <w:t xml:space="preserve"> en entornos volátiles, como el argentino, caracterizados por alta inflación, inestabilidad macroeconómica y cambios frecuentes en las reglas de juego, resulta insuficiente trabajar con un único escenario de proyección. En estos contextos, el análisis de sensibilidad y la construcción de escenarios alternativos —optimista, conservador y pesimista— se convierten en herramientas fundamentales para anticipar el impacto de variaciones en variables críticas, tales como el nivel de ventas, los costos operativos, el tipo de cambio o el precio de los insumos importados. Este enfoque permite evaluar la </w:t>
      </w:r>
      <w:proofErr w:type="spellStart"/>
      <w:r w:rsidRPr="003B6453">
        <w:rPr>
          <w:rFonts w:ascii="Times New Roman" w:hAnsi="Times New Roman" w:cs="Times New Roman"/>
          <w:sz w:val="24"/>
          <w:szCs w:val="24"/>
          <w:lang w:val="es-AR"/>
        </w:rPr>
        <w:t>resiliencia</w:t>
      </w:r>
      <w:proofErr w:type="spellEnd"/>
      <w:r w:rsidRPr="003B6453">
        <w:rPr>
          <w:rFonts w:ascii="Times New Roman" w:hAnsi="Times New Roman" w:cs="Times New Roman"/>
          <w:sz w:val="24"/>
          <w:szCs w:val="24"/>
          <w:lang w:val="es-AR"/>
        </w:rPr>
        <w:t xml:space="preserve"> del modelo de negocio frente a shocks externos y comprender cómo se comporta la rentabilidad del proyecto ante distintos supuestos. En consecuencia, la factibilidad económica debe concebirse como un ejercicio dinámico, sujeto a revisión y ajuste permanente, más que como una evaluación estática basada en proyecciones puntuales.</w:t>
      </w:r>
    </w:p>
    <w:p w14:paraId="73611EBA" w14:textId="77777777"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Desde el campo del </w:t>
      </w:r>
      <w:proofErr w:type="spellStart"/>
      <w:r w:rsidRPr="003B6453">
        <w:rPr>
          <w:rFonts w:ascii="Times New Roman" w:hAnsi="Times New Roman" w:cs="Times New Roman"/>
          <w:sz w:val="24"/>
          <w:szCs w:val="24"/>
          <w:lang w:val="es-AR"/>
        </w:rPr>
        <w:t>management</w:t>
      </w:r>
      <w:proofErr w:type="spellEnd"/>
      <w:r w:rsidRPr="003B6453">
        <w:rPr>
          <w:rFonts w:ascii="Times New Roman" w:hAnsi="Times New Roman" w:cs="Times New Roman"/>
          <w:sz w:val="24"/>
          <w:szCs w:val="24"/>
          <w:lang w:val="es-AR"/>
        </w:rPr>
        <w:t xml:space="preserve"> estratégico, el análisis financiero puede y debe complementarse con herramientas que incorporen una visión integral del desempeño organizacional. En este sentido, el </w:t>
      </w:r>
      <w:proofErr w:type="spellStart"/>
      <w:r w:rsidRPr="003B6453">
        <w:rPr>
          <w:rFonts w:ascii="Times New Roman" w:hAnsi="Times New Roman" w:cs="Times New Roman"/>
          <w:sz w:val="24"/>
          <w:szCs w:val="24"/>
          <w:lang w:val="es-AR"/>
        </w:rPr>
        <w:t>Balanced</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Scorecard</w:t>
      </w:r>
      <w:proofErr w:type="spellEnd"/>
      <w:r w:rsidRPr="003B6453">
        <w:rPr>
          <w:rFonts w:ascii="Times New Roman" w:hAnsi="Times New Roman" w:cs="Times New Roman"/>
          <w:sz w:val="24"/>
          <w:szCs w:val="24"/>
          <w:lang w:val="es-AR"/>
        </w:rPr>
        <w:t xml:space="preserve"> propuesto por Kaplan y Norton (1992) amplía el foco tradicional centrado en la rentabilidad, al plantear que la </w:t>
      </w:r>
      <w:r w:rsidRPr="003B6453">
        <w:rPr>
          <w:rFonts w:ascii="Times New Roman" w:hAnsi="Times New Roman" w:cs="Times New Roman"/>
          <w:sz w:val="24"/>
          <w:szCs w:val="24"/>
          <w:lang w:val="es-AR"/>
        </w:rPr>
        <w:lastRenderedPageBreak/>
        <w:t>sostenibilidad de un negocio depende de la interacción equilibrada entre cuatro perspectivas: financiera, del cliente, de los procesos internos y de aprendizaje y crecimiento. Aplicado al caso de las franquicias gastronómicas, este enfoque permite evaluar no solo los resultados económicos, sino también variables clave como la satisfacción y fidelización de los clientes, la eficiencia de los procesos productivos y de atención, la calidad percibida del producto y el nivel de capacitación y compromiso del personal. Estos factores, aunque no siempre se reflejan de manera inmediata en los estados financieros, inciden de forma directa en el desempeño económico de cada unidad franquiciada y en la fortaleza del sistema en su conjunto.</w:t>
      </w:r>
    </w:p>
    <w:p w14:paraId="362DD28F" w14:textId="77777777" w:rsidR="004B2326"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Complementariamente, los Key Performance </w:t>
      </w:r>
      <w:proofErr w:type="spellStart"/>
      <w:r w:rsidRPr="003B6453">
        <w:rPr>
          <w:rFonts w:ascii="Times New Roman" w:hAnsi="Times New Roman" w:cs="Times New Roman"/>
          <w:sz w:val="24"/>
          <w:szCs w:val="24"/>
          <w:lang w:val="es-AR"/>
        </w:rPr>
        <w:t>Indicators</w:t>
      </w:r>
      <w:proofErr w:type="spellEnd"/>
      <w:r w:rsidRPr="003B6453">
        <w:rPr>
          <w:rFonts w:ascii="Times New Roman" w:hAnsi="Times New Roman" w:cs="Times New Roman"/>
          <w:sz w:val="24"/>
          <w:szCs w:val="24"/>
          <w:lang w:val="es-AR"/>
        </w:rPr>
        <w:t xml:space="preserve"> (KPI) constituyen métricas operativas específicas que facilitan la gestión cotidiana del negocio y la toma de decisiones basada en información objetiva. Según </w:t>
      </w:r>
      <w:proofErr w:type="spellStart"/>
      <w:r w:rsidRPr="003B6453">
        <w:rPr>
          <w:rFonts w:ascii="Times New Roman" w:hAnsi="Times New Roman" w:cs="Times New Roman"/>
          <w:sz w:val="24"/>
          <w:szCs w:val="24"/>
          <w:lang w:val="es-AR"/>
        </w:rPr>
        <w:t>Marr</w:t>
      </w:r>
      <w:proofErr w:type="spellEnd"/>
      <w:r w:rsidRPr="003B6453">
        <w:rPr>
          <w:rFonts w:ascii="Times New Roman" w:hAnsi="Times New Roman" w:cs="Times New Roman"/>
          <w:sz w:val="24"/>
          <w:szCs w:val="24"/>
          <w:lang w:val="es-AR"/>
        </w:rPr>
        <w:t xml:space="preserve"> (2012), los KPI deben seleccionarse en función de los objetivos estratégicos de la organización y medirse de manera sistemática para detectar desvíos y oportunidades de mejora. En el caso de una franquicia de medialunas gourmet, algunos indicadores relevantes incluyen el ticket promedio por cliente, la tasa de recompra mensual, el margen bruto por unidad vendida, el costo de adquisición de clientes a través de canales digitales, los niveles de satisfacción reportados en encuestas de calidad y la rotación de personal. El seguimiento de estos indicadores permite monitorear no solo la rentabilidad, sino también la eficiencia operativa y la salud de la relación con los consumidores, aspectos críticos para sostener el posicionamiento gourmet y la coherencia del modelo de franquicia en el tiempo.</w:t>
      </w:r>
    </w:p>
    <w:p w14:paraId="45B0AEFF" w14:textId="452CDF7D" w:rsidR="0087793E" w:rsidRPr="003B6453" w:rsidRDefault="004B2326"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factibilidad económica, sin embargo, no puede analizarse en abstracto, sino en estrecha relación con el contexto específico en el que se desarrollará la franquicia. En el Alto Valle, las condiciones presentan particularidades estructurales que deben ser consideradas en la evaluación del proyecto. La fuerte presencia de la industria </w:t>
      </w:r>
      <w:proofErr w:type="spellStart"/>
      <w:r w:rsidRPr="003B6453">
        <w:rPr>
          <w:rFonts w:ascii="Times New Roman" w:hAnsi="Times New Roman" w:cs="Times New Roman"/>
          <w:sz w:val="24"/>
          <w:szCs w:val="24"/>
          <w:lang w:val="es-AR"/>
        </w:rPr>
        <w:t>hidrocarburífera</w:t>
      </w:r>
      <w:proofErr w:type="spellEnd"/>
      <w:r w:rsidRPr="003B6453">
        <w:rPr>
          <w:rFonts w:ascii="Times New Roman" w:hAnsi="Times New Roman" w:cs="Times New Roman"/>
          <w:sz w:val="24"/>
          <w:szCs w:val="24"/>
          <w:lang w:val="es-AR"/>
        </w:rPr>
        <w:t xml:space="preserve"> vinculada a Vaca Muerta genera una distorsión significativa en el mercado laboral regional, dado que los salarios del sector petrolero superan ampliamente a los de actividades como la gastronomía. Esta situación encarece la contratación y retención de personal, incrementa los costos operativos y obliga a las empresas gastronómicas a invertir en capacitación, incentivos y mejoras en las condiciones laborales para conformar equipos de trabajo </w:t>
      </w:r>
      <w:r w:rsidRPr="003B6453">
        <w:rPr>
          <w:rFonts w:ascii="Times New Roman" w:hAnsi="Times New Roman" w:cs="Times New Roman"/>
          <w:sz w:val="24"/>
          <w:szCs w:val="24"/>
          <w:lang w:val="es-AR"/>
        </w:rPr>
        <w:lastRenderedPageBreak/>
        <w:t>estables. Asimismo, los costos logísticos en la región resultan superiores a los de grandes centros urbanos como Buenos Aires o Córdoba, debido a la distancia respecto de los principales proveedores nacionales de insumos y equipamiento gastronómico especializado. Este contexto impulsa la necesidad de desarrollar acuerdos con proveedores locales y regionales que permitan reducir costos de transporte, aunque ello exige implementar controles de calidad más rigurosos para asegurar la consistencia del producto y preservar la propuesta de valor gourmet.</w:t>
      </w:r>
    </w:p>
    <w:p w14:paraId="79F5A51D" w14:textId="440A745A" w:rsidR="00EC04F7" w:rsidRPr="003B6453" w:rsidRDefault="00EC04F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Con el objetivo de dimensionar la brecha salarial existente entre el sector gastronómico y la industria </w:t>
      </w:r>
      <w:proofErr w:type="spellStart"/>
      <w:r w:rsidRPr="003B6453">
        <w:rPr>
          <w:rFonts w:ascii="Times New Roman" w:hAnsi="Times New Roman" w:cs="Times New Roman"/>
          <w:sz w:val="24"/>
          <w:szCs w:val="24"/>
          <w:lang w:val="es-AR"/>
        </w:rPr>
        <w:t>hidrocarburífera</w:t>
      </w:r>
      <w:proofErr w:type="spellEnd"/>
      <w:r w:rsidRPr="003B6453">
        <w:rPr>
          <w:rFonts w:ascii="Times New Roman" w:hAnsi="Times New Roman" w:cs="Times New Roman"/>
          <w:sz w:val="24"/>
          <w:szCs w:val="24"/>
          <w:lang w:val="es-AR"/>
        </w:rPr>
        <w:t xml:space="preserve"> en Argentina, la Figura </w:t>
      </w:r>
      <w:r w:rsidR="00A304A5" w:rsidRPr="003B6453">
        <w:rPr>
          <w:rFonts w:ascii="Times New Roman" w:hAnsi="Times New Roman" w:cs="Times New Roman"/>
          <w:sz w:val="24"/>
          <w:szCs w:val="24"/>
          <w:lang w:val="es-AR"/>
        </w:rPr>
        <w:t>2</w:t>
      </w:r>
      <w:r w:rsidRPr="003B6453">
        <w:rPr>
          <w:rFonts w:ascii="Times New Roman" w:hAnsi="Times New Roman" w:cs="Times New Roman"/>
          <w:sz w:val="24"/>
          <w:szCs w:val="24"/>
          <w:lang w:val="es-AR"/>
        </w:rPr>
        <w:t xml:space="preserve"> presenta un comparativo de salarios promedio mensuales correspondientes a distintos niveles de calificación en ambos sectores para el año 2025. Esta comparación permite visualizar de manera clara una de las principales restricciones estructurales que enfrentan los emprendimientos gastronómicos en regiones con fuerte presencia petrolera, como el Alto Valle</w:t>
      </w:r>
    </w:p>
    <w:p w14:paraId="01CA21FC" w14:textId="7F04EE55" w:rsidR="00BD71D1" w:rsidRPr="003B6453" w:rsidRDefault="00BD71D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noProof/>
          <w:sz w:val="24"/>
          <w:szCs w:val="24"/>
          <w:lang w:val="es-AR" w:eastAsia="es-AR"/>
        </w:rPr>
        <w:drawing>
          <wp:inline distT="0" distB="0" distL="0" distR="0" wp14:anchorId="7B38260A" wp14:editId="17985960">
            <wp:extent cx="5612130" cy="3263265"/>
            <wp:effectExtent l="0" t="0" r="7620" b="0"/>
            <wp:docPr id="171425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5933" name=""/>
                    <pic:cNvPicPr/>
                  </pic:nvPicPr>
                  <pic:blipFill>
                    <a:blip r:embed="rId9"/>
                    <a:stretch>
                      <a:fillRect/>
                    </a:stretch>
                  </pic:blipFill>
                  <pic:spPr>
                    <a:xfrm>
                      <a:off x="0" y="0"/>
                      <a:ext cx="5612130" cy="3263265"/>
                    </a:xfrm>
                    <a:prstGeom prst="rect">
                      <a:avLst/>
                    </a:prstGeom>
                  </pic:spPr>
                </pic:pic>
              </a:graphicData>
            </a:graphic>
          </wp:inline>
        </w:drawing>
      </w:r>
    </w:p>
    <w:p w14:paraId="0D35A119" w14:textId="794212C0" w:rsidR="00A304A5" w:rsidRPr="003B6453" w:rsidRDefault="00A304A5" w:rsidP="003B6453">
      <w:pPr>
        <w:spacing w:line="360" w:lineRule="auto"/>
        <w:jc w:val="center"/>
        <w:rPr>
          <w:rFonts w:ascii="Times New Roman" w:hAnsi="Times New Roman" w:cs="Times New Roman"/>
          <w:sz w:val="24"/>
          <w:szCs w:val="24"/>
          <w:lang w:val="es-AR"/>
        </w:rPr>
      </w:pPr>
      <w:r w:rsidRPr="003B6453">
        <w:rPr>
          <w:rFonts w:ascii="Times New Roman" w:hAnsi="Times New Roman" w:cs="Times New Roman"/>
          <w:sz w:val="24"/>
          <w:szCs w:val="24"/>
          <w:lang w:val="es-AR"/>
        </w:rPr>
        <w:t>Figura 2</w:t>
      </w:r>
    </w:p>
    <w:p w14:paraId="3FA852D3" w14:textId="170BB78B" w:rsidR="00583E57" w:rsidRPr="003B6453" w:rsidRDefault="00EC04F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Tal como se observa en la Figura </w:t>
      </w:r>
      <w:r w:rsidR="00A304A5" w:rsidRPr="003B6453">
        <w:rPr>
          <w:rFonts w:ascii="Times New Roman" w:hAnsi="Times New Roman" w:cs="Times New Roman"/>
          <w:sz w:val="24"/>
          <w:szCs w:val="24"/>
          <w:lang w:val="es-AR"/>
        </w:rPr>
        <w:t>2</w:t>
      </w:r>
      <w:r w:rsidRPr="003B6453">
        <w:rPr>
          <w:rFonts w:ascii="Times New Roman" w:hAnsi="Times New Roman" w:cs="Times New Roman"/>
          <w:sz w:val="24"/>
          <w:szCs w:val="24"/>
          <w:lang w:val="es-AR"/>
        </w:rPr>
        <w:t xml:space="preserve">, existe una brecha salarial significativa entre el sector gastronómico y la industria petrolera, incluso en los niveles iniciales de calificación. Mientras que los salarios en gastronomía oscilan entre aproximadamente $0,8 millones y </w:t>
      </w:r>
      <w:r w:rsidRPr="003B6453">
        <w:rPr>
          <w:rFonts w:ascii="Times New Roman" w:hAnsi="Times New Roman" w:cs="Times New Roman"/>
          <w:sz w:val="24"/>
          <w:szCs w:val="24"/>
          <w:lang w:val="es-AR"/>
        </w:rPr>
        <w:lastRenderedPageBreak/>
        <w:t xml:space="preserve">$1,5 millones mensuales según el nivel y la categoría, los ingresos del sector petrolero parten de valores cercanos a los $3 millones y superan los $3,7 millones en posiciones calificadas. Esta diferencia estructural genera un efecto de desplazamiento de la mano de obra hacia la industria </w:t>
      </w:r>
      <w:proofErr w:type="spellStart"/>
      <w:r w:rsidRPr="003B6453">
        <w:rPr>
          <w:rFonts w:ascii="Times New Roman" w:hAnsi="Times New Roman" w:cs="Times New Roman"/>
          <w:sz w:val="24"/>
          <w:szCs w:val="24"/>
          <w:lang w:val="es-AR"/>
        </w:rPr>
        <w:t>hidrocarburífera</w:t>
      </w:r>
      <w:proofErr w:type="spellEnd"/>
      <w:r w:rsidRPr="003B6453">
        <w:rPr>
          <w:rFonts w:ascii="Times New Roman" w:hAnsi="Times New Roman" w:cs="Times New Roman"/>
          <w:sz w:val="24"/>
          <w:szCs w:val="24"/>
          <w:lang w:val="es-AR"/>
        </w:rPr>
        <w:t>, dificultando la captación y retención de personal en actividades como la gastronomía. En el contexto de una franquicia gastronómica, esta situación impacta directamente en los costos operativos, en la rotación de empleados y en la necesidad de diseñar estrategias de incentivos, capacitación y clima laboral que compensen parcialmente la brecha salarial. En consecuencia, el análisis salarial refuerza la importancia de considerar el contexto regional en la evaluación de la factibilidad económica del proyecto, así como de incorporar estos condicionantes en la planificación financiera y en el diseño del modelo de franquicia.</w:t>
      </w:r>
    </w:p>
    <w:p w14:paraId="784A0FA9" w14:textId="77777777" w:rsidR="00EC04F7" w:rsidRPr="003B6453" w:rsidRDefault="00EC04F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Asimismo, la inestabilidad macroeconómica que caracteriza a la economía argentina, marcada por procesos persistentes de inflación, devaluaciones periódicas del tipo de cambio y restricciones a las importaciones, incide de manera directa sobre la factibilidad económica de cualquier emprendimiento productivo, y en particular sobre aquellos vinculados al sector gastronómico. Estas condiciones generan un entorno de elevada incertidumbre, en el cual los costos operativos tienden a incrementarse de forma sostenida y los márgenes de rentabilidad pueden verse erosionados si no se adoptan mecanismos de gestión adecuados. En este marco, se vuelve imprescindible incorporar márgenes de seguridad en las proyecciones financieras, contemplar escenarios alternativos y diseñar políticas de precios flexibles que permitan trasladar, al menos parcialmente, los incrementos de costos al consumidor final sin perder competitividad ni deteriorar la percepción de valor asociada a la propuesta gourmet.</w:t>
      </w:r>
    </w:p>
    <w:p w14:paraId="6D43AC8C" w14:textId="77777777" w:rsidR="00EC04F7" w:rsidRPr="003B6453" w:rsidRDefault="00EC04F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complejidad del entorno macroeconómico obliga, por lo tanto, a concebir la factibilidad económica como un proceso integral y multidimensional, que excede el cálculo aislado de indicadores financieros. En este sentido, la siguiente tabla sintetiza los principales factores que inciden en la factibilidad económica de una franquicia gastronómica en la región del Alto Valle, integrando dimensiones financieras, de riesgo, de gestión y contextuales, y permitiendo visualizar de manera sistemática los desafíos y condicionantes que enfrenta el proyecto.</w:t>
      </w:r>
    </w:p>
    <w:p w14:paraId="185C5466" w14:textId="77777777" w:rsidR="00A304A5" w:rsidRPr="003B6453" w:rsidRDefault="00A304A5" w:rsidP="003B6453">
      <w:pPr>
        <w:spacing w:line="360" w:lineRule="auto"/>
        <w:jc w:val="both"/>
        <w:rPr>
          <w:rFonts w:ascii="Times New Roman" w:hAnsi="Times New Roman" w:cs="Times New Roman"/>
          <w:sz w:val="24"/>
          <w:szCs w:val="24"/>
          <w:lang w:val="es-AR"/>
        </w:rPr>
      </w:pPr>
    </w:p>
    <w:p w14:paraId="1632252C" w14:textId="77777777" w:rsidR="00A304A5" w:rsidRPr="003B6453" w:rsidRDefault="00A304A5" w:rsidP="003B6453">
      <w:pPr>
        <w:spacing w:line="360" w:lineRule="auto"/>
        <w:jc w:val="both"/>
        <w:rPr>
          <w:rFonts w:ascii="Times New Roman" w:hAnsi="Times New Roman" w:cs="Times New Roman"/>
          <w:sz w:val="24"/>
          <w:szCs w:val="24"/>
          <w:lang w:val="es-AR"/>
        </w:rPr>
      </w:pPr>
    </w:p>
    <w:p w14:paraId="5B1B363D" w14:textId="77777777" w:rsidR="00A304A5" w:rsidRPr="003B6453" w:rsidRDefault="00A304A5" w:rsidP="003B6453">
      <w:pPr>
        <w:spacing w:line="360" w:lineRule="auto"/>
        <w:jc w:val="both"/>
        <w:rPr>
          <w:rFonts w:ascii="Times New Roman" w:hAnsi="Times New Roman" w:cs="Times New Roman"/>
          <w:sz w:val="24"/>
          <w:szCs w:val="24"/>
          <w:lang w:val="es-AR"/>
        </w:rPr>
      </w:pPr>
    </w:p>
    <w:p w14:paraId="1F3B9AB3" w14:textId="77777777" w:rsidR="00A304A5" w:rsidRPr="003B6453" w:rsidRDefault="00A304A5" w:rsidP="003B6453">
      <w:pPr>
        <w:spacing w:line="360" w:lineRule="auto"/>
        <w:jc w:val="both"/>
        <w:rPr>
          <w:rFonts w:ascii="Times New Roman" w:hAnsi="Times New Roman" w:cs="Times New Roman"/>
          <w:sz w:val="24"/>
          <w:szCs w:val="24"/>
          <w:lang w:val="es-AR"/>
        </w:rPr>
      </w:pPr>
    </w:p>
    <w:p w14:paraId="45D77C44" w14:textId="77777777" w:rsidR="00A304A5" w:rsidRPr="003B6453" w:rsidRDefault="00A304A5" w:rsidP="003B6453">
      <w:pPr>
        <w:spacing w:line="360" w:lineRule="auto"/>
        <w:jc w:val="both"/>
        <w:rPr>
          <w:rFonts w:ascii="Times New Roman" w:hAnsi="Times New Roman" w:cs="Times New Roman"/>
          <w:sz w:val="24"/>
          <w:szCs w:val="24"/>
          <w:lang w:val="es-AR"/>
        </w:rPr>
      </w:pPr>
    </w:p>
    <w:p w14:paraId="39A96FF4" w14:textId="78C65F51" w:rsidR="0087793E" w:rsidRPr="003B6453" w:rsidRDefault="0087793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Tabla 2. Factores de factibilidad económica en franquicias gastronómicas (Alto Valle)</w:t>
      </w:r>
    </w:p>
    <w:tbl>
      <w:tblPr>
        <w:tblStyle w:val="GridTable5DarkAccent5"/>
        <w:tblW w:w="0" w:type="auto"/>
        <w:tblLook w:val="04A0" w:firstRow="1" w:lastRow="0" w:firstColumn="1" w:lastColumn="0" w:noHBand="0" w:noVBand="1"/>
      </w:tblPr>
      <w:tblGrid>
        <w:gridCol w:w="1350"/>
        <w:gridCol w:w="3659"/>
        <w:gridCol w:w="4045"/>
      </w:tblGrid>
      <w:tr w:rsidR="0087793E" w:rsidRPr="003B6453" w14:paraId="7E16AD10" w14:textId="77777777" w:rsidTr="00A304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38B9CF" w14:textId="77777777" w:rsidR="0087793E" w:rsidRPr="003B6453" w:rsidRDefault="0087793E"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Dimensión</w:t>
            </w:r>
            <w:proofErr w:type="spellEnd"/>
          </w:p>
        </w:tc>
        <w:tc>
          <w:tcPr>
            <w:tcW w:w="0" w:type="auto"/>
            <w:hideMark/>
          </w:tcPr>
          <w:p w14:paraId="7F3D0FB0" w14:textId="77777777" w:rsidR="0087793E" w:rsidRPr="003B6453" w:rsidRDefault="0087793E"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Factores</w:t>
            </w:r>
            <w:proofErr w:type="spellEnd"/>
            <w:r w:rsidRPr="003B6453">
              <w:rPr>
                <w:rFonts w:ascii="Times New Roman" w:hAnsi="Times New Roman" w:cs="Times New Roman"/>
                <w:sz w:val="24"/>
                <w:szCs w:val="24"/>
              </w:rPr>
              <w:t xml:space="preserve"> clave</w:t>
            </w:r>
          </w:p>
        </w:tc>
        <w:tc>
          <w:tcPr>
            <w:tcW w:w="0" w:type="auto"/>
            <w:hideMark/>
          </w:tcPr>
          <w:p w14:paraId="648FDCCE" w14:textId="77777777" w:rsidR="0087793E" w:rsidRPr="003B6453" w:rsidRDefault="0087793E"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Implicancias</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para</w:t>
            </w:r>
            <w:proofErr w:type="spellEnd"/>
            <w:r w:rsidRPr="003B6453">
              <w:rPr>
                <w:rFonts w:ascii="Times New Roman" w:hAnsi="Times New Roman" w:cs="Times New Roman"/>
                <w:sz w:val="24"/>
                <w:szCs w:val="24"/>
              </w:rPr>
              <w:t xml:space="preserve"> el </w:t>
            </w:r>
            <w:proofErr w:type="spellStart"/>
            <w:r w:rsidRPr="003B6453">
              <w:rPr>
                <w:rFonts w:ascii="Times New Roman" w:hAnsi="Times New Roman" w:cs="Times New Roman"/>
                <w:sz w:val="24"/>
                <w:szCs w:val="24"/>
              </w:rPr>
              <w:t>proyecto</w:t>
            </w:r>
            <w:proofErr w:type="spellEnd"/>
          </w:p>
        </w:tc>
      </w:tr>
      <w:tr w:rsidR="0087793E" w:rsidRPr="003B6453" w14:paraId="141D680C" w14:textId="77777777" w:rsidTr="00A30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FA4409"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Financiera</w:t>
            </w:r>
            <w:proofErr w:type="spellEnd"/>
          </w:p>
        </w:tc>
        <w:tc>
          <w:tcPr>
            <w:tcW w:w="0" w:type="auto"/>
            <w:hideMark/>
          </w:tcPr>
          <w:p w14:paraId="0A10E59D"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VAN, TIR y Payback</w:t>
            </w:r>
          </w:p>
        </w:tc>
        <w:tc>
          <w:tcPr>
            <w:tcW w:w="0" w:type="auto"/>
            <w:hideMark/>
          </w:tcPr>
          <w:p w14:paraId="4545716E"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Medir rentabilidad y recuperar inversión en plazos razonables.</w:t>
            </w:r>
          </w:p>
        </w:tc>
      </w:tr>
      <w:tr w:rsidR="0087793E" w:rsidRPr="003B6453" w14:paraId="272D56E5" w14:textId="77777777" w:rsidTr="00A304A5">
        <w:tc>
          <w:tcPr>
            <w:cnfStyle w:val="001000000000" w:firstRow="0" w:lastRow="0" w:firstColumn="1" w:lastColumn="0" w:oddVBand="0" w:evenVBand="0" w:oddHBand="0" w:evenHBand="0" w:firstRowFirstColumn="0" w:firstRowLastColumn="0" w:lastRowFirstColumn="0" w:lastRowLastColumn="0"/>
            <w:tcW w:w="0" w:type="auto"/>
            <w:hideMark/>
          </w:tcPr>
          <w:p w14:paraId="472D5B17"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Riesgo</w:t>
            </w:r>
            <w:proofErr w:type="spellEnd"/>
          </w:p>
        </w:tc>
        <w:tc>
          <w:tcPr>
            <w:tcW w:w="0" w:type="auto"/>
            <w:hideMark/>
          </w:tcPr>
          <w:p w14:paraId="320C6D2E"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Inflación, tipo de cambio, costos logísticos</w:t>
            </w:r>
          </w:p>
        </w:tc>
        <w:tc>
          <w:tcPr>
            <w:tcW w:w="0" w:type="auto"/>
            <w:hideMark/>
          </w:tcPr>
          <w:p w14:paraId="21C53FCD"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Realizar escenarios alternativos y análisis de sensibilidad.</w:t>
            </w:r>
          </w:p>
        </w:tc>
      </w:tr>
      <w:tr w:rsidR="0087793E" w:rsidRPr="003B6453" w14:paraId="358EB533" w14:textId="77777777" w:rsidTr="00A304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6B443E"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Gestión</w:t>
            </w:r>
            <w:proofErr w:type="spellEnd"/>
          </w:p>
        </w:tc>
        <w:tc>
          <w:tcPr>
            <w:tcW w:w="0" w:type="auto"/>
            <w:hideMark/>
          </w:tcPr>
          <w:p w14:paraId="5B25C913"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 xml:space="preserve">Balanced Scorecard, KPI (ticket </w:t>
            </w:r>
            <w:proofErr w:type="spellStart"/>
            <w:r w:rsidRPr="003B6453">
              <w:rPr>
                <w:rFonts w:ascii="Times New Roman" w:hAnsi="Times New Roman" w:cs="Times New Roman"/>
                <w:sz w:val="24"/>
                <w:szCs w:val="24"/>
              </w:rPr>
              <w:t>promedio</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recompra</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satisfacción</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cliente</w:t>
            </w:r>
            <w:proofErr w:type="spellEnd"/>
            <w:r w:rsidRPr="003B6453">
              <w:rPr>
                <w:rFonts w:ascii="Times New Roman" w:hAnsi="Times New Roman" w:cs="Times New Roman"/>
                <w:sz w:val="24"/>
                <w:szCs w:val="24"/>
              </w:rPr>
              <w:t>)</w:t>
            </w:r>
          </w:p>
        </w:tc>
        <w:tc>
          <w:tcPr>
            <w:tcW w:w="0" w:type="auto"/>
            <w:hideMark/>
          </w:tcPr>
          <w:p w14:paraId="539FD3D7"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Integrar visión financiera con desempeño operativo y de clientes.</w:t>
            </w:r>
          </w:p>
        </w:tc>
      </w:tr>
      <w:tr w:rsidR="0087793E" w:rsidRPr="003B6453" w14:paraId="421899F8" w14:textId="77777777" w:rsidTr="00A304A5">
        <w:tc>
          <w:tcPr>
            <w:cnfStyle w:val="001000000000" w:firstRow="0" w:lastRow="0" w:firstColumn="1" w:lastColumn="0" w:oddVBand="0" w:evenVBand="0" w:oddHBand="0" w:evenHBand="0" w:firstRowFirstColumn="0" w:firstRowLastColumn="0" w:lastRowFirstColumn="0" w:lastRowLastColumn="0"/>
            <w:tcW w:w="0" w:type="auto"/>
            <w:hideMark/>
          </w:tcPr>
          <w:p w14:paraId="3ECA340D" w14:textId="77777777" w:rsidR="0087793E" w:rsidRPr="003B6453" w:rsidRDefault="0087793E"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Contextual</w:t>
            </w:r>
          </w:p>
        </w:tc>
        <w:tc>
          <w:tcPr>
            <w:tcW w:w="0" w:type="auto"/>
            <w:hideMark/>
          </w:tcPr>
          <w:p w14:paraId="6E3BBE59"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Competencia laboral del sector petrolero, distancia a proveedores, normativa local</w:t>
            </w:r>
          </w:p>
        </w:tc>
        <w:tc>
          <w:tcPr>
            <w:tcW w:w="0" w:type="auto"/>
            <w:hideMark/>
          </w:tcPr>
          <w:p w14:paraId="05023E31"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Diseñar políticas de RR.HH. atractivas, acuerdos regionales y estrategias de precios flexibles.</w:t>
            </w:r>
          </w:p>
        </w:tc>
      </w:tr>
    </w:tbl>
    <w:p w14:paraId="44D79377" w14:textId="77777777" w:rsidR="0087793E" w:rsidRPr="003B6453" w:rsidRDefault="0087793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w:t>
      </w:r>
      <w:proofErr w:type="spellStart"/>
      <w:r w:rsidRPr="003B6453">
        <w:rPr>
          <w:rFonts w:ascii="Times New Roman" w:hAnsi="Times New Roman" w:cs="Times New Roman"/>
          <w:sz w:val="24"/>
          <w:szCs w:val="24"/>
          <w:lang w:val="es-AR"/>
        </w:rPr>
        <w:t>Brealey</w:t>
      </w:r>
      <w:proofErr w:type="spellEnd"/>
      <w:r w:rsidRPr="003B6453">
        <w:rPr>
          <w:rFonts w:ascii="Times New Roman" w:hAnsi="Times New Roman" w:cs="Times New Roman"/>
          <w:sz w:val="24"/>
          <w:szCs w:val="24"/>
          <w:lang w:val="es-AR"/>
        </w:rPr>
        <w:t xml:space="preserve"> &amp; Myers (2013), </w:t>
      </w:r>
      <w:proofErr w:type="spellStart"/>
      <w:r w:rsidRPr="003B6453">
        <w:rPr>
          <w:rFonts w:ascii="Times New Roman" w:hAnsi="Times New Roman" w:cs="Times New Roman"/>
          <w:sz w:val="24"/>
          <w:szCs w:val="24"/>
          <w:lang w:val="es-AR"/>
        </w:rPr>
        <w:t>Damodaran</w:t>
      </w:r>
      <w:proofErr w:type="spellEnd"/>
      <w:r w:rsidRPr="003B6453">
        <w:rPr>
          <w:rFonts w:ascii="Times New Roman" w:hAnsi="Times New Roman" w:cs="Times New Roman"/>
          <w:sz w:val="24"/>
          <w:szCs w:val="24"/>
          <w:lang w:val="es-AR"/>
        </w:rPr>
        <w:t xml:space="preserve"> (2012), Kaplan &amp; Norton (1992), </w:t>
      </w:r>
      <w:proofErr w:type="spellStart"/>
      <w:r w:rsidRPr="003B6453">
        <w:rPr>
          <w:rFonts w:ascii="Times New Roman" w:hAnsi="Times New Roman" w:cs="Times New Roman"/>
          <w:sz w:val="24"/>
          <w:szCs w:val="24"/>
          <w:lang w:val="es-AR"/>
        </w:rPr>
        <w:t>Marr</w:t>
      </w:r>
      <w:proofErr w:type="spellEnd"/>
      <w:r w:rsidRPr="003B6453">
        <w:rPr>
          <w:rFonts w:ascii="Times New Roman" w:hAnsi="Times New Roman" w:cs="Times New Roman"/>
          <w:sz w:val="24"/>
          <w:szCs w:val="24"/>
          <w:lang w:val="es-AR"/>
        </w:rPr>
        <w:t xml:space="preserve"> (2012).</w:t>
      </w:r>
    </w:p>
    <w:p w14:paraId="216FEA10" w14:textId="76C7042F" w:rsidR="00EC04F7" w:rsidRPr="003B6453" w:rsidRDefault="00EC04F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Tal como se desprende de la Tabla 2, la factibilidad económica de una franquicia gastronómica no depende exclusivamente de la obtención de indicadores financieros positivos, sino de la capacidad de articular dichos resultados con una adecuada gestión del riesgo, un sistema de control de desempeño y una comprensión profunda del contexto en el que opera el negocio. Los indicadores financieros tradicionales permiten evaluar la conveniencia económica del proyecto, pero deben complementarse con herramientas que faciliten el monitoreo continuo de variables críticas y la toma de decisiones correctivas en tiempo oportuno.</w:t>
      </w:r>
    </w:p>
    <w:p w14:paraId="5D7318F7" w14:textId="77777777" w:rsidR="00EC04F7" w:rsidRPr="003B6453" w:rsidRDefault="00EC04F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Asimismo, la dimensión contextual adquiere una relevancia particular en el Alto Valle, donde la competencia por la mano de obra con el sector petrolero, la distancia respecto de los principales centros de abastecimiento y las regulaciones locales influyen de manera significativa en la estructura de costos y en la operatividad diaria de la franquicia. En este escenario, la adopción de estrategias de recursos humanos orientadas a la retención del personal, el desarrollo de acuerdos con proveedores regionales y la implementación de políticas de precios dinámicas se convierten en factores determinantes para sostener la rentabilidad del negocio en el tiempo.</w:t>
      </w:r>
    </w:p>
    <w:p w14:paraId="6812833D" w14:textId="2409C95E" w:rsidR="00F94EC8" w:rsidRPr="003B6453" w:rsidRDefault="00EC04F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síntesis, la factibilidad económica de una franquicia de medialunas gourmet en el Alto Valle no puede evaluarse únicamente a partir de modelos financieros tradicionales. Requiere una mirada integral que combine análisis financiero, indicadores de gestión, evaluación sistemática de riesgos y una comprensión profunda del contexto regional. Solo a través de este enfoque multidimensional puede garantizarse que la propuesta sea sustentable en el tiempo, atractiva para los inversores y adaptable a las condiciones dinámicas y cambiantes del mercado patagónico.</w:t>
      </w:r>
    </w:p>
    <w:p w14:paraId="59677456" w14:textId="6E1AE719" w:rsidR="00F94EC8" w:rsidRPr="003B6453" w:rsidRDefault="00F94EC8" w:rsidP="003B6453">
      <w:pPr>
        <w:pStyle w:val="Ttulo2"/>
        <w:spacing w:line="360" w:lineRule="auto"/>
        <w:jc w:val="both"/>
        <w:rPr>
          <w:rFonts w:ascii="Times New Roman" w:eastAsiaTheme="minorHAnsi" w:hAnsi="Times New Roman" w:cs="Times New Roman"/>
          <w:sz w:val="24"/>
          <w:szCs w:val="24"/>
          <w:lang w:val="es-AR"/>
        </w:rPr>
      </w:pPr>
      <w:bookmarkStart w:id="5" w:name="_Toc228546572"/>
      <w:r w:rsidRPr="003B6453">
        <w:rPr>
          <w:rFonts w:ascii="Times New Roman" w:eastAsiaTheme="minorHAnsi" w:hAnsi="Times New Roman" w:cs="Times New Roman"/>
          <w:sz w:val="24"/>
          <w:szCs w:val="24"/>
          <w:lang w:val="es-AR"/>
        </w:rPr>
        <w:t>1</w:t>
      </w:r>
      <w:r w:rsidRPr="003B6453">
        <w:rPr>
          <w:rFonts w:ascii="Times New Roman" w:eastAsiaTheme="minorHAnsi" w:hAnsi="Times New Roman" w:cs="Times New Roman"/>
          <w:color w:val="FF0000"/>
          <w:sz w:val="24"/>
          <w:szCs w:val="24"/>
          <w:lang w:val="es-AR"/>
        </w:rPr>
        <w:t>.</w:t>
      </w:r>
      <w:r w:rsidRPr="003B6453">
        <w:rPr>
          <w:rFonts w:ascii="Times New Roman" w:eastAsiaTheme="minorHAnsi" w:hAnsi="Times New Roman" w:cs="Times New Roman"/>
          <w:sz w:val="24"/>
          <w:szCs w:val="24"/>
          <w:lang w:val="es-AR"/>
        </w:rPr>
        <w:t>3 Comportamiento del consumidor gastronómico</w:t>
      </w:r>
      <w:bookmarkEnd w:id="5"/>
      <w:r w:rsidR="00EC04F7" w:rsidRPr="003B6453">
        <w:rPr>
          <w:rFonts w:ascii="Times New Roman" w:eastAsiaTheme="minorHAnsi" w:hAnsi="Times New Roman" w:cs="Times New Roman"/>
          <w:color w:val="FF0000"/>
          <w:sz w:val="24"/>
          <w:szCs w:val="24"/>
          <w:lang w:val="es-AR"/>
        </w:rPr>
        <w:t xml:space="preserve">  </w:t>
      </w:r>
    </w:p>
    <w:p w14:paraId="654300C9" w14:textId="42B74C45" w:rsidR="00297CBC" w:rsidRPr="003B6453" w:rsidRDefault="00297CBC"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comportamiento del consumidor en el ámbito gastronómico constituye un fenómeno complejo y multidimensional, en el que interactúan factores individuales, sociales, culturales y contextuales.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 sostienen que los consumidores no adquieren únicamente productos en sentido estricto, sino experiencias integrales, que incluyen la calidad sensorial del alimento, la estética de la presentación, la ambientación del local, la interacción con el personal y la relación simbólica que se establece con la marca. Desde esta perspectiva, la decisión de consumo gastronómico no se limita a la satisfacción de una necesidad fisiológica, sino que involucra dimensiones emocionales y simbólicas que influyen de manera decisiva en la percepción de valor. Solomon (2018) refuerza este enfoque al señalar que las decisiones de consumo funcionan como actos simbólicos, a través de los cuales los individuos expresan identidad, pertenencia social y estilo de vida. En el ámbito gastronómico, estas elecciones permiten comunicar preferencias culturales y valores asociados al disfrute, la sofisticación o la búsqueda de experiencias diferenciadas.</w:t>
      </w:r>
    </w:p>
    <w:p w14:paraId="568207D8" w14:textId="3D70C063" w:rsidR="00297CBC" w:rsidRPr="003B6453" w:rsidRDefault="00297CBC"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En el caso específico de la gastronomía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el consumidor persigue una experiencia claramente diferenciada respecto de la oferta tradicional. En este segmento, la </w:t>
      </w:r>
      <w:r w:rsidR="007C16BC" w:rsidRPr="003B6453">
        <w:rPr>
          <w:rFonts w:ascii="Times New Roman" w:hAnsi="Times New Roman" w:cs="Times New Roman"/>
          <w:sz w:val="24"/>
          <w:szCs w:val="24"/>
          <w:lang w:val="es-AR"/>
        </w:rPr>
        <w:t>indulgencia y</w:t>
      </w:r>
      <w:r w:rsidRPr="003B6453">
        <w:rPr>
          <w:rFonts w:ascii="Times New Roman" w:hAnsi="Times New Roman" w:cs="Times New Roman"/>
          <w:sz w:val="24"/>
          <w:szCs w:val="24"/>
          <w:lang w:val="es-AR"/>
        </w:rPr>
        <w:t xml:space="preserve"> el disfrute se combinan con atributos como la autenticidad, la artesanía, la innovación y la coherencia estética de la propuesta. Schmitt (1999) introdujo el concepto de marketing experiencial para describir cómo las empresas generan valor a partir de la estimulación de los sentidos, las emociones y la construcción de vínculos simbólicos con los consumidores. Este enfoque resulta especialmente pertinente en el análisis de productos gourmet, donde la experiencia trasciende el producto físico y se extiende al entorno, la narrativa de marca y la interacción emocional con el cliente. A su vez, </w:t>
      </w:r>
      <w:proofErr w:type="spellStart"/>
      <w:r w:rsidRPr="003B6453">
        <w:rPr>
          <w:rFonts w:ascii="Times New Roman" w:hAnsi="Times New Roman" w:cs="Times New Roman"/>
          <w:sz w:val="24"/>
          <w:szCs w:val="24"/>
          <w:lang w:val="es-AR"/>
        </w:rPr>
        <w:t>Lindstrom</w:t>
      </w:r>
      <w:proofErr w:type="spellEnd"/>
      <w:r w:rsidRPr="003B6453">
        <w:rPr>
          <w:rFonts w:ascii="Times New Roman" w:hAnsi="Times New Roman" w:cs="Times New Roman"/>
          <w:sz w:val="24"/>
          <w:szCs w:val="24"/>
          <w:lang w:val="es-AR"/>
        </w:rPr>
        <w:t xml:space="preserve"> (2008), desde el campo del </w:t>
      </w:r>
      <w:proofErr w:type="spellStart"/>
      <w:r w:rsidRPr="003B6453">
        <w:rPr>
          <w:rFonts w:ascii="Times New Roman" w:hAnsi="Times New Roman" w:cs="Times New Roman"/>
          <w:sz w:val="24"/>
          <w:szCs w:val="24"/>
          <w:lang w:val="es-AR"/>
        </w:rPr>
        <w:t>neuromarketing</w:t>
      </w:r>
      <w:proofErr w:type="spellEnd"/>
      <w:r w:rsidRPr="003B6453">
        <w:rPr>
          <w:rFonts w:ascii="Times New Roman" w:hAnsi="Times New Roman" w:cs="Times New Roman"/>
          <w:sz w:val="24"/>
          <w:szCs w:val="24"/>
          <w:lang w:val="es-AR"/>
        </w:rPr>
        <w:t xml:space="preserve">, demostró que los estímulos sensoriales —visuales, olfativos y narrativos— tienen un impacto directo en la activación cerebral y en la toma de decisiones de compra. En este sentido, el consumidor de medialunas gourmet no evalúa únicamente el sabor del producto, sino también el aroma del horneado reciente, la textura de la masa, la estética del glaseado, la presentación en vitrina y la coherencia visual del </w:t>
      </w:r>
      <w:proofErr w:type="spellStart"/>
      <w:r w:rsidRPr="003B6453">
        <w:rPr>
          <w:rFonts w:ascii="Times New Roman" w:hAnsi="Times New Roman" w:cs="Times New Roman"/>
          <w:sz w:val="24"/>
          <w:szCs w:val="24"/>
          <w:lang w:val="es-AR"/>
        </w:rPr>
        <w:t>packaging</w:t>
      </w:r>
      <w:proofErr w:type="spellEnd"/>
      <w:r w:rsidRPr="003B6453">
        <w:rPr>
          <w:rFonts w:ascii="Times New Roman" w:hAnsi="Times New Roman" w:cs="Times New Roman"/>
          <w:sz w:val="24"/>
          <w:szCs w:val="24"/>
          <w:lang w:val="es-AR"/>
        </w:rPr>
        <w:t>, elementos que en conjunto configuran la experiencia de consumo.</w:t>
      </w:r>
    </w:p>
    <w:p w14:paraId="55C217BD" w14:textId="77777777" w:rsidR="00297CBC" w:rsidRPr="003B6453" w:rsidRDefault="00297CBC"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Las teorías clásicas del comportamiento del consumidor también aportan claves interpretativas relevantes para comprender estas dinámicas. La Teoría de la Acción Razonada (</w:t>
      </w:r>
      <w:proofErr w:type="spellStart"/>
      <w:r w:rsidRPr="003B6453">
        <w:rPr>
          <w:rFonts w:ascii="Times New Roman" w:hAnsi="Times New Roman" w:cs="Times New Roman"/>
          <w:sz w:val="24"/>
          <w:szCs w:val="24"/>
          <w:lang w:val="es-AR"/>
        </w:rPr>
        <w:t>Fishbein</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Ajzen</w:t>
      </w:r>
      <w:proofErr w:type="spellEnd"/>
      <w:r w:rsidRPr="003B6453">
        <w:rPr>
          <w:rFonts w:ascii="Times New Roman" w:hAnsi="Times New Roman" w:cs="Times New Roman"/>
          <w:sz w:val="24"/>
          <w:szCs w:val="24"/>
          <w:lang w:val="es-AR"/>
        </w:rPr>
        <w:t xml:space="preserve">, 1975) plantea que la intención de compra está determinada por la actitud individual hacia el producto y por la influencia social percibida. Aplicada al ámbito gastronómico, esta teoría sugiere que los consumidores eligen en función de su valoración personal —placer esperado, calidad percibida, precio—, pero también en función de las normas sociales y de lo que consideran socialmente valorado por su entorno. En la actualidad, esta influencia se ve amplificada por las redes sociales, donde la validación del grupo, las recomendaciones y las imágenes compartidas influyen de manera significativa en las decisiones de consumo. Por otra parte, la Teoría de la Utilidad Esperada (Von Neumann &amp; </w:t>
      </w:r>
      <w:proofErr w:type="spellStart"/>
      <w:r w:rsidRPr="003B6453">
        <w:rPr>
          <w:rFonts w:ascii="Times New Roman" w:hAnsi="Times New Roman" w:cs="Times New Roman"/>
          <w:sz w:val="24"/>
          <w:szCs w:val="24"/>
          <w:lang w:val="es-AR"/>
        </w:rPr>
        <w:t>Morgenstern</w:t>
      </w:r>
      <w:proofErr w:type="spellEnd"/>
      <w:r w:rsidRPr="003B6453">
        <w:rPr>
          <w:rFonts w:ascii="Times New Roman" w:hAnsi="Times New Roman" w:cs="Times New Roman"/>
          <w:sz w:val="24"/>
          <w:szCs w:val="24"/>
          <w:lang w:val="es-AR"/>
        </w:rPr>
        <w:t xml:space="preserve">, 1944) sostiene que el consumidor evalúa cada alternativa según el beneficio que espera obtener, ponderado por la probabilidad de que dicho beneficio se concrete. En el caso de una franquicia de medialunas gourmet, esta lógica implica que los consumidores consideran atributos como la indulgencia del sabor, la exclusividad del producto, la reputación de la marca y la confianza en la estandarización </w:t>
      </w:r>
      <w:r w:rsidRPr="003B6453">
        <w:rPr>
          <w:rFonts w:ascii="Times New Roman" w:hAnsi="Times New Roman" w:cs="Times New Roman"/>
          <w:sz w:val="24"/>
          <w:szCs w:val="24"/>
          <w:lang w:val="es-AR"/>
        </w:rPr>
        <w:lastRenderedPageBreak/>
        <w:t>del proceso productivo, elementos que reducen la percepción de riesgo y fortalecen la intención de compra.</w:t>
      </w:r>
    </w:p>
    <w:p w14:paraId="1C34AE10" w14:textId="77777777" w:rsidR="00297CBC" w:rsidRPr="003B6453" w:rsidRDefault="00297CBC"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Un aspecto particularmente relevante en el consumo de medialunas es su dimensión temporal. A diferencia de otros productos de panificación que pueden consumirse en diversos momentos del día, las medialunas presentan picos de demanda claramente definidos en determinadas franjas horarias y días específicos. Los estudios de mercado realizados para este proyecto (ver Capítulo 4) confirman que la mayor parte del consumo se concentra durante las mañanas, asociada a desayunos y pausas laborales, y durante las tardes como parte de la merienda. Durante los fines de semana, el consumo se intensifica en los desayunos familiares y en encuentros sociales, mientras que en los días hábiles predomina un consumo más individual, frecuentemente vinculado a ámbitos laborales u oficinas. Esta temporalidad del consumo tiene implicancias directas para la organización operativa del negocio, la planificación de la producción, la gestión de personal y la estrategia comercial, reforzando la necesidad de adaptar el modelo de franquicia a los patrones reales de comportamiento del consumidor.</w:t>
      </w:r>
    </w:p>
    <w:p w14:paraId="08872249" w14:textId="50AA610E" w:rsidR="00297CBC" w:rsidRPr="003B6453" w:rsidRDefault="00297CBC"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 fin de sintetizar los principales factores que intervienen en el comportamiento del consumidor en el ámbito de la gastronomía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la Figura </w:t>
      </w:r>
      <w:r w:rsidR="009B7B70" w:rsidRPr="003B6453">
        <w:rPr>
          <w:rFonts w:ascii="Times New Roman" w:hAnsi="Times New Roman" w:cs="Times New Roman"/>
          <w:sz w:val="24"/>
          <w:szCs w:val="24"/>
          <w:lang w:val="es-AR"/>
        </w:rPr>
        <w:t>3</w:t>
      </w:r>
      <w:r w:rsidRPr="003B6453">
        <w:rPr>
          <w:rFonts w:ascii="Times New Roman" w:hAnsi="Times New Roman" w:cs="Times New Roman"/>
          <w:sz w:val="24"/>
          <w:szCs w:val="24"/>
          <w:lang w:val="es-AR"/>
        </w:rPr>
        <w:t xml:space="preserve"> presenta un esquema conceptual que integra las dimensiones más relevantes identificadas en la literatura especializada. Esta representación permite visualizar de manera clara cómo la experiencia diferenciada, la calidad sensorial, la influencia social y la temporalidad del consumo interactúan en la construcción del valor percibido por el consumidor.</w:t>
      </w:r>
    </w:p>
    <w:p w14:paraId="087EE7B9" w14:textId="7EE116CD" w:rsidR="00683DAE" w:rsidRPr="003B6453" w:rsidRDefault="00683DA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noProof/>
          <w:sz w:val="24"/>
          <w:szCs w:val="24"/>
          <w:lang w:val="es-AR" w:eastAsia="es-AR"/>
        </w:rPr>
        <w:lastRenderedPageBreak/>
        <w:drawing>
          <wp:inline distT="0" distB="0" distL="0" distR="0" wp14:anchorId="3B9FB05A" wp14:editId="27E25C34">
            <wp:extent cx="5612130" cy="4058285"/>
            <wp:effectExtent l="0" t="0" r="7620" b="0"/>
            <wp:docPr id="1941409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09633" name=""/>
                    <pic:cNvPicPr/>
                  </pic:nvPicPr>
                  <pic:blipFill>
                    <a:blip r:embed="rId10"/>
                    <a:stretch>
                      <a:fillRect/>
                    </a:stretch>
                  </pic:blipFill>
                  <pic:spPr>
                    <a:xfrm>
                      <a:off x="0" y="0"/>
                      <a:ext cx="5612130" cy="4058285"/>
                    </a:xfrm>
                    <a:prstGeom prst="rect">
                      <a:avLst/>
                    </a:prstGeom>
                  </pic:spPr>
                </pic:pic>
              </a:graphicData>
            </a:graphic>
          </wp:inline>
        </w:drawing>
      </w:r>
    </w:p>
    <w:p w14:paraId="5F1E369B" w14:textId="3DFA826C" w:rsidR="009B7B70" w:rsidRPr="003B6453" w:rsidRDefault="009B7B7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Figura 3</w:t>
      </w:r>
      <w:r w:rsidR="003B6453">
        <w:rPr>
          <w:rFonts w:ascii="Times New Roman" w:hAnsi="Times New Roman" w:cs="Times New Roman"/>
          <w:sz w:val="24"/>
          <w:szCs w:val="24"/>
          <w:lang w:val="es-AR"/>
        </w:rPr>
        <w:t>:</w:t>
      </w:r>
      <w:r w:rsidR="003B6453" w:rsidRPr="003B6453">
        <w:rPr>
          <w:lang w:val="es-AR"/>
        </w:rPr>
        <w:t xml:space="preserve"> </w:t>
      </w:r>
      <w:r w:rsidR="003B6453" w:rsidRPr="003B6453">
        <w:rPr>
          <w:rFonts w:ascii="Times New Roman" w:hAnsi="Times New Roman" w:cs="Times New Roman"/>
          <w:sz w:val="24"/>
          <w:szCs w:val="24"/>
          <w:lang w:val="es-AR"/>
        </w:rPr>
        <w:t>Fuente: Elaboración propia (2025).</w:t>
      </w:r>
    </w:p>
    <w:p w14:paraId="46389C28" w14:textId="4500FFFD" w:rsidR="00683DAE" w:rsidRPr="003B6453" w:rsidRDefault="00297CBC"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Tal como se observa en la Figura</w:t>
      </w:r>
      <w:r w:rsidR="009B7B70" w:rsidRPr="003B6453">
        <w:rPr>
          <w:rFonts w:ascii="Times New Roman" w:hAnsi="Times New Roman" w:cs="Times New Roman"/>
          <w:sz w:val="24"/>
          <w:szCs w:val="24"/>
          <w:lang w:val="es-AR"/>
        </w:rPr>
        <w:t xml:space="preserve"> 3</w:t>
      </w:r>
      <w:r w:rsidRPr="003B6453">
        <w:rPr>
          <w:rFonts w:ascii="Times New Roman" w:hAnsi="Times New Roman" w:cs="Times New Roman"/>
          <w:sz w:val="24"/>
          <w:szCs w:val="24"/>
          <w:lang w:val="es-AR"/>
        </w:rPr>
        <w:t xml:space="preserve">, el comportamiento del consumidor en gastronomía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se estructura a partir de múltiples dimensiones que actúan de manera simultánea. La experiencia diferenciada remite a la capacidad de la propuesta gastronómica para ofrecer un disfrute que trasciende el producto físico, incorporando elementos emocionales y simbólicos. La calidad sensorial refiere a la evaluación integral del alimento a través del gusto, el aroma, la textura y la presentación, aspectos fundamentales en productos gourmet como las medialunas artesanales. La influencia social destaca el rol de las normas sociales, la validación del entorno y la visibilidad en redes sociales en la formación de preferencias y decisiones de consumo. Finalmente, la temporalidad del consumo subraya la importancia del momento y del contexto en el que se produce la experiencia gastronómica, evidenciando que la demanda no es homogénea, sino que se concentra en franjas horarias y situaciones específicas. La integración de estas dimensiones refuerza la necesidad de diseñar un modelo de franquicia que contemple de manera coherente todos estos factores para sostener un posicionamiento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consistente.</w:t>
      </w:r>
    </w:p>
    <w:p w14:paraId="3FA09CD2" w14:textId="77777777" w:rsidR="00870145" w:rsidRPr="003B6453" w:rsidRDefault="0087014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A fin de sistematizar los patrones temporales de consumo identificados en la región del Alto Valle, la Tabla 3 sintetiza la relación entre los distintos momentos del día, los días de mayor demanda y las características predominantes del consumo de medialunas. Esta clasificación permite visualizar cómo la temporalidad incide en la forma de consumo, el contexto en el que se produce y el tipo de experiencia gastronómica asociada al producto.</w:t>
      </w:r>
    </w:p>
    <w:p w14:paraId="2E33C9F9" w14:textId="77777777" w:rsidR="009B7B70" w:rsidRPr="003B6453" w:rsidRDefault="009B7B70" w:rsidP="003B6453">
      <w:pPr>
        <w:spacing w:line="360" w:lineRule="auto"/>
        <w:jc w:val="both"/>
        <w:rPr>
          <w:rFonts w:ascii="Times New Roman" w:hAnsi="Times New Roman" w:cs="Times New Roman"/>
          <w:sz w:val="24"/>
          <w:szCs w:val="24"/>
          <w:lang w:val="es-AR"/>
        </w:rPr>
      </w:pPr>
    </w:p>
    <w:p w14:paraId="6556A267" w14:textId="77777777" w:rsidR="009B7B70" w:rsidRPr="003B6453" w:rsidRDefault="009B7B70" w:rsidP="003B6453">
      <w:pPr>
        <w:spacing w:line="360" w:lineRule="auto"/>
        <w:jc w:val="both"/>
        <w:rPr>
          <w:rFonts w:ascii="Times New Roman" w:hAnsi="Times New Roman" w:cs="Times New Roman"/>
          <w:sz w:val="24"/>
          <w:szCs w:val="24"/>
          <w:lang w:val="es-AR"/>
        </w:rPr>
      </w:pPr>
    </w:p>
    <w:p w14:paraId="0FC63F21" w14:textId="77777777" w:rsidR="009B7B70" w:rsidRPr="003B6453" w:rsidRDefault="009B7B70" w:rsidP="003B6453">
      <w:pPr>
        <w:spacing w:line="360" w:lineRule="auto"/>
        <w:jc w:val="both"/>
        <w:rPr>
          <w:rFonts w:ascii="Times New Roman" w:hAnsi="Times New Roman" w:cs="Times New Roman"/>
          <w:sz w:val="24"/>
          <w:szCs w:val="24"/>
          <w:lang w:val="es-AR"/>
        </w:rPr>
      </w:pPr>
    </w:p>
    <w:p w14:paraId="5032C343" w14:textId="77777777" w:rsidR="009B7B70" w:rsidRPr="003B6453" w:rsidRDefault="009B7B70" w:rsidP="003B6453">
      <w:pPr>
        <w:spacing w:line="360" w:lineRule="auto"/>
        <w:jc w:val="both"/>
        <w:rPr>
          <w:rFonts w:ascii="Times New Roman" w:hAnsi="Times New Roman" w:cs="Times New Roman"/>
          <w:sz w:val="24"/>
          <w:szCs w:val="24"/>
          <w:lang w:val="es-AR"/>
        </w:rPr>
      </w:pPr>
    </w:p>
    <w:p w14:paraId="48E6102C" w14:textId="77777777" w:rsidR="009B7B70" w:rsidRPr="003B6453" w:rsidRDefault="009B7B70" w:rsidP="003B6453">
      <w:pPr>
        <w:spacing w:line="360" w:lineRule="auto"/>
        <w:jc w:val="both"/>
        <w:rPr>
          <w:rFonts w:ascii="Times New Roman" w:hAnsi="Times New Roman" w:cs="Times New Roman"/>
          <w:sz w:val="24"/>
          <w:szCs w:val="24"/>
          <w:lang w:val="es-AR"/>
        </w:rPr>
      </w:pPr>
    </w:p>
    <w:p w14:paraId="5C9734C0" w14:textId="77777777" w:rsidR="009B7B70" w:rsidRPr="003B6453" w:rsidRDefault="009B7B70" w:rsidP="003B6453">
      <w:pPr>
        <w:spacing w:line="360" w:lineRule="auto"/>
        <w:jc w:val="both"/>
        <w:rPr>
          <w:rFonts w:ascii="Times New Roman" w:hAnsi="Times New Roman" w:cs="Times New Roman"/>
          <w:sz w:val="24"/>
          <w:szCs w:val="24"/>
          <w:lang w:val="es-AR"/>
        </w:rPr>
      </w:pPr>
    </w:p>
    <w:p w14:paraId="4A4AE33F" w14:textId="77777777" w:rsidR="009B7B70" w:rsidRPr="003B6453" w:rsidRDefault="009B7B70" w:rsidP="003B6453">
      <w:pPr>
        <w:spacing w:line="360" w:lineRule="auto"/>
        <w:jc w:val="both"/>
        <w:rPr>
          <w:rFonts w:ascii="Times New Roman" w:hAnsi="Times New Roman" w:cs="Times New Roman"/>
          <w:sz w:val="24"/>
          <w:szCs w:val="24"/>
          <w:lang w:val="es-AR"/>
        </w:rPr>
      </w:pPr>
    </w:p>
    <w:p w14:paraId="3DBA8192" w14:textId="77777777" w:rsidR="009B7B70" w:rsidRPr="003B6453" w:rsidRDefault="009B7B70" w:rsidP="003B6453">
      <w:pPr>
        <w:spacing w:line="360" w:lineRule="auto"/>
        <w:jc w:val="both"/>
        <w:rPr>
          <w:rFonts w:ascii="Times New Roman" w:hAnsi="Times New Roman" w:cs="Times New Roman"/>
          <w:sz w:val="24"/>
          <w:szCs w:val="24"/>
          <w:lang w:val="es-AR"/>
        </w:rPr>
      </w:pPr>
    </w:p>
    <w:p w14:paraId="02FB081C" w14:textId="77777777" w:rsidR="009B7B70" w:rsidRPr="003B6453" w:rsidRDefault="009B7B70" w:rsidP="003B6453">
      <w:pPr>
        <w:spacing w:line="360" w:lineRule="auto"/>
        <w:jc w:val="both"/>
        <w:rPr>
          <w:rFonts w:ascii="Times New Roman" w:hAnsi="Times New Roman" w:cs="Times New Roman"/>
          <w:sz w:val="24"/>
          <w:szCs w:val="24"/>
          <w:lang w:val="es-AR"/>
        </w:rPr>
      </w:pPr>
    </w:p>
    <w:p w14:paraId="14318309" w14:textId="77777777" w:rsidR="009B7B70" w:rsidRPr="003B6453" w:rsidRDefault="009B7B70" w:rsidP="003B6453">
      <w:pPr>
        <w:spacing w:line="360" w:lineRule="auto"/>
        <w:jc w:val="both"/>
        <w:rPr>
          <w:rFonts w:ascii="Times New Roman" w:hAnsi="Times New Roman" w:cs="Times New Roman"/>
          <w:sz w:val="24"/>
          <w:szCs w:val="24"/>
          <w:lang w:val="es-AR"/>
        </w:rPr>
      </w:pPr>
    </w:p>
    <w:p w14:paraId="7B7BB7BF" w14:textId="25DA37EF" w:rsidR="0087793E" w:rsidRPr="003B6453" w:rsidRDefault="0087793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Tabla 3. Temporalidad del consumo de medialunas en el Alto Valle</w:t>
      </w:r>
    </w:p>
    <w:tbl>
      <w:tblPr>
        <w:tblStyle w:val="GridTable5DarkAccent5"/>
        <w:tblW w:w="0" w:type="auto"/>
        <w:tblLook w:val="04A0" w:firstRow="1" w:lastRow="0" w:firstColumn="1" w:lastColumn="0" w:noHBand="0" w:noVBand="1"/>
      </w:tblPr>
      <w:tblGrid>
        <w:gridCol w:w="1700"/>
        <w:gridCol w:w="3076"/>
        <w:gridCol w:w="4278"/>
      </w:tblGrid>
      <w:tr w:rsidR="0087793E" w:rsidRPr="003B6453" w14:paraId="185D12A3" w14:textId="77777777" w:rsidTr="009B7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451E42" w14:textId="77777777" w:rsidR="0087793E" w:rsidRPr="003B6453" w:rsidRDefault="0087793E"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Momento</w:t>
            </w:r>
            <w:proofErr w:type="spellEnd"/>
            <w:r w:rsidRPr="003B6453">
              <w:rPr>
                <w:rFonts w:ascii="Times New Roman" w:hAnsi="Times New Roman" w:cs="Times New Roman"/>
                <w:sz w:val="24"/>
                <w:szCs w:val="24"/>
              </w:rPr>
              <w:t xml:space="preserve"> del </w:t>
            </w:r>
            <w:proofErr w:type="spellStart"/>
            <w:r w:rsidRPr="003B6453">
              <w:rPr>
                <w:rFonts w:ascii="Times New Roman" w:hAnsi="Times New Roman" w:cs="Times New Roman"/>
                <w:sz w:val="24"/>
                <w:szCs w:val="24"/>
              </w:rPr>
              <w:t>día</w:t>
            </w:r>
            <w:proofErr w:type="spellEnd"/>
          </w:p>
        </w:tc>
        <w:tc>
          <w:tcPr>
            <w:tcW w:w="0" w:type="auto"/>
            <w:hideMark/>
          </w:tcPr>
          <w:p w14:paraId="7AA6BE30" w14:textId="77777777" w:rsidR="0087793E" w:rsidRPr="003B6453" w:rsidRDefault="0087793E"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Días</w:t>
            </w:r>
            <w:proofErr w:type="spellEnd"/>
            <w:r w:rsidRPr="003B6453">
              <w:rPr>
                <w:rFonts w:ascii="Times New Roman" w:hAnsi="Times New Roman" w:cs="Times New Roman"/>
                <w:sz w:val="24"/>
                <w:szCs w:val="24"/>
              </w:rPr>
              <w:t xml:space="preserve"> de mayor </w:t>
            </w:r>
            <w:proofErr w:type="spellStart"/>
            <w:r w:rsidRPr="003B6453">
              <w:rPr>
                <w:rFonts w:ascii="Times New Roman" w:hAnsi="Times New Roman" w:cs="Times New Roman"/>
                <w:sz w:val="24"/>
                <w:szCs w:val="24"/>
              </w:rPr>
              <w:t>consumo</w:t>
            </w:r>
            <w:proofErr w:type="spellEnd"/>
          </w:p>
        </w:tc>
        <w:tc>
          <w:tcPr>
            <w:tcW w:w="0" w:type="auto"/>
            <w:hideMark/>
          </w:tcPr>
          <w:p w14:paraId="69DB2D13" w14:textId="77777777" w:rsidR="0087793E" w:rsidRPr="003B6453" w:rsidRDefault="0087793E"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Características</w:t>
            </w:r>
            <w:proofErr w:type="spellEnd"/>
            <w:r w:rsidRPr="003B6453">
              <w:rPr>
                <w:rFonts w:ascii="Times New Roman" w:hAnsi="Times New Roman" w:cs="Times New Roman"/>
                <w:sz w:val="24"/>
                <w:szCs w:val="24"/>
              </w:rPr>
              <w:t xml:space="preserve"> del </w:t>
            </w:r>
            <w:proofErr w:type="spellStart"/>
            <w:r w:rsidRPr="003B6453">
              <w:rPr>
                <w:rFonts w:ascii="Times New Roman" w:hAnsi="Times New Roman" w:cs="Times New Roman"/>
                <w:sz w:val="24"/>
                <w:szCs w:val="24"/>
              </w:rPr>
              <w:t>consumo</w:t>
            </w:r>
            <w:proofErr w:type="spellEnd"/>
          </w:p>
        </w:tc>
      </w:tr>
      <w:tr w:rsidR="0087793E" w:rsidRPr="003B6453" w14:paraId="7C91BCC2" w14:textId="77777777" w:rsidTr="009B7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A0BDCC"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Mañanas</w:t>
            </w:r>
            <w:proofErr w:type="spellEnd"/>
            <w:r w:rsidRPr="003B6453">
              <w:rPr>
                <w:rFonts w:ascii="Times New Roman" w:hAnsi="Times New Roman" w:cs="Times New Roman"/>
                <w:sz w:val="24"/>
                <w:szCs w:val="24"/>
              </w:rPr>
              <w:t xml:space="preserve"> (7 a 11 </w:t>
            </w:r>
            <w:proofErr w:type="spellStart"/>
            <w:r w:rsidRPr="003B6453">
              <w:rPr>
                <w:rFonts w:ascii="Times New Roman" w:hAnsi="Times New Roman" w:cs="Times New Roman"/>
                <w:sz w:val="24"/>
                <w:szCs w:val="24"/>
              </w:rPr>
              <w:t>hs</w:t>
            </w:r>
            <w:proofErr w:type="spellEnd"/>
            <w:r w:rsidRPr="003B6453">
              <w:rPr>
                <w:rFonts w:ascii="Times New Roman" w:hAnsi="Times New Roman" w:cs="Times New Roman"/>
                <w:sz w:val="24"/>
                <w:szCs w:val="24"/>
              </w:rPr>
              <w:t>)</w:t>
            </w:r>
          </w:p>
        </w:tc>
        <w:tc>
          <w:tcPr>
            <w:tcW w:w="0" w:type="auto"/>
            <w:hideMark/>
          </w:tcPr>
          <w:p w14:paraId="429E18FF"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Lunes</w:t>
            </w:r>
            <w:proofErr w:type="spellEnd"/>
            <w:r w:rsidRPr="003B6453">
              <w:rPr>
                <w:rFonts w:ascii="Times New Roman" w:hAnsi="Times New Roman" w:cs="Times New Roman"/>
                <w:sz w:val="24"/>
                <w:szCs w:val="24"/>
              </w:rPr>
              <w:t xml:space="preserve"> a </w:t>
            </w:r>
            <w:proofErr w:type="spellStart"/>
            <w:r w:rsidRPr="003B6453">
              <w:rPr>
                <w:rFonts w:ascii="Times New Roman" w:hAnsi="Times New Roman" w:cs="Times New Roman"/>
                <w:sz w:val="24"/>
                <w:szCs w:val="24"/>
              </w:rPr>
              <w:t>viernes</w:t>
            </w:r>
            <w:proofErr w:type="spellEnd"/>
          </w:p>
        </w:tc>
        <w:tc>
          <w:tcPr>
            <w:tcW w:w="0" w:type="auto"/>
            <w:hideMark/>
          </w:tcPr>
          <w:p w14:paraId="4631B8F7"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Consumo en oficinas, desayuno rápido en cafeterías, acompañamiento de café.</w:t>
            </w:r>
          </w:p>
        </w:tc>
      </w:tr>
      <w:tr w:rsidR="0087793E" w:rsidRPr="003B6453" w14:paraId="7777BFF7" w14:textId="77777777" w:rsidTr="009B7B70">
        <w:tc>
          <w:tcPr>
            <w:cnfStyle w:val="001000000000" w:firstRow="0" w:lastRow="0" w:firstColumn="1" w:lastColumn="0" w:oddVBand="0" w:evenVBand="0" w:oddHBand="0" w:evenHBand="0" w:firstRowFirstColumn="0" w:firstRowLastColumn="0" w:lastRowFirstColumn="0" w:lastRowLastColumn="0"/>
            <w:tcW w:w="0" w:type="auto"/>
            <w:hideMark/>
          </w:tcPr>
          <w:p w14:paraId="7E03674B"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Tardes</w:t>
            </w:r>
            <w:proofErr w:type="spellEnd"/>
            <w:r w:rsidRPr="003B6453">
              <w:rPr>
                <w:rFonts w:ascii="Times New Roman" w:hAnsi="Times New Roman" w:cs="Times New Roman"/>
                <w:sz w:val="24"/>
                <w:szCs w:val="24"/>
              </w:rPr>
              <w:t xml:space="preserve"> (16 a 19 </w:t>
            </w:r>
            <w:proofErr w:type="spellStart"/>
            <w:r w:rsidRPr="003B6453">
              <w:rPr>
                <w:rFonts w:ascii="Times New Roman" w:hAnsi="Times New Roman" w:cs="Times New Roman"/>
                <w:sz w:val="24"/>
                <w:szCs w:val="24"/>
              </w:rPr>
              <w:t>hs</w:t>
            </w:r>
            <w:proofErr w:type="spellEnd"/>
            <w:r w:rsidRPr="003B6453">
              <w:rPr>
                <w:rFonts w:ascii="Times New Roman" w:hAnsi="Times New Roman" w:cs="Times New Roman"/>
                <w:sz w:val="24"/>
                <w:szCs w:val="24"/>
              </w:rPr>
              <w:t>)</w:t>
            </w:r>
          </w:p>
        </w:tc>
        <w:tc>
          <w:tcPr>
            <w:tcW w:w="0" w:type="auto"/>
            <w:hideMark/>
          </w:tcPr>
          <w:p w14:paraId="639E9C29"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Todos los días, con mayor intensidad sábados y domingos</w:t>
            </w:r>
          </w:p>
        </w:tc>
        <w:tc>
          <w:tcPr>
            <w:tcW w:w="0" w:type="auto"/>
            <w:hideMark/>
          </w:tcPr>
          <w:p w14:paraId="56D9AABC"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Meriendas familiares, encuentros sociales, consumo en cafeterías.</w:t>
            </w:r>
          </w:p>
        </w:tc>
      </w:tr>
      <w:tr w:rsidR="0087793E" w:rsidRPr="003B6453" w14:paraId="544F7EF1" w14:textId="77777777" w:rsidTr="009B7B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0C667C"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Mediodía</w:t>
            </w:r>
            <w:proofErr w:type="spellEnd"/>
            <w:r w:rsidRPr="003B6453">
              <w:rPr>
                <w:rFonts w:ascii="Times New Roman" w:hAnsi="Times New Roman" w:cs="Times New Roman"/>
                <w:sz w:val="24"/>
                <w:szCs w:val="24"/>
              </w:rPr>
              <w:t xml:space="preserve"> (12 a 14 </w:t>
            </w:r>
            <w:proofErr w:type="spellStart"/>
            <w:r w:rsidRPr="003B6453">
              <w:rPr>
                <w:rFonts w:ascii="Times New Roman" w:hAnsi="Times New Roman" w:cs="Times New Roman"/>
                <w:sz w:val="24"/>
                <w:szCs w:val="24"/>
              </w:rPr>
              <w:t>hs</w:t>
            </w:r>
            <w:proofErr w:type="spellEnd"/>
            <w:r w:rsidRPr="003B6453">
              <w:rPr>
                <w:rFonts w:ascii="Times New Roman" w:hAnsi="Times New Roman" w:cs="Times New Roman"/>
                <w:sz w:val="24"/>
                <w:szCs w:val="24"/>
              </w:rPr>
              <w:t>)</w:t>
            </w:r>
          </w:p>
        </w:tc>
        <w:tc>
          <w:tcPr>
            <w:tcW w:w="0" w:type="auto"/>
            <w:hideMark/>
          </w:tcPr>
          <w:p w14:paraId="1EC47159"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Ocasional</w:t>
            </w:r>
            <w:proofErr w:type="spellEnd"/>
          </w:p>
        </w:tc>
        <w:tc>
          <w:tcPr>
            <w:tcW w:w="0" w:type="auto"/>
            <w:hideMark/>
          </w:tcPr>
          <w:p w14:paraId="713D360D" w14:textId="77777777" w:rsidR="0087793E" w:rsidRPr="003B6453" w:rsidRDefault="0087793E"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Consumo como acompañamiento de almuerzos ligeros o en formato de postre.</w:t>
            </w:r>
          </w:p>
        </w:tc>
      </w:tr>
      <w:tr w:rsidR="0087793E" w:rsidRPr="003B6453" w14:paraId="113B62D5" w14:textId="77777777" w:rsidTr="009B7B70">
        <w:tc>
          <w:tcPr>
            <w:cnfStyle w:val="001000000000" w:firstRow="0" w:lastRow="0" w:firstColumn="1" w:lastColumn="0" w:oddVBand="0" w:evenVBand="0" w:oddHBand="0" w:evenHBand="0" w:firstRowFirstColumn="0" w:firstRowLastColumn="0" w:lastRowFirstColumn="0" w:lastRowLastColumn="0"/>
            <w:tcW w:w="0" w:type="auto"/>
            <w:hideMark/>
          </w:tcPr>
          <w:p w14:paraId="08C5C4E3" w14:textId="77777777" w:rsidR="0087793E" w:rsidRPr="003B6453" w:rsidRDefault="0087793E"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Noches</w:t>
            </w:r>
            <w:proofErr w:type="spellEnd"/>
          </w:p>
        </w:tc>
        <w:tc>
          <w:tcPr>
            <w:tcW w:w="0" w:type="auto"/>
            <w:hideMark/>
          </w:tcPr>
          <w:p w14:paraId="261EEA12"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Poco</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frecuente</w:t>
            </w:r>
            <w:proofErr w:type="spellEnd"/>
          </w:p>
        </w:tc>
        <w:tc>
          <w:tcPr>
            <w:tcW w:w="0" w:type="auto"/>
            <w:hideMark/>
          </w:tcPr>
          <w:p w14:paraId="0B067176" w14:textId="77777777" w:rsidR="0087793E" w:rsidRPr="003B6453" w:rsidRDefault="0087793E"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Consumo residual, asociado a reuniones </w:t>
            </w:r>
            <w:r w:rsidRPr="003B6453">
              <w:rPr>
                <w:rFonts w:ascii="Times New Roman" w:hAnsi="Times New Roman" w:cs="Times New Roman"/>
                <w:sz w:val="24"/>
                <w:szCs w:val="24"/>
                <w:lang w:val="es-AR"/>
              </w:rPr>
              <w:lastRenderedPageBreak/>
              <w:t>sociales o catering.</w:t>
            </w:r>
          </w:p>
        </w:tc>
      </w:tr>
    </w:tbl>
    <w:p w14:paraId="2E4B4A3D" w14:textId="77777777" w:rsidR="0087793E" w:rsidRPr="003B6453" w:rsidRDefault="0087793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Fuente: elaboración propia con base en encuesta de mercado (Cap. 4) y literatura gastronómica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2016; Solomon, 2018).</w:t>
      </w:r>
    </w:p>
    <w:p w14:paraId="0566E8EB" w14:textId="77777777" w:rsidR="009B7B70" w:rsidRPr="003B6453" w:rsidRDefault="0087014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Tal como se observa en la Tabla 3, el consumo de medialunas en el Alto Valle presenta una marcada concentración temporal, con picos claramente definidos en las franjas horarias de la mañana y de la tarde. Durante las mañanas, especialmente de lunes a viernes, predomina un consumo de carácter funcional y rápido, asociado a desayunos laborales, pausas en oficinas y consumo individual en cafeterías. En este contexto, la medialuna cumple principalmente una función de acompañamiento del café y se inserta en rutinas cotidianas vinculadas al trabajo, la movilidad urbana y la optimización del tiempo disponible. Este patrón de consumo refuerza la necesidad de una oferta ágil, consistente y accesible, que priorice la rapidez de atención sin resignar calidad sensorial.</w:t>
      </w:r>
    </w:p>
    <w:p w14:paraId="6B435DBC" w14:textId="2DEA024C" w:rsidR="00870145" w:rsidRPr="003B6453" w:rsidRDefault="0087014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contraste, el consumo durante las tardes adquiere un carácter claramente social y experiencial, intensificándose de manera significativa durante los fines de semana. Las meriendas familiares y los encuentros sociales convierten a la medialuna en un producto central de la experiencia gastronómica, donde el disfrute, la indulgencia y la interacción social adquieren mayor relevancia que la conveniencia o la velocidad del servicio. En estas instancias, el consumo se asocia a momentos de distensión y sociabilidad, lo que amplifica el valor simbólico del producto y refuerza su potencial como experiencia compartida. Esta diferenciación entre consumo funcional matutino y consumo experiencial vespertino resulta clave para el diseño de la propuesta de valor de una franquicia gourmet, ya que exige adaptar no solo la oferta, sino también la comunicación, la ambientación y la dinámica operativa a los distintos momentos del día.</w:t>
      </w:r>
    </w:p>
    <w:p w14:paraId="6B77C943" w14:textId="77777777" w:rsidR="00870145" w:rsidRPr="003B6453" w:rsidRDefault="0087014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consumo en horario de mediodía aparece como ocasional y complementario, generalmente vinculado a almuerzos ligeros o al rol de la medialuna como postre, mientras que el consumo nocturno es marginal y se asocia a situaciones específicas, como eventos sociales, celebraciones o servicios de catering. Estos comportamientos confirman que la demanda de medialunas no es homogénea ni continua, sino que responde a lógicas temporales diferenciadas, condicionadas por rutinas laborales, dinámicas familiares y contextos sociales. Reconocer esta heterogeneidad resulta fundamental para evitar </w:t>
      </w:r>
      <w:r w:rsidRPr="003B6453">
        <w:rPr>
          <w:rFonts w:ascii="Times New Roman" w:hAnsi="Times New Roman" w:cs="Times New Roman"/>
          <w:sz w:val="24"/>
          <w:szCs w:val="24"/>
          <w:lang w:val="es-AR"/>
        </w:rPr>
        <w:lastRenderedPageBreak/>
        <w:t>decisiones operativas basadas en supuestos de demanda uniforme que podrían derivar en ineficiencias productivas y desperdicios.</w:t>
      </w:r>
    </w:p>
    <w:p w14:paraId="2474046C" w14:textId="77777777" w:rsidR="00870145" w:rsidRPr="003B6453" w:rsidRDefault="0087014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perspectiva estratégica, la identificación precisa de esta temporalidad permite optimizar la asignación de recursos, definir horarios críticos de producción y atención, y diseñar acciones comerciales específicas para cada franja horaria. Asimismo, posibilita ajustar la planificación de personal y la frecuencia de horneadas en función de los picos de demanda, contribuyendo a mejorar la eficiencia operativa y a preservar la frescura del producto, un atributo central en la percepción de calidad del consumidor gourmet. De este modo, la temporalidad deja de ser una variable descriptiva para convertirse en un insumo estratégico para la toma de decisiones.</w:t>
      </w:r>
    </w:p>
    <w:p w14:paraId="022BBF8D" w14:textId="48F44192" w:rsidR="00870145" w:rsidRPr="003B6453" w:rsidRDefault="0087014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incorporación de este análisis de temporalidad resulta, por lo tanto, fundamental para el diseño operativo de la franquicia, en tanto permite traducir los patrones de consumo identificados en decisiones concretas de gestión. El conocimiento detallado de las franjas horarias de mayor demanda posibilita proyectar con mayor precisión los volúmenes de producción, organizar los turnos de personal y definir esquemas operativos flexibles. Asimismo, la comprensión de la temporalidad del consumo facilita el diseño de estrategias promocionales diferenciadas, alineando la oferta con las rutinas y expectativas del consumidor regional. Por ejemplo, la implementación de combos de desayuno en la franja horaria comprendida entre las 8 y las 10 horas permite captar la demanda de oficinistas y trabajadores urbanos que buscan una opción </w:t>
      </w:r>
      <w:r w:rsidR="00291CA9" w:rsidRPr="003B6453">
        <w:rPr>
          <w:rFonts w:ascii="Times New Roman" w:hAnsi="Times New Roman" w:cs="Times New Roman"/>
          <w:sz w:val="24"/>
          <w:szCs w:val="24"/>
          <w:lang w:val="es-AR"/>
        </w:rPr>
        <w:t>rápida,</w:t>
      </w:r>
      <w:r w:rsidRPr="003B6453">
        <w:rPr>
          <w:rFonts w:ascii="Times New Roman" w:hAnsi="Times New Roman" w:cs="Times New Roman"/>
          <w:sz w:val="24"/>
          <w:szCs w:val="24"/>
          <w:lang w:val="es-AR"/>
        </w:rPr>
        <w:t xml:space="preserve"> pero de calidad, mientras que las promociones orientadas a grupos familiares durante los fines de semana, en horarios de merienda, contribuyen a consolidar el posicionamiento de la marca como una experiencia social y compartida. En este sentido, la temporalidad se configura como una variable estratégica que impacta directamente tanto en la eficiencia operativa como en la rentabilidad del negocio.</w:t>
      </w:r>
    </w:p>
    <w:p w14:paraId="1908D9BB" w14:textId="7A770008" w:rsidR="00870145" w:rsidRPr="003B6453" w:rsidRDefault="0087014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síntesis, el consumidor gastronómico del Alto Valle se caracteriza por valorar de manera significativa las experiencias sensoriales, estéticas y sociales asociadas al consumo, y por presentar patrones de comportamiento fuertemente condicionados por el momento y el contexto en el que se produce la experiencia gastronómica. Estos patrones temporales, lejos de constituir una limitación para el desarrollo del negocio, representan una oportunidad </w:t>
      </w:r>
      <w:r w:rsidRPr="003B6453">
        <w:rPr>
          <w:rFonts w:ascii="Times New Roman" w:hAnsi="Times New Roman" w:cs="Times New Roman"/>
          <w:sz w:val="24"/>
          <w:szCs w:val="24"/>
          <w:lang w:val="es-AR"/>
        </w:rPr>
        <w:lastRenderedPageBreak/>
        <w:t xml:space="preserve">estratégica para el diseño del modelo de franquicia. La propuesta de medialunas gourmet puede capitalizar estas rutinas de consumo ofreciendo un producto de alta calidad, consistente y diferenciada, adaptado a los momentos clave del día y a los contextos de mayor predisposición al disfrute gastronómico. En este marco, la adecuada articulación entre propuesta de valor, operación y temporalidad del consumo emerge como un factor crítico para sostener el posicionamiento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de la franquicia y garantizar su viabilidad y competitividad en el mercado regional.</w:t>
      </w:r>
    </w:p>
    <w:p w14:paraId="3BB5EBEF" w14:textId="5D8459AD" w:rsidR="00F94EC8" w:rsidRPr="003B6453" w:rsidRDefault="00F94EC8" w:rsidP="003B6453">
      <w:pPr>
        <w:pStyle w:val="Ttulo2"/>
        <w:spacing w:line="360" w:lineRule="auto"/>
        <w:jc w:val="both"/>
        <w:rPr>
          <w:rFonts w:ascii="Times New Roman" w:hAnsi="Times New Roman" w:cs="Times New Roman"/>
          <w:color w:val="FF0000"/>
          <w:sz w:val="24"/>
          <w:szCs w:val="24"/>
          <w:lang w:val="es-AR"/>
        </w:rPr>
      </w:pPr>
      <w:bookmarkStart w:id="6" w:name="_Toc228546573"/>
      <w:r w:rsidRPr="003B6453">
        <w:rPr>
          <w:rFonts w:ascii="Times New Roman" w:hAnsi="Times New Roman" w:cs="Times New Roman"/>
          <w:sz w:val="24"/>
          <w:szCs w:val="24"/>
          <w:lang w:val="es-AR"/>
        </w:rPr>
        <w:t>1.4 Particularidades del desarrollo de franquicias en contextos regionales</w:t>
      </w:r>
      <w:bookmarkEnd w:id="6"/>
      <w:r w:rsidR="001906BE" w:rsidRPr="003B6453">
        <w:rPr>
          <w:rFonts w:ascii="Times New Roman" w:hAnsi="Times New Roman" w:cs="Times New Roman"/>
          <w:sz w:val="24"/>
          <w:szCs w:val="24"/>
          <w:lang w:val="es-AR"/>
        </w:rPr>
        <w:t xml:space="preserve"> </w:t>
      </w:r>
    </w:p>
    <w:p w14:paraId="1E8BF9B8" w14:textId="441796E9" w:rsidR="007974DE" w:rsidRPr="003B6453" w:rsidRDefault="00291CA9"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w:t>
      </w:r>
      <w:r w:rsidR="007974DE" w:rsidRPr="003B6453">
        <w:rPr>
          <w:rFonts w:ascii="Times New Roman" w:hAnsi="Times New Roman" w:cs="Times New Roman"/>
          <w:sz w:val="24"/>
          <w:szCs w:val="24"/>
          <w:lang w:val="es-AR"/>
        </w:rPr>
        <w:t xml:space="preserve">l desarrollo de franquicias en contextos regionales presenta características diferenciales significativas respecto de las grandes áreas metropolitanas. Mientras que en ciudades como Buenos Aires la elevada densidad poblacional, la madurez del mercado y la amplia diversidad de propuestas gastronómicas configuran un entorno de alta competencia y saturación relativa, en regiones intermedias como el Alto Valle de Neuquén y Río Negro el escenario combina oportunidades y restricciones de manera particular. Por un lado, la menor saturación del mercado y la presencia de nichos aún no explotados generan condiciones favorables para la introducción de nuevos conceptos gastronómicos; por otro, la escala del mercado, la dispersión territorial y las limitaciones logísticas imponen desafíos que requieren estrategias de adaptación específicas. En este sentido, </w:t>
      </w:r>
      <w:proofErr w:type="spellStart"/>
      <w:r w:rsidR="007974DE" w:rsidRPr="003B6453">
        <w:rPr>
          <w:rFonts w:ascii="Times New Roman" w:hAnsi="Times New Roman" w:cs="Times New Roman"/>
          <w:sz w:val="24"/>
          <w:szCs w:val="24"/>
          <w:lang w:val="es-AR"/>
        </w:rPr>
        <w:t>Kantis</w:t>
      </w:r>
      <w:proofErr w:type="spellEnd"/>
      <w:r w:rsidR="007974DE" w:rsidRPr="003B6453">
        <w:rPr>
          <w:rFonts w:ascii="Times New Roman" w:hAnsi="Times New Roman" w:cs="Times New Roman"/>
          <w:sz w:val="24"/>
          <w:szCs w:val="24"/>
          <w:lang w:val="es-AR"/>
        </w:rPr>
        <w:t xml:space="preserve"> (2017) sostiene que el éxito de las franquicias fuera del Área Metropolitana de Buenos Aires no depende exclusivamente de la fortaleza de la marca o del formato original, sino de la capacidad de ajustar el modelo de negocio a las condiciones laborales, logísticas, culturales y socioeconómicas propias de cada territorio. Esta perspectiva resulta especialmente relevante para emprendimientos que buscan expandirse en regiones con dinámicas productivas y sociales diferenciadas, como es el caso del Alto Valle.</w:t>
      </w:r>
    </w:p>
    <w:p w14:paraId="48CCE34B" w14:textId="77777777"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Uno de los factores estructurales más relevantes que inciden en el desarrollo de franquicias gastronómicas en esta región es la disponibilidad de mano de obra calificada. En el Alto Valle, la fuerte presencia de la industria </w:t>
      </w:r>
      <w:proofErr w:type="spellStart"/>
      <w:r w:rsidRPr="003B6453">
        <w:rPr>
          <w:rFonts w:ascii="Times New Roman" w:hAnsi="Times New Roman" w:cs="Times New Roman"/>
          <w:sz w:val="24"/>
          <w:szCs w:val="24"/>
          <w:lang w:val="es-AR"/>
        </w:rPr>
        <w:t>hidrocarburífera</w:t>
      </w:r>
      <w:proofErr w:type="spellEnd"/>
      <w:r w:rsidRPr="003B6453">
        <w:rPr>
          <w:rFonts w:ascii="Times New Roman" w:hAnsi="Times New Roman" w:cs="Times New Roman"/>
          <w:sz w:val="24"/>
          <w:szCs w:val="24"/>
          <w:lang w:val="es-AR"/>
        </w:rPr>
        <w:t xml:space="preserve"> vinculada al yacimiento de Vaca Muerta ha configurado un mercado laboral altamente competitivo, caracterizado por niveles salariales significativamente superiores a los de sectores como la gastronomía, el comercio minorista o los servicios personales. Esta brecha salarial genera un efecto de </w:t>
      </w:r>
      <w:r w:rsidRPr="003B6453">
        <w:rPr>
          <w:rFonts w:ascii="Times New Roman" w:hAnsi="Times New Roman" w:cs="Times New Roman"/>
          <w:sz w:val="24"/>
          <w:szCs w:val="24"/>
          <w:lang w:val="es-AR"/>
        </w:rPr>
        <w:lastRenderedPageBreak/>
        <w:t xml:space="preserve">desplazamiento de la fuerza laboral hacia el sector petrolero, dificultando la atracción y retención de personal en actividades gastronómicas. Como consecuencia, las franquicias que operan en la región se enfrentan a mayores tasas de rotación, costos adicionales de capacitación y una necesidad permanente de formación de nuevos empleados. Este contexto obliga a diseñar estrategias específicas de gestión de recursos humanos, que incluyan programas intensivos de capacitación inicial y continua, esquemas de incentivos adaptados a la realidad regional y la incorporación de beneficios no monetarios —como la flexibilidad horaria, oportunidades de desarrollo profesional y un clima laboral atractivo— que contribuyan a compensar parcialmente la desventaja salarial frente al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w:t>
      </w:r>
    </w:p>
    <w:p w14:paraId="01A1E8E1" w14:textId="05E0893B"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Con el objetivo de contextualizar la brecha salarial entre el sector gastronómico y la industria </w:t>
      </w:r>
      <w:proofErr w:type="spellStart"/>
      <w:r w:rsidRPr="003B6453">
        <w:rPr>
          <w:rFonts w:ascii="Times New Roman" w:hAnsi="Times New Roman" w:cs="Times New Roman"/>
          <w:sz w:val="24"/>
          <w:szCs w:val="24"/>
          <w:lang w:val="es-AR"/>
        </w:rPr>
        <w:t>hidrocarburífera</w:t>
      </w:r>
      <w:proofErr w:type="spellEnd"/>
      <w:r w:rsidRPr="003B6453">
        <w:rPr>
          <w:rFonts w:ascii="Times New Roman" w:hAnsi="Times New Roman" w:cs="Times New Roman"/>
          <w:sz w:val="24"/>
          <w:szCs w:val="24"/>
          <w:lang w:val="es-AR"/>
        </w:rPr>
        <w:t xml:space="preserve">, la Figura </w:t>
      </w:r>
      <w:r w:rsidR="005910F0" w:rsidRPr="003B6453">
        <w:rPr>
          <w:rFonts w:ascii="Times New Roman" w:hAnsi="Times New Roman" w:cs="Times New Roman"/>
          <w:sz w:val="24"/>
          <w:szCs w:val="24"/>
          <w:lang w:val="es-AR"/>
        </w:rPr>
        <w:t>4</w:t>
      </w:r>
      <w:r w:rsidRPr="003B6453">
        <w:rPr>
          <w:rFonts w:ascii="Times New Roman" w:hAnsi="Times New Roman" w:cs="Times New Roman"/>
          <w:sz w:val="24"/>
          <w:szCs w:val="24"/>
          <w:lang w:val="es-AR"/>
        </w:rPr>
        <w:t xml:space="preserve"> presenta una curva comparativa de la evolución de los salarios promedio mensuales en Argentina para el período 2020–2025. Si bien se trata de una serie ilustrativa, el gráfico permite visualizar de manera clara la divergencia estructural entre ambos sectores y su profundización en el tiempo, especialmente en regiones con fuerte presencia petrolera como el Alto Valle.</w:t>
      </w:r>
    </w:p>
    <w:p w14:paraId="396A6CA5" w14:textId="77777777" w:rsidR="001F4DE6" w:rsidRDefault="00683DAE" w:rsidP="001F4DE6">
      <w:pPr>
        <w:spacing w:line="360" w:lineRule="auto"/>
        <w:rPr>
          <w:rFonts w:ascii="Times New Roman" w:hAnsi="Times New Roman" w:cs="Times New Roman"/>
          <w:sz w:val="24"/>
          <w:szCs w:val="24"/>
          <w:lang w:val="es-AR"/>
        </w:rPr>
      </w:pPr>
      <w:r w:rsidRPr="003B6453">
        <w:rPr>
          <w:rFonts w:ascii="Times New Roman" w:hAnsi="Times New Roman" w:cs="Times New Roman"/>
          <w:noProof/>
          <w:sz w:val="24"/>
          <w:szCs w:val="24"/>
          <w:lang w:val="es-AR" w:eastAsia="es-AR"/>
        </w:rPr>
        <w:drawing>
          <wp:inline distT="0" distB="0" distL="0" distR="0" wp14:anchorId="4A3A1DC0" wp14:editId="3294304F">
            <wp:extent cx="5335997" cy="3067685"/>
            <wp:effectExtent l="0" t="0" r="0" b="0"/>
            <wp:docPr id="1415428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28292" name=""/>
                    <pic:cNvPicPr/>
                  </pic:nvPicPr>
                  <pic:blipFill>
                    <a:blip r:embed="rId11"/>
                    <a:stretch>
                      <a:fillRect/>
                    </a:stretch>
                  </pic:blipFill>
                  <pic:spPr>
                    <a:xfrm>
                      <a:off x="0" y="0"/>
                      <a:ext cx="5341475" cy="3070834"/>
                    </a:xfrm>
                    <a:prstGeom prst="rect">
                      <a:avLst/>
                    </a:prstGeom>
                  </pic:spPr>
                </pic:pic>
              </a:graphicData>
            </a:graphic>
          </wp:inline>
        </w:drawing>
      </w:r>
      <w:r w:rsidR="001F4DE6">
        <w:rPr>
          <w:rFonts w:ascii="Times New Roman" w:hAnsi="Times New Roman" w:cs="Times New Roman"/>
          <w:sz w:val="24"/>
          <w:szCs w:val="24"/>
          <w:lang w:val="es-AR"/>
        </w:rPr>
        <w:br/>
        <w:t>Franquicias gastronómicas (2023-2025)</w:t>
      </w:r>
      <w:r w:rsidR="001F4DE6">
        <w:rPr>
          <w:rFonts w:ascii="Times New Roman" w:hAnsi="Times New Roman" w:cs="Times New Roman"/>
          <w:sz w:val="24"/>
          <w:szCs w:val="24"/>
          <w:lang w:val="es-AR"/>
        </w:rPr>
        <w:br/>
      </w:r>
      <w:r w:rsidR="001F4DE6">
        <w:rPr>
          <w:rFonts w:ascii="Times New Roman" w:hAnsi="Times New Roman" w:cs="Times New Roman"/>
          <w:sz w:val="24"/>
          <w:szCs w:val="24"/>
          <w:lang w:val="es-AR"/>
        </w:rPr>
        <w:lastRenderedPageBreak/>
        <w:t xml:space="preserve">Fuente: AAMF, </w:t>
      </w:r>
      <w:proofErr w:type="spellStart"/>
      <w:r w:rsidR="001F4DE6">
        <w:rPr>
          <w:rFonts w:ascii="Times New Roman" w:hAnsi="Times New Roman" w:cs="Times New Roman"/>
          <w:sz w:val="24"/>
          <w:szCs w:val="24"/>
          <w:lang w:val="es-AR"/>
        </w:rPr>
        <w:t>GAF</w:t>
      </w:r>
      <w:proofErr w:type="gramStart"/>
      <w:r w:rsidR="001F4DE6">
        <w:rPr>
          <w:rFonts w:ascii="Times New Roman" w:hAnsi="Times New Roman" w:cs="Times New Roman"/>
          <w:sz w:val="24"/>
          <w:szCs w:val="24"/>
          <w:lang w:val="es-AR"/>
        </w:rPr>
        <w:t>,Infobae</w:t>
      </w:r>
      <w:proofErr w:type="spellEnd"/>
      <w:proofErr w:type="gramEnd"/>
      <w:r w:rsidR="001F4DE6">
        <w:rPr>
          <w:rFonts w:ascii="Times New Roman" w:hAnsi="Times New Roman" w:cs="Times New Roman"/>
          <w:sz w:val="24"/>
          <w:szCs w:val="24"/>
          <w:lang w:val="es-AR"/>
        </w:rPr>
        <w:t>, Comercio &amp; Justicia (2023-2025)</w:t>
      </w:r>
      <w:r w:rsidR="001F4DE6">
        <w:rPr>
          <w:rFonts w:ascii="Times New Roman" w:hAnsi="Times New Roman" w:cs="Times New Roman"/>
          <w:sz w:val="24"/>
          <w:szCs w:val="24"/>
          <w:lang w:val="es-AR"/>
        </w:rPr>
        <w:br/>
      </w:r>
    </w:p>
    <w:p w14:paraId="3B7F3F57" w14:textId="5984096C" w:rsidR="007974DE" w:rsidRPr="003B6453" w:rsidRDefault="007974DE" w:rsidP="001F4DE6">
      <w:pPr>
        <w:spacing w:line="360" w:lineRule="auto"/>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Tal como se observa en la Figura </w:t>
      </w:r>
      <w:r w:rsidR="005910F0" w:rsidRPr="003B6453">
        <w:rPr>
          <w:rFonts w:ascii="Times New Roman" w:hAnsi="Times New Roman" w:cs="Times New Roman"/>
          <w:sz w:val="24"/>
          <w:szCs w:val="24"/>
          <w:lang w:val="es-AR"/>
        </w:rPr>
        <w:t>4</w:t>
      </w:r>
      <w:r w:rsidRPr="003B6453">
        <w:rPr>
          <w:rFonts w:ascii="Times New Roman" w:hAnsi="Times New Roman" w:cs="Times New Roman"/>
          <w:sz w:val="24"/>
          <w:szCs w:val="24"/>
          <w:lang w:val="es-AR"/>
        </w:rPr>
        <w:t xml:space="preserve">, la evolución salarial del sector petrolero presenta una trayectoria marcadamente ascendente y divergente respecto de los sectores de gastronomía y comercio/servicios. Mientras que los salarios vinculados a la actividad </w:t>
      </w:r>
      <w:proofErr w:type="spellStart"/>
      <w:r w:rsidRPr="003B6453">
        <w:rPr>
          <w:rFonts w:ascii="Times New Roman" w:hAnsi="Times New Roman" w:cs="Times New Roman"/>
          <w:sz w:val="24"/>
          <w:szCs w:val="24"/>
          <w:lang w:val="es-AR"/>
        </w:rPr>
        <w:t>hidrocarburífera</w:t>
      </w:r>
      <w:proofErr w:type="spellEnd"/>
      <w:r w:rsidRPr="003B6453">
        <w:rPr>
          <w:rFonts w:ascii="Times New Roman" w:hAnsi="Times New Roman" w:cs="Times New Roman"/>
          <w:sz w:val="24"/>
          <w:szCs w:val="24"/>
          <w:lang w:val="es-AR"/>
        </w:rPr>
        <w:t xml:space="preserve"> muestran incrementos sostenidos y de mayor magnitud a lo largo del período analizado, los ingresos del sector gastronómico crecen a un ritmo significativamente menor. Esta brecha no solo se mantiene en el tiempo, sino que tiende a ampliarse, consolidando un diferencial salarial estructural que impacta directamente en la dinámica del mercado laboral regional.</w:t>
      </w:r>
    </w:p>
    <w:p w14:paraId="1BADB510" w14:textId="77777777"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contexto del Alto Valle, donde la actividad petrolera asociada a Vaca Muerta actúa como polo de atracción de mano de obra, esta divergencia salarial genera un efecto de desplazamiento que afecta de manera directa a las franquicias gastronómicas. La posibilidad de acceder a salarios considerablemente más elevados en el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 xml:space="preserve"> incentiva la rotación laboral y dificulta la estabilidad de los equipos de trabajo en actividades de servicios. Como consecuencia, los emprendimientos gastronómicos enfrentan mayores costos de reclutamiento, capacitación y retención, así como riesgos operativos asociados a la falta de personal experimentado.</w:t>
      </w:r>
    </w:p>
    <w:p w14:paraId="7207F316" w14:textId="77777777"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perspectiva estratégica, esta evidencia refuerza la necesidad de que el modelo de franquicia incorpore políticas activas de gestión de recursos humanos, orientadas no solo a la capacitación técnica, sino también a la construcción de propuestas de valor laboral alternativas. La generación de un clima organizacional atractivo, oportunidades de desarrollo profesional y esquemas de flexibilidad puede contribuir a mitigar, aunque no eliminar, el impacto de la brecha salarial. Asimismo, la consideración explícita de esta dinámica en las proyecciones económicas resulta fundamental para evitar subestimar los costos laborales y para evaluar de manera realista la factibilidad del proyecto en el mediano y largo plazo.</w:t>
      </w:r>
    </w:p>
    <w:p w14:paraId="5BE1E61E" w14:textId="77777777"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segundo factor crítico para el desarrollo de franquicias en el Alto Valle se vincula con la </w:t>
      </w:r>
      <w:r w:rsidRPr="003B6453">
        <w:rPr>
          <w:rFonts w:ascii="Times New Roman" w:hAnsi="Times New Roman" w:cs="Times New Roman"/>
          <w:b/>
          <w:bCs/>
          <w:sz w:val="24"/>
          <w:szCs w:val="24"/>
          <w:lang w:val="es-AR"/>
        </w:rPr>
        <w:t>logística y la gestión de la cadena de suministros</w:t>
      </w:r>
      <w:r w:rsidRPr="003B6453">
        <w:rPr>
          <w:rFonts w:ascii="Times New Roman" w:hAnsi="Times New Roman" w:cs="Times New Roman"/>
          <w:sz w:val="24"/>
          <w:szCs w:val="24"/>
          <w:lang w:val="es-AR"/>
        </w:rPr>
        <w:t xml:space="preserve">. La distancia de las principales ciudades de la región respecto de los grandes centros industriales y de distribución del país implica mayores costos de transporte, plazos de entrega más extensos y una menor flexibilidad ante </w:t>
      </w:r>
      <w:r w:rsidRPr="003B6453">
        <w:rPr>
          <w:rFonts w:ascii="Times New Roman" w:hAnsi="Times New Roman" w:cs="Times New Roman"/>
          <w:sz w:val="24"/>
          <w:szCs w:val="24"/>
          <w:lang w:val="es-AR"/>
        </w:rPr>
        <w:lastRenderedPageBreak/>
        <w:t xml:space="preserve">contingencias en el abastecimiento. Para un negocio cuya propuesta de valor se apoya de manera central en la calidad del producto, como es el caso de una franquicia de medialunas gourmet, esta situación adquiere especial relevancia. La necesidad de garantizar insumos homogéneos, frescos y de alta calidad exige una selección rigurosa de proveedores regionales, la formalización de acuerdos contractuales que aseguren regularidad en las entregas y la implementación de protocolos estrictos de control de calidad. Asimismo, la gestión logística debe contemplar la </w:t>
      </w:r>
      <w:r w:rsidRPr="003B6453">
        <w:rPr>
          <w:rFonts w:ascii="Times New Roman" w:hAnsi="Times New Roman" w:cs="Times New Roman"/>
          <w:b/>
          <w:bCs/>
          <w:sz w:val="24"/>
          <w:szCs w:val="24"/>
          <w:lang w:val="es-AR"/>
        </w:rPr>
        <w:t>estacionalidad del consumo y la temporalidad del negocio</w:t>
      </w:r>
      <w:r w:rsidRPr="003B6453">
        <w:rPr>
          <w:rFonts w:ascii="Times New Roman" w:hAnsi="Times New Roman" w:cs="Times New Roman"/>
          <w:sz w:val="24"/>
          <w:szCs w:val="24"/>
          <w:lang w:val="es-AR"/>
        </w:rPr>
        <w:t>, dado que los picos de demanda concentrados en horarios específicos —principalmente mañanas y tardes— requieren un abastecimiento oportuno y constante. Una planificación deficiente en este aspecto podría derivar tanto en quiebres de stock como en sobreproducción, afectando la eficiencia operativa y la percepción de calidad por parte del consumidor.</w:t>
      </w:r>
    </w:p>
    <w:p w14:paraId="0445EB89" w14:textId="1A6B099E"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w:t>
      </w:r>
      <w:r w:rsidRPr="003B6453">
        <w:rPr>
          <w:rFonts w:ascii="Times New Roman" w:hAnsi="Times New Roman" w:cs="Times New Roman"/>
          <w:b/>
          <w:bCs/>
          <w:sz w:val="24"/>
          <w:szCs w:val="24"/>
          <w:lang w:val="es-AR"/>
        </w:rPr>
        <w:t>adaptación cultural</w:t>
      </w:r>
      <w:r w:rsidRPr="003B6453">
        <w:rPr>
          <w:rFonts w:ascii="Times New Roman" w:hAnsi="Times New Roman" w:cs="Times New Roman"/>
          <w:sz w:val="24"/>
          <w:szCs w:val="24"/>
          <w:lang w:val="es-AR"/>
        </w:rPr>
        <w:t xml:space="preserve"> constituye otro aspecto fundamental para la viabilidad del modelo de franquicia en contextos regionales. Si bien la franquicia se basa en la estandarización de procesos y en la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del formato, diversos autores advierten que el éxito en mercados fuera de los grandes centros urbanos depende de la capacidad de incorporar elementos locales sin comprometer la identidad de marca. En este sentido, el IAE Business </w:t>
      </w:r>
      <w:proofErr w:type="spellStart"/>
      <w:r w:rsidRPr="003B6453">
        <w:rPr>
          <w:rFonts w:ascii="Times New Roman" w:hAnsi="Times New Roman" w:cs="Times New Roman"/>
          <w:sz w:val="24"/>
          <w:szCs w:val="24"/>
          <w:lang w:val="es-AR"/>
        </w:rPr>
        <w:t>School</w:t>
      </w:r>
      <w:proofErr w:type="spellEnd"/>
      <w:r w:rsidRPr="003B6453">
        <w:rPr>
          <w:rFonts w:ascii="Times New Roman" w:hAnsi="Times New Roman" w:cs="Times New Roman"/>
          <w:sz w:val="24"/>
          <w:szCs w:val="24"/>
          <w:lang w:val="es-AR"/>
        </w:rPr>
        <w:t xml:space="preserve"> (2022) destaca que la sensibilidad cultural y la adecuación del mensaje a las particularidades del entorno resultan determinantes para la aceptación del negocio. En el Alto Valle, los consumidores tienden a valorar especialmente la cercanía, la personalización del trato y la integración del emprendimiento con la vida comunitaria. Esto implica que la franquicia debe adaptar aspectos de su comunicación, el diseño de los locales y las estrategias de marketing digital, incorporando un tono más próximo y territorial, sin perder coherencia con la propuesta gourmet central ni diluir los atributos diferenciales de la marca. La capacidad de equilibrar estandarización y adaptación </w:t>
      </w:r>
      <w:r w:rsidR="005910F0" w:rsidRPr="003B6453">
        <w:rPr>
          <w:rFonts w:ascii="Times New Roman" w:hAnsi="Times New Roman" w:cs="Times New Roman"/>
          <w:sz w:val="24"/>
          <w:szCs w:val="24"/>
          <w:lang w:val="es-AR"/>
        </w:rPr>
        <w:t>emerge,</w:t>
      </w:r>
      <w:r w:rsidRPr="003B6453">
        <w:rPr>
          <w:rFonts w:ascii="Times New Roman" w:hAnsi="Times New Roman" w:cs="Times New Roman"/>
          <w:sz w:val="24"/>
          <w:szCs w:val="24"/>
          <w:lang w:val="es-AR"/>
        </w:rPr>
        <w:t xml:space="preserve"> así como un factor crítico para la consolidación del negocio en el ámbito regional.</w:t>
      </w:r>
    </w:p>
    <w:p w14:paraId="0969AA0F" w14:textId="77777777"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Otro desafío específico asociado al desarrollo de franquicias en ciudades intermedias es la </w:t>
      </w:r>
      <w:r w:rsidRPr="003B6453">
        <w:rPr>
          <w:rFonts w:ascii="Times New Roman" w:hAnsi="Times New Roman" w:cs="Times New Roman"/>
          <w:b/>
          <w:bCs/>
          <w:sz w:val="24"/>
          <w:szCs w:val="24"/>
          <w:lang w:val="es-AR"/>
        </w:rPr>
        <w:t>escala del mercado</w:t>
      </w:r>
      <w:r w:rsidRPr="003B6453">
        <w:rPr>
          <w:rFonts w:ascii="Times New Roman" w:hAnsi="Times New Roman" w:cs="Times New Roman"/>
          <w:sz w:val="24"/>
          <w:szCs w:val="24"/>
          <w:lang w:val="es-AR"/>
        </w:rPr>
        <w:t xml:space="preserve">. A diferencia de las grandes áreas metropolitanas, estas localidades presentan una población más reducida y, en muchos casos, geográficamente dispersa, lo que obliga a diseñar unidades de negocio más pequeñas, altamente eficientes y con </w:t>
      </w:r>
      <w:r w:rsidRPr="003B6453">
        <w:rPr>
          <w:rFonts w:ascii="Times New Roman" w:hAnsi="Times New Roman" w:cs="Times New Roman"/>
          <w:sz w:val="24"/>
          <w:szCs w:val="24"/>
          <w:lang w:val="es-AR"/>
        </w:rPr>
        <w:lastRenderedPageBreak/>
        <w:t xml:space="preserve">estructuras de costos ajustadas. En este contexto, las estrategias de fidelización adquieren un rol central, ya que la recurrencia de los clientes se vuelve clave para sostener los niveles de facturación.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(1990) sostiene que en estos escenarios cobra especial relevancia la conformación de </w:t>
      </w:r>
      <w:proofErr w:type="spellStart"/>
      <w:r w:rsidRPr="003B6453">
        <w:rPr>
          <w:rFonts w:ascii="Times New Roman" w:hAnsi="Times New Roman" w:cs="Times New Roman"/>
          <w:b/>
          <w:bCs/>
          <w:sz w:val="24"/>
          <w:szCs w:val="24"/>
          <w:lang w:val="es-AR"/>
        </w:rPr>
        <w:t>clusters</w:t>
      </w:r>
      <w:proofErr w:type="spellEnd"/>
      <w:r w:rsidRPr="003B6453">
        <w:rPr>
          <w:rFonts w:ascii="Times New Roman" w:hAnsi="Times New Roman" w:cs="Times New Roman"/>
          <w:b/>
          <w:bCs/>
          <w:sz w:val="24"/>
          <w:szCs w:val="24"/>
          <w:lang w:val="es-AR"/>
        </w:rPr>
        <w:t xml:space="preserve"> regionales</w:t>
      </w:r>
      <w:r w:rsidRPr="003B6453">
        <w:rPr>
          <w:rFonts w:ascii="Times New Roman" w:hAnsi="Times New Roman" w:cs="Times New Roman"/>
          <w:sz w:val="24"/>
          <w:szCs w:val="24"/>
          <w:lang w:val="es-AR"/>
        </w:rPr>
        <w:t>, entendidos como redes de proveedores, distribuidores, instituciones de apoyo y clientes que potencian la competitividad de una industria. Para la franquicia propuesta, la articulación con proveedores locales, asociaciones empresarias, cámaras sectoriales y programas municipales de apoyo al emprendedor se presenta como una estrategia fundamental para fortalecer la cadena de valor, reducir costos operativos y sostener la operación en el tiempo. De este modo, la inserción del negocio en el entramado productivo regional no solo mejora su desempeño económico, sino que también contribuye a su legitimidad social y a su consolidación como actor relevante dentro del ecosistema local.</w:t>
      </w:r>
    </w:p>
    <w:p w14:paraId="09EF6BD3" w14:textId="7E7BC49B" w:rsidR="007974DE" w:rsidRPr="003B6453" w:rsidRDefault="00491BC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C</w:t>
      </w:r>
      <w:r w:rsidR="007974DE" w:rsidRPr="003B6453">
        <w:rPr>
          <w:rFonts w:ascii="Times New Roman" w:hAnsi="Times New Roman" w:cs="Times New Roman"/>
          <w:sz w:val="24"/>
          <w:szCs w:val="24"/>
          <w:lang w:val="es-AR"/>
        </w:rPr>
        <w:t>on el propósito de sintetizar los principales condicionantes que diferencian el desarrollo de franquicias en contextos regionales respecto de los grandes centros urbanos, la Tabla 4 resume los factores estructurales más relevantes identificados para el caso del Alto Valle. Esta sistematización permite vincular las características propias del entorno regional con las implicancias estratégicas y operativas que dichas condiciones generan para el diseño y la gestión del modelo de franquicia.</w:t>
      </w:r>
    </w:p>
    <w:p w14:paraId="5C86FC3F" w14:textId="77777777" w:rsidR="007974DE" w:rsidRPr="003B6453" w:rsidRDefault="007974DE" w:rsidP="003B6453">
      <w:pPr>
        <w:spacing w:line="360" w:lineRule="auto"/>
        <w:jc w:val="both"/>
        <w:rPr>
          <w:rFonts w:ascii="Times New Roman" w:hAnsi="Times New Roman" w:cs="Times New Roman"/>
          <w:sz w:val="24"/>
          <w:szCs w:val="24"/>
          <w:lang w:val="es-AR"/>
        </w:rPr>
      </w:pPr>
    </w:p>
    <w:p w14:paraId="40DADF60" w14:textId="77777777" w:rsidR="00491BCF" w:rsidRPr="003B6453" w:rsidRDefault="00491BCF" w:rsidP="003B6453">
      <w:pPr>
        <w:spacing w:line="360" w:lineRule="auto"/>
        <w:jc w:val="both"/>
        <w:rPr>
          <w:rFonts w:ascii="Times New Roman" w:hAnsi="Times New Roman" w:cs="Times New Roman"/>
          <w:sz w:val="24"/>
          <w:szCs w:val="24"/>
          <w:lang w:val="es-AR"/>
        </w:rPr>
      </w:pPr>
    </w:p>
    <w:p w14:paraId="6482095B" w14:textId="77777777" w:rsidR="00491BCF" w:rsidRPr="003B6453" w:rsidRDefault="00491BCF" w:rsidP="003B6453">
      <w:pPr>
        <w:spacing w:line="360" w:lineRule="auto"/>
        <w:jc w:val="both"/>
        <w:rPr>
          <w:rFonts w:ascii="Times New Roman" w:hAnsi="Times New Roman" w:cs="Times New Roman"/>
          <w:sz w:val="24"/>
          <w:szCs w:val="24"/>
          <w:lang w:val="es-AR"/>
        </w:rPr>
      </w:pPr>
    </w:p>
    <w:p w14:paraId="187C099E" w14:textId="77777777" w:rsidR="0039770B" w:rsidRPr="003B6453" w:rsidRDefault="0039770B"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Tabla 4. Factores diferenciales de las franquicias en contextos regionales</w:t>
      </w:r>
    </w:p>
    <w:tbl>
      <w:tblPr>
        <w:tblStyle w:val="GridTable5DarkAccent5"/>
        <w:tblW w:w="0" w:type="auto"/>
        <w:tblLook w:val="04A0" w:firstRow="1" w:lastRow="0" w:firstColumn="1" w:lastColumn="0" w:noHBand="0" w:noVBand="1"/>
      </w:tblPr>
      <w:tblGrid>
        <w:gridCol w:w="1478"/>
        <w:gridCol w:w="3910"/>
        <w:gridCol w:w="3666"/>
      </w:tblGrid>
      <w:tr w:rsidR="0039770B" w:rsidRPr="003B6453" w14:paraId="7B3DBD1A" w14:textId="77777777" w:rsidTr="00491B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89BF0C" w14:textId="77777777" w:rsidR="0039770B" w:rsidRPr="003B6453" w:rsidRDefault="0039770B" w:rsidP="003B6453">
            <w:pPr>
              <w:spacing w:line="360" w:lineRule="auto"/>
              <w:jc w:val="both"/>
              <w:rPr>
                <w:rFonts w:ascii="Times New Roman" w:hAnsi="Times New Roman" w:cs="Times New Roman"/>
                <w:b w:val="0"/>
                <w:bCs w:val="0"/>
                <w:sz w:val="24"/>
                <w:szCs w:val="24"/>
              </w:rPr>
            </w:pPr>
            <w:r w:rsidRPr="003B6453">
              <w:rPr>
                <w:rFonts w:ascii="Times New Roman" w:hAnsi="Times New Roman" w:cs="Times New Roman"/>
                <w:sz w:val="24"/>
                <w:szCs w:val="24"/>
              </w:rPr>
              <w:t>Factor</w:t>
            </w:r>
          </w:p>
        </w:tc>
        <w:tc>
          <w:tcPr>
            <w:tcW w:w="0" w:type="auto"/>
            <w:hideMark/>
          </w:tcPr>
          <w:p w14:paraId="64732897" w14:textId="77777777" w:rsidR="0039770B" w:rsidRPr="003B6453" w:rsidRDefault="0039770B"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s-AR"/>
              </w:rPr>
            </w:pPr>
            <w:r w:rsidRPr="003B6453">
              <w:rPr>
                <w:rFonts w:ascii="Times New Roman" w:hAnsi="Times New Roman" w:cs="Times New Roman"/>
                <w:sz w:val="24"/>
                <w:szCs w:val="24"/>
                <w:lang w:val="es-AR"/>
              </w:rPr>
              <w:t>Características en el Alto Valle</w:t>
            </w:r>
          </w:p>
        </w:tc>
        <w:tc>
          <w:tcPr>
            <w:tcW w:w="0" w:type="auto"/>
            <w:hideMark/>
          </w:tcPr>
          <w:p w14:paraId="30E92503" w14:textId="77777777" w:rsidR="0039770B" w:rsidRPr="003B6453" w:rsidRDefault="0039770B"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sz w:val="24"/>
                <w:szCs w:val="24"/>
              </w:rPr>
              <w:t>Implicancias</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para</w:t>
            </w:r>
            <w:proofErr w:type="spellEnd"/>
            <w:r w:rsidRPr="003B6453">
              <w:rPr>
                <w:rFonts w:ascii="Times New Roman" w:hAnsi="Times New Roman" w:cs="Times New Roman"/>
                <w:sz w:val="24"/>
                <w:szCs w:val="24"/>
              </w:rPr>
              <w:t xml:space="preserve"> la </w:t>
            </w:r>
            <w:proofErr w:type="spellStart"/>
            <w:r w:rsidRPr="003B6453">
              <w:rPr>
                <w:rFonts w:ascii="Times New Roman" w:hAnsi="Times New Roman" w:cs="Times New Roman"/>
                <w:sz w:val="24"/>
                <w:szCs w:val="24"/>
              </w:rPr>
              <w:t>franquicia</w:t>
            </w:r>
            <w:proofErr w:type="spellEnd"/>
          </w:p>
        </w:tc>
      </w:tr>
      <w:tr w:rsidR="0039770B" w:rsidRPr="003B6453" w14:paraId="3F4448D6" w14:textId="77777777" w:rsidTr="00491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8C868F" w14:textId="77777777" w:rsidR="0039770B" w:rsidRPr="003B6453" w:rsidRDefault="0039770B"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 xml:space="preserve">Mano de </w:t>
            </w:r>
            <w:proofErr w:type="spellStart"/>
            <w:r w:rsidRPr="003B6453">
              <w:rPr>
                <w:rFonts w:ascii="Times New Roman" w:hAnsi="Times New Roman" w:cs="Times New Roman"/>
                <w:sz w:val="24"/>
                <w:szCs w:val="24"/>
              </w:rPr>
              <w:t>obra</w:t>
            </w:r>
            <w:proofErr w:type="spellEnd"/>
          </w:p>
        </w:tc>
        <w:tc>
          <w:tcPr>
            <w:tcW w:w="0" w:type="auto"/>
            <w:hideMark/>
          </w:tcPr>
          <w:p w14:paraId="4C12D605"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Alta competencia por efecto del sector petrolero; escasez de personal gastronómico</w:t>
            </w:r>
          </w:p>
        </w:tc>
        <w:tc>
          <w:tcPr>
            <w:tcW w:w="0" w:type="auto"/>
            <w:hideMark/>
          </w:tcPr>
          <w:p w14:paraId="09A94EE4"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Diseñar programas de capacitación, incentivos y beneficios no monetarios</w:t>
            </w:r>
          </w:p>
        </w:tc>
      </w:tr>
      <w:tr w:rsidR="0039770B" w:rsidRPr="003B6453" w14:paraId="50F4E7A2" w14:textId="77777777" w:rsidTr="00491BCF">
        <w:tc>
          <w:tcPr>
            <w:cnfStyle w:val="001000000000" w:firstRow="0" w:lastRow="0" w:firstColumn="1" w:lastColumn="0" w:oddVBand="0" w:evenVBand="0" w:oddHBand="0" w:evenHBand="0" w:firstRowFirstColumn="0" w:firstRowLastColumn="0" w:lastRowFirstColumn="0" w:lastRowLastColumn="0"/>
            <w:tcW w:w="0" w:type="auto"/>
            <w:hideMark/>
          </w:tcPr>
          <w:p w14:paraId="39AB0293" w14:textId="77777777" w:rsidR="0039770B" w:rsidRPr="003B6453" w:rsidRDefault="0039770B"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Logística</w:t>
            </w:r>
            <w:proofErr w:type="spellEnd"/>
          </w:p>
        </w:tc>
        <w:tc>
          <w:tcPr>
            <w:tcW w:w="0" w:type="auto"/>
            <w:hideMark/>
          </w:tcPr>
          <w:p w14:paraId="708E8A28"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Distancia a grandes centros de abastecimiento; costos de transporte elevados</w:t>
            </w:r>
          </w:p>
        </w:tc>
        <w:tc>
          <w:tcPr>
            <w:tcW w:w="0" w:type="auto"/>
            <w:hideMark/>
          </w:tcPr>
          <w:p w14:paraId="275708AF"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Seleccionar proveedores regionales confiables; protocolos de control de calidad</w:t>
            </w:r>
          </w:p>
        </w:tc>
      </w:tr>
      <w:tr w:rsidR="0039770B" w:rsidRPr="003B6453" w14:paraId="05DF1CD3" w14:textId="77777777" w:rsidTr="00491B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670552" w14:textId="77777777" w:rsidR="0039770B" w:rsidRPr="003B6453" w:rsidRDefault="0039770B"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lastRenderedPageBreak/>
              <w:t>Cultura</w:t>
            </w:r>
            <w:proofErr w:type="spellEnd"/>
            <w:r w:rsidRPr="003B6453">
              <w:rPr>
                <w:rFonts w:ascii="Times New Roman" w:hAnsi="Times New Roman" w:cs="Times New Roman"/>
                <w:sz w:val="24"/>
                <w:szCs w:val="24"/>
              </w:rPr>
              <w:t xml:space="preserve"> local</w:t>
            </w:r>
          </w:p>
        </w:tc>
        <w:tc>
          <w:tcPr>
            <w:tcW w:w="0" w:type="auto"/>
            <w:hideMark/>
          </w:tcPr>
          <w:p w14:paraId="314401F7"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Preferencia por cercanía y personalización</w:t>
            </w:r>
          </w:p>
        </w:tc>
        <w:tc>
          <w:tcPr>
            <w:tcW w:w="0" w:type="auto"/>
            <w:hideMark/>
          </w:tcPr>
          <w:p w14:paraId="190C3F25"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Adaptar comunicación y ambientación, manteniendo identidad gourmet</w:t>
            </w:r>
          </w:p>
        </w:tc>
      </w:tr>
      <w:tr w:rsidR="0039770B" w:rsidRPr="003B6453" w14:paraId="2A4B5777" w14:textId="77777777" w:rsidTr="00491BCF">
        <w:tc>
          <w:tcPr>
            <w:cnfStyle w:val="001000000000" w:firstRow="0" w:lastRow="0" w:firstColumn="1" w:lastColumn="0" w:oddVBand="0" w:evenVBand="0" w:oddHBand="0" w:evenHBand="0" w:firstRowFirstColumn="0" w:firstRowLastColumn="0" w:lastRowFirstColumn="0" w:lastRowLastColumn="0"/>
            <w:tcW w:w="0" w:type="auto"/>
            <w:hideMark/>
          </w:tcPr>
          <w:p w14:paraId="5B618ED6" w14:textId="77777777" w:rsidR="0039770B" w:rsidRPr="003B6453" w:rsidRDefault="0039770B"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Escala</w:t>
            </w:r>
            <w:proofErr w:type="spellEnd"/>
            <w:r w:rsidRPr="003B6453">
              <w:rPr>
                <w:rFonts w:ascii="Times New Roman" w:hAnsi="Times New Roman" w:cs="Times New Roman"/>
                <w:sz w:val="24"/>
                <w:szCs w:val="24"/>
              </w:rPr>
              <w:t xml:space="preserve"> de </w:t>
            </w:r>
            <w:proofErr w:type="spellStart"/>
            <w:r w:rsidRPr="003B6453">
              <w:rPr>
                <w:rFonts w:ascii="Times New Roman" w:hAnsi="Times New Roman" w:cs="Times New Roman"/>
                <w:sz w:val="24"/>
                <w:szCs w:val="24"/>
              </w:rPr>
              <w:t>mercado</w:t>
            </w:r>
            <w:proofErr w:type="spellEnd"/>
          </w:p>
        </w:tc>
        <w:tc>
          <w:tcPr>
            <w:tcW w:w="0" w:type="auto"/>
            <w:hideMark/>
          </w:tcPr>
          <w:p w14:paraId="48B18CD2"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Población</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intermedia</w:t>
            </w:r>
            <w:proofErr w:type="spellEnd"/>
            <w:r w:rsidRPr="003B6453">
              <w:rPr>
                <w:rFonts w:ascii="Times New Roman" w:hAnsi="Times New Roman" w:cs="Times New Roman"/>
                <w:sz w:val="24"/>
                <w:szCs w:val="24"/>
              </w:rPr>
              <w:t xml:space="preserve"> y </w:t>
            </w:r>
            <w:proofErr w:type="spellStart"/>
            <w:r w:rsidRPr="003B6453">
              <w:rPr>
                <w:rFonts w:ascii="Times New Roman" w:hAnsi="Times New Roman" w:cs="Times New Roman"/>
                <w:sz w:val="24"/>
                <w:szCs w:val="24"/>
              </w:rPr>
              <w:t>dispersa</w:t>
            </w:r>
            <w:proofErr w:type="spellEnd"/>
          </w:p>
        </w:tc>
        <w:tc>
          <w:tcPr>
            <w:tcW w:w="0" w:type="auto"/>
            <w:hideMark/>
          </w:tcPr>
          <w:p w14:paraId="5E742F66"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Diseñar locales más pequeños y eficientes; fortalecer fidelización</w:t>
            </w:r>
          </w:p>
        </w:tc>
      </w:tr>
    </w:tbl>
    <w:p w14:paraId="276729ED" w14:textId="77777777" w:rsidR="0039770B" w:rsidRPr="003B6453" w:rsidRDefault="0039770B"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w:t>
      </w:r>
      <w:proofErr w:type="spellStart"/>
      <w:r w:rsidRPr="003B6453">
        <w:rPr>
          <w:rFonts w:ascii="Times New Roman" w:hAnsi="Times New Roman" w:cs="Times New Roman"/>
          <w:sz w:val="24"/>
          <w:szCs w:val="24"/>
          <w:lang w:val="es-AR"/>
        </w:rPr>
        <w:t>Kantis</w:t>
      </w:r>
      <w:proofErr w:type="spellEnd"/>
      <w:r w:rsidRPr="003B6453">
        <w:rPr>
          <w:rFonts w:ascii="Times New Roman" w:hAnsi="Times New Roman" w:cs="Times New Roman"/>
          <w:sz w:val="24"/>
          <w:szCs w:val="24"/>
          <w:lang w:val="es-AR"/>
        </w:rPr>
        <w:t xml:space="preserve"> (2017),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(1990), IAE Business </w:t>
      </w:r>
      <w:proofErr w:type="spellStart"/>
      <w:r w:rsidRPr="003B6453">
        <w:rPr>
          <w:rFonts w:ascii="Times New Roman" w:hAnsi="Times New Roman" w:cs="Times New Roman"/>
          <w:sz w:val="24"/>
          <w:szCs w:val="24"/>
          <w:lang w:val="es-AR"/>
        </w:rPr>
        <w:t>School</w:t>
      </w:r>
      <w:proofErr w:type="spellEnd"/>
      <w:r w:rsidRPr="003B6453">
        <w:rPr>
          <w:rFonts w:ascii="Times New Roman" w:hAnsi="Times New Roman" w:cs="Times New Roman"/>
          <w:sz w:val="24"/>
          <w:szCs w:val="24"/>
          <w:lang w:val="es-AR"/>
        </w:rPr>
        <w:t xml:space="preserve"> (2022).</w:t>
      </w:r>
    </w:p>
    <w:p w14:paraId="40B5C594" w14:textId="77777777"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Tal como se observa en la Tabla 4, el desarrollo de franquicias en el Alto Valle se encuentra condicionado por un conjunto de factores estructurales que requieren estrategias específicas de adaptación. La competencia por la mano de obra, derivada de la fuerte presencia del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 obliga a repensar los esquemas tradicionales de gestión de recursos humanos en gastronomía, incorporando mecanismos de capacitación intensiva, incentivos no monetarios y propuestas de valor laboral diferenciadas. En paralelo, las limitaciones logísticas asociadas a la distancia de los grandes centros de abastecimiento refuerzan la importancia de construir relaciones sólidas con proveedores regionales y de implementar controles de calidad estrictos que aseguren la consistencia del producto.</w:t>
      </w:r>
    </w:p>
    <w:p w14:paraId="18699323" w14:textId="77777777" w:rsidR="007974DE"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Asimismo, la cultura local y la escala del mercado emergen como variables críticas que influyen directamente en el diseño del modelo de franquicia. La preferencia de los consumidores por la cercanía y la personalización exige adaptar la comunicación, la ambientación y el vínculo con la comunidad, sin perder coherencia con la identidad gourmet de la marca. Por su parte, la menor escala poblacional de las ciudades intermedias demanda unidades operativas más eficientes y estrategias de fidelización orientadas a maximizar la recurrencia. En conjunto, estos factores confirman que la viabilidad de la franquicia no depende únicamente de la fortaleza del concepto, sino de su capacidad para integrarse de manera estratégica al entramado productivo, social y cultural del entorno regional.</w:t>
      </w:r>
    </w:p>
    <w:p w14:paraId="3BC03DB1" w14:textId="5BC03692" w:rsidR="0039770B" w:rsidRPr="003B6453" w:rsidRDefault="007974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síntesis, la expansión de franquicias en contextos regionales exige una mirada estratégica integral que contemple de manera explícita las particularidades del territorio en el que el negocio se inserta. El éxito de este tipo de modelos no depende únicamente de la fortaleza de la marca ni de la correcta estandarización de procesos operativos, sino, </w:t>
      </w:r>
      <w:r w:rsidRPr="003B6453">
        <w:rPr>
          <w:rFonts w:ascii="Times New Roman" w:hAnsi="Times New Roman" w:cs="Times New Roman"/>
          <w:sz w:val="24"/>
          <w:szCs w:val="24"/>
          <w:lang w:val="es-AR"/>
        </w:rPr>
        <w:lastRenderedPageBreak/>
        <w:t xml:space="preserve">fundamentalmente, de la capacidad de adaptación a condiciones laborales, logísticas, culturales y de mercado que difieren sustancialmente de las observadas en los grandes centros urbanos. En el caso del Alto Valle, estas particularidades se manifiestan en un mercado laboral tensionado por la competencia del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 xml:space="preserve">, en desafíos logísticos derivados de la distancia a los principales centros de abastecimiento, en patrones culturales que privilegian la cercanía y la integración comunitaria, y en una escala de mercado que exige eficiencia y fidelización. Asumir estos factores no como obstáculos, sino como variables estructurales del diseño del modelo de negocio, permitirá a la franquicia de medialunas gourmet desarrollar una propuesta coherente con el entorno, capaz de adaptarse a sus dinámicas específicas. De este modo, la integración estratégica de las condiciones regionales se convierte en un elemento central para consolidar una franquicia viable, </w:t>
      </w:r>
      <w:proofErr w:type="spellStart"/>
      <w:r w:rsidRPr="003B6453">
        <w:rPr>
          <w:rFonts w:ascii="Times New Roman" w:hAnsi="Times New Roman" w:cs="Times New Roman"/>
          <w:sz w:val="24"/>
          <w:szCs w:val="24"/>
          <w:lang w:val="es-AR"/>
        </w:rPr>
        <w:t>resiliente</w:t>
      </w:r>
      <w:proofErr w:type="spellEnd"/>
      <w:r w:rsidRPr="003B6453">
        <w:rPr>
          <w:rFonts w:ascii="Times New Roman" w:hAnsi="Times New Roman" w:cs="Times New Roman"/>
          <w:sz w:val="24"/>
          <w:szCs w:val="24"/>
          <w:lang w:val="es-AR"/>
        </w:rPr>
        <w:t xml:space="preserve"> y competitiva, preparada para sostener su crecimiento en un entorno </w:t>
      </w:r>
      <w:r w:rsidR="00491BCF" w:rsidRPr="003B6453">
        <w:rPr>
          <w:rFonts w:ascii="Times New Roman" w:hAnsi="Times New Roman" w:cs="Times New Roman"/>
          <w:sz w:val="24"/>
          <w:szCs w:val="24"/>
          <w:lang w:val="es-AR"/>
        </w:rPr>
        <w:t>desafiante,</w:t>
      </w:r>
      <w:r w:rsidRPr="003B6453">
        <w:rPr>
          <w:rFonts w:ascii="Times New Roman" w:hAnsi="Times New Roman" w:cs="Times New Roman"/>
          <w:sz w:val="24"/>
          <w:szCs w:val="24"/>
          <w:lang w:val="es-AR"/>
        </w:rPr>
        <w:t xml:space="preserve"> pero al mismo tiempo, pleno de oportunidades.</w:t>
      </w:r>
    </w:p>
    <w:p w14:paraId="123C589D" w14:textId="24AF1B87" w:rsidR="0039770B" w:rsidRPr="003B6453" w:rsidRDefault="0039770B" w:rsidP="003B6453">
      <w:pPr>
        <w:pStyle w:val="Ttulo2"/>
        <w:spacing w:line="360" w:lineRule="auto"/>
        <w:jc w:val="both"/>
        <w:rPr>
          <w:rFonts w:ascii="Times New Roman" w:hAnsi="Times New Roman" w:cs="Times New Roman"/>
          <w:sz w:val="24"/>
          <w:szCs w:val="24"/>
          <w:lang w:val="es-AR"/>
        </w:rPr>
      </w:pPr>
      <w:bookmarkStart w:id="7" w:name="_Toc228546574"/>
      <w:r w:rsidRPr="003B6453">
        <w:rPr>
          <w:rFonts w:ascii="Times New Roman" w:hAnsi="Times New Roman" w:cs="Times New Roman"/>
          <w:sz w:val="24"/>
          <w:szCs w:val="24"/>
          <w:lang w:val="es-AR"/>
        </w:rPr>
        <w:t>1.5 Modelos de negocio y herramientas estratégicas</w:t>
      </w:r>
      <w:bookmarkEnd w:id="7"/>
      <w:r w:rsidR="00491BCF" w:rsidRPr="003B6453">
        <w:rPr>
          <w:rFonts w:ascii="Times New Roman" w:hAnsi="Times New Roman" w:cs="Times New Roman"/>
          <w:sz w:val="24"/>
          <w:szCs w:val="24"/>
          <w:lang w:val="es-AR"/>
        </w:rPr>
        <w:t xml:space="preserve"> </w:t>
      </w:r>
    </w:p>
    <w:p w14:paraId="06910E0E" w14:textId="77777777"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Además del análisis del formato de franquicia, la evaluación de la factibilidad de un proyecto gastronómico requiere apoyarse en herramientas estratégicas que permitan visualizar de manera integral la lógica del negocio y anticipar su desempeño competitivo en entornos dinámicos. Estas herramientas facilitan la comprensión de cómo una empresa crea, entrega y captura valor, y permiten ordenar conceptualmente decisiones vinculadas a la propuesta de valor, la estructura de costos, las fuentes de ingresos y la relación con los clientes. En contextos de incertidumbre económica y competencia creciente, como el argentino, la utilización de marcos conceptuales consolidados se vuelve un recurso fundamental para reducir la improvisación y fortalecer la toma de decisiones estratégicas.</w:t>
      </w:r>
    </w:p>
    <w:p w14:paraId="5475DF5D" w14:textId="77777777"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Uno de los enfoques más difundidos en la literatura contemporánea es el Business </w:t>
      </w:r>
      <w:proofErr w:type="spellStart"/>
      <w:r w:rsidRPr="003B6453">
        <w:rPr>
          <w:rFonts w:ascii="Times New Roman" w:hAnsi="Times New Roman" w:cs="Times New Roman"/>
          <w:sz w:val="24"/>
          <w:szCs w:val="24"/>
          <w:lang w:val="es-AR"/>
        </w:rPr>
        <w:t>Model</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propuesto por </w:t>
      </w:r>
      <w:proofErr w:type="spellStart"/>
      <w:r w:rsidRPr="003B6453">
        <w:rPr>
          <w:rFonts w:ascii="Times New Roman" w:hAnsi="Times New Roman" w:cs="Times New Roman"/>
          <w:sz w:val="24"/>
          <w:szCs w:val="24"/>
          <w:lang w:val="es-AR"/>
        </w:rPr>
        <w:t>Osterwalder</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Pigneur</w:t>
      </w:r>
      <w:proofErr w:type="spellEnd"/>
      <w:r w:rsidRPr="003B6453">
        <w:rPr>
          <w:rFonts w:ascii="Times New Roman" w:hAnsi="Times New Roman" w:cs="Times New Roman"/>
          <w:sz w:val="24"/>
          <w:szCs w:val="24"/>
          <w:lang w:val="es-AR"/>
        </w:rPr>
        <w:t xml:space="preserve"> (2010). Esta herramienta representa, a través de un esquema visual de nueve bloques, la lógica del modelo de negocio: segmentos de clientes, propuesta de valor, canales, relaciones con clientes, fuentes de ingresos, recursos clave, actividades clave, socios estratégicos y estructura de costos. Su principal fortaleza radica en la simplicidad con la que permite integrar todos los componentes esenciales de una empresa en un único lienzo, facilitando tanto la planificación estratégica como la </w:t>
      </w:r>
      <w:r w:rsidRPr="003B6453">
        <w:rPr>
          <w:rFonts w:ascii="Times New Roman" w:hAnsi="Times New Roman" w:cs="Times New Roman"/>
          <w:sz w:val="24"/>
          <w:szCs w:val="24"/>
          <w:lang w:val="es-AR"/>
        </w:rPr>
        <w:lastRenderedPageBreak/>
        <w:t xml:space="preserve">comunicación del modelo a potenciales inversores, franquiciados y socios. En el caso de una franquicia gastronómica, el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resulta especialmente útil para explicitar de qué manera la propuesta gourmet de medialunas satisface necesidades específicas del consumidor, cómo se organiza la cadena de valor y qué elementos diferenciales sostienen la ventaja competitiva del negocio.</w:t>
      </w:r>
    </w:p>
    <w:p w14:paraId="7803E13D" w14:textId="6CBFC77C"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Lean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desarrollado por </w:t>
      </w:r>
      <w:proofErr w:type="spellStart"/>
      <w:r w:rsidRPr="003B6453">
        <w:rPr>
          <w:rFonts w:ascii="Times New Roman" w:hAnsi="Times New Roman" w:cs="Times New Roman"/>
          <w:sz w:val="24"/>
          <w:szCs w:val="24"/>
          <w:lang w:val="es-AR"/>
        </w:rPr>
        <w:t>Ash</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Maurya</w:t>
      </w:r>
      <w:proofErr w:type="spellEnd"/>
      <w:r w:rsidRPr="003B6453">
        <w:rPr>
          <w:rFonts w:ascii="Times New Roman" w:hAnsi="Times New Roman" w:cs="Times New Roman"/>
          <w:sz w:val="24"/>
          <w:szCs w:val="24"/>
          <w:lang w:val="es-AR"/>
        </w:rPr>
        <w:t xml:space="preserve"> (2012), adapta el modelo original de </w:t>
      </w:r>
      <w:proofErr w:type="spellStart"/>
      <w:r w:rsidRPr="003B6453">
        <w:rPr>
          <w:rFonts w:ascii="Times New Roman" w:hAnsi="Times New Roman" w:cs="Times New Roman"/>
          <w:sz w:val="24"/>
          <w:szCs w:val="24"/>
          <w:lang w:val="es-AR"/>
        </w:rPr>
        <w:t>Osterwalder</w:t>
      </w:r>
      <w:proofErr w:type="spellEnd"/>
      <w:r w:rsidRPr="003B6453">
        <w:rPr>
          <w:rFonts w:ascii="Times New Roman" w:hAnsi="Times New Roman" w:cs="Times New Roman"/>
          <w:sz w:val="24"/>
          <w:szCs w:val="24"/>
          <w:lang w:val="es-AR"/>
        </w:rPr>
        <w:t xml:space="preserve"> al contexto de </w:t>
      </w:r>
      <w:proofErr w:type="spellStart"/>
      <w:r w:rsidRPr="003B6453">
        <w:rPr>
          <w:rFonts w:ascii="Times New Roman" w:hAnsi="Times New Roman" w:cs="Times New Roman"/>
          <w:sz w:val="24"/>
          <w:szCs w:val="24"/>
          <w:lang w:val="es-AR"/>
        </w:rPr>
        <w:t>startups</w:t>
      </w:r>
      <w:proofErr w:type="spellEnd"/>
      <w:r w:rsidRPr="003B6453">
        <w:rPr>
          <w:rFonts w:ascii="Times New Roman" w:hAnsi="Times New Roman" w:cs="Times New Roman"/>
          <w:sz w:val="24"/>
          <w:szCs w:val="24"/>
          <w:lang w:val="es-AR"/>
        </w:rPr>
        <w:t xml:space="preserve"> y emprendimientos en etapas tempranas, priorizando la validación de hipótesis frente a la planificación exhaustiva. Este enfoque sustituye algunos bloques tradicionales por otros orientados a identificar problemas, soluciones, métricas clave y ventajas competitivas difíciles de imitar. Si bien la franquicia de medialunas gourmet no se encuadra estrictamente dentro de un emprendimiento tecnológico, la lógica del Lean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resulta pertinente para testear de manera ágil la aceptación de la propuesta, identificar con precisión los problemas que resuelve para el consumidor —como la escasez de opciones gourmet en el segmento de panificación o la búsqueda de productos diferenciados— y validar empíricamente los atributos más valorados por el mercado. De este modo, el Lean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complementa al Business </w:t>
      </w:r>
      <w:proofErr w:type="spellStart"/>
      <w:r w:rsidRPr="003B6453">
        <w:rPr>
          <w:rFonts w:ascii="Times New Roman" w:hAnsi="Times New Roman" w:cs="Times New Roman"/>
          <w:sz w:val="24"/>
          <w:szCs w:val="24"/>
          <w:lang w:val="es-AR"/>
        </w:rPr>
        <w:t>Model</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aportando una mirada más dinámica y orientada al aprendizaje.</w:t>
      </w:r>
    </w:p>
    <w:p w14:paraId="30C6740E" w14:textId="1454C34B"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paralelo, se han desarrollado variantes del modelo original que incorporan dimensiones sociales y ambientales, como el Social Business </w:t>
      </w:r>
      <w:proofErr w:type="spellStart"/>
      <w:r w:rsidRPr="003B6453">
        <w:rPr>
          <w:rFonts w:ascii="Times New Roman" w:hAnsi="Times New Roman" w:cs="Times New Roman"/>
          <w:sz w:val="24"/>
          <w:szCs w:val="24"/>
          <w:lang w:val="es-AR"/>
        </w:rPr>
        <w:t>Model</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propuesto por Joyce y </w:t>
      </w:r>
      <w:proofErr w:type="spellStart"/>
      <w:r w:rsidRPr="003B6453">
        <w:rPr>
          <w:rFonts w:ascii="Times New Roman" w:hAnsi="Times New Roman" w:cs="Times New Roman"/>
          <w:sz w:val="24"/>
          <w:szCs w:val="24"/>
          <w:lang w:val="es-AR"/>
        </w:rPr>
        <w:t>Paquin</w:t>
      </w:r>
      <w:proofErr w:type="spellEnd"/>
      <w:r w:rsidRPr="003B6453">
        <w:rPr>
          <w:rFonts w:ascii="Times New Roman" w:hAnsi="Times New Roman" w:cs="Times New Roman"/>
          <w:sz w:val="24"/>
          <w:szCs w:val="24"/>
          <w:lang w:val="es-AR"/>
        </w:rPr>
        <w:t xml:space="preserve"> (2016). Este enfoque amplía el análisis tradicional al integrar indicadores de impacto social y ambiental dentro del diseño del modelo de negocio. Si bien la sostenibilidad no constituye el eje central del presente proyecto, la creciente relevancia de los Objetivos de Desarrollo Sostenible (ODS) impulsados por Naciones Unidas sugiere que la adopción de prácticas responsables —como el abastecimiento ético de insumos, la reducción de residuos y el uso de </w:t>
      </w:r>
      <w:proofErr w:type="spellStart"/>
      <w:r w:rsidRPr="003B6453">
        <w:rPr>
          <w:rFonts w:ascii="Times New Roman" w:hAnsi="Times New Roman" w:cs="Times New Roman"/>
          <w:sz w:val="24"/>
          <w:szCs w:val="24"/>
          <w:lang w:val="es-AR"/>
        </w:rPr>
        <w:t>packaging</w:t>
      </w:r>
      <w:proofErr w:type="spellEnd"/>
      <w:r w:rsidRPr="003B6453">
        <w:rPr>
          <w:rFonts w:ascii="Times New Roman" w:hAnsi="Times New Roman" w:cs="Times New Roman"/>
          <w:sz w:val="24"/>
          <w:szCs w:val="24"/>
          <w:lang w:val="es-AR"/>
        </w:rPr>
        <w:t xml:space="preserve"> sostenible— puede transformarse en un atributo de valor agregado para segmentos de consumidores cada vez más conscientes. En el ámbito gastronómico, estas prácticas no solo contribuyen a la reputación de la marca, sino que también fortalecen su legitimidad social en contextos regionales.</w:t>
      </w:r>
    </w:p>
    <w:p w14:paraId="0294F88F" w14:textId="6C343FEA" w:rsidR="00AF614F" w:rsidRPr="003B6453" w:rsidRDefault="00553B8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noProof/>
          <w:sz w:val="24"/>
          <w:szCs w:val="24"/>
          <w:lang w:val="es-AR" w:eastAsia="es-AR"/>
        </w:rPr>
        <w:lastRenderedPageBreak/>
        <w:drawing>
          <wp:anchor distT="0" distB="0" distL="114300" distR="114300" simplePos="0" relativeHeight="251664384" behindDoc="0" locked="0" layoutInCell="1" allowOverlap="1" wp14:anchorId="7C376E7D" wp14:editId="7E86C235">
            <wp:simplePos x="0" y="0"/>
            <wp:positionH relativeFrom="margin">
              <wp:align>center</wp:align>
            </wp:positionH>
            <wp:positionV relativeFrom="paragraph">
              <wp:posOffset>3212004</wp:posOffset>
            </wp:positionV>
            <wp:extent cx="2729230" cy="2569845"/>
            <wp:effectExtent l="0" t="0" r="0" b="1905"/>
            <wp:wrapTopAndBottom/>
            <wp:docPr id="724772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72291" name=""/>
                    <pic:cNvPicPr/>
                  </pic:nvPicPr>
                  <pic:blipFill rotWithShape="1">
                    <a:blip r:embed="rId12">
                      <a:extLst>
                        <a:ext uri="{28A0092B-C50C-407E-A947-70E740481C1C}">
                          <a14:useLocalDpi xmlns:a14="http://schemas.microsoft.com/office/drawing/2010/main" val="0"/>
                        </a:ext>
                      </a:extLst>
                    </a:blip>
                    <a:srcRect b="13796"/>
                    <a:stretch/>
                  </pic:blipFill>
                  <pic:spPr bwMode="auto">
                    <a:xfrm>
                      <a:off x="0" y="0"/>
                      <a:ext cx="2729230" cy="2569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614F" w:rsidRPr="003B6453">
        <w:rPr>
          <w:rFonts w:ascii="Times New Roman" w:hAnsi="Times New Roman" w:cs="Times New Roman"/>
          <w:sz w:val="24"/>
          <w:szCs w:val="24"/>
          <w:lang w:val="es-AR"/>
        </w:rPr>
        <w:t xml:space="preserve">Más allá del diseño del modelo de negocio, el análisis de la posición competitiva continúa siendo un componente indispensable de la evaluación estratégica. Michael </w:t>
      </w:r>
      <w:proofErr w:type="spellStart"/>
      <w:r w:rsidR="00AF614F" w:rsidRPr="003B6453">
        <w:rPr>
          <w:rFonts w:ascii="Times New Roman" w:hAnsi="Times New Roman" w:cs="Times New Roman"/>
          <w:sz w:val="24"/>
          <w:szCs w:val="24"/>
          <w:lang w:val="es-AR"/>
        </w:rPr>
        <w:t>Porter</w:t>
      </w:r>
      <w:proofErr w:type="spellEnd"/>
      <w:r w:rsidR="00AF614F" w:rsidRPr="003B6453">
        <w:rPr>
          <w:rFonts w:ascii="Times New Roman" w:hAnsi="Times New Roman" w:cs="Times New Roman"/>
          <w:sz w:val="24"/>
          <w:szCs w:val="24"/>
          <w:lang w:val="es-AR"/>
        </w:rPr>
        <w:t xml:space="preserve"> (1980) desarrolló el marco de las Cinco Fuerzas, que permite analizar el atractivo estructural de una industria a partir de la rivalidad entre competidores existentes, la amenaza de nuevos entrantes, el poder de negociación de proveedores, el poder de negociación de los clientes y la amenaza de productos sustitutos. Aplicado al sector gastronómico del Alto Valle, este modelo permite identificar un entorno caracterizado por una rivalidad elevada y una amplia disponibilidad de sustitutos —como panaderías tradicionales, cafeterías, propuestas de </w:t>
      </w:r>
      <w:proofErr w:type="spellStart"/>
      <w:r w:rsidR="00AF614F" w:rsidRPr="003B6453">
        <w:rPr>
          <w:rFonts w:ascii="Times New Roman" w:hAnsi="Times New Roman" w:cs="Times New Roman"/>
          <w:sz w:val="24"/>
          <w:szCs w:val="24"/>
          <w:lang w:val="es-AR"/>
        </w:rPr>
        <w:t>brunch</w:t>
      </w:r>
      <w:proofErr w:type="spellEnd"/>
      <w:r w:rsidR="00AF614F" w:rsidRPr="003B6453">
        <w:rPr>
          <w:rFonts w:ascii="Times New Roman" w:hAnsi="Times New Roman" w:cs="Times New Roman"/>
          <w:sz w:val="24"/>
          <w:szCs w:val="24"/>
          <w:lang w:val="es-AR"/>
        </w:rPr>
        <w:t xml:space="preserve"> o pastelería artesanal—, pero también la existencia de barreras de entrada vinculadas a la estandarización de procesos, la inversión inicial y la construcción de una marca gourmet sólida y reconocible.</w:t>
      </w:r>
      <w:r w:rsidRPr="003B6453">
        <w:rPr>
          <w:rFonts w:ascii="Times New Roman" w:hAnsi="Times New Roman" w:cs="Times New Roman"/>
          <w:sz w:val="24"/>
          <w:szCs w:val="24"/>
          <w:lang w:val="es-AR"/>
        </w:rPr>
        <w:br/>
      </w:r>
    </w:p>
    <w:p w14:paraId="0A8A3A22" w14:textId="24FFCCE8" w:rsidR="00553B8E" w:rsidRPr="003B6453" w:rsidRDefault="00553B8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Figura 5: </w:t>
      </w:r>
      <w:r w:rsidR="00262D8F" w:rsidRPr="00262D8F">
        <w:rPr>
          <w:rFonts w:ascii="Times New Roman" w:hAnsi="Times New Roman" w:cs="Times New Roman"/>
          <w:sz w:val="24"/>
          <w:szCs w:val="24"/>
          <w:lang w:val="es-AR"/>
        </w:rPr>
        <w:t xml:space="preserve">“Modelo de las cinco fuerzas de </w:t>
      </w:r>
      <w:proofErr w:type="spellStart"/>
      <w:r w:rsidR="00262D8F" w:rsidRPr="00262D8F">
        <w:rPr>
          <w:rFonts w:ascii="Times New Roman" w:hAnsi="Times New Roman" w:cs="Times New Roman"/>
          <w:sz w:val="24"/>
          <w:szCs w:val="24"/>
          <w:lang w:val="es-AR"/>
        </w:rPr>
        <w:t>Porter</w:t>
      </w:r>
      <w:proofErr w:type="spellEnd"/>
      <w:r w:rsidR="00262D8F" w:rsidRPr="00262D8F">
        <w:rPr>
          <w:rFonts w:ascii="Times New Roman" w:hAnsi="Times New Roman" w:cs="Times New Roman"/>
          <w:sz w:val="24"/>
          <w:szCs w:val="24"/>
          <w:lang w:val="es-AR"/>
        </w:rPr>
        <w:t xml:space="preserve">. Elaboración propia en base a </w:t>
      </w:r>
      <w:proofErr w:type="spellStart"/>
      <w:r w:rsidR="00262D8F" w:rsidRPr="00262D8F">
        <w:rPr>
          <w:rFonts w:ascii="Times New Roman" w:hAnsi="Times New Roman" w:cs="Times New Roman"/>
          <w:sz w:val="24"/>
          <w:szCs w:val="24"/>
          <w:lang w:val="es-AR"/>
        </w:rPr>
        <w:t>Porter</w:t>
      </w:r>
      <w:proofErr w:type="spellEnd"/>
      <w:r w:rsidR="00262D8F" w:rsidRPr="00262D8F">
        <w:rPr>
          <w:rFonts w:ascii="Times New Roman" w:hAnsi="Times New Roman" w:cs="Times New Roman"/>
          <w:sz w:val="24"/>
          <w:szCs w:val="24"/>
          <w:lang w:val="es-AR"/>
        </w:rPr>
        <w:t xml:space="preserve"> (1979).”</w:t>
      </w:r>
    </w:p>
    <w:p w14:paraId="28103801" w14:textId="737C81BE"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Complementariamente, Kim y </w:t>
      </w:r>
      <w:proofErr w:type="spellStart"/>
      <w:r w:rsidRPr="003B6453">
        <w:rPr>
          <w:rFonts w:ascii="Times New Roman" w:hAnsi="Times New Roman" w:cs="Times New Roman"/>
          <w:sz w:val="24"/>
          <w:szCs w:val="24"/>
          <w:lang w:val="es-AR"/>
        </w:rPr>
        <w:t>Mauborgne</w:t>
      </w:r>
      <w:proofErr w:type="spellEnd"/>
      <w:r w:rsidRPr="003B6453">
        <w:rPr>
          <w:rFonts w:ascii="Times New Roman" w:hAnsi="Times New Roman" w:cs="Times New Roman"/>
          <w:sz w:val="24"/>
          <w:szCs w:val="24"/>
          <w:lang w:val="es-AR"/>
        </w:rPr>
        <w:t xml:space="preserve"> (2005) introducen la Estrategia del Océano Azul, que propone dejar de competir en mercados saturados —denominados océanos rojos— para crear nuevos espacios de mercado donde la competencia resulte irrelevante. Para la franquicia de medialunas gourmet, esta perspectiva adquiere especial relevancia, ya que permite repensar el posicionamiento del negocio más allá de la competencia directa con </w:t>
      </w:r>
      <w:r w:rsidRPr="003B6453">
        <w:rPr>
          <w:rFonts w:ascii="Times New Roman" w:hAnsi="Times New Roman" w:cs="Times New Roman"/>
          <w:sz w:val="24"/>
          <w:szCs w:val="24"/>
          <w:lang w:val="es-AR"/>
        </w:rPr>
        <w:lastRenderedPageBreak/>
        <w:t xml:space="preserve">panaderías o cafeterías tradicionales. La diferenciación se logra al transformar un producto simple y cotidiano en una experiencia gastronómica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mediante la combinación de indulgencia sensorial, presentación estética, ambientación del punto de venta y coherencia narrativa de marca. En este sentido, la innovación de valor no reside en la complejidad del producto, sino en la manera en que se </w:t>
      </w:r>
      <w:proofErr w:type="spellStart"/>
      <w:r w:rsidRPr="003B6453">
        <w:rPr>
          <w:rFonts w:ascii="Times New Roman" w:hAnsi="Times New Roman" w:cs="Times New Roman"/>
          <w:sz w:val="24"/>
          <w:szCs w:val="24"/>
          <w:lang w:val="es-AR"/>
        </w:rPr>
        <w:t>resignifica</w:t>
      </w:r>
      <w:proofErr w:type="spellEnd"/>
      <w:r w:rsidRPr="003B6453">
        <w:rPr>
          <w:rFonts w:ascii="Times New Roman" w:hAnsi="Times New Roman" w:cs="Times New Roman"/>
          <w:sz w:val="24"/>
          <w:szCs w:val="24"/>
          <w:lang w:val="es-AR"/>
        </w:rPr>
        <w:t xml:space="preserve"> y se presenta al consumidor.</w:t>
      </w:r>
    </w:p>
    <w:p w14:paraId="356C0195" w14:textId="2A86B7A5"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Finalmente, </w:t>
      </w:r>
      <w:proofErr w:type="spellStart"/>
      <w:r w:rsidRPr="003B6453">
        <w:rPr>
          <w:rFonts w:ascii="Times New Roman" w:hAnsi="Times New Roman" w:cs="Times New Roman"/>
          <w:sz w:val="24"/>
          <w:szCs w:val="24"/>
          <w:lang w:val="es-AR"/>
        </w:rPr>
        <w:t>Mintzberg</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Ahlstrand</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Lampel</w:t>
      </w:r>
      <w:proofErr w:type="spellEnd"/>
      <w:r w:rsidRPr="003B6453">
        <w:rPr>
          <w:rFonts w:ascii="Times New Roman" w:hAnsi="Times New Roman" w:cs="Times New Roman"/>
          <w:sz w:val="24"/>
          <w:szCs w:val="24"/>
          <w:lang w:val="es-AR"/>
        </w:rPr>
        <w:t xml:space="preserve"> (1999), en su obra Safari a la estrategia, sostienen que la estrategia no puede comprenderse desde un único enfoque teórico, sino como el resultado de la interacción de múltiples escuelas de pensamiento. Algunas enfatizan la planificación racional y deliberada, mientras que otras destacan la adaptación, el aprendizaje y la emergencia de estrategias a partir de la práctica. Para una franquicia gastronómica que busca desarrollarse en un mercado regional, esta mirada pluralista resulta particularmente pertinente. El diseño inicial del modelo debe ser sólido, coherente y estandarizado, pero al mismo tiempo debe incorporar flexibilidad para adaptarse a cambios en las preferencias del consumidor, en el marco regulatorio y en las condiciones macroeconómicas del país. Esta capacidad de combinar planificación y adaptación emerge como un factor clave para la sostenibilidad del negocio en el mediano y largo plazo.</w:t>
      </w:r>
    </w:p>
    <w:p w14:paraId="36598605" w14:textId="595BFE62"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Con el propósito de sistematizar las principales herramientas estratégicas abordadas en el marco teórico y explicitar su utilidad para el análisis de franquicias gastronómicas, la Tabla 5 resume los modelos conceptuales más relevantes, sus aportes principales y su aplicación específica al caso de estudio. Esta síntesis permite visualizar de manera integrada cómo cada herramienta contribuye a la comprensión del modelo de negocio, de la posición competitiva y de la estrategia de diferenciación de la franquicia de medialunas gourmet.</w:t>
      </w:r>
    </w:p>
    <w:p w14:paraId="378BD0B7" w14:textId="77777777" w:rsidR="00AF614F" w:rsidRPr="003B6453" w:rsidRDefault="00AF614F" w:rsidP="003B6453">
      <w:pPr>
        <w:spacing w:line="360" w:lineRule="auto"/>
        <w:jc w:val="both"/>
        <w:rPr>
          <w:rFonts w:ascii="Times New Roman" w:hAnsi="Times New Roman" w:cs="Times New Roman"/>
          <w:sz w:val="24"/>
          <w:szCs w:val="24"/>
          <w:lang w:val="es-AR"/>
        </w:rPr>
      </w:pPr>
    </w:p>
    <w:p w14:paraId="7760E5E0" w14:textId="601AE5EE" w:rsidR="00AF614F" w:rsidRPr="003B6453" w:rsidRDefault="00AF614F" w:rsidP="003B6453">
      <w:pPr>
        <w:spacing w:line="360" w:lineRule="auto"/>
        <w:jc w:val="both"/>
        <w:rPr>
          <w:rFonts w:ascii="Times New Roman" w:hAnsi="Times New Roman" w:cs="Times New Roman"/>
          <w:sz w:val="24"/>
          <w:szCs w:val="24"/>
          <w:lang w:val="es-AR"/>
        </w:rPr>
      </w:pPr>
    </w:p>
    <w:p w14:paraId="460A42B3" w14:textId="77777777" w:rsidR="00AF614F" w:rsidRPr="003B6453" w:rsidRDefault="00AF614F" w:rsidP="003B6453">
      <w:pPr>
        <w:spacing w:line="360" w:lineRule="auto"/>
        <w:jc w:val="both"/>
        <w:rPr>
          <w:rFonts w:ascii="Times New Roman" w:hAnsi="Times New Roman" w:cs="Times New Roman"/>
          <w:sz w:val="24"/>
          <w:szCs w:val="24"/>
          <w:lang w:val="es-AR"/>
        </w:rPr>
      </w:pPr>
    </w:p>
    <w:p w14:paraId="5AB2B904" w14:textId="77777777" w:rsidR="0039770B" w:rsidRPr="003B6453" w:rsidRDefault="0039770B"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Tabla 5. Herramientas estratégicas aplicadas a franquicias gastronómicas</w:t>
      </w:r>
    </w:p>
    <w:tbl>
      <w:tblPr>
        <w:tblStyle w:val="GridTable5DarkAccent5"/>
        <w:tblW w:w="0" w:type="auto"/>
        <w:tblLook w:val="04A0" w:firstRow="1" w:lastRow="0" w:firstColumn="1" w:lastColumn="0" w:noHBand="0" w:noVBand="1"/>
      </w:tblPr>
      <w:tblGrid>
        <w:gridCol w:w="1991"/>
        <w:gridCol w:w="1831"/>
        <w:gridCol w:w="2348"/>
        <w:gridCol w:w="2884"/>
      </w:tblGrid>
      <w:tr w:rsidR="0039770B" w:rsidRPr="003B6453" w14:paraId="55B8F121" w14:textId="77777777" w:rsidTr="00E820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70A752" w14:textId="77777777" w:rsidR="0039770B" w:rsidRPr="003B6453" w:rsidRDefault="0039770B"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Herramienta</w:t>
            </w:r>
            <w:proofErr w:type="spellEnd"/>
          </w:p>
        </w:tc>
        <w:tc>
          <w:tcPr>
            <w:tcW w:w="0" w:type="auto"/>
            <w:hideMark/>
          </w:tcPr>
          <w:p w14:paraId="1DCFB89A" w14:textId="77777777" w:rsidR="0039770B" w:rsidRPr="003B6453" w:rsidRDefault="0039770B"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Autores</w:t>
            </w:r>
            <w:proofErr w:type="spellEnd"/>
          </w:p>
        </w:tc>
        <w:tc>
          <w:tcPr>
            <w:tcW w:w="0" w:type="auto"/>
            <w:hideMark/>
          </w:tcPr>
          <w:p w14:paraId="44E9AE2F" w14:textId="77777777" w:rsidR="0039770B" w:rsidRPr="003B6453" w:rsidRDefault="0039770B"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Aporte</w:t>
            </w:r>
            <w:proofErr w:type="spellEnd"/>
            <w:r w:rsidRPr="003B6453">
              <w:rPr>
                <w:rFonts w:ascii="Times New Roman" w:hAnsi="Times New Roman" w:cs="Times New Roman"/>
                <w:sz w:val="24"/>
                <w:szCs w:val="24"/>
              </w:rPr>
              <w:t xml:space="preserve"> principal</w:t>
            </w:r>
          </w:p>
        </w:tc>
        <w:tc>
          <w:tcPr>
            <w:tcW w:w="0" w:type="auto"/>
            <w:hideMark/>
          </w:tcPr>
          <w:p w14:paraId="53CC0A6E" w14:textId="77777777" w:rsidR="0039770B" w:rsidRPr="003B6453" w:rsidRDefault="0039770B"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Aplicación</w:t>
            </w:r>
            <w:proofErr w:type="spellEnd"/>
            <w:r w:rsidRPr="003B6453">
              <w:rPr>
                <w:rFonts w:ascii="Times New Roman" w:hAnsi="Times New Roman" w:cs="Times New Roman"/>
                <w:sz w:val="24"/>
                <w:szCs w:val="24"/>
              </w:rPr>
              <w:t xml:space="preserve"> al </w:t>
            </w:r>
            <w:proofErr w:type="spellStart"/>
            <w:r w:rsidRPr="003B6453">
              <w:rPr>
                <w:rFonts w:ascii="Times New Roman" w:hAnsi="Times New Roman" w:cs="Times New Roman"/>
                <w:sz w:val="24"/>
                <w:szCs w:val="24"/>
              </w:rPr>
              <w:t>caso</w:t>
            </w:r>
            <w:proofErr w:type="spellEnd"/>
          </w:p>
        </w:tc>
      </w:tr>
      <w:tr w:rsidR="0039770B" w:rsidRPr="003B6453" w14:paraId="5E5CA71D" w14:textId="77777777" w:rsidTr="00E820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0770A8" w14:textId="77777777" w:rsidR="0039770B" w:rsidRPr="003B6453" w:rsidRDefault="0039770B"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 xml:space="preserve">Business Model </w:t>
            </w:r>
            <w:r w:rsidRPr="003B6453">
              <w:rPr>
                <w:rFonts w:ascii="Times New Roman" w:hAnsi="Times New Roman" w:cs="Times New Roman"/>
                <w:sz w:val="24"/>
                <w:szCs w:val="24"/>
              </w:rPr>
              <w:lastRenderedPageBreak/>
              <w:t>Canvas</w:t>
            </w:r>
          </w:p>
        </w:tc>
        <w:tc>
          <w:tcPr>
            <w:tcW w:w="0" w:type="auto"/>
            <w:hideMark/>
          </w:tcPr>
          <w:p w14:paraId="3F79A590"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lastRenderedPageBreak/>
              <w:t>Osterwalder</w:t>
            </w:r>
            <w:proofErr w:type="spellEnd"/>
            <w:r w:rsidRPr="003B6453">
              <w:rPr>
                <w:rFonts w:ascii="Times New Roman" w:hAnsi="Times New Roman" w:cs="Times New Roman"/>
                <w:sz w:val="24"/>
                <w:szCs w:val="24"/>
              </w:rPr>
              <w:t xml:space="preserve"> &amp; </w:t>
            </w:r>
            <w:proofErr w:type="spellStart"/>
            <w:r w:rsidRPr="003B6453">
              <w:rPr>
                <w:rFonts w:ascii="Times New Roman" w:hAnsi="Times New Roman" w:cs="Times New Roman"/>
                <w:sz w:val="24"/>
                <w:szCs w:val="24"/>
              </w:rPr>
              <w:lastRenderedPageBreak/>
              <w:t>Pigneur</w:t>
            </w:r>
            <w:proofErr w:type="spellEnd"/>
            <w:r w:rsidRPr="003B6453">
              <w:rPr>
                <w:rFonts w:ascii="Times New Roman" w:hAnsi="Times New Roman" w:cs="Times New Roman"/>
                <w:sz w:val="24"/>
                <w:szCs w:val="24"/>
              </w:rPr>
              <w:t xml:space="preserve"> (2010)</w:t>
            </w:r>
          </w:p>
        </w:tc>
        <w:tc>
          <w:tcPr>
            <w:tcW w:w="0" w:type="auto"/>
            <w:hideMark/>
          </w:tcPr>
          <w:p w14:paraId="38D1588F"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Visualización integral </w:t>
            </w:r>
            <w:r w:rsidRPr="003B6453">
              <w:rPr>
                <w:rFonts w:ascii="Times New Roman" w:hAnsi="Times New Roman" w:cs="Times New Roman"/>
                <w:sz w:val="24"/>
                <w:szCs w:val="24"/>
                <w:lang w:val="es-AR"/>
              </w:rPr>
              <w:lastRenderedPageBreak/>
              <w:t>del modelo de negocio</w:t>
            </w:r>
          </w:p>
        </w:tc>
        <w:tc>
          <w:tcPr>
            <w:tcW w:w="0" w:type="auto"/>
            <w:hideMark/>
          </w:tcPr>
          <w:p w14:paraId="523F3838"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Identificar propuesta de </w:t>
            </w:r>
            <w:r w:rsidRPr="003B6453">
              <w:rPr>
                <w:rFonts w:ascii="Times New Roman" w:hAnsi="Times New Roman" w:cs="Times New Roman"/>
                <w:sz w:val="24"/>
                <w:szCs w:val="24"/>
                <w:lang w:val="es-AR"/>
              </w:rPr>
              <w:lastRenderedPageBreak/>
              <w:t>valor, clientes y estructura de costos.</w:t>
            </w:r>
          </w:p>
        </w:tc>
      </w:tr>
      <w:tr w:rsidR="0039770B" w:rsidRPr="003B6453" w14:paraId="24969360" w14:textId="77777777" w:rsidTr="00E82089">
        <w:tc>
          <w:tcPr>
            <w:cnfStyle w:val="001000000000" w:firstRow="0" w:lastRow="0" w:firstColumn="1" w:lastColumn="0" w:oddVBand="0" w:evenVBand="0" w:oddHBand="0" w:evenHBand="0" w:firstRowFirstColumn="0" w:firstRowLastColumn="0" w:lastRowFirstColumn="0" w:lastRowLastColumn="0"/>
            <w:tcW w:w="0" w:type="auto"/>
            <w:hideMark/>
          </w:tcPr>
          <w:p w14:paraId="2383FD85" w14:textId="77777777" w:rsidR="0039770B" w:rsidRPr="003B6453" w:rsidRDefault="0039770B"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lastRenderedPageBreak/>
              <w:t>Lean Canvas</w:t>
            </w:r>
          </w:p>
        </w:tc>
        <w:tc>
          <w:tcPr>
            <w:tcW w:w="0" w:type="auto"/>
            <w:hideMark/>
          </w:tcPr>
          <w:p w14:paraId="19A1A612"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Maurya</w:t>
            </w:r>
            <w:proofErr w:type="spellEnd"/>
            <w:r w:rsidRPr="003B6453">
              <w:rPr>
                <w:rFonts w:ascii="Times New Roman" w:hAnsi="Times New Roman" w:cs="Times New Roman"/>
                <w:sz w:val="24"/>
                <w:szCs w:val="24"/>
              </w:rPr>
              <w:t xml:space="preserve"> (2012)</w:t>
            </w:r>
          </w:p>
        </w:tc>
        <w:tc>
          <w:tcPr>
            <w:tcW w:w="0" w:type="auto"/>
            <w:hideMark/>
          </w:tcPr>
          <w:p w14:paraId="696CB057"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Validación de hipótesis y problemas del cliente</w:t>
            </w:r>
          </w:p>
        </w:tc>
        <w:tc>
          <w:tcPr>
            <w:tcW w:w="0" w:type="auto"/>
            <w:hideMark/>
          </w:tcPr>
          <w:p w14:paraId="09B5F577"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Testear atributos diferenciales de la propuesta gourmet.</w:t>
            </w:r>
          </w:p>
        </w:tc>
      </w:tr>
      <w:tr w:rsidR="0039770B" w:rsidRPr="003B6453" w14:paraId="53681480" w14:textId="77777777" w:rsidTr="00E820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A085BE" w14:textId="77777777" w:rsidR="0039770B" w:rsidRPr="003B6453" w:rsidRDefault="0039770B"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Social Business Model Canvas</w:t>
            </w:r>
          </w:p>
        </w:tc>
        <w:tc>
          <w:tcPr>
            <w:tcW w:w="0" w:type="auto"/>
            <w:hideMark/>
          </w:tcPr>
          <w:p w14:paraId="0C37A8E3"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 xml:space="preserve">Joyce &amp; </w:t>
            </w:r>
            <w:proofErr w:type="spellStart"/>
            <w:r w:rsidRPr="003B6453">
              <w:rPr>
                <w:rFonts w:ascii="Times New Roman" w:hAnsi="Times New Roman" w:cs="Times New Roman"/>
                <w:sz w:val="24"/>
                <w:szCs w:val="24"/>
              </w:rPr>
              <w:t>Paquin</w:t>
            </w:r>
            <w:proofErr w:type="spellEnd"/>
            <w:r w:rsidRPr="003B6453">
              <w:rPr>
                <w:rFonts w:ascii="Times New Roman" w:hAnsi="Times New Roman" w:cs="Times New Roman"/>
                <w:sz w:val="24"/>
                <w:szCs w:val="24"/>
              </w:rPr>
              <w:t xml:space="preserve"> (2016)</w:t>
            </w:r>
          </w:p>
        </w:tc>
        <w:tc>
          <w:tcPr>
            <w:tcW w:w="0" w:type="auto"/>
            <w:hideMark/>
          </w:tcPr>
          <w:p w14:paraId="4E56BE4B"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Integración de impacto social y ambiental</w:t>
            </w:r>
          </w:p>
        </w:tc>
        <w:tc>
          <w:tcPr>
            <w:tcW w:w="0" w:type="auto"/>
            <w:hideMark/>
          </w:tcPr>
          <w:p w14:paraId="70CF1511"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Incorporar prácticas sostenibles en insumos y </w:t>
            </w:r>
            <w:proofErr w:type="spellStart"/>
            <w:r w:rsidRPr="003B6453">
              <w:rPr>
                <w:rFonts w:ascii="Times New Roman" w:hAnsi="Times New Roman" w:cs="Times New Roman"/>
                <w:sz w:val="24"/>
                <w:szCs w:val="24"/>
                <w:lang w:val="es-AR"/>
              </w:rPr>
              <w:t>packaging</w:t>
            </w:r>
            <w:proofErr w:type="spellEnd"/>
            <w:r w:rsidRPr="003B6453">
              <w:rPr>
                <w:rFonts w:ascii="Times New Roman" w:hAnsi="Times New Roman" w:cs="Times New Roman"/>
                <w:sz w:val="24"/>
                <w:szCs w:val="24"/>
                <w:lang w:val="es-AR"/>
              </w:rPr>
              <w:t>.</w:t>
            </w:r>
          </w:p>
        </w:tc>
      </w:tr>
      <w:tr w:rsidR="0039770B" w:rsidRPr="003B6453" w14:paraId="3114262F" w14:textId="77777777" w:rsidTr="00E82089">
        <w:tc>
          <w:tcPr>
            <w:cnfStyle w:val="001000000000" w:firstRow="0" w:lastRow="0" w:firstColumn="1" w:lastColumn="0" w:oddVBand="0" w:evenVBand="0" w:oddHBand="0" w:evenHBand="0" w:firstRowFirstColumn="0" w:firstRowLastColumn="0" w:lastRowFirstColumn="0" w:lastRowLastColumn="0"/>
            <w:tcW w:w="0" w:type="auto"/>
            <w:hideMark/>
          </w:tcPr>
          <w:p w14:paraId="5AE75EEB" w14:textId="77777777" w:rsidR="0039770B" w:rsidRPr="003B6453" w:rsidRDefault="0039770B"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Cinco</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Fuerzas</w:t>
            </w:r>
            <w:proofErr w:type="spellEnd"/>
            <w:r w:rsidRPr="003B6453">
              <w:rPr>
                <w:rFonts w:ascii="Times New Roman" w:hAnsi="Times New Roman" w:cs="Times New Roman"/>
                <w:sz w:val="24"/>
                <w:szCs w:val="24"/>
              </w:rPr>
              <w:t xml:space="preserve"> de Porter</w:t>
            </w:r>
          </w:p>
        </w:tc>
        <w:tc>
          <w:tcPr>
            <w:tcW w:w="0" w:type="auto"/>
            <w:hideMark/>
          </w:tcPr>
          <w:p w14:paraId="79315734"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Porter (1980)</w:t>
            </w:r>
          </w:p>
        </w:tc>
        <w:tc>
          <w:tcPr>
            <w:tcW w:w="0" w:type="auto"/>
            <w:hideMark/>
          </w:tcPr>
          <w:p w14:paraId="74EB4D10"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Análisis del atractivo estructural de la industria</w:t>
            </w:r>
          </w:p>
        </w:tc>
        <w:tc>
          <w:tcPr>
            <w:tcW w:w="0" w:type="auto"/>
            <w:hideMark/>
          </w:tcPr>
          <w:p w14:paraId="01F863AA"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Evaluar rivalidad, sustitutos y poder de proveedores y clientes.</w:t>
            </w:r>
          </w:p>
        </w:tc>
      </w:tr>
      <w:tr w:rsidR="0039770B" w:rsidRPr="003B6453" w14:paraId="1FD95E27" w14:textId="77777777" w:rsidTr="00E820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09A01B" w14:textId="77777777" w:rsidR="0039770B" w:rsidRPr="003B6453" w:rsidRDefault="0039770B"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Estrategia</w:t>
            </w:r>
            <w:proofErr w:type="spellEnd"/>
            <w:r w:rsidRPr="003B6453">
              <w:rPr>
                <w:rFonts w:ascii="Times New Roman" w:hAnsi="Times New Roman" w:cs="Times New Roman"/>
                <w:sz w:val="24"/>
                <w:szCs w:val="24"/>
              </w:rPr>
              <w:t xml:space="preserve"> del </w:t>
            </w:r>
            <w:proofErr w:type="spellStart"/>
            <w:r w:rsidRPr="003B6453">
              <w:rPr>
                <w:rFonts w:ascii="Times New Roman" w:hAnsi="Times New Roman" w:cs="Times New Roman"/>
                <w:sz w:val="24"/>
                <w:szCs w:val="24"/>
              </w:rPr>
              <w:t>Océano</w:t>
            </w:r>
            <w:proofErr w:type="spellEnd"/>
            <w:r w:rsidRPr="003B6453">
              <w:rPr>
                <w:rFonts w:ascii="Times New Roman" w:hAnsi="Times New Roman" w:cs="Times New Roman"/>
                <w:sz w:val="24"/>
                <w:szCs w:val="24"/>
              </w:rPr>
              <w:t xml:space="preserve"> Azul</w:t>
            </w:r>
          </w:p>
        </w:tc>
        <w:tc>
          <w:tcPr>
            <w:tcW w:w="0" w:type="auto"/>
            <w:hideMark/>
          </w:tcPr>
          <w:p w14:paraId="25502425"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 xml:space="preserve">Kim &amp; </w:t>
            </w:r>
            <w:proofErr w:type="spellStart"/>
            <w:r w:rsidRPr="003B6453">
              <w:rPr>
                <w:rFonts w:ascii="Times New Roman" w:hAnsi="Times New Roman" w:cs="Times New Roman"/>
                <w:sz w:val="24"/>
                <w:szCs w:val="24"/>
              </w:rPr>
              <w:t>Mauborgne</w:t>
            </w:r>
            <w:proofErr w:type="spellEnd"/>
            <w:r w:rsidRPr="003B6453">
              <w:rPr>
                <w:rFonts w:ascii="Times New Roman" w:hAnsi="Times New Roman" w:cs="Times New Roman"/>
                <w:sz w:val="24"/>
                <w:szCs w:val="24"/>
              </w:rPr>
              <w:t xml:space="preserve"> (2005)</w:t>
            </w:r>
          </w:p>
        </w:tc>
        <w:tc>
          <w:tcPr>
            <w:tcW w:w="0" w:type="auto"/>
            <w:hideMark/>
          </w:tcPr>
          <w:p w14:paraId="0E876E7E"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Creación de espacios de mercado no disputados</w:t>
            </w:r>
          </w:p>
        </w:tc>
        <w:tc>
          <w:tcPr>
            <w:tcW w:w="0" w:type="auto"/>
            <w:hideMark/>
          </w:tcPr>
          <w:p w14:paraId="7CA6A373" w14:textId="77777777" w:rsidR="0039770B" w:rsidRPr="003B6453" w:rsidRDefault="0039770B"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Diferenciación de la medialuna como producto gourmet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w:t>
            </w:r>
          </w:p>
        </w:tc>
      </w:tr>
      <w:tr w:rsidR="0039770B" w:rsidRPr="003B6453" w14:paraId="5349EAC1" w14:textId="77777777" w:rsidTr="00E82089">
        <w:tc>
          <w:tcPr>
            <w:cnfStyle w:val="001000000000" w:firstRow="0" w:lastRow="0" w:firstColumn="1" w:lastColumn="0" w:oddVBand="0" w:evenVBand="0" w:oddHBand="0" w:evenHBand="0" w:firstRowFirstColumn="0" w:firstRowLastColumn="0" w:lastRowFirstColumn="0" w:lastRowLastColumn="0"/>
            <w:tcW w:w="0" w:type="auto"/>
            <w:hideMark/>
          </w:tcPr>
          <w:p w14:paraId="70FDBCE1" w14:textId="77777777" w:rsidR="0039770B" w:rsidRPr="003B6453" w:rsidRDefault="0039770B"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 xml:space="preserve">Safari a la </w:t>
            </w:r>
            <w:proofErr w:type="spellStart"/>
            <w:r w:rsidRPr="003B6453">
              <w:rPr>
                <w:rFonts w:ascii="Times New Roman" w:hAnsi="Times New Roman" w:cs="Times New Roman"/>
                <w:sz w:val="24"/>
                <w:szCs w:val="24"/>
              </w:rPr>
              <w:t>Estrategia</w:t>
            </w:r>
            <w:proofErr w:type="spellEnd"/>
          </w:p>
        </w:tc>
        <w:tc>
          <w:tcPr>
            <w:tcW w:w="0" w:type="auto"/>
            <w:hideMark/>
          </w:tcPr>
          <w:p w14:paraId="51440537"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Mintzberg</w:t>
            </w:r>
            <w:proofErr w:type="spellEnd"/>
            <w:r w:rsidRPr="003B6453">
              <w:rPr>
                <w:rFonts w:ascii="Times New Roman" w:hAnsi="Times New Roman" w:cs="Times New Roman"/>
                <w:sz w:val="24"/>
                <w:szCs w:val="24"/>
              </w:rPr>
              <w:t xml:space="preserve"> et al. (1999)</w:t>
            </w:r>
          </w:p>
        </w:tc>
        <w:tc>
          <w:tcPr>
            <w:tcW w:w="0" w:type="auto"/>
            <w:hideMark/>
          </w:tcPr>
          <w:p w14:paraId="3988E406"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Mirada pluralista de la estrategia</w:t>
            </w:r>
          </w:p>
        </w:tc>
        <w:tc>
          <w:tcPr>
            <w:tcW w:w="0" w:type="auto"/>
            <w:hideMark/>
          </w:tcPr>
          <w:p w14:paraId="53A09A3D" w14:textId="77777777" w:rsidR="0039770B" w:rsidRPr="003B6453" w:rsidRDefault="0039770B"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Combinar planificación y aprendizaje adaptativo.</w:t>
            </w:r>
          </w:p>
        </w:tc>
      </w:tr>
    </w:tbl>
    <w:p w14:paraId="56806835" w14:textId="77777777" w:rsidR="00AF614F" w:rsidRPr="003B6453" w:rsidRDefault="0039770B"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la literatura </w:t>
      </w:r>
      <w:r w:rsidR="00AE6CA8" w:rsidRPr="003B6453">
        <w:rPr>
          <w:rFonts w:ascii="Times New Roman" w:hAnsi="Times New Roman" w:cs="Times New Roman"/>
          <w:sz w:val="24"/>
          <w:szCs w:val="24"/>
          <w:lang w:val="es-AR"/>
        </w:rPr>
        <w:t>proporcionada en MBA UP.</w:t>
      </w:r>
      <w:r w:rsidR="00AF614F" w:rsidRPr="003B6453">
        <w:rPr>
          <w:rFonts w:ascii="Times New Roman" w:hAnsi="Times New Roman" w:cs="Times New Roman"/>
          <w:sz w:val="24"/>
          <w:szCs w:val="24"/>
          <w:lang w:val="es-AR"/>
        </w:rPr>
        <w:br/>
      </w:r>
      <w:r w:rsidR="00AF614F" w:rsidRPr="003B6453">
        <w:rPr>
          <w:rFonts w:ascii="Times New Roman" w:hAnsi="Times New Roman" w:cs="Times New Roman"/>
          <w:sz w:val="24"/>
          <w:szCs w:val="24"/>
          <w:lang w:val="es-AR"/>
        </w:rPr>
        <w:br/>
        <w:t xml:space="preserve">Tal como se observa en la Tabla 5, el análisis estratégico de la franquicia de medialunas gourmet se apoya en un conjunto complementario y no excluyente de herramientas, que permiten abordar el negocio desde múltiples perspectivas. Mientras que modelos como el Business </w:t>
      </w:r>
      <w:proofErr w:type="spellStart"/>
      <w:r w:rsidR="00AF614F" w:rsidRPr="003B6453">
        <w:rPr>
          <w:rFonts w:ascii="Times New Roman" w:hAnsi="Times New Roman" w:cs="Times New Roman"/>
          <w:sz w:val="24"/>
          <w:szCs w:val="24"/>
          <w:lang w:val="es-AR"/>
        </w:rPr>
        <w:t>Model</w:t>
      </w:r>
      <w:proofErr w:type="spellEnd"/>
      <w:r w:rsidR="00AF614F" w:rsidRPr="003B6453">
        <w:rPr>
          <w:rFonts w:ascii="Times New Roman" w:hAnsi="Times New Roman" w:cs="Times New Roman"/>
          <w:sz w:val="24"/>
          <w:szCs w:val="24"/>
          <w:lang w:val="es-AR"/>
        </w:rPr>
        <w:t xml:space="preserve"> </w:t>
      </w:r>
      <w:proofErr w:type="spellStart"/>
      <w:r w:rsidR="00AF614F" w:rsidRPr="003B6453">
        <w:rPr>
          <w:rFonts w:ascii="Times New Roman" w:hAnsi="Times New Roman" w:cs="Times New Roman"/>
          <w:sz w:val="24"/>
          <w:szCs w:val="24"/>
          <w:lang w:val="es-AR"/>
        </w:rPr>
        <w:t>Canvas</w:t>
      </w:r>
      <w:proofErr w:type="spellEnd"/>
      <w:r w:rsidR="00AF614F" w:rsidRPr="003B6453">
        <w:rPr>
          <w:rFonts w:ascii="Times New Roman" w:hAnsi="Times New Roman" w:cs="Times New Roman"/>
          <w:sz w:val="24"/>
          <w:szCs w:val="24"/>
          <w:lang w:val="es-AR"/>
        </w:rPr>
        <w:t xml:space="preserve"> y el Lean </w:t>
      </w:r>
      <w:proofErr w:type="spellStart"/>
      <w:r w:rsidR="00AF614F" w:rsidRPr="003B6453">
        <w:rPr>
          <w:rFonts w:ascii="Times New Roman" w:hAnsi="Times New Roman" w:cs="Times New Roman"/>
          <w:sz w:val="24"/>
          <w:szCs w:val="24"/>
          <w:lang w:val="es-AR"/>
        </w:rPr>
        <w:t>Canvas</w:t>
      </w:r>
      <w:proofErr w:type="spellEnd"/>
      <w:r w:rsidR="00AF614F" w:rsidRPr="003B6453">
        <w:rPr>
          <w:rFonts w:ascii="Times New Roman" w:hAnsi="Times New Roman" w:cs="Times New Roman"/>
          <w:sz w:val="24"/>
          <w:szCs w:val="24"/>
          <w:lang w:val="es-AR"/>
        </w:rPr>
        <w:t xml:space="preserve"> facilitan la comprensión, estructuración y validación de la lógica interna del modelo de negocio, otros enfoques —como el análisis de las Cinco Fuerzas— permiten situar a la franquicia dentro de su contexto competitivo y evaluar el atractivo estructural del sector gastronómico regional. A su vez, la Estrategia del Océano Azul aporta una mirada orientada a la creación de valor y a la diferenciación en mercados caracterizados por una elevada competencia, aspecto central para un emprendimiento que busca </w:t>
      </w:r>
      <w:proofErr w:type="spellStart"/>
      <w:r w:rsidR="00AF614F" w:rsidRPr="003B6453">
        <w:rPr>
          <w:rFonts w:ascii="Times New Roman" w:hAnsi="Times New Roman" w:cs="Times New Roman"/>
          <w:sz w:val="24"/>
          <w:szCs w:val="24"/>
          <w:lang w:val="es-AR"/>
        </w:rPr>
        <w:t>resignificar</w:t>
      </w:r>
      <w:proofErr w:type="spellEnd"/>
      <w:r w:rsidR="00AF614F" w:rsidRPr="003B6453">
        <w:rPr>
          <w:rFonts w:ascii="Times New Roman" w:hAnsi="Times New Roman" w:cs="Times New Roman"/>
          <w:sz w:val="24"/>
          <w:szCs w:val="24"/>
          <w:lang w:val="es-AR"/>
        </w:rPr>
        <w:t xml:space="preserve"> un producto tradicional mediante una propuesta gourmet claramente definida.</w:t>
      </w:r>
    </w:p>
    <w:p w14:paraId="5B114695" w14:textId="77777777"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incorporación de herramientas como el Social Business </w:t>
      </w:r>
      <w:proofErr w:type="spellStart"/>
      <w:r w:rsidRPr="003B6453">
        <w:rPr>
          <w:rFonts w:ascii="Times New Roman" w:hAnsi="Times New Roman" w:cs="Times New Roman"/>
          <w:sz w:val="24"/>
          <w:szCs w:val="24"/>
          <w:lang w:val="es-AR"/>
        </w:rPr>
        <w:t>Model</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y la mirada pluralista de la estrategia propuesta por </w:t>
      </w:r>
      <w:proofErr w:type="spellStart"/>
      <w:r w:rsidRPr="003B6453">
        <w:rPr>
          <w:rFonts w:ascii="Times New Roman" w:hAnsi="Times New Roman" w:cs="Times New Roman"/>
          <w:sz w:val="24"/>
          <w:szCs w:val="24"/>
          <w:lang w:val="es-AR"/>
        </w:rPr>
        <w:t>Mintzberg</w:t>
      </w:r>
      <w:proofErr w:type="spellEnd"/>
      <w:r w:rsidRPr="003B6453">
        <w:rPr>
          <w:rFonts w:ascii="Times New Roman" w:hAnsi="Times New Roman" w:cs="Times New Roman"/>
          <w:sz w:val="24"/>
          <w:szCs w:val="24"/>
          <w:lang w:val="es-AR"/>
        </w:rPr>
        <w:t xml:space="preserve"> y sus coautores refuerza la idea de que la </w:t>
      </w:r>
      <w:r w:rsidRPr="003B6453">
        <w:rPr>
          <w:rFonts w:ascii="Times New Roman" w:hAnsi="Times New Roman" w:cs="Times New Roman"/>
          <w:sz w:val="24"/>
          <w:szCs w:val="24"/>
          <w:lang w:val="es-AR"/>
        </w:rPr>
        <w:lastRenderedPageBreak/>
        <w:t>estrategia no puede concebirse desde un único enfoque ni limitarse a una lógica exclusivamente económica. En un contexto caracterizado por consumidores cada vez más informados, exigentes y sensibles a cuestiones sociales y ambientales, la consideración de estos factores adquiere una relevancia creciente en el diseño del modelo de negocio. De este modo, la estrategia se entiende como un proceso dinámico, que combina planificación deliberada, aprendizaje continuo y capacidad de adaptación a las particularidades del entorno regional.</w:t>
      </w:r>
    </w:p>
    <w:p w14:paraId="39D10887" w14:textId="6C3B846D" w:rsidR="0039770B"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este marco, el uso articulado de las distintas herramientas estratégicas analizadas permite a la franquicia de medialunas gourmet no solo evaluar su viabilidad financiera y operativa, sino también construir un modelo de negocio innovador, coherente y flexible, capaz de adaptarse a las condiciones cambiantes del mercado del Alto Valle. La integración entre el análisis competitivo clásico, la innovación de valor y los enfoques centrados en el diseño del modelo de negocio ofrece un marco conceptual robusto para orientar la toma de decisiones estratégicas del emprendimiento. Este enfoque integral no solo fortalece la consistencia interna del proyecto, sino que sienta las bases para el análisis empírico y económico desarrollado en los capítulos siguientes, asegurando coherencia entre el marco teórico, la evidencia relevada y las conclusiones del estudio.</w:t>
      </w:r>
    </w:p>
    <w:p w14:paraId="5DDEBE72" w14:textId="3C67653F" w:rsidR="0039770B" w:rsidRPr="003B6453" w:rsidRDefault="0039770B" w:rsidP="003B6453">
      <w:pPr>
        <w:pStyle w:val="Ttulo2"/>
        <w:spacing w:line="360" w:lineRule="auto"/>
        <w:jc w:val="both"/>
        <w:rPr>
          <w:rFonts w:ascii="Times New Roman" w:hAnsi="Times New Roman" w:cs="Times New Roman"/>
          <w:sz w:val="24"/>
          <w:szCs w:val="24"/>
          <w:lang w:val="es-AR"/>
        </w:rPr>
      </w:pPr>
      <w:bookmarkStart w:id="8" w:name="_Toc228546575"/>
      <w:r w:rsidRPr="003B6453">
        <w:rPr>
          <w:rFonts w:ascii="Times New Roman" w:hAnsi="Times New Roman" w:cs="Times New Roman"/>
          <w:sz w:val="24"/>
          <w:szCs w:val="24"/>
          <w:lang w:val="es-AR"/>
        </w:rPr>
        <w:t>1.6 Síntesis y articulación con el caso de estudio</w:t>
      </w:r>
      <w:bookmarkEnd w:id="8"/>
      <w:r w:rsidR="00F10DAD" w:rsidRPr="003B6453">
        <w:rPr>
          <w:rFonts w:ascii="Times New Roman" w:hAnsi="Times New Roman" w:cs="Times New Roman"/>
          <w:sz w:val="24"/>
          <w:szCs w:val="24"/>
          <w:lang w:val="es-AR"/>
        </w:rPr>
        <w:t xml:space="preserve"> </w:t>
      </w:r>
    </w:p>
    <w:p w14:paraId="4BA6E2E6" w14:textId="77777777"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marco teórico desarrollado a lo largo de este capítulo permite comprender de manera integral las bases conceptuales, estratégicas y contextuales que sustentan la factibilidad de implementar una franquicia gastronómica de medialunas gourmet en el Alto Valle. En primer lugar, el análisis de los distintos modelos de franquicia evidenció que el formato de franquicia de negocio resulta el más adecuado para el proyecto, en tanto posibilita la estandarización de procesos, el control de la calidad y la homogeneidad de la experiencia del cliente, al mismo tiempo que permite al franquiciado aportar inversión, gestión local y conocimiento del mercado regional. Las teorías de la agencia y de los costos de transacción ofrecen un sustento teórico sólido para explicar por qué este modelo organizativo resulta eficiente para alinear incentivos, reducir asimetrías de información y minimizar costos de coordinación en entornos competitivos y geográficamente dispersos.</w:t>
      </w:r>
    </w:p>
    <w:p w14:paraId="3D55CF48" w14:textId="77777777"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En segundo término, la factibilidad económica se consolidó como una dimensión central del análisis, no solo desde una perspectiva financiera tradicional, sino también desde una mirada ampliada de gestión. Herramientas como el Valor Actual Neto, la Tasa Interna de Retorno y el período de repago permiten estimar la rentabilidad esperada y evaluar la conveniencia económica del proyecto, mientras que enfoques como el </w:t>
      </w:r>
      <w:proofErr w:type="spellStart"/>
      <w:r w:rsidRPr="003B6453">
        <w:rPr>
          <w:rFonts w:ascii="Times New Roman" w:hAnsi="Times New Roman" w:cs="Times New Roman"/>
          <w:sz w:val="24"/>
          <w:szCs w:val="24"/>
          <w:lang w:val="es-AR"/>
        </w:rPr>
        <w:t>Balanced</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Scorecard</w:t>
      </w:r>
      <w:proofErr w:type="spellEnd"/>
      <w:r w:rsidRPr="003B6453">
        <w:rPr>
          <w:rFonts w:ascii="Times New Roman" w:hAnsi="Times New Roman" w:cs="Times New Roman"/>
          <w:sz w:val="24"/>
          <w:szCs w:val="24"/>
          <w:lang w:val="es-AR"/>
        </w:rPr>
        <w:t xml:space="preserve"> y los indicadores clave de desempeño aportan una visión integral que articula resultados financieros con satisfacción del cliente, eficiencia operativa y aprendizaje organizacional. La necesidad de incorporar análisis de riesgo y escenarios alternativos adquiere particular relevancia en un contexto nacional caracterizado por una elevada volatilidad macroeconómica y, específicamente, en una región donde la competencia salarial del sector petrolero y los costos logísticos introducen condicionantes estructurales que deben ser contemplados en la planificación del negocio.</w:t>
      </w:r>
    </w:p>
    <w:p w14:paraId="6847A524" w14:textId="77777777"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estudio del comportamiento del consumidor gastronómico permitió profundizar en los factores que influyen en las decisiones de compra dentro del segmento gourmet. La evidencia teórica y empírica analizada mostró que los consumidores no buscan únicamente un producto alimenticio, sino una experiencia integral que combine atributos sensoriales, estéticos, emocionales y sociales. En este sentido, la incorporación de la dimensión temporal resultó clave para comprender los patrones de consumo de medialunas, caracterizados por picos de demanda en horarios específicos —principalmente mañanas y tardes— y por diferencias significativas entre consumos funcionales y experienciales. Estos hallazgos refuerzan la necesidad de adaptar la producción, la operación y la estrategia comercial a los momentos clave del día, alineando la propuesta de valor con las rutinas reales del consumidor regional.</w:t>
      </w:r>
    </w:p>
    <w:p w14:paraId="0BF57869" w14:textId="77777777"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Asimismo, el análisis de las particularidades de las franquicias en contextos regionales puso de manifiesto que la viabilidad del proyecto no puede evaluarse al margen de las condiciones territoriales en las que se desarrollará. La escasez de mano de obra gastronómica calificada frente a la competencia del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 xml:space="preserve">, las dificultades logísticas asociadas a la distancia de los grandes centros de abastecimiento y la importancia de incorporar elementos culturales locales obligan a diseñar un modelo de franquicia flexible y adaptable, sin perder la identidad gourmet y artesanal de la marca. En este marco, </w:t>
      </w:r>
      <w:r w:rsidRPr="003B6453">
        <w:rPr>
          <w:rFonts w:ascii="Times New Roman" w:hAnsi="Times New Roman" w:cs="Times New Roman"/>
          <w:sz w:val="24"/>
          <w:szCs w:val="24"/>
          <w:lang w:val="es-AR"/>
        </w:rPr>
        <w:lastRenderedPageBreak/>
        <w:t xml:space="preserve">la articulación con proveedores regionales, instituciones de apoyo y otros actores locales —bajo una lógica de </w:t>
      </w:r>
      <w:proofErr w:type="spellStart"/>
      <w:r w:rsidRPr="003B6453">
        <w:rPr>
          <w:rFonts w:ascii="Times New Roman" w:hAnsi="Times New Roman" w:cs="Times New Roman"/>
          <w:sz w:val="24"/>
          <w:szCs w:val="24"/>
          <w:lang w:val="es-AR"/>
        </w:rPr>
        <w:t>clusters</w:t>
      </w:r>
      <w:proofErr w:type="spellEnd"/>
      <w:r w:rsidRPr="003B6453">
        <w:rPr>
          <w:rFonts w:ascii="Times New Roman" w:hAnsi="Times New Roman" w:cs="Times New Roman"/>
          <w:sz w:val="24"/>
          <w:szCs w:val="24"/>
          <w:lang w:val="es-AR"/>
        </w:rPr>
        <w:t>— se presenta como una estrategia relevante para fortalecer la competitividad y la sostenibilidad del emprendimiento en el Alto Valle.</w:t>
      </w:r>
    </w:p>
    <w:p w14:paraId="4481F88A" w14:textId="1B2C88EE" w:rsidR="00AF614F"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Finalmente, la revisión de modelos de negocio y herramientas estratégicas aportó un marco analítico robusto para orientar la planificación del proyecto. El Business </w:t>
      </w:r>
      <w:proofErr w:type="spellStart"/>
      <w:r w:rsidRPr="003B6453">
        <w:rPr>
          <w:rFonts w:ascii="Times New Roman" w:hAnsi="Times New Roman" w:cs="Times New Roman"/>
          <w:sz w:val="24"/>
          <w:szCs w:val="24"/>
          <w:lang w:val="es-AR"/>
        </w:rPr>
        <w:t>Model</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y sus variantes permiten visualizar de manera integrada la lógica del negocio, mientras que modelos como las Cinco Fuerzas de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y la Estrategia del Océano Azul ofrecen perspectivas complementarias para evaluar el atractivo del sector y explorar oportunidades de diferenciación en mercados competitivos. La mirada pluralista de </w:t>
      </w:r>
      <w:proofErr w:type="spellStart"/>
      <w:r w:rsidRPr="003B6453">
        <w:rPr>
          <w:rFonts w:ascii="Times New Roman" w:hAnsi="Times New Roman" w:cs="Times New Roman"/>
          <w:sz w:val="24"/>
          <w:szCs w:val="24"/>
          <w:lang w:val="es-AR"/>
        </w:rPr>
        <w:t>Mintzberg</w:t>
      </w:r>
      <w:proofErr w:type="spellEnd"/>
      <w:r w:rsidRPr="003B6453">
        <w:rPr>
          <w:rFonts w:ascii="Times New Roman" w:hAnsi="Times New Roman" w:cs="Times New Roman"/>
          <w:sz w:val="24"/>
          <w:szCs w:val="24"/>
          <w:lang w:val="es-AR"/>
        </w:rPr>
        <w:t xml:space="preserve"> refuerza la idea de que la estrategia no debe concebirse como un esquema rígido, sino como un proceso dinámico que combina planificación deliberada, aprendizaje continuo y adaptación al entorno.</w:t>
      </w:r>
    </w:p>
    <w:p w14:paraId="02714C8B" w14:textId="350136FA" w:rsidR="0039770B" w:rsidRPr="003B6453" w:rsidRDefault="00AF614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conjunto, este capítulo proporciona la base teórica y analítica necesaria para sustentar la propuesta de una franquicia de medialunas gourmet en el Alto Valle. La articulación entre teorías sobre franquicias, factibilidad económica, comportamiento del consumidor, particularidades regionales y herramientas estratégicas asegura un enfoque integral, coherente y sólido. Este marco conceptual habilita el avance hacia el análisis del entorno competitivo y sectorial, que se desarrolla en el Capítulo 2, donde se profundizan las condiciones externas que inciden sobre la viabilidad del proyecto.</w:t>
      </w:r>
    </w:p>
    <w:p w14:paraId="24A80100" w14:textId="590B8BE9" w:rsidR="0036235E" w:rsidRPr="003B6453" w:rsidRDefault="0036235E" w:rsidP="003B6453">
      <w:pPr>
        <w:pStyle w:val="Ttulo1"/>
        <w:spacing w:line="360" w:lineRule="auto"/>
        <w:jc w:val="both"/>
        <w:rPr>
          <w:rFonts w:ascii="Times New Roman" w:hAnsi="Times New Roman" w:cs="Times New Roman"/>
          <w:sz w:val="24"/>
          <w:szCs w:val="24"/>
          <w:lang w:val="es-AR"/>
        </w:rPr>
      </w:pPr>
      <w:bookmarkStart w:id="9" w:name="_Toc228546576"/>
      <w:r w:rsidRPr="003B6453">
        <w:rPr>
          <w:rFonts w:ascii="Times New Roman" w:hAnsi="Times New Roman" w:cs="Times New Roman"/>
          <w:sz w:val="24"/>
          <w:szCs w:val="24"/>
          <w:lang w:val="es-AR"/>
        </w:rPr>
        <w:t>Capítulo 2: Análisis del Sector y del Entorno</w:t>
      </w:r>
      <w:bookmarkEnd w:id="9"/>
    </w:p>
    <w:p w14:paraId="4134B54A"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evaluación del entorno competitivo y del sector en el que se proyecta operar constituye una etapa clave en el desarrollo de todo modelo de negocio, ya que permite contextualizar la propuesta estratégica dentro de las condiciones reales del mercado. Este tipo de análisis resulta fundamental para comprender las oportunidades y amenazas que presenta el entorno externo, así como para identificar las fortalezas y debilidades internas que deben ser consideradas al momento de diseñar una estrategia empresarial viable y sostenible en el tiempo. En particular, en proyectos de carácter regional y en contextos económicos volátiles, como el argentino, la comprensión del entorno adquiere un rol central para reducir la incertidumbre y orientar la toma de decisiones estratégicas.</w:t>
      </w:r>
    </w:p>
    <w:p w14:paraId="00BFD868" w14:textId="720AB872"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En el presente capítulo se aplican distintas herramientas de análisis </w:t>
      </w:r>
      <w:proofErr w:type="gramStart"/>
      <w:r w:rsidRPr="003B6453">
        <w:rPr>
          <w:rFonts w:ascii="Times New Roman" w:hAnsi="Times New Roman" w:cs="Times New Roman"/>
          <w:sz w:val="24"/>
          <w:szCs w:val="24"/>
          <w:lang w:val="es-AR"/>
        </w:rPr>
        <w:t>estratégico, ampliamente validadas en el campo de la administración y utilizadas</w:t>
      </w:r>
      <w:proofErr w:type="gramEnd"/>
      <w:r w:rsidRPr="003B6453">
        <w:rPr>
          <w:rFonts w:ascii="Times New Roman" w:hAnsi="Times New Roman" w:cs="Times New Roman"/>
          <w:sz w:val="24"/>
          <w:szCs w:val="24"/>
          <w:lang w:val="es-AR"/>
        </w:rPr>
        <w:t xml:space="preserve"> de manera transversal en asignaturas centrales de la Maestría en Dirección de Empresas de la Universidad de Palermo, tales como Dirección Estratégica, Análisis del Entorno Económico y Desarrollo de Nuevos Negocios. La utilización de estos marcos conceptuales no solo permite abordar el análisis del sector gastronómico del Alto Valle desde una perspectiva sistemática, sino que también garantiza la coherencia metodológica del trabajo, integrando los contenidos teóricos abordados durante la formación académica con su aplicación práctica a un caso concreto.</w:t>
      </w:r>
    </w:p>
    <w:p w14:paraId="5ADDAF33"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objetivo del capítulo es, por lo tanto, analizar de manera integral el entorno macroeconómico, el sector gastronómico regional y la posición competitiva de la franquicia de medialunas gourmet, identificando los principales factores externos que condicionan su factibilidad. Este análisis permitirá comprender cómo variables económicas, políticas, sociales y competitivas inciden sobre el proyecto, y sentará las bases para la posterior evaluación empírica y económica desarrollada en los capítulos siguientes.</w:t>
      </w:r>
    </w:p>
    <w:p w14:paraId="0F935F83"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Las herramientas que se utilizarán a lo largo del capítulo se detallan a continuación, cada una con un propósito específico dentro del análisis estratégico:</w:t>
      </w:r>
    </w:p>
    <w:p w14:paraId="2C0B2CED"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Análisis PESTEL, que permite examinar los factores políticos, económicos, sociales, tecnológicos, ecológicos y legales del entorno macroeconómico, identificando tendencias y condicionantes que inciden en la factibilidad del proyecto gastronómico en el contexto regional.</w:t>
      </w:r>
    </w:p>
    <w:p w14:paraId="4F6259EC"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Análisis FODA, orientado a sintetizar de manera integrada las fortalezas y debilidades internas del emprendimiento, así como las oportunidades y amenazas provenientes del entorno externo, facilitando la identificación de ejes estratégicos prioritarios.</w:t>
      </w:r>
    </w:p>
    <w:p w14:paraId="7C758149"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Cadena de Valor, propuesta por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(1985), que permite descomponer las actividades del negocio en procesos primarios y de apoyo, con el objetivo de identificar fuentes potenciales de ventaja competitiva y oportunidades de mejora en la operación de la franquicia.</w:t>
      </w:r>
    </w:p>
    <w:p w14:paraId="3567C1A5"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utilizado para visualizar de forma estructurada el modelo de negocio propuesto, integrando la propuesta de valor, los segmentos de clientes, la estructura de costos y las fuentes de ingresos, en coherencia con el análisis del entorno y del sector.</w:t>
      </w:r>
    </w:p>
    <w:p w14:paraId="124EDD90"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Modelo de las Cinco Fuerzas, desarrollado por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(1980), que permite analizar el nivel de rivalidad competitiva del sector gastronómico, el poder de negociación de clientes y proveedores, la amenaza de nuevos entrantes y de productos sustitutos, y, en consecuencia, la rentabilidad estructural de la industria.</w:t>
      </w:r>
    </w:p>
    <w:p w14:paraId="0D1D1A71" w14:textId="77777777" w:rsidR="00AF5A0D"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Análisis de clúster competitivo local, orientado a caracterizar la configuración del mercado gastronómico del Alto Valle, identificando la interacción entre empresas, proveedores, instituciones de apoyo y actores locales, y evaluando cómo esta red incide en la competitividad del emprendimiento.</w:t>
      </w:r>
    </w:p>
    <w:p w14:paraId="08769271" w14:textId="2052DD0F" w:rsidR="0036235E" w:rsidRPr="003B6453" w:rsidRDefault="00AF5A0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conjunto, la aplicación de estas herramientas permitirá construir una visión integral y sistemática del entorno competitivo, articulando el análisis macroeconómico, sectorial y estratégico, y proporcionando un marco sólido para evaluar la viabilidad del proyecto de franquicia de medialunas gourmet en el Alto Valle.</w:t>
      </w:r>
    </w:p>
    <w:p w14:paraId="1F021A3F" w14:textId="77777777" w:rsidR="00515124" w:rsidRPr="003B6453" w:rsidRDefault="00515124" w:rsidP="003B6453">
      <w:pPr>
        <w:spacing w:line="360" w:lineRule="auto"/>
        <w:jc w:val="both"/>
        <w:rPr>
          <w:rFonts w:ascii="Times New Roman" w:hAnsi="Times New Roman" w:cs="Times New Roman"/>
          <w:sz w:val="24"/>
          <w:szCs w:val="24"/>
          <w:lang w:val="es-AR"/>
        </w:rPr>
      </w:pPr>
    </w:p>
    <w:p w14:paraId="1C7D19D6" w14:textId="2EB59F81" w:rsidR="00515124" w:rsidRPr="003B6453" w:rsidRDefault="0036235E" w:rsidP="003B6453">
      <w:pPr>
        <w:pStyle w:val="Ttulo2"/>
        <w:spacing w:line="360" w:lineRule="auto"/>
        <w:jc w:val="both"/>
        <w:rPr>
          <w:rFonts w:ascii="Times New Roman" w:hAnsi="Times New Roman" w:cs="Times New Roman"/>
          <w:sz w:val="24"/>
          <w:szCs w:val="24"/>
          <w:lang w:val="es-AR"/>
        </w:rPr>
      </w:pPr>
      <w:bookmarkStart w:id="10" w:name="_Toc228546577"/>
      <w:r w:rsidRPr="003B6453">
        <w:rPr>
          <w:rFonts w:ascii="Times New Roman" w:hAnsi="Times New Roman" w:cs="Times New Roman"/>
          <w:sz w:val="24"/>
          <w:szCs w:val="24"/>
          <w:lang w:val="es-AR"/>
        </w:rPr>
        <w:t>2.1 Análisis PESTEL del entorno macroeconómico</w:t>
      </w:r>
      <w:bookmarkEnd w:id="10"/>
    </w:p>
    <w:p w14:paraId="2CDA1EA4" w14:textId="77777777" w:rsidR="00515124" w:rsidRPr="003B6453" w:rsidRDefault="00EB7C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PESTEL constituye una herramienta fundamental para evaluar los factores </w:t>
      </w:r>
      <w:proofErr w:type="spellStart"/>
      <w:r w:rsidRPr="003B6453">
        <w:rPr>
          <w:rFonts w:ascii="Times New Roman" w:hAnsi="Times New Roman" w:cs="Times New Roman"/>
          <w:sz w:val="24"/>
          <w:szCs w:val="24"/>
          <w:lang w:val="es-AR"/>
        </w:rPr>
        <w:t>macroambientales</w:t>
      </w:r>
      <w:proofErr w:type="spellEnd"/>
      <w:r w:rsidRPr="003B6453">
        <w:rPr>
          <w:rFonts w:ascii="Times New Roman" w:hAnsi="Times New Roman" w:cs="Times New Roman"/>
          <w:sz w:val="24"/>
          <w:szCs w:val="24"/>
          <w:lang w:val="es-AR"/>
        </w:rPr>
        <w:t xml:space="preserve"> que inciden sobre la factibilidad y el desarrollo de un modelo de negocio. Su denominación surge de las iniciales de seis dimensiones clave: política, económica, sociocultural, tecnológica, ecológica y legal. Johnson, </w:t>
      </w:r>
      <w:proofErr w:type="spellStart"/>
      <w:r w:rsidRPr="003B6453">
        <w:rPr>
          <w:rFonts w:ascii="Times New Roman" w:hAnsi="Times New Roman" w:cs="Times New Roman"/>
          <w:sz w:val="24"/>
          <w:szCs w:val="24"/>
          <w:lang w:val="es-AR"/>
        </w:rPr>
        <w:t>Scholes</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Whittington</w:t>
      </w:r>
      <w:proofErr w:type="spellEnd"/>
      <w:r w:rsidRPr="003B6453">
        <w:rPr>
          <w:rFonts w:ascii="Times New Roman" w:hAnsi="Times New Roman" w:cs="Times New Roman"/>
          <w:sz w:val="24"/>
          <w:szCs w:val="24"/>
          <w:lang w:val="es-AR"/>
        </w:rPr>
        <w:t xml:space="preserve"> (2008) señalan que este marco analítico resulta particularmente útil para anticipar tendencias estructurales y riesgos sistémicos que pueden impactar, de manera directa o indirecta, en la viabilidad de un proyecto. En el caso de la franquicia gastronómica de medialunas gourmet en el Alto Valle, el análisis PESTEL permite contextualizar el modelo propuesto dentro del entorno regional y nacional, identificando condicionantes externos que deben ser considerados en el diseño estratégico.</w:t>
      </w:r>
    </w:p>
    <w:p w14:paraId="7B42E98C" w14:textId="46D657C3" w:rsidR="00EB7C00" w:rsidRPr="003B6453" w:rsidRDefault="00EB7C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lo que respecta a los factores políticos, la región del Alto Valle presenta un escenario de relativa estabilidad institucional en comparación con otras zonas del país, acompañado por </w:t>
      </w:r>
      <w:r w:rsidRPr="003B6453">
        <w:rPr>
          <w:rFonts w:ascii="Times New Roman" w:hAnsi="Times New Roman" w:cs="Times New Roman"/>
          <w:sz w:val="24"/>
          <w:szCs w:val="24"/>
          <w:lang w:val="es-AR"/>
        </w:rPr>
        <w:lastRenderedPageBreak/>
        <w:t xml:space="preserve">políticas provinciales orientadas a la promoción de inversiones privadas, especialmente en sectores vinculados a la energía, los servicios y el comercio. A nivel municipal, ciudades como Neuquén capital y </w:t>
      </w:r>
      <w:proofErr w:type="spellStart"/>
      <w:r w:rsidRPr="003B6453">
        <w:rPr>
          <w:rFonts w:ascii="Times New Roman" w:hAnsi="Times New Roman" w:cs="Times New Roman"/>
          <w:sz w:val="24"/>
          <w:szCs w:val="24"/>
          <w:lang w:val="es-AR"/>
        </w:rPr>
        <w:t>Cipolletti</w:t>
      </w:r>
      <w:proofErr w:type="spellEnd"/>
      <w:r w:rsidRPr="003B6453">
        <w:rPr>
          <w:rFonts w:ascii="Times New Roman" w:hAnsi="Times New Roman" w:cs="Times New Roman"/>
          <w:sz w:val="24"/>
          <w:szCs w:val="24"/>
          <w:lang w:val="es-AR"/>
        </w:rPr>
        <w:t xml:space="preserve"> han impulsado programas de fomento al comercio, simplificación de trámites y modernización de habilitaciones, lo que facilita la apertura de nuevos emprendimientos gastronómicos. No obstante, persisten diferencias regulatorias entre jurisdicciones municipales, tanto en materia de habilitaciones como de fiscalización, lo que obliga a realizar un análisis específico de cada localidad antes de avanzar en la expansión de la franquicia. Esta heterogeneidad normativa introduce un desafío adicional para la estandarización del modelo, que debe contemplarse desde el diseño del sistema de franquicias.</w:t>
      </w:r>
    </w:p>
    <w:p w14:paraId="510696FF" w14:textId="77777777" w:rsidR="00EB7C00" w:rsidRPr="003B6453" w:rsidRDefault="00EB7C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Los factores económicos constituyen una de las dimensiones más críticas del análisis. A nivel nacional, la economía argentina se caracteriza por elevados niveles de inflación, volatilidad cambiaria y una presión impositiva significativa, lo que reduce la previsibilidad de los costos y afecta los márgenes de rentabilidad de los emprendimientos gastronómicos (</w:t>
      </w:r>
      <w:proofErr w:type="spellStart"/>
      <w:r w:rsidRPr="003B6453">
        <w:rPr>
          <w:rFonts w:ascii="Times New Roman" w:hAnsi="Times New Roman" w:cs="Times New Roman"/>
          <w:sz w:val="24"/>
          <w:szCs w:val="24"/>
          <w:lang w:val="es-AR"/>
        </w:rPr>
        <w:t>Damodaran</w:t>
      </w:r>
      <w:proofErr w:type="spellEnd"/>
      <w:r w:rsidRPr="003B6453">
        <w:rPr>
          <w:rFonts w:ascii="Times New Roman" w:hAnsi="Times New Roman" w:cs="Times New Roman"/>
          <w:sz w:val="24"/>
          <w:szCs w:val="24"/>
          <w:lang w:val="es-AR"/>
        </w:rPr>
        <w:t xml:space="preserve">, 2012). En el ámbito regional, el dinamismo económico del Alto Valle se encuentra fuertemente impulsado por la actividad </w:t>
      </w:r>
      <w:proofErr w:type="spellStart"/>
      <w:r w:rsidRPr="003B6453">
        <w:rPr>
          <w:rFonts w:ascii="Times New Roman" w:hAnsi="Times New Roman" w:cs="Times New Roman"/>
          <w:sz w:val="24"/>
          <w:szCs w:val="24"/>
          <w:lang w:val="es-AR"/>
        </w:rPr>
        <w:t>hidrocarburífera</w:t>
      </w:r>
      <w:proofErr w:type="spellEnd"/>
      <w:r w:rsidRPr="003B6453">
        <w:rPr>
          <w:rFonts w:ascii="Times New Roman" w:hAnsi="Times New Roman" w:cs="Times New Roman"/>
          <w:sz w:val="24"/>
          <w:szCs w:val="24"/>
          <w:lang w:val="es-AR"/>
        </w:rPr>
        <w:t xml:space="preserve"> asociada a Vaca Muerta, que ha generado un aumento del ingreso disponible en determinados segmentos de la población. Sin embargo, este proceso también ha provocado un encarecimiento del mercado laboral, dado que los salarios del sector petrolero superan ampliamente a los de rubros como la gastronomía. Esta situación impacta de manera directa en la estructura de costos del negocio y refuerza la necesidad de diseñar estrategias específicas de gestión de recursos humanos. Paralelamente, el crecimiento urbano y comercial de Neuquén y </w:t>
      </w:r>
      <w:proofErr w:type="spellStart"/>
      <w:r w:rsidRPr="003B6453">
        <w:rPr>
          <w:rFonts w:ascii="Times New Roman" w:hAnsi="Times New Roman" w:cs="Times New Roman"/>
          <w:sz w:val="24"/>
          <w:szCs w:val="24"/>
          <w:lang w:val="es-AR"/>
        </w:rPr>
        <w:t>Cipolletti</w:t>
      </w:r>
      <w:proofErr w:type="spellEnd"/>
      <w:r w:rsidRPr="003B6453">
        <w:rPr>
          <w:rFonts w:ascii="Times New Roman" w:hAnsi="Times New Roman" w:cs="Times New Roman"/>
          <w:sz w:val="24"/>
          <w:szCs w:val="24"/>
          <w:lang w:val="es-AR"/>
        </w:rPr>
        <w:t xml:space="preserve"> ha favorecido el desarrollo de corredores gastronómicos, ampliando las oportunidades de mercado para propuestas innovadoras y diferenciadas.</w:t>
      </w:r>
    </w:p>
    <w:p w14:paraId="1305C72A" w14:textId="58B841BA" w:rsidR="00EB7C00" w:rsidRPr="003B6453" w:rsidRDefault="00EB7C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relación con los factores socioculturales, se observa una tendencia creciente hacia el consumo de productos gourmet, artesanales y de calidad diferenciada, particularmente en segmentos jóvenes-profesionales y de ingresos medios y altos. Estos consumidores valoran atributos como la autenticidad, la estética, la experiencia de consumo y la coherencia de la marca, y muestran una mayor disposición a pagar precios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por propuestas que se perciban como distintas a la oferta tradicional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 La encuesta </w:t>
      </w:r>
      <w:r w:rsidRPr="003B6453">
        <w:rPr>
          <w:rFonts w:ascii="Times New Roman" w:hAnsi="Times New Roman" w:cs="Times New Roman"/>
          <w:sz w:val="24"/>
          <w:szCs w:val="24"/>
          <w:lang w:val="es-AR"/>
        </w:rPr>
        <w:lastRenderedPageBreak/>
        <w:t>realizada para este estudio (ver Capítulo 4) refuerza esta tendencia, al evidenciar que una proporción significativa de los encuestados consume medialunas con frecuencia semanal y manifiesta predisposición a pagar un precio superior por un producto gourmet. Este patrón sociocultural resulta favorable para la franquicia propuesta, en tanto valida la existencia de un segmento de demanda alineado con la propuesta de valor.</w:t>
      </w:r>
    </w:p>
    <w:p w14:paraId="6DD8D2BE" w14:textId="2FBE714F" w:rsidR="00EB7C00" w:rsidRPr="003B6453" w:rsidRDefault="00EB7C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Los factores tecnológicos han transformado de manera sustancial el funcionamiento del sector gastronómico en los últimos años. La expansión de plataformas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los sistemas de pago electrónico, el uso intensivo de redes sociales como canal de comunicación y promoción, y la incorporación de herramientas de fidelización basadas en datos se han convertido en estándares de la industria. En este contexto, el modelo de franquicia debe incorporar desde su concepción una estrategia digital integral, que articule la operación en el punto de venta con la comercialización a través de canales online. Asimismo, la adopción de tecnologías vinculadas a la automatización de procesos productivos, el control de stock y la gestión de inventarios puede contribuir a mejorar la eficiencia operativa, reducir desperdicios y fortalecer la estandarización del modelo.</w:t>
      </w:r>
    </w:p>
    <w:p w14:paraId="54AB1EE4" w14:textId="77777777" w:rsidR="005F2DE8" w:rsidRPr="003B6453" w:rsidRDefault="00EB7C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Los factores ecológicos adquieren una relevancia creciente en la elección de los consumidores y en la construcción de la imagen de marca. La mayor conciencia ambiental impulsa la valoración de prácticas sostenibles, tales como el uso de envases reciclables, la reducción del desperdicio de alimentos y el abastecimiento responsable de insumos. En el caso de la franquicia de medialunas gourmet, la incorporación de criterios de sostenibilidad —aunque no constituya el eje central del negocio— puede convertirse en un elemento diferenciador frente a competidores que no integran estas prácticas, aportando valor simbólico y fortaleciendo la reputación de la marca en segmentos de consumidores conscientes.</w:t>
      </w:r>
    </w:p>
    <w:p w14:paraId="1175ADCF" w14:textId="6DF32420" w:rsidR="00A20BF3" w:rsidRPr="003B6453" w:rsidRDefault="00EB7C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Finalmente, los factores legales comprenden el conjunto de normativas vinculadas a habilitaciones comerciales, requisitos sanitarios, regulaciones laborales y obligaciones impositivas. Si bien no se identifican barreras legales insalvables para la instalación de franquicias gastronómicas en el Alto Valle, sí existen cargas burocráticas y exigencias regulatorias que varían según cada municipio. En este contexto, contar con asesoramiento legal especializado y con manuales de cumplimiento normativo estandarizados resulta </w:t>
      </w:r>
      <w:r w:rsidRPr="003B6453">
        <w:rPr>
          <w:rFonts w:ascii="Times New Roman" w:hAnsi="Times New Roman" w:cs="Times New Roman"/>
          <w:sz w:val="24"/>
          <w:szCs w:val="24"/>
          <w:lang w:val="es-AR"/>
        </w:rPr>
        <w:lastRenderedPageBreak/>
        <w:t>fundamental para reducir riesgos, asegurar la correcta operación de las unidades franquiciadas y preservar la consistencia del sistema de franquicias en su conjunto.</w:t>
      </w:r>
      <w:r w:rsidR="00062DBB" w:rsidRPr="003B6453">
        <w:rPr>
          <w:rFonts w:ascii="Times New Roman" w:hAnsi="Times New Roman" w:cs="Times New Roman"/>
          <w:sz w:val="24"/>
          <w:szCs w:val="24"/>
          <w:lang w:val="es-AR"/>
        </w:rPr>
        <w:br/>
        <w:t xml:space="preserve">A partir del desarrollo de cada una de las dimensiones del análisis PESTEL, resulta pertinente sintetizar los principales factores </w:t>
      </w:r>
      <w:r w:rsidR="005F2DE8" w:rsidRPr="003B6453">
        <w:rPr>
          <w:rFonts w:ascii="Times New Roman" w:hAnsi="Times New Roman" w:cs="Times New Roman"/>
          <w:sz w:val="24"/>
          <w:szCs w:val="24"/>
          <w:lang w:val="es-AR"/>
        </w:rPr>
        <w:t>macro ambientales</w:t>
      </w:r>
      <w:r w:rsidR="00062DBB" w:rsidRPr="003B6453">
        <w:rPr>
          <w:rFonts w:ascii="Times New Roman" w:hAnsi="Times New Roman" w:cs="Times New Roman"/>
          <w:sz w:val="24"/>
          <w:szCs w:val="24"/>
          <w:lang w:val="es-AR"/>
        </w:rPr>
        <w:t xml:space="preserve"> que inciden sobre la factibilidad de la franquicia de medialunas gourmet en el Alto Valle. La Tabla 6 resume los elementos más relevantes del contexto político, económico, sociocultural, tecnológico, ecológico y legal, y explicita sus implicancias estratégicas para el diseño y la gestión del modelo de franquicia.</w:t>
      </w:r>
    </w:p>
    <w:p w14:paraId="21E65AF8"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Tabla 6. Análisis PESTEL aplicado a la franquicia de medialunas gourmet en el Alto Valle</w:t>
      </w:r>
    </w:p>
    <w:tbl>
      <w:tblPr>
        <w:tblStyle w:val="GridTable5DarkAccent5"/>
        <w:tblW w:w="0" w:type="auto"/>
        <w:tblLook w:val="04A0" w:firstRow="1" w:lastRow="0" w:firstColumn="1" w:lastColumn="0" w:noHBand="0" w:noVBand="1"/>
      </w:tblPr>
      <w:tblGrid>
        <w:gridCol w:w="1576"/>
        <w:gridCol w:w="4108"/>
        <w:gridCol w:w="3370"/>
      </w:tblGrid>
      <w:tr w:rsidR="00A20BF3" w:rsidRPr="003B6453" w14:paraId="783A5230" w14:textId="77777777" w:rsidTr="005F2D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3C98B7" w14:textId="77777777" w:rsidR="00A20BF3" w:rsidRPr="003B6453" w:rsidRDefault="00A20BF3"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Dimensión</w:t>
            </w:r>
            <w:proofErr w:type="spellEnd"/>
          </w:p>
        </w:tc>
        <w:tc>
          <w:tcPr>
            <w:tcW w:w="0" w:type="auto"/>
            <w:hideMark/>
          </w:tcPr>
          <w:p w14:paraId="38BB55EF" w14:textId="77777777" w:rsidR="00A20BF3" w:rsidRPr="003B6453" w:rsidRDefault="00A20BF3"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s-AR"/>
              </w:rPr>
            </w:pPr>
            <w:r w:rsidRPr="003B6453">
              <w:rPr>
                <w:rFonts w:ascii="Times New Roman" w:hAnsi="Times New Roman" w:cs="Times New Roman"/>
                <w:b w:val="0"/>
                <w:bCs w:val="0"/>
                <w:sz w:val="24"/>
                <w:szCs w:val="24"/>
                <w:lang w:val="es-AR"/>
              </w:rPr>
              <w:t>Factores clave en el contexto del Alto Valle</w:t>
            </w:r>
          </w:p>
        </w:tc>
        <w:tc>
          <w:tcPr>
            <w:tcW w:w="0" w:type="auto"/>
            <w:hideMark/>
          </w:tcPr>
          <w:p w14:paraId="05DC872C" w14:textId="77777777" w:rsidR="00A20BF3" w:rsidRPr="003B6453" w:rsidRDefault="00A20BF3"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Implicancias</w:t>
            </w:r>
            <w:proofErr w:type="spellEnd"/>
            <w:r w:rsidRPr="003B6453">
              <w:rPr>
                <w:rFonts w:ascii="Times New Roman" w:hAnsi="Times New Roman" w:cs="Times New Roman"/>
                <w:b w:val="0"/>
                <w:bCs w:val="0"/>
                <w:sz w:val="24"/>
                <w:szCs w:val="24"/>
              </w:rPr>
              <w:t xml:space="preserve"> </w:t>
            </w:r>
            <w:proofErr w:type="spellStart"/>
            <w:r w:rsidRPr="003B6453">
              <w:rPr>
                <w:rFonts w:ascii="Times New Roman" w:hAnsi="Times New Roman" w:cs="Times New Roman"/>
                <w:b w:val="0"/>
                <w:bCs w:val="0"/>
                <w:sz w:val="24"/>
                <w:szCs w:val="24"/>
              </w:rPr>
              <w:t>para</w:t>
            </w:r>
            <w:proofErr w:type="spellEnd"/>
            <w:r w:rsidRPr="003B6453">
              <w:rPr>
                <w:rFonts w:ascii="Times New Roman" w:hAnsi="Times New Roman" w:cs="Times New Roman"/>
                <w:b w:val="0"/>
                <w:bCs w:val="0"/>
                <w:sz w:val="24"/>
                <w:szCs w:val="24"/>
              </w:rPr>
              <w:t xml:space="preserve"> la </w:t>
            </w:r>
            <w:proofErr w:type="spellStart"/>
            <w:r w:rsidRPr="003B6453">
              <w:rPr>
                <w:rFonts w:ascii="Times New Roman" w:hAnsi="Times New Roman" w:cs="Times New Roman"/>
                <w:b w:val="0"/>
                <w:bCs w:val="0"/>
                <w:sz w:val="24"/>
                <w:szCs w:val="24"/>
              </w:rPr>
              <w:t>franquicia</w:t>
            </w:r>
            <w:proofErr w:type="spellEnd"/>
          </w:p>
        </w:tc>
      </w:tr>
      <w:tr w:rsidR="00A20BF3" w:rsidRPr="003B6453" w14:paraId="4EF7B4C3" w14:textId="77777777" w:rsidTr="005F2D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6FE5E8"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Política</w:t>
            </w:r>
            <w:proofErr w:type="spellEnd"/>
          </w:p>
        </w:tc>
        <w:tc>
          <w:tcPr>
            <w:tcW w:w="0" w:type="auto"/>
            <w:hideMark/>
          </w:tcPr>
          <w:p w14:paraId="0FD3F9D5"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Estabilidad relativa; políticas de fomento local; diferencias regulatorias entre municipios</w:t>
            </w:r>
          </w:p>
        </w:tc>
        <w:tc>
          <w:tcPr>
            <w:tcW w:w="0" w:type="auto"/>
            <w:hideMark/>
          </w:tcPr>
          <w:p w14:paraId="5224204B"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Evaluar normativas específicas de cada ciudad antes de expandir</w:t>
            </w:r>
          </w:p>
        </w:tc>
      </w:tr>
      <w:tr w:rsidR="00A20BF3" w:rsidRPr="003B6453" w14:paraId="73808D38" w14:textId="77777777" w:rsidTr="005F2DE8">
        <w:tc>
          <w:tcPr>
            <w:cnfStyle w:val="001000000000" w:firstRow="0" w:lastRow="0" w:firstColumn="1" w:lastColumn="0" w:oddVBand="0" w:evenVBand="0" w:oddHBand="0" w:evenHBand="0" w:firstRowFirstColumn="0" w:firstRowLastColumn="0" w:lastRowFirstColumn="0" w:lastRowLastColumn="0"/>
            <w:tcW w:w="0" w:type="auto"/>
            <w:hideMark/>
          </w:tcPr>
          <w:p w14:paraId="0FDE7CAD"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Económica</w:t>
            </w:r>
            <w:proofErr w:type="spellEnd"/>
          </w:p>
        </w:tc>
        <w:tc>
          <w:tcPr>
            <w:tcW w:w="0" w:type="auto"/>
            <w:hideMark/>
          </w:tcPr>
          <w:p w14:paraId="6561B889"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Inflación y volatilidad cambiaria; impacto de Vaca Muerta en salarios; crecimiento de corredores gastronómicos</w:t>
            </w:r>
          </w:p>
        </w:tc>
        <w:tc>
          <w:tcPr>
            <w:tcW w:w="0" w:type="auto"/>
            <w:hideMark/>
          </w:tcPr>
          <w:p w14:paraId="70F148BE"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Incorporar escenarios financieros alternativos; diseñar políticas salariales competitivas</w:t>
            </w:r>
          </w:p>
        </w:tc>
      </w:tr>
      <w:tr w:rsidR="00A20BF3" w:rsidRPr="003B6453" w14:paraId="65FC0F6B" w14:textId="77777777" w:rsidTr="005F2D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B68246" w14:textId="77777777" w:rsidR="00A20BF3" w:rsidRPr="003B6453" w:rsidRDefault="00A20BF3"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Sociocultural</w:t>
            </w:r>
          </w:p>
        </w:tc>
        <w:tc>
          <w:tcPr>
            <w:tcW w:w="0" w:type="auto"/>
            <w:hideMark/>
          </w:tcPr>
          <w:p w14:paraId="65B084AE"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Creciente demanda de productos gourmet; disposición a pagar precios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búsqueda de experiencias</w:t>
            </w:r>
          </w:p>
        </w:tc>
        <w:tc>
          <w:tcPr>
            <w:tcW w:w="0" w:type="auto"/>
            <w:hideMark/>
          </w:tcPr>
          <w:p w14:paraId="3FDEEB77"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Posicionar la franquicia como opción diferenciada y </w:t>
            </w:r>
            <w:proofErr w:type="spellStart"/>
            <w:r w:rsidRPr="003B6453">
              <w:rPr>
                <w:rFonts w:ascii="Times New Roman" w:hAnsi="Times New Roman" w:cs="Times New Roman"/>
                <w:sz w:val="24"/>
                <w:szCs w:val="24"/>
                <w:lang w:val="es-AR"/>
              </w:rPr>
              <w:t>aspiracional</w:t>
            </w:r>
            <w:proofErr w:type="spellEnd"/>
          </w:p>
        </w:tc>
      </w:tr>
      <w:tr w:rsidR="00A20BF3" w:rsidRPr="003B6453" w14:paraId="3F542E09" w14:textId="77777777" w:rsidTr="005F2DE8">
        <w:tc>
          <w:tcPr>
            <w:cnfStyle w:val="001000000000" w:firstRow="0" w:lastRow="0" w:firstColumn="1" w:lastColumn="0" w:oddVBand="0" w:evenVBand="0" w:oddHBand="0" w:evenHBand="0" w:firstRowFirstColumn="0" w:firstRowLastColumn="0" w:lastRowFirstColumn="0" w:lastRowLastColumn="0"/>
            <w:tcW w:w="0" w:type="auto"/>
            <w:hideMark/>
          </w:tcPr>
          <w:p w14:paraId="11E857E3"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Tecnológica</w:t>
            </w:r>
            <w:proofErr w:type="spellEnd"/>
          </w:p>
        </w:tc>
        <w:tc>
          <w:tcPr>
            <w:tcW w:w="0" w:type="auto"/>
            <w:hideMark/>
          </w:tcPr>
          <w:p w14:paraId="1980550B"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Expansión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pagos electrónicos, marketing digital y automatización de procesos</w:t>
            </w:r>
          </w:p>
        </w:tc>
        <w:tc>
          <w:tcPr>
            <w:tcW w:w="0" w:type="auto"/>
            <w:hideMark/>
          </w:tcPr>
          <w:p w14:paraId="6B4B3599"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Integrar estrategia digital desde el inicio; invertir en tecnología operativa</w:t>
            </w:r>
          </w:p>
        </w:tc>
      </w:tr>
      <w:tr w:rsidR="00A20BF3" w:rsidRPr="003B6453" w14:paraId="09854650" w14:textId="77777777" w:rsidTr="005F2D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76E810"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Ecológica</w:t>
            </w:r>
            <w:proofErr w:type="spellEnd"/>
          </w:p>
        </w:tc>
        <w:tc>
          <w:tcPr>
            <w:tcW w:w="0" w:type="auto"/>
            <w:hideMark/>
          </w:tcPr>
          <w:p w14:paraId="3BB16AA8"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Valorización de prácticas sostenibles; presión social por consumo responsable</w:t>
            </w:r>
          </w:p>
        </w:tc>
        <w:tc>
          <w:tcPr>
            <w:tcW w:w="0" w:type="auto"/>
            <w:hideMark/>
          </w:tcPr>
          <w:p w14:paraId="20557564"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Incorporar envases reciclables, reducción de desperdicios y proveedores responsables</w:t>
            </w:r>
          </w:p>
        </w:tc>
      </w:tr>
      <w:tr w:rsidR="00A20BF3" w:rsidRPr="003B6453" w14:paraId="3BC57BC8" w14:textId="77777777" w:rsidTr="005F2DE8">
        <w:tc>
          <w:tcPr>
            <w:cnfStyle w:val="001000000000" w:firstRow="0" w:lastRow="0" w:firstColumn="1" w:lastColumn="0" w:oddVBand="0" w:evenVBand="0" w:oddHBand="0" w:evenHBand="0" w:firstRowFirstColumn="0" w:firstRowLastColumn="0" w:lastRowFirstColumn="0" w:lastRowLastColumn="0"/>
            <w:tcW w:w="0" w:type="auto"/>
            <w:hideMark/>
          </w:tcPr>
          <w:p w14:paraId="58E71B64" w14:textId="77777777" w:rsidR="00A20BF3" w:rsidRPr="003B6453" w:rsidRDefault="00A20BF3"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Legal</w:t>
            </w:r>
          </w:p>
        </w:tc>
        <w:tc>
          <w:tcPr>
            <w:tcW w:w="0" w:type="auto"/>
            <w:hideMark/>
          </w:tcPr>
          <w:p w14:paraId="3512AB3D"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Normativas sanitarias, laborales e impositivas variables entre municipios</w:t>
            </w:r>
          </w:p>
        </w:tc>
        <w:tc>
          <w:tcPr>
            <w:tcW w:w="0" w:type="auto"/>
            <w:hideMark/>
          </w:tcPr>
          <w:p w14:paraId="284009D2"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Establecer protocolos de cumplimiento normativo y </w:t>
            </w:r>
            <w:r w:rsidRPr="003B6453">
              <w:rPr>
                <w:rFonts w:ascii="Times New Roman" w:hAnsi="Times New Roman" w:cs="Times New Roman"/>
                <w:sz w:val="24"/>
                <w:szCs w:val="24"/>
                <w:lang w:val="es-AR"/>
              </w:rPr>
              <w:lastRenderedPageBreak/>
              <w:t>asesoría legal especializada</w:t>
            </w:r>
          </w:p>
        </w:tc>
      </w:tr>
    </w:tbl>
    <w:p w14:paraId="222A6DDE"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Fuente: elaboración propia con base en Johnson et al. (2008);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 </w:t>
      </w:r>
      <w:proofErr w:type="spellStart"/>
      <w:r w:rsidRPr="003B6453">
        <w:rPr>
          <w:rFonts w:ascii="Times New Roman" w:hAnsi="Times New Roman" w:cs="Times New Roman"/>
          <w:sz w:val="24"/>
          <w:szCs w:val="24"/>
          <w:lang w:val="es-AR"/>
        </w:rPr>
        <w:t>Damodaran</w:t>
      </w:r>
      <w:proofErr w:type="spellEnd"/>
      <w:r w:rsidRPr="003B6453">
        <w:rPr>
          <w:rFonts w:ascii="Times New Roman" w:hAnsi="Times New Roman" w:cs="Times New Roman"/>
          <w:sz w:val="24"/>
          <w:szCs w:val="24"/>
          <w:lang w:val="es-AR"/>
        </w:rPr>
        <w:t xml:space="preserve"> (2012).</w:t>
      </w:r>
    </w:p>
    <w:p w14:paraId="64EFCECC" w14:textId="77777777" w:rsidR="00062DBB" w:rsidRPr="003B6453" w:rsidRDefault="00062DBB"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conjunto, el análisis PESTEL evidencia que la franquicia de medialunas gourmet en el Alto Valle se inserta en un entorno </w:t>
      </w:r>
      <w:proofErr w:type="spellStart"/>
      <w:r w:rsidRPr="003B6453">
        <w:rPr>
          <w:rFonts w:ascii="Times New Roman" w:hAnsi="Times New Roman" w:cs="Times New Roman"/>
          <w:sz w:val="24"/>
          <w:szCs w:val="24"/>
          <w:lang w:val="es-AR"/>
        </w:rPr>
        <w:t>macroambiental</w:t>
      </w:r>
      <w:proofErr w:type="spellEnd"/>
      <w:r w:rsidRPr="003B6453">
        <w:rPr>
          <w:rFonts w:ascii="Times New Roman" w:hAnsi="Times New Roman" w:cs="Times New Roman"/>
          <w:sz w:val="24"/>
          <w:szCs w:val="24"/>
          <w:lang w:val="es-AR"/>
        </w:rPr>
        <w:t xml:space="preserve"> complejo, caracterizado por la coexistencia de riesgos estructurales y oportunidades significativas. La inestabilidad macroeconómica y la presión salarial derivada del dinamismo del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 xml:space="preserve"> constituyen desafíos relevantes que exigen una gestión financiera prudente y flexible, basada en escenarios alternativos y en políticas de costos y precios adaptables. Al mismo tiempo, las tendencias socioculturales favorables al consumo de productos gourmet, la creciente valoración de experiencias diferenciadas y la expansión de herramientas tecnológicas aplicadas a la gastronomía generan condiciones propicias para el desarrollo de la propuesta.</w:t>
      </w:r>
    </w:p>
    <w:p w14:paraId="6A193326" w14:textId="5B530E40" w:rsidR="0036235E" w:rsidRPr="003B6453" w:rsidRDefault="00062DBB"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Asimismo, la heterogeneidad normativa entre municipios y la creciente sensibilidad ambiental de los consumidores refuerzan la necesidad de diseñar un modelo de franquicia estandarizado pero adaptable, que contemple protocolos claros de cumplimiento legal y prácticas responsables en materia ecológica. En este sentido, el análisis PESTEL no solo permite identificar factores externos que inciden sobre la factibilidad del proyecto, sino que constituye un insumo estratégico fundamental para orientar las decisiones de diseño, operación y expansión de la franquicia. Este diagnóstico </w:t>
      </w:r>
      <w:proofErr w:type="spellStart"/>
      <w:r w:rsidRPr="003B6453">
        <w:rPr>
          <w:rFonts w:ascii="Times New Roman" w:hAnsi="Times New Roman" w:cs="Times New Roman"/>
          <w:sz w:val="24"/>
          <w:szCs w:val="24"/>
          <w:lang w:val="es-AR"/>
        </w:rPr>
        <w:t>macroambiental</w:t>
      </w:r>
      <w:proofErr w:type="spellEnd"/>
      <w:r w:rsidRPr="003B6453">
        <w:rPr>
          <w:rFonts w:ascii="Times New Roman" w:hAnsi="Times New Roman" w:cs="Times New Roman"/>
          <w:sz w:val="24"/>
          <w:szCs w:val="24"/>
          <w:lang w:val="es-AR"/>
        </w:rPr>
        <w:t xml:space="preserve"> sienta las bases para el análisis FODA que se desarrolla a continuación, donde se integran los factores externos aquí identificados con las fortalezas y debilidades internas del emprendimiento.</w:t>
      </w:r>
    </w:p>
    <w:p w14:paraId="1E318B87" w14:textId="5C3CB052" w:rsidR="00410CDA" w:rsidRPr="003B6453" w:rsidRDefault="0036235E" w:rsidP="003B6453">
      <w:pPr>
        <w:pStyle w:val="Ttulo2"/>
        <w:spacing w:line="360" w:lineRule="auto"/>
        <w:jc w:val="both"/>
        <w:rPr>
          <w:rFonts w:ascii="Times New Roman" w:hAnsi="Times New Roman" w:cs="Times New Roman"/>
          <w:sz w:val="24"/>
          <w:szCs w:val="24"/>
          <w:lang w:val="es-AR"/>
        </w:rPr>
      </w:pPr>
      <w:bookmarkStart w:id="11" w:name="_Toc228546578"/>
      <w:r w:rsidRPr="003B6453">
        <w:rPr>
          <w:rFonts w:ascii="Times New Roman" w:hAnsi="Times New Roman" w:cs="Times New Roman"/>
          <w:sz w:val="24"/>
          <w:szCs w:val="24"/>
          <w:lang w:val="es-AR"/>
        </w:rPr>
        <w:t xml:space="preserve">2.2 Cadena de Valor de </w:t>
      </w:r>
      <w:proofErr w:type="spellStart"/>
      <w:r w:rsidRPr="003B6453">
        <w:rPr>
          <w:rFonts w:ascii="Times New Roman" w:hAnsi="Times New Roman" w:cs="Times New Roman"/>
          <w:sz w:val="24"/>
          <w:szCs w:val="24"/>
          <w:lang w:val="es-AR"/>
        </w:rPr>
        <w:t>Porter</w:t>
      </w:r>
      <w:bookmarkEnd w:id="11"/>
      <w:proofErr w:type="spellEnd"/>
      <w:r w:rsidR="00EB7C00" w:rsidRPr="003B6453">
        <w:rPr>
          <w:rFonts w:ascii="Times New Roman" w:hAnsi="Times New Roman" w:cs="Times New Roman"/>
          <w:sz w:val="24"/>
          <w:szCs w:val="24"/>
          <w:lang w:val="es-AR"/>
        </w:rPr>
        <w:t xml:space="preserve"> </w:t>
      </w:r>
    </w:p>
    <w:p w14:paraId="208CDC20" w14:textId="77777777" w:rsidR="00690EB1"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Cadena de Valor, propuesta por Michael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(1985), constituye una herramienta central del análisis estratégico, en tanto permite identificar, desagregar y analizar de manera sistemática las actividades primarias y de apoyo que contribuyen a la creación de valor dentro de una organización. Desde este enfoque, la ventaja competitiva no surge de una única actividad aislada, sino de la forma en que las distintas actividades se articulan, coordinan y refuerzan mutuamente a lo largo del proceso productivo. En el ámbito de las franquicias gastronómicas, donde la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del modelo y la consistencia en la </w:t>
      </w:r>
      <w:r w:rsidRPr="003B6453">
        <w:rPr>
          <w:rFonts w:ascii="Times New Roman" w:hAnsi="Times New Roman" w:cs="Times New Roman"/>
          <w:sz w:val="24"/>
          <w:szCs w:val="24"/>
          <w:lang w:val="es-AR"/>
        </w:rPr>
        <w:lastRenderedPageBreak/>
        <w:t>experiencia del cliente resultan críticas, el análisis de la Cadena de Valor adquiere una relevancia estratégica particular.</w:t>
      </w:r>
    </w:p>
    <w:p w14:paraId="49269996" w14:textId="2DDA08B5"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el caso de una propuesta basada en un producto artesanal con posicionamiento gourmet, como la franquicia de medialunas analizada en este trabajo, la Cadena de Valor permite comprender cómo se construye la diferenciación y de qué manera puede sostenerse en el proceso de expansión territorial. La estandarización de procesos, la calidad de los insumos, la capacitación del personal y la coherencia de la comunicación de marca se convierten en elementos interdependientes que deben ser gestionados de forma integral. De este modo, la Cadena de Valor no solo funciona como una herramienta descriptiva, sino como un instrumento analítico para identificar fuentes de ventaja competitiva sostenible.</w:t>
      </w:r>
    </w:p>
    <w:p w14:paraId="4C3F8151"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Aplicar la Cadena de Valor a la franquicia de medialunas gourmet en el Alto Valle permite no solo visualizar las actividades internas del negocio, sino también analizar su interacción con el ecosistema regional en el que la franquicia se insertará. En contextos regionales, caracterizados por mercados de menor escala, restricciones logísticas y particularidades culturales, la eficiencia y coherencia de cada eslabón de la cadena adquieren una relevancia estratégica aún mayor. La correcta articulación entre operaciones, recursos humanos, proveedores y marketing resulta clave para garantizar tanto la consistencia de la experiencia del consumidor como la viabilidad económica del modelo de franquicia.</w:t>
      </w:r>
    </w:p>
    <w:p w14:paraId="26E95EDA"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Las actividades primarias de la cadena comienzan con la logística interna, que comprende el abastecimiento, almacenamiento y gestión de insumos críticos como harina, manteca, azúcar y materias primas específicas para rellenos gourmet. En el Alto Valle, esta actividad se ve condicionada por la distancia a los grandes centros de producción y distribución del país, lo que incrementa los costos de transporte y los tiempos de entrega. Esta situación refuerza la necesidad de establecer acuerdos estratégicos con proveedores regionales confiables, así como de implementar protocolos estrictos de control de calidad que aseguren la homogeneidad del producto en todas las unidades franquiciadas. La eficiencia en la logística interna impacta de manera directa en la estructura de costos, en la calidad final del producto y en la continuidad operativa del negocio.</w:t>
      </w:r>
    </w:p>
    <w:p w14:paraId="342D3E81"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Las operaciones constituyen el núcleo de la propuesta de valor del proyecto. En esta etapa se concentran los procesos de elaboración, fermentación, horneado y presentación de las </w:t>
      </w:r>
      <w:r w:rsidRPr="003B6453">
        <w:rPr>
          <w:rFonts w:ascii="Times New Roman" w:hAnsi="Times New Roman" w:cs="Times New Roman"/>
          <w:sz w:val="24"/>
          <w:szCs w:val="24"/>
          <w:lang w:val="es-AR"/>
        </w:rPr>
        <w:lastRenderedPageBreak/>
        <w:t>medialunas, los cuales deben estar estrictamente estandarizados para preservar la identidad artesanal y gourmet de la marca. La combinación entre técnicas tradicionales de panificación y protocolos operativos claramente definidos permite asegurar una calidad constante, independientemente de la ubicación geográfica del local. En el marco de una franquicia gastronómica, esta estandarización resulta indispensable para transmitir confianza al consumidor, proteger la reputación de la marca y reducir los riesgos asociados a la expansión.</w:t>
      </w:r>
    </w:p>
    <w:p w14:paraId="5D5CCA89"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logística externa incluye la entrega del producto al cliente final, ya sea a través del consumo en el punto de venta o mediante servicios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Dado que la frescura es un atributo crítico en productos de panificación, esta actividad adquiere una importancia estratégica. La coordinación de los tiempos de horneado, despacho y entrega resulta esencial para garantizar que el consumidor reciba un producto en condiciones óptimas. En el Alto Valle, donde las distancias urbanas son moderadas pero la dispersión territorial puede ser significativa, una logística externa eficiente contribuye a mejorar la percepción de calidad, confiabilidad y profesionalismo del servicio.</w:t>
      </w:r>
    </w:p>
    <w:p w14:paraId="70F75A36"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Las actividades de marketing y ventas cumplen un rol central en la construcción y consolidación del posicionamiento gourmet de la franquicia. No se trata únicamente de promocionar el producto, sino de comunicar una experiencia diferencial basada en la calidad sensorial, la estética, la ambientación del local y la coherencia de marca. El uso estratégico de redes sociales, el diseño del </w:t>
      </w:r>
      <w:proofErr w:type="spellStart"/>
      <w:r w:rsidRPr="003B6453">
        <w:rPr>
          <w:rFonts w:ascii="Times New Roman" w:hAnsi="Times New Roman" w:cs="Times New Roman"/>
          <w:sz w:val="24"/>
          <w:szCs w:val="24"/>
          <w:lang w:val="es-AR"/>
        </w:rPr>
        <w:t>packaging</w:t>
      </w:r>
      <w:proofErr w:type="spellEnd"/>
      <w:r w:rsidRPr="003B6453">
        <w:rPr>
          <w:rFonts w:ascii="Times New Roman" w:hAnsi="Times New Roman" w:cs="Times New Roman"/>
          <w:sz w:val="24"/>
          <w:szCs w:val="24"/>
          <w:lang w:val="es-AR"/>
        </w:rPr>
        <w:t>, la ambientación de los puntos de venta y las acciones promocionales vinculadas a momentos específicos de consumo —como desayunos y meriendas— permiten reforzar el vínculo emocional con el consumidor. En mercados regionales, donde la cercanía y el boca a boca tienen un peso significativo, estas acciones adquieren una relevancia adicional para la construcción de reputación y fidelidad.</w:t>
      </w:r>
    </w:p>
    <w:p w14:paraId="05919586"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Finalmente, los servicios de posventa incluyen los programas de fidelización, la atención al cliente y la interacción posterior a la compra, especialmente a través de canales digitales. La gestión de bases de datos de clientes, el envío de promociones personalizadas y la respuesta activa a comentarios y reseñas permiten fortalecer la relación con el consumidor y fomentar la recompra. En mercados de escala intermedia como el Alto Valle, donde la </w:t>
      </w:r>
      <w:r w:rsidRPr="003B6453">
        <w:rPr>
          <w:rFonts w:ascii="Times New Roman" w:hAnsi="Times New Roman" w:cs="Times New Roman"/>
          <w:sz w:val="24"/>
          <w:szCs w:val="24"/>
          <w:lang w:val="es-AR"/>
        </w:rPr>
        <w:lastRenderedPageBreak/>
        <w:t>recurrencia del consumo resulta clave para la rentabilidad del negocio, estos servicios constituyen un componente estratégico de la cadena de valor.</w:t>
      </w:r>
    </w:p>
    <w:p w14:paraId="5A730443"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Las actividades de apoyo complementan y sostienen el funcionamiento integral de la cadena. La infraestructura de la empresa abarca la planificación estratégica, la gestión administrativa y financiera, y el desarrollo de manuales operativos que aseguren la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del modelo de franquicia. La gestión de recursos humanos resulta particularmente crítica en este proyecto, dado el contexto laboral regional marcado por la competencia del sector petrolero. La selección, capacitación y retención de personal capacitado exige inversiones constantes en formación, incentivos y desarrollo de carrera, orientadas a garantizar la calidad del servicio y la continuidad operativa. El desarrollo tecnológico incluye la implementación de sistemas de gestión, la automatización de procesos productivos, el marketing digital y los medios de pago electrónicos, contribuyendo a mejorar la eficiencia operativa y la experiencia del cliente. Finalmente, la adquisición estratégica de insumos, mediante alianzas con proveedores locales y regionales, permite reducir costos logísticos y fortalecer la integración del negocio con el entorno.</w:t>
      </w:r>
    </w:p>
    <w:p w14:paraId="420313F2" w14:textId="77777777"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de la Cadena de Valor muestra que el valor en este proyecto se genera de manera predominante en las operaciones, donde la artesanía y la calidad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constituyen la esencia de la propuesta, y en las actividades de marketing y ventas, responsables de comunicar esa diferenciación al mercado. Sin embargo, la sustentabilidad del modelo depende en igual medida del soporte brindado por los recursos humanos capacitados, la infraestructura organizacional y las alianzas estratégicas con proveedores confiables. En un contexto regional como el Alto Valle, donde los desafíos laborales y logísticos son significativos, la correcta gestión de toda la cadena de valor se convierte en un factor determinante para construir y sostener una ventaja competitiva a largo plazo.</w:t>
      </w:r>
    </w:p>
    <w:p w14:paraId="31380BE3" w14:textId="77777777" w:rsidR="00ED3BA3"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 partir del análisis detallado de las actividades primarias y de apoyo que conforman la Cadena de Valor, resulta pertinente sintetizar cómo cada uno de estos eslabones se traduce en decisiones operativas concretas dentro del modelo de franquicia propuesto. La Tabla </w:t>
      </w:r>
      <w:r w:rsidR="00ED3BA3" w:rsidRPr="003B6453">
        <w:rPr>
          <w:rFonts w:ascii="Times New Roman" w:hAnsi="Times New Roman" w:cs="Times New Roman"/>
          <w:sz w:val="24"/>
          <w:szCs w:val="24"/>
          <w:lang w:val="es-AR"/>
        </w:rPr>
        <w:t>7</w:t>
      </w:r>
    </w:p>
    <w:p w14:paraId="18A3809E" w14:textId="60CB5B6B" w:rsidR="008A3CD0" w:rsidRPr="003B6453" w:rsidRDefault="00BF7478" w:rsidP="003B6453">
      <w:pPr>
        <w:spacing w:line="360" w:lineRule="auto"/>
        <w:jc w:val="both"/>
        <w:rPr>
          <w:rFonts w:ascii="Times New Roman" w:hAnsi="Times New Roman" w:cs="Times New Roman"/>
          <w:sz w:val="24"/>
          <w:szCs w:val="24"/>
          <w:lang w:val="es-AR"/>
        </w:rPr>
      </w:pPr>
      <w:proofErr w:type="gramStart"/>
      <w:r w:rsidRPr="003B6453">
        <w:rPr>
          <w:rFonts w:ascii="Times New Roman" w:hAnsi="Times New Roman" w:cs="Times New Roman"/>
          <w:sz w:val="24"/>
          <w:szCs w:val="24"/>
          <w:lang w:val="es-AR"/>
        </w:rPr>
        <w:t>resume</w:t>
      </w:r>
      <w:proofErr w:type="gramEnd"/>
      <w:r w:rsidRPr="003B6453">
        <w:rPr>
          <w:rFonts w:ascii="Times New Roman" w:hAnsi="Times New Roman" w:cs="Times New Roman"/>
          <w:sz w:val="24"/>
          <w:szCs w:val="24"/>
          <w:lang w:val="es-AR"/>
        </w:rPr>
        <w:t xml:space="preserve"> las principales actividades de la cadena de valor aplicadas a la franquicia de medialunas gourmet y explicita sus implicancias estratégicas para la gestión del negocio.</w:t>
      </w:r>
    </w:p>
    <w:p w14:paraId="695C0154" w14:textId="25F9FBA3" w:rsidR="00410CDA" w:rsidRPr="003B6453" w:rsidRDefault="00410CD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lastRenderedPageBreak/>
        <w:t xml:space="preserve">Tabla </w:t>
      </w:r>
      <w:r w:rsidR="00ED3BA3" w:rsidRPr="003B6453">
        <w:rPr>
          <w:rFonts w:ascii="Times New Roman" w:hAnsi="Times New Roman" w:cs="Times New Roman"/>
          <w:b/>
          <w:bCs/>
          <w:sz w:val="24"/>
          <w:szCs w:val="24"/>
          <w:lang w:val="es-AR"/>
        </w:rPr>
        <w:t>7</w:t>
      </w:r>
      <w:r w:rsidRPr="003B6453">
        <w:rPr>
          <w:rFonts w:ascii="Times New Roman" w:hAnsi="Times New Roman" w:cs="Times New Roman"/>
          <w:b/>
          <w:bCs/>
          <w:sz w:val="24"/>
          <w:szCs w:val="24"/>
          <w:lang w:val="es-AR"/>
        </w:rPr>
        <w:t>. Cadena de Valor aplicada a la franquicia de medialunas gourmet</w:t>
      </w:r>
    </w:p>
    <w:tbl>
      <w:tblPr>
        <w:tblStyle w:val="GridTable5DarkAccent5"/>
        <w:tblW w:w="0" w:type="auto"/>
        <w:tblLook w:val="04A0" w:firstRow="1" w:lastRow="0" w:firstColumn="1" w:lastColumn="0" w:noHBand="0" w:noVBand="1"/>
      </w:tblPr>
      <w:tblGrid>
        <w:gridCol w:w="2261"/>
        <w:gridCol w:w="3399"/>
        <w:gridCol w:w="3394"/>
      </w:tblGrid>
      <w:tr w:rsidR="00410CDA" w:rsidRPr="003B6453" w14:paraId="01E0306E" w14:textId="77777777" w:rsidTr="00ED3B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ABF48C" w14:textId="77777777" w:rsidR="00410CDA" w:rsidRPr="003B6453" w:rsidRDefault="00410CDA"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Categoría</w:t>
            </w:r>
            <w:proofErr w:type="spellEnd"/>
          </w:p>
        </w:tc>
        <w:tc>
          <w:tcPr>
            <w:tcW w:w="0" w:type="auto"/>
            <w:hideMark/>
          </w:tcPr>
          <w:p w14:paraId="24D14A18" w14:textId="77777777" w:rsidR="00410CDA" w:rsidRPr="003B6453" w:rsidRDefault="00410CD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Actividades</w:t>
            </w:r>
            <w:proofErr w:type="spellEnd"/>
            <w:r w:rsidRPr="003B6453">
              <w:rPr>
                <w:rFonts w:ascii="Times New Roman" w:hAnsi="Times New Roman" w:cs="Times New Roman"/>
                <w:b w:val="0"/>
                <w:bCs w:val="0"/>
                <w:sz w:val="24"/>
                <w:szCs w:val="24"/>
              </w:rPr>
              <w:t xml:space="preserve"> clave</w:t>
            </w:r>
          </w:p>
        </w:tc>
        <w:tc>
          <w:tcPr>
            <w:tcW w:w="0" w:type="auto"/>
            <w:hideMark/>
          </w:tcPr>
          <w:p w14:paraId="0C144D25" w14:textId="77777777" w:rsidR="00410CDA" w:rsidRPr="003B6453" w:rsidRDefault="00410CD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Implicancias</w:t>
            </w:r>
            <w:proofErr w:type="spellEnd"/>
            <w:r w:rsidRPr="003B6453">
              <w:rPr>
                <w:rFonts w:ascii="Times New Roman" w:hAnsi="Times New Roman" w:cs="Times New Roman"/>
                <w:b w:val="0"/>
                <w:bCs w:val="0"/>
                <w:sz w:val="24"/>
                <w:szCs w:val="24"/>
              </w:rPr>
              <w:t xml:space="preserve"> </w:t>
            </w:r>
            <w:proofErr w:type="spellStart"/>
            <w:r w:rsidRPr="003B6453">
              <w:rPr>
                <w:rFonts w:ascii="Times New Roman" w:hAnsi="Times New Roman" w:cs="Times New Roman"/>
                <w:b w:val="0"/>
                <w:bCs w:val="0"/>
                <w:sz w:val="24"/>
                <w:szCs w:val="24"/>
              </w:rPr>
              <w:t>para</w:t>
            </w:r>
            <w:proofErr w:type="spellEnd"/>
            <w:r w:rsidRPr="003B6453">
              <w:rPr>
                <w:rFonts w:ascii="Times New Roman" w:hAnsi="Times New Roman" w:cs="Times New Roman"/>
                <w:b w:val="0"/>
                <w:bCs w:val="0"/>
                <w:sz w:val="24"/>
                <w:szCs w:val="24"/>
              </w:rPr>
              <w:t xml:space="preserve"> el </w:t>
            </w:r>
            <w:proofErr w:type="spellStart"/>
            <w:r w:rsidRPr="003B6453">
              <w:rPr>
                <w:rFonts w:ascii="Times New Roman" w:hAnsi="Times New Roman" w:cs="Times New Roman"/>
                <w:b w:val="0"/>
                <w:bCs w:val="0"/>
                <w:sz w:val="24"/>
                <w:szCs w:val="24"/>
              </w:rPr>
              <w:t>negocio</w:t>
            </w:r>
            <w:proofErr w:type="spellEnd"/>
          </w:p>
        </w:tc>
      </w:tr>
      <w:tr w:rsidR="00410CDA" w:rsidRPr="003B6453" w14:paraId="465FD9F3" w14:textId="77777777" w:rsidTr="00ED3B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AE90FB"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Logística</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interna</w:t>
            </w:r>
            <w:proofErr w:type="spellEnd"/>
          </w:p>
        </w:tc>
        <w:tc>
          <w:tcPr>
            <w:tcW w:w="0" w:type="auto"/>
            <w:hideMark/>
          </w:tcPr>
          <w:p w14:paraId="13FC9653"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Abastecimiento de insumos básicos y </w:t>
            </w:r>
            <w:proofErr w:type="spellStart"/>
            <w:r w:rsidRPr="003B6453">
              <w:rPr>
                <w:rFonts w:ascii="Times New Roman" w:hAnsi="Times New Roman" w:cs="Times New Roman"/>
                <w:sz w:val="24"/>
                <w:szCs w:val="24"/>
                <w:lang w:val="es-AR"/>
              </w:rPr>
              <w:t>premium</w:t>
            </w:r>
            <w:proofErr w:type="spellEnd"/>
          </w:p>
        </w:tc>
        <w:tc>
          <w:tcPr>
            <w:tcW w:w="0" w:type="auto"/>
            <w:hideMark/>
          </w:tcPr>
          <w:p w14:paraId="5C1FADEA"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Asegurar calidad constante; diversificar proveedores</w:t>
            </w:r>
          </w:p>
        </w:tc>
      </w:tr>
      <w:tr w:rsidR="00410CDA" w:rsidRPr="003B6453" w14:paraId="7F47AFB5" w14:textId="77777777" w:rsidTr="00ED3BA3">
        <w:tc>
          <w:tcPr>
            <w:cnfStyle w:val="001000000000" w:firstRow="0" w:lastRow="0" w:firstColumn="1" w:lastColumn="0" w:oddVBand="0" w:evenVBand="0" w:oddHBand="0" w:evenHBand="0" w:firstRowFirstColumn="0" w:firstRowLastColumn="0" w:lastRowFirstColumn="0" w:lastRowLastColumn="0"/>
            <w:tcW w:w="0" w:type="auto"/>
            <w:hideMark/>
          </w:tcPr>
          <w:p w14:paraId="6639275A"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Operaciones</w:t>
            </w:r>
            <w:proofErr w:type="spellEnd"/>
          </w:p>
        </w:tc>
        <w:tc>
          <w:tcPr>
            <w:tcW w:w="0" w:type="auto"/>
            <w:hideMark/>
          </w:tcPr>
          <w:p w14:paraId="39A78D00"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Producción estandarizada de medialunas gourmet</w:t>
            </w:r>
          </w:p>
        </w:tc>
        <w:tc>
          <w:tcPr>
            <w:tcW w:w="0" w:type="auto"/>
            <w:hideMark/>
          </w:tcPr>
          <w:p w14:paraId="6BD902A7"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Mantener consistencia y calidad artesanal en todas las unidades</w:t>
            </w:r>
          </w:p>
        </w:tc>
      </w:tr>
      <w:tr w:rsidR="00410CDA" w:rsidRPr="003B6453" w14:paraId="62E3C06C" w14:textId="77777777" w:rsidTr="00ED3B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2CBA72"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Logística</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externa</w:t>
            </w:r>
            <w:proofErr w:type="spellEnd"/>
          </w:p>
        </w:tc>
        <w:tc>
          <w:tcPr>
            <w:tcW w:w="0" w:type="auto"/>
            <w:hideMark/>
          </w:tcPr>
          <w:p w14:paraId="5AF9A5D1"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Venta directa en locales; </w:t>
            </w:r>
            <w:proofErr w:type="spellStart"/>
            <w:r w:rsidRPr="003B6453">
              <w:rPr>
                <w:rFonts w:ascii="Times New Roman" w:hAnsi="Times New Roman" w:cs="Times New Roman"/>
                <w:sz w:val="24"/>
                <w:szCs w:val="24"/>
                <w:lang w:val="es-AR"/>
              </w:rPr>
              <w:t>delivery</w:t>
            </w:r>
            <w:proofErr w:type="spellEnd"/>
          </w:p>
        </w:tc>
        <w:tc>
          <w:tcPr>
            <w:tcW w:w="0" w:type="auto"/>
            <w:hideMark/>
          </w:tcPr>
          <w:p w14:paraId="365B2D40"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Integrar plataformas digitales; garantizar rapidez y presentación</w:t>
            </w:r>
          </w:p>
        </w:tc>
      </w:tr>
      <w:tr w:rsidR="00410CDA" w:rsidRPr="003B6453" w14:paraId="21EF05E0" w14:textId="77777777" w:rsidTr="00ED3BA3">
        <w:tc>
          <w:tcPr>
            <w:cnfStyle w:val="001000000000" w:firstRow="0" w:lastRow="0" w:firstColumn="1" w:lastColumn="0" w:oddVBand="0" w:evenVBand="0" w:oddHBand="0" w:evenHBand="0" w:firstRowFirstColumn="0" w:firstRowLastColumn="0" w:lastRowFirstColumn="0" w:lastRowLastColumn="0"/>
            <w:tcW w:w="0" w:type="auto"/>
            <w:hideMark/>
          </w:tcPr>
          <w:p w14:paraId="5659D6B6" w14:textId="77777777" w:rsidR="00410CDA" w:rsidRPr="003B6453" w:rsidRDefault="00410CDA"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 xml:space="preserve">Marketing y </w:t>
            </w:r>
            <w:proofErr w:type="spellStart"/>
            <w:r w:rsidRPr="003B6453">
              <w:rPr>
                <w:rFonts w:ascii="Times New Roman" w:hAnsi="Times New Roman" w:cs="Times New Roman"/>
                <w:sz w:val="24"/>
                <w:szCs w:val="24"/>
              </w:rPr>
              <w:t>ventas</w:t>
            </w:r>
            <w:proofErr w:type="spellEnd"/>
          </w:p>
        </w:tc>
        <w:tc>
          <w:tcPr>
            <w:tcW w:w="0" w:type="auto"/>
            <w:hideMark/>
          </w:tcPr>
          <w:p w14:paraId="4F8ED809"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Posicionamiento gourmet; redes sociales; promociones</w:t>
            </w:r>
          </w:p>
        </w:tc>
        <w:tc>
          <w:tcPr>
            <w:tcW w:w="0" w:type="auto"/>
            <w:hideMark/>
          </w:tcPr>
          <w:p w14:paraId="3602BBE5"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Diferenciar frente a panaderías tradicionales; fidelizar clientes</w:t>
            </w:r>
          </w:p>
        </w:tc>
      </w:tr>
      <w:tr w:rsidR="00410CDA" w:rsidRPr="003B6453" w14:paraId="15FF78F9" w14:textId="77777777" w:rsidTr="00ED3B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C1395D"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Servicios</w:t>
            </w:r>
            <w:proofErr w:type="spellEnd"/>
            <w:r w:rsidRPr="003B6453">
              <w:rPr>
                <w:rFonts w:ascii="Times New Roman" w:hAnsi="Times New Roman" w:cs="Times New Roman"/>
                <w:sz w:val="24"/>
                <w:szCs w:val="24"/>
              </w:rPr>
              <w:t xml:space="preserve"> de </w:t>
            </w:r>
            <w:proofErr w:type="spellStart"/>
            <w:r w:rsidRPr="003B6453">
              <w:rPr>
                <w:rFonts w:ascii="Times New Roman" w:hAnsi="Times New Roman" w:cs="Times New Roman"/>
                <w:sz w:val="24"/>
                <w:szCs w:val="24"/>
              </w:rPr>
              <w:t>posventa</w:t>
            </w:r>
            <w:proofErr w:type="spellEnd"/>
          </w:p>
        </w:tc>
        <w:tc>
          <w:tcPr>
            <w:tcW w:w="0" w:type="auto"/>
            <w:hideMark/>
          </w:tcPr>
          <w:p w14:paraId="34C2A091"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Programas de fidelización; atención digital</w:t>
            </w:r>
          </w:p>
        </w:tc>
        <w:tc>
          <w:tcPr>
            <w:tcW w:w="0" w:type="auto"/>
            <w:hideMark/>
          </w:tcPr>
          <w:p w14:paraId="2996B737"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Construir lealtad emocional con los consumidores</w:t>
            </w:r>
          </w:p>
        </w:tc>
      </w:tr>
      <w:tr w:rsidR="00410CDA" w:rsidRPr="003B6453" w14:paraId="6E8B6BD6" w14:textId="77777777" w:rsidTr="00ED3BA3">
        <w:tc>
          <w:tcPr>
            <w:cnfStyle w:val="001000000000" w:firstRow="0" w:lastRow="0" w:firstColumn="1" w:lastColumn="0" w:oddVBand="0" w:evenVBand="0" w:oddHBand="0" w:evenHBand="0" w:firstRowFirstColumn="0" w:firstRowLastColumn="0" w:lastRowFirstColumn="0" w:lastRowLastColumn="0"/>
            <w:tcW w:w="0" w:type="auto"/>
            <w:hideMark/>
          </w:tcPr>
          <w:p w14:paraId="04D0A095"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Infraestructura</w:t>
            </w:r>
            <w:proofErr w:type="spellEnd"/>
          </w:p>
        </w:tc>
        <w:tc>
          <w:tcPr>
            <w:tcW w:w="0" w:type="auto"/>
            <w:hideMark/>
          </w:tcPr>
          <w:p w14:paraId="52AD297A"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Manuales de operación; gestión administrativa</w:t>
            </w:r>
          </w:p>
        </w:tc>
        <w:tc>
          <w:tcPr>
            <w:tcW w:w="0" w:type="auto"/>
            <w:hideMark/>
          </w:tcPr>
          <w:p w14:paraId="581D13BF"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Facilitar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del modelo de franquicia</w:t>
            </w:r>
          </w:p>
        </w:tc>
      </w:tr>
      <w:tr w:rsidR="00410CDA" w:rsidRPr="003B6453" w14:paraId="79C0E400" w14:textId="77777777" w:rsidTr="00ED3B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B4EEB2" w14:textId="77777777" w:rsidR="00410CDA" w:rsidRPr="003B6453" w:rsidRDefault="00410CDA" w:rsidP="003B6453">
            <w:pPr>
              <w:spacing w:line="360" w:lineRule="auto"/>
              <w:jc w:val="both"/>
              <w:rPr>
                <w:rFonts w:ascii="Times New Roman" w:hAnsi="Times New Roman" w:cs="Times New Roman"/>
                <w:sz w:val="24"/>
                <w:szCs w:val="24"/>
              </w:rPr>
            </w:pPr>
            <w:r w:rsidRPr="003B6453">
              <w:rPr>
                <w:rFonts w:ascii="Times New Roman" w:hAnsi="Times New Roman" w:cs="Times New Roman"/>
                <w:sz w:val="24"/>
                <w:szCs w:val="24"/>
              </w:rPr>
              <w:t>RR.HH.</w:t>
            </w:r>
          </w:p>
        </w:tc>
        <w:tc>
          <w:tcPr>
            <w:tcW w:w="0" w:type="auto"/>
            <w:hideMark/>
          </w:tcPr>
          <w:p w14:paraId="3936098B"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Selección y capacitación de personal</w:t>
            </w:r>
          </w:p>
        </w:tc>
        <w:tc>
          <w:tcPr>
            <w:tcW w:w="0" w:type="auto"/>
            <w:hideMark/>
          </w:tcPr>
          <w:p w14:paraId="6918DC1B"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Superar escasez de mano de obra calificada en la región</w:t>
            </w:r>
          </w:p>
        </w:tc>
      </w:tr>
      <w:tr w:rsidR="00410CDA" w:rsidRPr="003B6453" w14:paraId="7910A875" w14:textId="77777777" w:rsidTr="00ED3BA3">
        <w:tc>
          <w:tcPr>
            <w:cnfStyle w:val="001000000000" w:firstRow="0" w:lastRow="0" w:firstColumn="1" w:lastColumn="0" w:oddVBand="0" w:evenVBand="0" w:oddHBand="0" w:evenHBand="0" w:firstRowFirstColumn="0" w:firstRowLastColumn="0" w:lastRowFirstColumn="0" w:lastRowLastColumn="0"/>
            <w:tcW w:w="0" w:type="auto"/>
            <w:hideMark/>
          </w:tcPr>
          <w:p w14:paraId="77F7DF4A"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Tecnología</w:t>
            </w:r>
            <w:proofErr w:type="spellEnd"/>
          </w:p>
        </w:tc>
        <w:tc>
          <w:tcPr>
            <w:tcW w:w="0" w:type="auto"/>
            <w:hideMark/>
          </w:tcPr>
          <w:p w14:paraId="7B3E0D7E"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Automatización; sistemas de pago digital; marketing online</w:t>
            </w:r>
          </w:p>
        </w:tc>
        <w:tc>
          <w:tcPr>
            <w:tcW w:w="0" w:type="auto"/>
            <w:hideMark/>
          </w:tcPr>
          <w:p w14:paraId="1698A578"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Mejorar eficiencia y presencia en canales digitales</w:t>
            </w:r>
          </w:p>
        </w:tc>
      </w:tr>
      <w:tr w:rsidR="00410CDA" w:rsidRPr="003B6453" w14:paraId="25794881" w14:textId="77777777" w:rsidTr="00ED3B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1B95BB"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Aprovisionamiento</w:t>
            </w:r>
            <w:proofErr w:type="spellEnd"/>
          </w:p>
        </w:tc>
        <w:tc>
          <w:tcPr>
            <w:tcW w:w="0" w:type="auto"/>
            <w:hideMark/>
          </w:tcPr>
          <w:p w14:paraId="304BD8E9"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Alianzas con proveedores locales y regionales</w:t>
            </w:r>
          </w:p>
        </w:tc>
        <w:tc>
          <w:tcPr>
            <w:tcW w:w="0" w:type="auto"/>
            <w:hideMark/>
          </w:tcPr>
          <w:p w14:paraId="68CD4267"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Reducir costos logísticos y reforzar identidad de marca</w:t>
            </w:r>
          </w:p>
        </w:tc>
      </w:tr>
    </w:tbl>
    <w:p w14:paraId="26462307" w14:textId="77777777" w:rsidR="00262D8F" w:rsidRDefault="00410CDA" w:rsidP="003B6453">
      <w:pPr>
        <w:spacing w:line="360" w:lineRule="auto"/>
        <w:jc w:val="both"/>
        <w:rPr>
          <w:rFonts w:ascii="Times New Roman" w:hAnsi="Times New Roman" w:cs="Times New Roman"/>
          <w:b/>
          <w:bCs/>
          <w:noProof/>
          <w:sz w:val="24"/>
          <w:szCs w:val="24"/>
          <w:lang w:val="es-AR"/>
        </w:rPr>
      </w:pPr>
      <w:r w:rsidRPr="003B6453">
        <w:rPr>
          <w:rFonts w:ascii="Times New Roman" w:hAnsi="Times New Roman" w:cs="Times New Roman"/>
          <w:sz w:val="24"/>
          <w:szCs w:val="24"/>
          <w:lang w:val="es-AR"/>
        </w:rPr>
        <w:t xml:space="preserve">Fuente: elaboración propia con base en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(1985).</w:t>
      </w:r>
      <w:r w:rsidR="00ED3BA3" w:rsidRPr="003B6453">
        <w:rPr>
          <w:rFonts w:ascii="Times New Roman" w:hAnsi="Times New Roman" w:cs="Times New Roman"/>
          <w:b/>
          <w:bCs/>
          <w:noProof/>
          <w:sz w:val="24"/>
          <w:szCs w:val="24"/>
          <w:lang w:val="es-AR"/>
        </w:rPr>
        <w:t xml:space="preserve"> </w:t>
      </w:r>
    </w:p>
    <w:p w14:paraId="3396E07D" w14:textId="3E2EF793" w:rsidR="006E2EE3" w:rsidRDefault="006E2EE3" w:rsidP="003B6453">
      <w:pPr>
        <w:spacing w:line="360" w:lineRule="auto"/>
        <w:jc w:val="both"/>
        <w:rPr>
          <w:rFonts w:ascii="Times New Roman" w:hAnsi="Times New Roman" w:cs="Times New Roman"/>
          <w:b/>
          <w:bCs/>
          <w:noProof/>
          <w:sz w:val="24"/>
          <w:szCs w:val="24"/>
          <w:lang w:val="es-AR"/>
        </w:rPr>
      </w:pPr>
      <w:r w:rsidRPr="006E2EE3">
        <w:rPr>
          <w:rFonts w:ascii="Times New Roman" w:hAnsi="Times New Roman" w:cs="Times New Roman"/>
          <w:sz w:val="24"/>
          <w:szCs w:val="24"/>
        </w:rPr>
        <w:t xml:space="preserve">Porter, M. E. (1985). Competitive advantage: Creating and sustaining superior performance. </w:t>
      </w:r>
      <w:r w:rsidRPr="006E2EE3">
        <w:rPr>
          <w:rFonts w:ascii="Times New Roman" w:hAnsi="Times New Roman" w:cs="Times New Roman"/>
          <w:sz w:val="24"/>
          <w:szCs w:val="24"/>
          <w:lang w:val="es-AR"/>
        </w:rPr>
        <w:t xml:space="preserve">Free </w:t>
      </w:r>
      <w:proofErr w:type="spellStart"/>
      <w:r w:rsidRPr="006E2EE3">
        <w:rPr>
          <w:rFonts w:ascii="Times New Roman" w:hAnsi="Times New Roman" w:cs="Times New Roman"/>
          <w:sz w:val="24"/>
          <w:szCs w:val="24"/>
          <w:lang w:val="es-AR"/>
        </w:rPr>
        <w:t>Press</w:t>
      </w:r>
      <w:proofErr w:type="spellEnd"/>
      <w:r w:rsidRPr="006E2EE3">
        <w:rPr>
          <w:rFonts w:ascii="Times New Roman" w:hAnsi="Times New Roman" w:cs="Times New Roman"/>
          <w:sz w:val="24"/>
          <w:szCs w:val="24"/>
          <w:lang w:val="es-AR"/>
        </w:rPr>
        <w:t>.</w:t>
      </w:r>
    </w:p>
    <w:p w14:paraId="38DF4399" w14:textId="70E1273E" w:rsidR="00410CDA" w:rsidRPr="003B6453" w:rsidRDefault="00ED3BA3" w:rsidP="006E2EE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noProof/>
          <w:sz w:val="24"/>
          <w:szCs w:val="24"/>
          <w:lang w:val="es-AR" w:eastAsia="es-AR"/>
        </w:rPr>
        <w:lastRenderedPageBreak/>
        <w:drawing>
          <wp:inline distT="0" distB="0" distL="0" distR="0" wp14:anchorId="131695F2" wp14:editId="64831252">
            <wp:extent cx="5052498" cy="2461473"/>
            <wp:effectExtent l="0" t="0" r="0" b="0"/>
            <wp:docPr id="35749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91156" name=""/>
                    <pic:cNvPicPr/>
                  </pic:nvPicPr>
                  <pic:blipFill>
                    <a:blip r:embed="rId13"/>
                    <a:stretch>
                      <a:fillRect/>
                    </a:stretch>
                  </pic:blipFill>
                  <pic:spPr>
                    <a:xfrm>
                      <a:off x="0" y="0"/>
                      <a:ext cx="5052498" cy="2461473"/>
                    </a:xfrm>
                    <a:prstGeom prst="rect">
                      <a:avLst/>
                    </a:prstGeom>
                  </pic:spPr>
                </pic:pic>
              </a:graphicData>
            </a:graphic>
          </wp:inline>
        </w:drawing>
      </w:r>
      <w:r w:rsidR="006E2EE3" w:rsidRPr="006E2EE3">
        <w:rPr>
          <w:rFonts w:ascii="Times New Roman" w:hAnsi="Times New Roman" w:cs="Times New Roman"/>
          <w:sz w:val="24"/>
          <w:szCs w:val="24"/>
        </w:rPr>
        <w:br/>
      </w:r>
      <w:r w:rsidR="006E2EE3">
        <w:rPr>
          <w:rFonts w:ascii="Times New Roman" w:hAnsi="Times New Roman" w:cs="Times New Roman"/>
          <w:sz w:val="24"/>
          <w:szCs w:val="24"/>
          <w:lang w:val="es-AR"/>
        </w:rPr>
        <w:t xml:space="preserve">Fuente </w:t>
      </w:r>
      <w:r w:rsidR="006E2EE3" w:rsidRPr="006E2EE3">
        <w:rPr>
          <w:rFonts w:ascii="Times New Roman" w:hAnsi="Times New Roman" w:cs="Times New Roman"/>
          <w:sz w:val="24"/>
          <w:szCs w:val="24"/>
          <w:lang w:val="es-AR"/>
        </w:rPr>
        <w:t xml:space="preserve">“Cadena de valor. Elaboración propia en base a </w:t>
      </w:r>
      <w:proofErr w:type="spellStart"/>
      <w:r w:rsidR="006E2EE3" w:rsidRPr="006E2EE3">
        <w:rPr>
          <w:rFonts w:ascii="Times New Roman" w:hAnsi="Times New Roman" w:cs="Times New Roman"/>
          <w:sz w:val="24"/>
          <w:szCs w:val="24"/>
          <w:lang w:val="es-AR"/>
        </w:rPr>
        <w:t>Porter</w:t>
      </w:r>
      <w:proofErr w:type="spellEnd"/>
      <w:r w:rsidR="006E2EE3" w:rsidRPr="006E2EE3">
        <w:rPr>
          <w:rFonts w:ascii="Times New Roman" w:hAnsi="Times New Roman" w:cs="Times New Roman"/>
          <w:sz w:val="24"/>
          <w:szCs w:val="24"/>
          <w:lang w:val="es-AR"/>
        </w:rPr>
        <w:t xml:space="preserve"> (1985).”</w:t>
      </w:r>
    </w:p>
    <w:p w14:paraId="6BD5206A" w14:textId="404BEECD"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Cadena de Valor se articula de manera directa con la noción de clúster competitivo regional, también desarrollada por Michael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(1990). Un clúster se define como la concentración geográfica de empresas, proveedores, instituciones de apoyo y clientes que, a través de sus interacciones sistemáticas, generan sinergias, reducen costos de transacción y potencian la competitividad de un sector. Desde esta perspectiva, el análisis de la Cadena de Valor no puede abordarse de forma aislada ni exclusivamente desde el interior de la organización, sino que debe contextualizarse dentro del entramado productivo, institucional y social en el que la franquicia desarrolla su actividad.</w:t>
      </w:r>
    </w:p>
    <w:p w14:paraId="1CBBC4D2" w14:textId="5CB737BA"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caso del Alto Valle, se observan condiciones favorables para la conformación de un clúster gastronómico emergente, impulsado por el crecimiento urbano sostenido, la expansión de corredores gastronómicos y una demanda creciente de propuestas diferenciadas por parte de los consumidores urbanos. La presencia de panaderías artesanales, cafeterías especializadas, proveedores regionales de insumos, cámaras empresariales, universidades y programas locales de apoyo al </w:t>
      </w:r>
      <w:proofErr w:type="spellStart"/>
      <w:r w:rsidRPr="003B6453">
        <w:rPr>
          <w:rFonts w:ascii="Times New Roman" w:hAnsi="Times New Roman" w:cs="Times New Roman"/>
          <w:sz w:val="24"/>
          <w:szCs w:val="24"/>
          <w:lang w:val="es-AR"/>
        </w:rPr>
        <w:t>emprendedurismo</w:t>
      </w:r>
      <w:proofErr w:type="spellEnd"/>
      <w:r w:rsidRPr="003B6453">
        <w:rPr>
          <w:rFonts w:ascii="Times New Roman" w:hAnsi="Times New Roman" w:cs="Times New Roman"/>
          <w:sz w:val="24"/>
          <w:szCs w:val="24"/>
          <w:lang w:val="es-AR"/>
        </w:rPr>
        <w:t xml:space="preserve"> configura un entorno propicio para la cooperación, el aprendizaje conjunto y la generación de economías externas positivas. Este contexto refuerza la importancia de analizar la franquicia no solo como una unidad aislada, sino como parte de un sistema productivo regional en evolución.</w:t>
      </w:r>
    </w:p>
    <w:p w14:paraId="78240499" w14:textId="77777777" w:rsidR="00387A23"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Para la franquicia de medialunas gourmet, integrarse activamente a este clúster regional implica establecer vínculos estratégicos con actores clave del ecosistema local. Las alianzas con proveedores de insumos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permiten asegurar estándares de calidad homogéneos, reducir costos logísticos derivados de la distancia a grandes centros de abastecimiento y reforzar el carácter artesanal y local del producto. Asimismo, la vinculación con instituciones educativas, centros de formación y programas de capacitación contribuye a mitigar uno de los principales desafíos del contexto regional: la escasez de mano de obra calificada en el sector gastronómico frente a la competencia del sector petrolero. Estas relaciones facilitan la capacitación continua del personal y la transmisión efectiva de los estándares operativos propios del modelo de franquicia.</w:t>
      </w:r>
    </w:p>
    <w:p w14:paraId="0B70181B" w14:textId="2BE4808A"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participación en cámaras empresariales, asociaciones sectoriales y redes locales de emprendedores fortalece, además, la visibilidad y legitimidad de la marca dentro del mercado regional. En ciudades intermedias como las del Alto Valle, donde el entramado social y comercial es más cercano, este tipo de inserción institucional contribuye a consolidar la reputación del negocio y a generar confianza tanto en consumidores como en potenciales socios y franquiciados. De este modo, la Cadena de Valor se ve ampliada por relaciones externas que refuerzan su eficiencia y coherencia.</w:t>
      </w:r>
    </w:p>
    <w:p w14:paraId="13CF8092" w14:textId="18D152F4" w:rsidR="00BF7478"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perspectiva estratégica, la pertenencia a un clúster competitivo no solo mejora la eficiencia operativa de la franquicia, sino que también incrementa su capacidad de innovación y adaptación. La proximidad geográfica entre los distintos actores favorece el intercambio de información, la difusión de buenas prácticas y el desarrollo de soluciones conjuntas frente a problemáticas comunes, como la volatilidad de los costos, las exigencias regulatorias o los cambios en las preferencias del consumidor. En este sentido, la Cadena de Valor de la franquicia se fortalece a partir de la interacción constante con el entorno, generando ventajas competitivas que trascienden la gestión interna y se sostienen en el tiempo.</w:t>
      </w:r>
    </w:p>
    <w:p w14:paraId="5E83A0CB" w14:textId="7EEFB235" w:rsidR="006A7862" w:rsidRPr="003B6453" w:rsidRDefault="00BF7478"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síntesis, la combinación del análisis de la Cadena de Valor y del concepto de clúster competitivo pone de manifiesto que la competitividad de la franquicia de medialunas gourmet no depende exclusivamente de la eficiencia de sus procesos internos, sino también de su capacidad para articularse estratégicamente con el ecosistema regional del Alto Valle. </w:t>
      </w:r>
      <w:r w:rsidRPr="003B6453">
        <w:rPr>
          <w:rFonts w:ascii="Times New Roman" w:hAnsi="Times New Roman" w:cs="Times New Roman"/>
          <w:sz w:val="24"/>
          <w:szCs w:val="24"/>
          <w:lang w:val="es-AR"/>
        </w:rPr>
        <w:lastRenderedPageBreak/>
        <w:t>Aprovechar las sinergias locales, consolidar una red de proveedores y aliados estratégicos, y participar activamente en el desarrollo del clúster gastronómico regional constituyen factores determinantes para garantizar la viabilidad, escalabilidad y sostenibilidad del proyecto en el largo plazo</w:t>
      </w:r>
      <w:r w:rsidR="008A3CD0" w:rsidRPr="003B6453">
        <w:rPr>
          <w:rFonts w:ascii="Times New Roman" w:hAnsi="Times New Roman" w:cs="Times New Roman"/>
          <w:sz w:val="24"/>
          <w:szCs w:val="24"/>
          <w:lang w:val="es-AR"/>
        </w:rPr>
        <w:t>.</w:t>
      </w:r>
    </w:p>
    <w:p w14:paraId="5583FF62" w14:textId="1D16F76F" w:rsidR="00BF7478" w:rsidRPr="003B6453" w:rsidRDefault="00387A23" w:rsidP="003B6453">
      <w:pPr>
        <w:pStyle w:val="Ttulo2"/>
        <w:spacing w:line="360" w:lineRule="auto"/>
        <w:jc w:val="both"/>
        <w:rPr>
          <w:rFonts w:ascii="Times New Roman" w:hAnsi="Times New Roman" w:cs="Times New Roman"/>
          <w:sz w:val="24"/>
          <w:szCs w:val="24"/>
          <w:lang w:val="es-AR"/>
        </w:rPr>
      </w:pPr>
      <w:bookmarkStart w:id="12" w:name="_Toc228546579"/>
      <w:r w:rsidRPr="003B6453">
        <w:rPr>
          <w:rFonts w:ascii="Times New Roman" w:hAnsi="Times New Roman" w:cs="Times New Roman"/>
          <w:noProof/>
          <w:sz w:val="24"/>
          <w:szCs w:val="24"/>
          <w:lang w:val="es-AR" w:eastAsia="es-AR"/>
        </w:rPr>
        <w:drawing>
          <wp:anchor distT="0" distB="0" distL="114300" distR="114300" simplePos="0" relativeHeight="251662336" behindDoc="0" locked="0" layoutInCell="1" allowOverlap="1" wp14:anchorId="2FC43CC4" wp14:editId="1EC08CBF">
            <wp:simplePos x="0" y="0"/>
            <wp:positionH relativeFrom="margin">
              <wp:align>left</wp:align>
            </wp:positionH>
            <wp:positionV relativeFrom="paragraph">
              <wp:posOffset>265039</wp:posOffset>
            </wp:positionV>
            <wp:extent cx="5612130" cy="3716655"/>
            <wp:effectExtent l="0" t="0" r="7620" b="0"/>
            <wp:wrapSquare wrapText="bothSides"/>
            <wp:docPr id="180045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5795" name=""/>
                    <pic:cNvPicPr/>
                  </pic:nvPicPr>
                  <pic:blipFill>
                    <a:blip r:embed="rId14">
                      <a:extLst>
                        <a:ext uri="{28A0092B-C50C-407E-A947-70E740481C1C}">
                          <a14:useLocalDpi xmlns:a14="http://schemas.microsoft.com/office/drawing/2010/main" val="0"/>
                        </a:ext>
                      </a:extLst>
                    </a:blip>
                    <a:stretch>
                      <a:fillRect/>
                    </a:stretch>
                  </pic:blipFill>
                  <pic:spPr>
                    <a:xfrm>
                      <a:off x="0" y="0"/>
                      <a:ext cx="5612130" cy="3716655"/>
                    </a:xfrm>
                    <a:prstGeom prst="rect">
                      <a:avLst/>
                    </a:prstGeom>
                  </pic:spPr>
                </pic:pic>
              </a:graphicData>
            </a:graphic>
          </wp:anchor>
        </w:drawing>
      </w:r>
      <w:r w:rsidR="0036235E" w:rsidRPr="003B6453">
        <w:rPr>
          <w:rFonts w:ascii="Times New Roman" w:hAnsi="Times New Roman" w:cs="Times New Roman"/>
          <w:sz w:val="24"/>
          <w:szCs w:val="24"/>
          <w:lang w:val="es-AR"/>
        </w:rPr>
        <w:t xml:space="preserve">2.3 Modelo </w:t>
      </w:r>
      <w:proofErr w:type="spellStart"/>
      <w:r w:rsidR="0036235E" w:rsidRPr="003B6453">
        <w:rPr>
          <w:rFonts w:ascii="Times New Roman" w:hAnsi="Times New Roman" w:cs="Times New Roman"/>
          <w:sz w:val="24"/>
          <w:szCs w:val="24"/>
          <w:lang w:val="es-AR"/>
        </w:rPr>
        <w:t>Canvas</w:t>
      </w:r>
      <w:proofErr w:type="spellEnd"/>
      <w:r w:rsidR="0036235E" w:rsidRPr="003B6453">
        <w:rPr>
          <w:rFonts w:ascii="Times New Roman" w:hAnsi="Times New Roman" w:cs="Times New Roman"/>
          <w:sz w:val="24"/>
          <w:szCs w:val="24"/>
          <w:lang w:val="es-AR"/>
        </w:rPr>
        <w:t xml:space="preserve"> de Negocio</w:t>
      </w:r>
      <w:bookmarkEnd w:id="12"/>
      <w:r w:rsidR="00EB7C00" w:rsidRPr="003B6453">
        <w:rPr>
          <w:rFonts w:ascii="Times New Roman" w:hAnsi="Times New Roman" w:cs="Times New Roman"/>
          <w:sz w:val="24"/>
          <w:szCs w:val="24"/>
          <w:lang w:val="es-AR"/>
        </w:rPr>
        <w:t xml:space="preserve"> </w:t>
      </w:r>
    </w:p>
    <w:p w14:paraId="49DEFC4E" w14:textId="2F9C5FE1" w:rsidR="00A20BF3" w:rsidRPr="003B6453" w:rsidRDefault="00A20BF3" w:rsidP="003B6453">
      <w:pPr>
        <w:spacing w:line="360" w:lineRule="auto"/>
        <w:jc w:val="both"/>
        <w:rPr>
          <w:rFonts w:ascii="Times New Roman" w:hAnsi="Times New Roman" w:cs="Times New Roman"/>
          <w:sz w:val="24"/>
          <w:szCs w:val="24"/>
          <w:lang w:val="es-AR"/>
        </w:rPr>
      </w:pPr>
    </w:p>
    <w:p w14:paraId="7FC7F460" w14:textId="0406F38C" w:rsidR="00BD53F5" w:rsidRPr="003B6453" w:rsidRDefault="00BD53F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desarrollado por </w:t>
      </w:r>
      <w:proofErr w:type="spellStart"/>
      <w:r w:rsidRPr="003B6453">
        <w:rPr>
          <w:rFonts w:ascii="Times New Roman" w:hAnsi="Times New Roman" w:cs="Times New Roman"/>
          <w:sz w:val="24"/>
          <w:szCs w:val="24"/>
          <w:lang w:val="es-AR"/>
        </w:rPr>
        <w:t>Osterwalder</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Pigneur</w:t>
      </w:r>
      <w:proofErr w:type="spellEnd"/>
      <w:r w:rsidRPr="003B6453">
        <w:rPr>
          <w:rFonts w:ascii="Times New Roman" w:hAnsi="Times New Roman" w:cs="Times New Roman"/>
          <w:sz w:val="24"/>
          <w:szCs w:val="24"/>
          <w:lang w:val="es-AR"/>
        </w:rPr>
        <w:t xml:space="preserve"> (2010), constituye una de las herramientas más difundidas y utilizadas en el ámbito del </w:t>
      </w:r>
      <w:proofErr w:type="spellStart"/>
      <w:r w:rsidRPr="003B6453">
        <w:rPr>
          <w:rFonts w:ascii="Times New Roman" w:hAnsi="Times New Roman" w:cs="Times New Roman"/>
          <w:sz w:val="24"/>
          <w:szCs w:val="24"/>
          <w:lang w:val="es-AR"/>
        </w:rPr>
        <w:t>management</w:t>
      </w:r>
      <w:proofErr w:type="spellEnd"/>
      <w:r w:rsidRPr="003B6453">
        <w:rPr>
          <w:rFonts w:ascii="Times New Roman" w:hAnsi="Times New Roman" w:cs="Times New Roman"/>
          <w:sz w:val="24"/>
          <w:szCs w:val="24"/>
          <w:lang w:val="es-AR"/>
        </w:rPr>
        <w:t xml:space="preserve"> estratégico para representar de forma integral la lógica mediante la cual una empresa crea, entrega y captura valor. Su principal fortaleza reside en la capacidad de organizar los componentes esenciales de un negocio en nueve bloques interrelacionados, lo que permite una visualización sistémica del modelo y facilita la comprensión de las interdependencias entre la propuesta de valor, los recursos, las actividades y la estructura económica. Este enfoque resulta especialmente valioso en contextos donde se busca analizar la coherencia interna del negocio y su potencial de escalabilidad.</w:t>
      </w:r>
    </w:p>
    <w:p w14:paraId="029B2A3E" w14:textId="19B9E8C0" w:rsidR="00BD53F5" w:rsidRPr="003B6453" w:rsidRDefault="00BD53F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A diferencia de otros enfoques estratégicos más rígidos y secuenciales, el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se caracteriza por su flexibilidad y por su orientación práctica. Esta característica lo convierte en un instrumento particularmente adecuado para emprendimientos que buscan escalar su operación a través de formatos replicables, como es el caso de las franquicias. En estos modelos, la claridad conceptual y la estandarización del diseño del negocio resultan condiciones necesarias para garantizar la </w:t>
      </w: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del formato, la consistencia de la experiencia del cliente y la reducción de ambigüedades en el proceso de expansión territorial.</w:t>
      </w:r>
    </w:p>
    <w:p w14:paraId="15B03F7A" w14:textId="77777777" w:rsidR="00BD53F5" w:rsidRPr="003B6453" w:rsidRDefault="00BD53F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Diversos autores han destacado el valor del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como herramienta dinámica de gestión. Joyce y </w:t>
      </w:r>
      <w:proofErr w:type="spellStart"/>
      <w:r w:rsidRPr="003B6453">
        <w:rPr>
          <w:rFonts w:ascii="Times New Roman" w:hAnsi="Times New Roman" w:cs="Times New Roman"/>
          <w:sz w:val="24"/>
          <w:szCs w:val="24"/>
          <w:lang w:val="es-AR"/>
        </w:rPr>
        <w:t>Paquin</w:t>
      </w:r>
      <w:proofErr w:type="spellEnd"/>
      <w:r w:rsidRPr="003B6453">
        <w:rPr>
          <w:rFonts w:ascii="Times New Roman" w:hAnsi="Times New Roman" w:cs="Times New Roman"/>
          <w:sz w:val="24"/>
          <w:szCs w:val="24"/>
          <w:lang w:val="es-AR"/>
        </w:rPr>
        <w:t xml:space="preserve"> (2016) subrayan su utilidad para integrar dimensiones económicas con aspectos sociales y ambientales, ampliando la mirada tradicional centrada exclusivamente en la rentabilidad. Por su parte, </w:t>
      </w:r>
      <w:proofErr w:type="spellStart"/>
      <w:r w:rsidRPr="003B6453">
        <w:rPr>
          <w:rFonts w:ascii="Times New Roman" w:hAnsi="Times New Roman" w:cs="Times New Roman"/>
          <w:sz w:val="24"/>
          <w:szCs w:val="24"/>
          <w:lang w:val="es-AR"/>
        </w:rPr>
        <w:t>Maurya</w:t>
      </w:r>
      <w:proofErr w:type="spellEnd"/>
      <w:r w:rsidRPr="003B6453">
        <w:rPr>
          <w:rFonts w:ascii="Times New Roman" w:hAnsi="Times New Roman" w:cs="Times New Roman"/>
          <w:sz w:val="24"/>
          <w:szCs w:val="24"/>
          <w:lang w:val="es-AR"/>
        </w:rPr>
        <w:t xml:space="preserve"> (2012) resalta su potencial para validar hipótesis clave del negocio y detectar rápidamente debilidades estructurales, especialmente en etapas tempranas del emprendimiento. Desde esta perspectiva, el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no debe interpretarse únicamente como un esquema estático, sino como un marco evolutivo que permite ajustar el modelo de negocio a partir de la experiencia acumulada, el aprendizaje organizacional y los cambios en el entorno competitivo.</w:t>
      </w:r>
    </w:p>
    <w:p w14:paraId="3889FEA5" w14:textId="77777777" w:rsidR="00BD53F5" w:rsidRPr="003B6453" w:rsidRDefault="00BD53F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caso de la franquicia de medialunas gourmet en el Alto Valle, el 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resulta particularmente pertinente, ya que permite visualizar de manera integrada cómo se articula una propuesta de valor diferenciada con los segmentos de clientes identificados, los canales de distribución seleccionados, las fuentes de ingresos previstas y la estructura de costos del negocio. Esta visualización integral facilita la evaluación de la coherencia interna del modelo y permite identificar posibles tensiones o </w:t>
      </w:r>
      <w:proofErr w:type="spellStart"/>
      <w:r w:rsidRPr="003B6453">
        <w:rPr>
          <w:rFonts w:ascii="Times New Roman" w:hAnsi="Times New Roman" w:cs="Times New Roman"/>
          <w:sz w:val="24"/>
          <w:szCs w:val="24"/>
          <w:lang w:val="es-AR"/>
        </w:rPr>
        <w:t>desalineamientos</w:t>
      </w:r>
      <w:proofErr w:type="spellEnd"/>
      <w:r w:rsidRPr="003B6453">
        <w:rPr>
          <w:rFonts w:ascii="Times New Roman" w:hAnsi="Times New Roman" w:cs="Times New Roman"/>
          <w:sz w:val="24"/>
          <w:szCs w:val="24"/>
          <w:lang w:val="es-AR"/>
        </w:rPr>
        <w:t xml:space="preserve"> entre los distintos componentes antes de avanzar en la expansión del sistema de franquicias.</w:t>
      </w:r>
    </w:p>
    <w:p w14:paraId="5A3F8EE8" w14:textId="52075557" w:rsidR="00BD53F5" w:rsidRPr="003B6453" w:rsidRDefault="00BD53F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Asimismo, el carácter gráfico y sintético del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facilita la comunicación del modelo de negocio tanto a potenciales inversores como a futuros franquiciados. En proyectos de expansión regional, donde la transferencia del know-how y del concepto de negocio resulta crítica, disponer de una representación clara y compartida del modelo contribuye a asegurar una comprensión homogénea de la propuesta y a reducir interpretaciones divergentes. De </w:t>
      </w:r>
      <w:r w:rsidRPr="003B6453">
        <w:rPr>
          <w:rFonts w:ascii="Times New Roman" w:hAnsi="Times New Roman" w:cs="Times New Roman"/>
          <w:sz w:val="24"/>
          <w:szCs w:val="24"/>
          <w:lang w:val="es-AR"/>
        </w:rPr>
        <w:lastRenderedPageBreak/>
        <w:t xml:space="preserve">este modo, el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se convierte no solo en una herramienta de análisis, sino también en un instrumento de alineación estratégica y de gestión del crecimiento.</w:t>
      </w:r>
    </w:p>
    <w:p w14:paraId="058925B0" w14:textId="07A31C20" w:rsidR="00A20BF3" w:rsidRPr="003B6453" w:rsidRDefault="00BD53F5"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síntesis, la utilización del 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en este trabajo permite estructurar de manera ordenada la lógica del negocio propuesto, integrando la propuesta de valor gourmet, la operación franquiciada y las particularidades del mercado regional del Alto Valle. Esta herramienta constituye un punto de partida sólido para el análisis detallado de cada uno de los bloques que conforman el modelo, los cuales se desarrollan a continuación, y sienta las bases para evaluar la factibilidad estratégica y operativa de la franquicia en el contexto analizado.</w:t>
      </w:r>
    </w:p>
    <w:p w14:paraId="7977926C" w14:textId="57285FF2"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 xml:space="preserve">Tabla </w:t>
      </w:r>
      <w:r w:rsidR="00C73814" w:rsidRPr="003B6453">
        <w:rPr>
          <w:rFonts w:ascii="Times New Roman" w:hAnsi="Times New Roman" w:cs="Times New Roman"/>
          <w:b/>
          <w:bCs/>
          <w:sz w:val="24"/>
          <w:szCs w:val="24"/>
          <w:lang w:val="es-AR"/>
        </w:rPr>
        <w:t>8</w:t>
      </w:r>
      <w:r w:rsidRPr="003B6453">
        <w:rPr>
          <w:rFonts w:ascii="Times New Roman" w:hAnsi="Times New Roman" w:cs="Times New Roman"/>
          <w:b/>
          <w:bCs/>
          <w:sz w:val="24"/>
          <w:szCs w:val="24"/>
          <w:lang w:val="es-AR"/>
        </w:rPr>
        <w:t xml:space="preserve">. Modelo </w:t>
      </w:r>
      <w:proofErr w:type="spellStart"/>
      <w:r w:rsidRPr="003B6453">
        <w:rPr>
          <w:rFonts w:ascii="Times New Roman" w:hAnsi="Times New Roman" w:cs="Times New Roman"/>
          <w:b/>
          <w:bCs/>
          <w:sz w:val="24"/>
          <w:szCs w:val="24"/>
          <w:lang w:val="es-AR"/>
        </w:rPr>
        <w:t>Canvas</w:t>
      </w:r>
      <w:proofErr w:type="spellEnd"/>
      <w:r w:rsidRPr="003B6453">
        <w:rPr>
          <w:rFonts w:ascii="Times New Roman" w:hAnsi="Times New Roman" w:cs="Times New Roman"/>
          <w:b/>
          <w:bCs/>
          <w:sz w:val="24"/>
          <w:szCs w:val="24"/>
          <w:lang w:val="es-AR"/>
        </w:rPr>
        <w:t xml:space="preserve"> aplicado a la franquicia de medialunas gourmet</w:t>
      </w:r>
    </w:p>
    <w:tbl>
      <w:tblPr>
        <w:tblStyle w:val="GridTable5DarkAccent5"/>
        <w:tblW w:w="0" w:type="auto"/>
        <w:tblLook w:val="04A0" w:firstRow="1" w:lastRow="0" w:firstColumn="1" w:lastColumn="0" w:noHBand="0" w:noVBand="1"/>
      </w:tblPr>
      <w:tblGrid>
        <w:gridCol w:w="1668"/>
        <w:gridCol w:w="7386"/>
      </w:tblGrid>
      <w:tr w:rsidR="00A20BF3" w:rsidRPr="003B6453" w14:paraId="19151789" w14:textId="77777777" w:rsidTr="00C738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392FFE" w14:textId="77777777" w:rsidR="00A20BF3" w:rsidRPr="003B6453" w:rsidRDefault="00A20BF3"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Bloque</w:t>
            </w:r>
            <w:proofErr w:type="spellEnd"/>
          </w:p>
        </w:tc>
        <w:tc>
          <w:tcPr>
            <w:tcW w:w="0" w:type="auto"/>
            <w:hideMark/>
          </w:tcPr>
          <w:p w14:paraId="5BF31FBA" w14:textId="77777777" w:rsidR="00A20BF3" w:rsidRPr="003B6453" w:rsidRDefault="00A20BF3"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s-AR"/>
              </w:rPr>
            </w:pPr>
            <w:r w:rsidRPr="003B6453">
              <w:rPr>
                <w:rFonts w:ascii="Times New Roman" w:hAnsi="Times New Roman" w:cs="Times New Roman"/>
                <w:b w:val="0"/>
                <w:bCs w:val="0"/>
                <w:sz w:val="24"/>
                <w:szCs w:val="24"/>
                <w:lang w:val="es-AR"/>
              </w:rPr>
              <w:t>Descripción en el caso de estudio</w:t>
            </w:r>
          </w:p>
        </w:tc>
      </w:tr>
      <w:tr w:rsidR="00A20BF3" w:rsidRPr="003B6453" w14:paraId="593C9B0D" w14:textId="77777777" w:rsidTr="00C73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34AB00"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b w:val="0"/>
                <w:bCs w:val="0"/>
                <w:sz w:val="24"/>
                <w:szCs w:val="24"/>
              </w:rPr>
              <w:t>Segmentos</w:t>
            </w:r>
            <w:proofErr w:type="spellEnd"/>
            <w:r w:rsidRPr="003B6453">
              <w:rPr>
                <w:rFonts w:ascii="Times New Roman" w:hAnsi="Times New Roman" w:cs="Times New Roman"/>
                <w:b w:val="0"/>
                <w:bCs w:val="0"/>
                <w:sz w:val="24"/>
                <w:szCs w:val="24"/>
              </w:rPr>
              <w:t xml:space="preserve"> de </w:t>
            </w:r>
            <w:proofErr w:type="spellStart"/>
            <w:r w:rsidRPr="003B6453">
              <w:rPr>
                <w:rFonts w:ascii="Times New Roman" w:hAnsi="Times New Roman" w:cs="Times New Roman"/>
                <w:b w:val="0"/>
                <w:bCs w:val="0"/>
                <w:sz w:val="24"/>
                <w:szCs w:val="24"/>
              </w:rPr>
              <w:t>clientes</w:t>
            </w:r>
            <w:proofErr w:type="spellEnd"/>
          </w:p>
        </w:tc>
        <w:tc>
          <w:tcPr>
            <w:tcW w:w="0" w:type="auto"/>
            <w:hideMark/>
          </w:tcPr>
          <w:p w14:paraId="5490FCBC"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Público urbano de 25 a 45 años, profesionales y familias de ingresos medios-altos en ciudades del Alto Valle; turistas que buscan experiencias gastronómicas distintivas; clientes corporativos (catering, desayunos empresariales).</w:t>
            </w:r>
          </w:p>
        </w:tc>
      </w:tr>
      <w:tr w:rsidR="00A20BF3" w:rsidRPr="003B6453" w14:paraId="05D9B66B" w14:textId="77777777" w:rsidTr="00C73814">
        <w:tc>
          <w:tcPr>
            <w:cnfStyle w:val="001000000000" w:firstRow="0" w:lastRow="0" w:firstColumn="1" w:lastColumn="0" w:oddVBand="0" w:evenVBand="0" w:oddHBand="0" w:evenHBand="0" w:firstRowFirstColumn="0" w:firstRowLastColumn="0" w:lastRowFirstColumn="0" w:lastRowLastColumn="0"/>
            <w:tcW w:w="0" w:type="auto"/>
            <w:hideMark/>
          </w:tcPr>
          <w:p w14:paraId="05152B00"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b w:val="0"/>
                <w:bCs w:val="0"/>
                <w:sz w:val="24"/>
                <w:szCs w:val="24"/>
              </w:rPr>
              <w:t>Propuesta</w:t>
            </w:r>
            <w:proofErr w:type="spellEnd"/>
            <w:r w:rsidRPr="003B6453">
              <w:rPr>
                <w:rFonts w:ascii="Times New Roman" w:hAnsi="Times New Roman" w:cs="Times New Roman"/>
                <w:b w:val="0"/>
                <w:bCs w:val="0"/>
                <w:sz w:val="24"/>
                <w:szCs w:val="24"/>
              </w:rPr>
              <w:t xml:space="preserve"> de valor</w:t>
            </w:r>
          </w:p>
        </w:tc>
        <w:tc>
          <w:tcPr>
            <w:tcW w:w="0" w:type="auto"/>
            <w:hideMark/>
          </w:tcPr>
          <w:p w14:paraId="181F5A59"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Medialunas artesanales gourmet elaboradas con recetas exclusivas, presentación estética cuidada y experiencia sensorial completa; combinación de calidad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rapidez de servicio y ambientación coherente con la marca.</w:t>
            </w:r>
          </w:p>
        </w:tc>
      </w:tr>
      <w:tr w:rsidR="00A20BF3" w:rsidRPr="003B6453" w14:paraId="204E100C" w14:textId="77777777" w:rsidTr="00C73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37CF30" w14:textId="77777777" w:rsidR="00A20BF3" w:rsidRPr="003B6453" w:rsidRDefault="00A20BF3" w:rsidP="003B6453">
            <w:pPr>
              <w:spacing w:line="360" w:lineRule="auto"/>
              <w:jc w:val="both"/>
              <w:rPr>
                <w:rFonts w:ascii="Times New Roman" w:hAnsi="Times New Roman" w:cs="Times New Roman"/>
                <w:sz w:val="24"/>
                <w:szCs w:val="24"/>
              </w:rPr>
            </w:pPr>
            <w:r w:rsidRPr="003B6453">
              <w:rPr>
                <w:rFonts w:ascii="Times New Roman" w:hAnsi="Times New Roman" w:cs="Times New Roman"/>
                <w:b w:val="0"/>
                <w:bCs w:val="0"/>
                <w:sz w:val="24"/>
                <w:szCs w:val="24"/>
              </w:rPr>
              <w:t>Canales</w:t>
            </w:r>
          </w:p>
        </w:tc>
        <w:tc>
          <w:tcPr>
            <w:tcW w:w="0" w:type="auto"/>
            <w:hideMark/>
          </w:tcPr>
          <w:p w14:paraId="54140D46"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Locales físicos estratégicamente ubicados; aplicaciones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PedidosYa</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Rappi</w:t>
            </w:r>
            <w:proofErr w:type="spellEnd"/>
            <w:r w:rsidRPr="003B6453">
              <w:rPr>
                <w:rFonts w:ascii="Times New Roman" w:hAnsi="Times New Roman" w:cs="Times New Roman"/>
                <w:sz w:val="24"/>
                <w:szCs w:val="24"/>
                <w:lang w:val="es-AR"/>
              </w:rPr>
              <w:t xml:space="preserve">); redes sociales con marketing digital </w:t>
            </w:r>
            <w:proofErr w:type="spellStart"/>
            <w:r w:rsidRPr="003B6453">
              <w:rPr>
                <w:rFonts w:ascii="Times New Roman" w:hAnsi="Times New Roman" w:cs="Times New Roman"/>
                <w:sz w:val="24"/>
                <w:szCs w:val="24"/>
                <w:lang w:val="es-AR"/>
              </w:rPr>
              <w:t>geolocalizado</w:t>
            </w:r>
            <w:proofErr w:type="spellEnd"/>
            <w:r w:rsidRPr="003B6453">
              <w:rPr>
                <w:rFonts w:ascii="Times New Roman" w:hAnsi="Times New Roman" w:cs="Times New Roman"/>
                <w:sz w:val="24"/>
                <w:szCs w:val="24"/>
                <w:lang w:val="es-AR"/>
              </w:rPr>
              <w:t>; alianzas corporativas para eventos y catering.</w:t>
            </w:r>
          </w:p>
        </w:tc>
      </w:tr>
      <w:tr w:rsidR="00A20BF3" w:rsidRPr="003B6453" w14:paraId="0F63847E" w14:textId="77777777" w:rsidTr="00C73814">
        <w:tc>
          <w:tcPr>
            <w:cnfStyle w:val="001000000000" w:firstRow="0" w:lastRow="0" w:firstColumn="1" w:lastColumn="0" w:oddVBand="0" w:evenVBand="0" w:oddHBand="0" w:evenHBand="0" w:firstRowFirstColumn="0" w:firstRowLastColumn="0" w:lastRowFirstColumn="0" w:lastRowLastColumn="0"/>
            <w:tcW w:w="0" w:type="auto"/>
            <w:hideMark/>
          </w:tcPr>
          <w:p w14:paraId="6DCA5920"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b w:val="0"/>
                <w:bCs w:val="0"/>
                <w:sz w:val="24"/>
                <w:szCs w:val="24"/>
              </w:rPr>
              <w:t>Relaciones</w:t>
            </w:r>
            <w:proofErr w:type="spellEnd"/>
            <w:r w:rsidRPr="003B6453">
              <w:rPr>
                <w:rFonts w:ascii="Times New Roman" w:hAnsi="Times New Roman" w:cs="Times New Roman"/>
                <w:b w:val="0"/>
                <w:bCs w:val="0"/>
                <w:sz w:val="24"/>
                <w:szCs w:val="24"/>
              </w:rPr>
              <w:t xml:space="preserve"> con </w:t>
            </w:r>
            <w:proofErr w:type="spellStart"/>
            <w:r w:rsidRPr="003B6453">
              <w:rPr>
                <w:rFonts w:ascii="Times New Roman" w:hAnsi="Times New Roman" w:cs="Times New Roman"/>
                <w:b w:val="0"/>
                <w:bCs w:val="0"/>
                <w:sz w:val="24"/>
                <w:szCs w:val="24"/>
              </w:rPr>
              <w:t>clientes</w:t>
            </w:r>
            <w:proofErr w:type="spellEnd"/>
          </w:p>
        </w:tc>
        <w:tc>
          <w:tcPr>
            <w:tcW w:w="0" w:type="auto"/>
            <w:hideMark/>
          </w:tcPr>
          <w:p w14:paraId="06CA0662"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Atención personalizada y amable, fidelización a través de </w:t>
            </w:r>
            <w:proofErr w:type="spellStart"/>
            <w:r w:rsidRPr="003B6453">
              <w:rPr>
                <w:rFonts w:ascii="Times New Roman" w:hAnsi="Times New Roman" w:cs="Times New Roman"/>
                <w:sz w:val="24"/>
                <w:szCs w:val="24"/>
                <w:lang w:val="es-AR"/>
              </w:rPr>
              <w:t>apps</w:t>
            </w:r>
            <w:proofErr w:type="spellEnd"/>
            <w:r w:rsidRPr="003B6453">
              <w:rPr>
                <w:rFonts w:ascii="Times New Roman" w:hAnsi="Times New Roman" w:cs="Times New Roman"/>
                <w:sz w:val="24"/>
                <w:szCs w:val="24"/>
                <w:lang w:val="es-AR"/>
              </w:rPr>
              <w:t xml:space="preserve"> y promociones, </w:t>
            </w:r>
            <w:proofErr w:type="spellStart"/>
            <w:r w:rsidRPr="003B6453">
              <w:rPr>
                <w:rFonts w:ascii="Times New Roman" w:hAnsi="Times New Roman" w:cs="Times New Roman"/>
                <w:sz w:val="24"/>
                <w:szCs w:val="24"/>
                <w:lang w:val="es-AR"/>
              </w:rPr>
              <w:t>storytelling</w:t>
            </w:r>
            <w:proofErr w:type="spellEnd"/>
            <w:r w:rsidRPr="003B6453">
              <w:rPr>
                <w:rFonts w:ascii="Times New Roman" w:hAnsi="Times New Roman" w:cs="Times New Roman"/>
                <w:sz w:val="24"/>
                <w:szCs w:val="24"/>
                <w:lang w:val="es-AR"/>
              </w:rPr>
              <w:t xml:space="preserve"> de marca vinculado a lo artesanal y lo gourmet; interacción digital constante.</w:t>
            </w:r>
          </w:p>
        </w:tc>
      </w:tr>
      <w:tr w:rsidR="00A20BF3" w:rsidRPr="003B6453" w14:paraId="45DE0F00" w14:textId="77777777" w:rsidTr="00C73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DE93A9" w14:textId="77777777" w:rsidR="00A20BF3" w:rsidRPr="003B6453" w:rsidRDefault="00A20BF3" w:rsidP="003B6453">
            <w:pPr>
              <w:spacing w:line="360" w:lineRule="auto"/>
              <w:jc w:val="both"/>
              <w:rPr>
                <w:rFonts w:ascii="Times New Roman" w:hAnsi="Times New Roman" w:cs="Times New Roman"/>
                <w:sz w:val="24"/>
                <w:szCs w:val="24"/>
              </w:rPr>
            </w:pPr>
            <w:r w:rsidRPr="003B6453">
              <w:rPr>
                <w:rFonts w:ascii="Times New Roman" w:hAnsi="Times New Roman" w:cs="Times New Roman"/>
                <w:b w:val="0"/>
                <w:bCs w:val="0"/>
                <w:sz w:val="24"/>
                <w:szCs w:val="24"/>
              </w:rPr>
              <w:t xml:space="preserve">Fuentes de </w:t>
            </w:r>
            <w:proofErr w:type="spellStart"/>
            <w:r w:rsidRPr="003B6453">
              <w:rPr>
                <w:rFonts w:ascii="Times New Roman" w:hAnsi="Times New Roman" w:cs="Times New Roman"/>
                <w:b w:val="0"/>
                <w:bCs w:val="0"/>
                <w:sz w:val="24"/>
                <w:szCs w:val="24"/>
              </w:rPr>
              <w:t>ingresos</w:t>
            </w:r>
            <w:proofErr w:type="spellEnd"/>
          </w:p>
        </w:tc>
        <w:tc>
          <w:tcPr>
            <w:tcW w:w="0" w:type="auto"/>
            <w:hideMark/>
          </w:tcPr>
          <w:p w14:paraId="30D3BBF2"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Venta directa en locales; pedidos por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ventas corporativas a empresas e instituciones; productos de edición limitada (cajas especiales, </w:t>
            </w:r>
            <w:proofErr w:type="gramStart"/>
            <w:r w:rsidRPr="003B6453">
              <w:rPr>
                <w:rFonts w:ascii="Times New Roman" w:hAnsi="Times New Roman" w:cs="Times New Roman"/>
                <w:sz w:val="24"/>
                <w:szCs w:val="24"/>
                <w:lang w:val="es-AR"/>
              </w:rPr>
              <w:t>combos festivos</w:t>
            </w:r>
            <w:proofErr w:type="gramEnd"/>
            <w:r w:rsidRPr="003B6453">
              <w:rPr>
                <w:rFonts w:ascii="Times New Roman" w:hAnsi="Times New Roman" w:cs="Times New Roman"/>
                <w:sz w:val="24"/>
                <w:szCs w:val="24"/>
                <w:lang w:val="es-AR"/>
              </w:rPr>
              <w:t>).</w:t>
            </w:r>
          </w:p>
        </w:tc>
      </w:tr>
      <w:tr w:rsidR="00A20BF3" w:rsidRPr="003B6453" w14:paraId="1F7EA988" w14:textId="77777777" w:rsidTr="00C73814">
        <w:tc>
          <w:tcPr>
            <w:cnfStyle w:val="001000000000" w:firstRow="0" w:lastRow="0" w:firstColumn="1" w:lastColumn="0" w:oddVBand="0" w:evenVBand="0" w:oddHBand="0" w:evenHBand="0" w:firstRowFirstColumn="0" w:firstRowLastColumn="0" w:lastRowFirstColumn="0" w:lastRowLastColumn="0"/>
            <w:tcW w:w="0" w:type="auto"/>
            <w:hideMark/>
          </w:tcPr>
          <w:p w14:paraId="72F255E7"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b w:val="0"/>
                <w:bCs w:val="0"/>
                <w:sz w:val="24"/>
                <w:szCs w:val="24"/>
              </w:rPr>
              <w:t>Recursos</w:t>
            </w:r>
            <w:proofErr w:type="spellEnd"/>
            <w:r w:rsidRPr="003B6453">
              <w:rPr>
                <w:rFonts w:ascii="Times New Roman" w:hAnsi="Times New Roman" w:cs="Times New Roman"/>
                <w:b w:val="0"/>
                <w:bCs w:val="0"/>
                <w:sz w:val="24"/>
                <w:szCs w:val="24"/>
              </w:rPr>
              <w:t xml:space="preserve"> clave</w:t>
            </w:r>
          </w:p>
        </w:tc>
        <w:tc>
          <w:tcPr>
            <w:tcW w:w="0" w:type="auto"/>
            <w:hideMark/>
          </w:tcPr>
          <w:p w14:paraId="55D67621"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Recetas y manuales operativos estandarizados; marca registrada; equipamiento gastronómico especializado; red de proveedores </w:t>
            </w:r>
            <w:r w:rsidRPr="003B6453">
              <w:rPr>
                <w:rFonts w:ascii="Times New Roman" w:hAnsi="Times New Roman" w:cs="Times New Roman"/>
                <w:sz w:val="24"/>
                <w:szCs w:val="24"/>
                <w:lang w:val="es-AR"/>
              </w:rPr>
              <w:lastRenderedPageBreak/>
              <w:t>certificados; software de gestión y canales digitales integrados.</w:t>
            </w:r>
          </w:p>
        </w:tc>
      </w:tr>
      <w:tr w:rsidR="00A20BF3" w:rsidRPr="003B6453" w14:paraId="44DEEBEE" w14:textId="77777777" w:rsidTr="00C73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3A7C34"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b w:val="0"/>
                <w:bCs w:val="0"/>
                <w:sz w:val="24"/>
                <w:szCs w:val="24"/>
              </w:rPr>
              <w:lastRenderedPageBreak/>
              <w:t>Actividades</w:t>
            </w:r>
            <w:proofErr w:type="spellEnd"/>
            <w:r w:rsidRPr="003B6453">
              <w:rPr>
                <w:rFonts w:ascii="Times New Roman" w:hAnsi="Times New Roman" w:cs="Times New Roman"/>
                <w:b w:val="0"/>
                <w:bCs w:val="0"/>
                <w:sz w:val="24"/>
                <w:szCs w:val="24"/>
              </w:rPr>
              <w:t xml:space="preserve"> clave</w:t>
            </w:r>
          </w:p>
        </w:tc>
        <w:tc>
          <w:tcPr>
            <w:tcW w:w="0" w:type="auto"/>
            <w:hideMark/>
          </w:tcPr>
          <w:p w14:paraId="33BBC0C4"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Producción diaria de medialunas gourmet; control de calidad en procesos; capacitación continua del personal; gestión de la cadena de abastecimiento; comunicación digital y marketing.</w:t>
            </w:r>
          </w:p>
        </w:tc>
      </w:tr>
      <w:tr w:rsidR="00A20BF3" w:rsidRPr="003B6453" w14:paraId="67FEDD54" w14:textId="77777777" w:rsidTr="00C73814">
        <w:tc>
          <w:tcPr>
            <w:cnfStyle w:val="001000000000" w:firstRow="0" w:lastRow="0" w:firstColumn="1" w:lastColumn="0" w:oddVBand="0" w:evenVBand="0" w:oddHBand="0" w:evenHBand="0" w:firstRowFirstColumn="0" w:firstRowLastColumn="0" w:lastRowFirstColumn="0" w:lastRowLastColumn="0"/>
            <w:tcW w:w="0" w:type="auto"/>
            <w:hideMark/>
          </w:tcPr>
          <w:p w14:paraId="370DE34D"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b w:val="0"/>
                <w:bCs w:val="0"/>
                <w:sz w:val="24"/>
                <w:szCs w:val="24"/>
              </w:rPr>
              <w:t>Socios</w:t>
            </w:r>
            <w:proofErr w:type="spellEnd"/>
            <w:r w:rsidRPr="003B6453">
              <w:rPr>
                <w:rFonts w:ascii="Times New Roman" w:hAnsi="Times New Roman" w:cs="Times New Roman"/>
                <w:b w:val="0"/>
                <w:bCs w:val="0"/>
                <w:sz w:val="24"/>
                <w:szCs w:val="24"/>
              </w:rPr>
              <w:t xml:space="preserve"> clave</w:t>
            </w:r>
          </w:p>
        </w:tc>
        <w:tc>
          <w:tcPr>
            <w:tcW w:w="0" w:type="auto"/>
            <w:hideMark/>
          </w:tcPr>
          <w:p w14:paraId="2AD5D2A5"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Proveedores locales y regionales de insumos; plataformas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bancos o </w:t>
            </w:r>
            <w:proofErr w:type="spellStart"/>
            <w:r w:rsidRPr="003B6453">
              <w:rPr>
                <w:rFonts w:ascii="Times New Roman" w:hAnsi="Times New Roman" w:cs="Times New Roman"/>
                <w:sz w:val="24"/>
                <w:szCs w:val="24"/>
                <w:lang w:val="es-AR"/>
              </w:rPr>
              <w:t>fintechs</w:t>
            </w:r>
            <w:proofErr w:type="spellEnd"/>
            <w:r w:rsidRPr="003B6453">
              <w:rPr>
                <w:rFonts w:ascii="Times New Roman" w:hAnsi="Times New Roman" w:cs="Times New Roman"/>
                <w:sz w:val="24"/>
                <w:szCs w:val="24"/>
                <w:lang w:val="es-AR"/>
              </w:rPr>
              <w:t xml:space="preserve"> para medios de pago; potenciales alianzas con cámaras empresariales o programas municipales.</w:t>
            </w:r>
          </w:p>
        </w:tc>
      </w:tr>
      <w:tr w:rsidR="00A20BF3" w:rsidRPr="003B6453" w14:paraId="1379EF4B" w14:textId="77777777" w:rsidTr="00C73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7DD41B"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b w:val="0"/>
                <w:bCs w:val="0"/>
                <w:sz w:val="24"/>
                <w:szCs w:val="24"/>
              </w:rPr>
              <w:t>Estructura</w:t>
            </w:r>
            <w:proofErr w:type="spellEnd"/>
            <w:r w:rsidRPr="003B6453">
              <w:rPr>
                <w:rFonts w:ascii="Times New Roman" w:hAnsi="Times New Roman" w:cs="Times New Roman"/>
                <w:b w:val="0"/>
                <w:bCs w:val="0"/>
                <w:sz w:val="24"/>
                <w:szCs w:val="24"/>
              </w:rPr>
              <w:t xml:space="preserve"> de </w:t>
            </w:r>
            <w:proofErr w:type="spellStart"/>
            <w:r w:rsidRPr="003B6453">
              <w:rPr>
                <w:rFonts w:ascii="Times New Roman" w:hAnsi="Times New Roman" w:cs="Times New Roman"/>
                <w:b w:val="0"/>
                <w:bCs w:val="0"/>
                <w:sz w:val="24"/>
                <w:szCs w:val="24"/>
              </w:rPr>
              <w:t>costos</w:t>
            </w:r>
            <w:proofErr w:type="spellEnd"/>
          </w:p>
        </w:tc>
        <w:tc>
          <w:tcPr>
            <w:tcW w:w="0" w:type="auto"/>
            <w:hideMark/>
          </w:tcPr>
          <w:p w14:paraId="713EDB8F"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Costos fijos: alquiler, servicios, salarios, amortización de maquinaria; costos variables: insumos, </w:t>
            </w:r>
            <w:proofErr w:type="spellStart"/>
            <w:r w:rsidRPr="003B6453">
              <w:rPr>
                <w:rFonts w:ascii="Times New Roman" w:hAnsi="Times New Roman" w:cs="Times New Roman"/>
                <w:sz w:val="24"/>
                <w:szCs w:val="24"/>
                <w:lang w:val="es-AR"/>
              </w:rPr>
              <w:t>packaging</w:t>
            </w:r>
            <w:proofErr w:type="spellEnd"/>
            <w:r w:rsidRPr="003B6453">
              <w:rPr>
                <w:rFonts w:ascii="Times New Roman" w:hAnsi="Times New Roman" w:cs="Times New Roman"/>
                <w:sz w:val="24"/>
                <w:szCs w:val="24"/>
                <w:lang w:val="es-AR"/>
              </w:rPr>
              <w:t xml:space="preserve">, comisiones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campañas digitales; canon de franquicia y royalties (en caso de expansión).</w:t>
            </w:r>
          </w:p>
        </w:tc>
      </w:tr>
    </w:tbl>
    <w:p w14:paraId="47DDCAEA"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w:t>
      </w:r>
      <w:proofErr w:type="spellStart"/>
      <w:r w:rsidRPr="003B6453">
        <w:rPr>
          <w:rFonts w:ascii="Times New Roman" w:hAnsi="Times New Roman" w:cs="Times New Roman"/>
          <w:sz w:val="24"/>
          <w:szCs w:val="24"/>
          <w:lang w:val="es-AR"/>
        </w:rPr>
        <w:t>Osterwalder</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Pigneur</w:t>
      </w:r>
      <w:proofErr w:type="spellEnd"/>
      <w:r w:rsidRPr="003B6453">
        <w:rPr>
          <w:rFonts w:ascii="Times New Roman" w:hAnsi="Times New Roman" w:cs="Times New Roman"/>
          <w:sz w:val="24"/>
          <w:szCs w:val="24"/>
          <w:lang w:val="es-AR"/>
        </w:rPr>
        <w:t xml:space="preserve"> (2010).</w:t>
      </w:r>
    </w:p>
    <w:p w14:paraId="0BA45807" w14:textId="1683B800"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detallado de los bloques que componen el 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permite identificar una lógica interna coherente y alineada con las características del mercado regional en el que se proyecta la franquicia de medialunas gourmet. La interrelación entre los distintos bloques evidencia que el modelo no se apoya en una única fuente de valor, sino en la articulación equilibrada entre segmentación de clientes, diferenciación del producto, estandarización operativa y una estrategia comercial multicanal.</w:t>
      </w:r>
    </w:p>
    <w:p w14:paraId="3AD1B4F3" w14:textId="77777777"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primer lugar, los segmentos de clientes definidos —público urbano de entre 25 y 45 años, profesionales, familias de ingresos medios-altos, turistas y clientes corporativos— coinciden de manera consistente con el perfil identificado en el estudio de mercado realizado para esta investigación (ver Capítulo 4). Se trata de consumidores que presentan hábitos de consumo frecuentes, valoran la calidad sensorial del producto y buscan experiencias gastronómicas que combinen conveniencia con diferenciación. En el contexto del Alto Valle, este segmento se ve además influenciado por el dinamismo económico asociado a sectores como el energético y el de servicios, lo que incrementa la disposición a pagar por propuestas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en determinados grupos de consumidores.</w:t>
      </w:r>
    </w:p>
    <w:p w14:paraId="14CDC449" w14:textId="77777777"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propuesta de valor se centra en la </w:t>
      </w:r>
      <w:proofErr w:type="spellStart"/>
      <w:r w:rsidRPr="003B6453">
        <w:rPr>
          <w:rFonts w:ascii="Times New Roman" w:hAnsi="Times New Roman" w:cs="Times New Roman"/>
          <w:sz w:val="24"/>
          <w:szCs w:val="24"/>
          <w:lang w:val="es-AR"/>
        </w:rPr>
        <w:t>resignificación</w:t>
      </w:r>
      <w:proofErr w:type="spellEnd"/>
      <w:r w:rsidRPr="003B6453">
        <w:rPr>
          <w:rFonts w:ascii="Times New Roman" w:hAnsi="Times New Roman" w:cs="Times New Roman"/>
          <w:sz w:val="24"/>
          <w:szCs w:val="24"/>
          <w:lang w:val="es-AR"/>
        </w:rPr>
        <w:t xml:space="preserve"> de un producto tradicional de la panificación argentina a partir de atributos propios de la gastronomía gourmet. La elaboración artesanal, el uso de recetas exclusivas, la presentación estética cuidada y la construcción de una experiencia sensorial integral permiten diferenciar a la franquicia tanto </w:t>
      </w:r>
      <w:r w:rsidRPr="003B6453">
        <w:rPr>
          <w:rFonts w:ascii="Times New Roman" w:hAnsi="Times New Roman" w:cs="Times New Roman"/>
          <w:sz w:val="24"/>
          <w:szCs w:val="24"/>
          <w:lang w:val="es-AR"/>
        </w:rPr>
        <w:lastRenderedPageBreak/>
        <w:t xml:space="preserve">de panaderías tradicionales como de cafeterías genéricas. Esta propuesta busca ocupar un espacio intermedio en el mercado, combinando rapidez de servicio con calidad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lo que transforma a la medialuna de un producto meramente funcional en un elemento central de una experiencia gastronómica distintiva y memorable.</w:t>
      </w:r>
    </w:p>
    <w:p w14:paraId="71F30FA6" w14:textId="77777777"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Los canales seleccionados reflejan una estrategia híbrida que integra la venta presencial en locales estratégicamente ubicados con la comercialización digital a través de aplicaciones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y redes sociales. Esta combinación resulta especialmente relevante en el Alto Valle, donde el crecimiento urbano y la adopción de tecnologías digitales han modificado los hábitos de consumo. El uso de marketing digital </w:t>
      </w:r>
      <w:proofErr w:type="spellStart"/>
      <w:r w:rsidRPr="003B6453">
        <w:rPr>
          <w:rFonts w:ascii="Times New Roman" w:hAnsi="Times New Roman" w:cs="Times New Roman"/>
          <w:sz w:val="24"/>
          <w:szCs w:val="24"/>
          <w:lang w:val="es-AR"/>
        </w:rPr>
        <w:t>geolocalizado</w:t>
      </w:r>
      <w:proofErr w:type="spellEnd"/>
      <w:r w:rsidRPr="003B6453">
        <w:rPr>
          <w:rFonts w:ascii="Times New Roman" w:hAnsi="Times New Roman" w:cs="Times New Roman"/>
          <w:sz w:val="24"/>
          <w:szCs w:val="24"/>
          <w:lang w:val="es-AR"/>
        </w:rPr>
        <w:t xml:space="preserve"> permite captar demanda en franjas horarias específicas, alineándose con la temporalidad del consumo identificada previamente, y optimizar la llegada al cliente en contextos de alta competencia gastronómica.</w:t>
      </w:r>
    </w:p>
    <w:p w14:paraId="30184A7A" w14:textId="77777777"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relación con las relaciones con los clientes, el modelo propone una interacción cercana y personalizada, reforzada por programas de fidelización, promociones y una comunicación constante en entornos digitales. El </w:t>
      </w:r>
      <w:proofErr w:type="spellStart"/>
      <w:r w:rsidRPr="003B6453">
        <w:rPr>
          <w:rFonts w:ascii="Times New Roman" w:hAnsi="Times New Roman" w:cs="Times New Roman"/>
          <w:sz w:val="24"/>
          <w:szCs w:val="24"/>
          <w:lang w:val="es-AR"/>
        </w:rPr>
        <w:t>storytelling</w:t>
      </w:r>
      <w:proofErr w:type="spellEnd"/>
      <w:r w:rsidRPr="003B6453">
        <w:rPr>
          <w:rFonts w:ascii="Times New Roman" w:hAnsi="Times New Roman" w:cs="Times New Roman"/>
          <w:sz w:val="24"/>
          <w:szCs w:val="24"/>
          <w:lang w:val="es-AR"/>
        </w:rPr>
        <w:t xml:space="preserve"> de marca, vinculado a lo artesanal, lo gourmet y lo local, cumple un rol central en la construcción de un vínculo emocional con el consumidor. En mercados de escala intermedia como el Alto Valle, donde la cercanía y la reputación juegan un papel clave, este tipo de relación contribuye de manera significativa a fomentar la recompra y la lealtad hacia la marca.</w:t>
      </w:r>
    </w:p>
    <w:p w14:paraId="7B5653BF" w14:textId="77777777"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Las fuentes de ingresos se presentan diversificadas, combinando la venta directa en locales, los pedidos por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las ventas corporativas a empresas e instituciones y la comercialización de productos de edición limitada. Esta diversificación reduce la dependencia de un único canal de ingresos y permite capturar distintos momentos y contextos de consumo, como eventos corporativos, fechas especiales o temporadas de mayor demanda. Desde una perspectiva financiera, esta estrategia contribuye a suavizar la estacionalidad del negocio y a mejorar la estabilidad de los flujos de caja.</w:t>
      </w:r>
    </w:p>
    <w:p w14:paraId="23B41A28" w14:textId="77777777"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Los recursos clave y las actividades clave ponen de manifiesto la centralidad del know-how, la estandarización de procesos y la capacitación continua del personal en un modelo de franquicia gastronómica. Las recetas exclusivas, los manuales operativos, el equipamiento especializado y los sistemas de gestión constituyen activos estratégicos que </w:t>
      </w:r>
      <w:r w:rsidRPr="003B6453">
        <w:rPr>
          <w:rFonts w:ascii="Times New Roman" w:hAnsi="Times New Roman" w:cs="Times New Roman"/>
          <w:sz w:val="24"/>
          <w:szCs w:val="24"/>
          <w:lang w:val="es-AR"/>
        </w:rPr>
        <w:lastRenderedPageBreak/>
        <w:t>permiten replicar la experiencia gourmet en cada unidad franquiciada. Al mismo tiempo, las actividades vinculadas al control de calidad, la gestión de la cadena de abastecimiento y la comunicación digital resultan críticas para sostener la consistencia del producto en un contexto regional que presenta desafíos logísticos y de disponibilidad de insumos.</w:t>
      </w:r>
    </w:p>
    <w:p w14:paraId="5D9715B0" w14:textId="396A5848"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bloque de socios clave adquiere una relevancia particular en este proyecto. Las alianzas con proveedores locales y regionales de insumos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permiten reducir costos logísticos y reforzar la identidad artesanal del producto. La vinculación con plataformas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y con entidades financieras o </w:t>
      </w:r>
      <w:proofErr w:type="spellStart"/>
      <w:r w:rsidRPr="003B6453">
        <w:rPr>
          <w:rFonts w:ascii="Times New Roman" w:hAnsi="Times New Roman" w:cs="Times New Roman"/>
          <w:sz w:val="24"/>
          <w:szCs w:val="24"/>
          <w:lang w:val="es-AR"/>
        </w:rPr>
        <w:t>fintechs</w:t>
      </w:r>
      <w:proofErr w:type="spellEnd"/>
      <w:r w:rsidRPr="003B6453">
        <w:rPr>
          <w:rFonts w:ascii="Times New Roman" w:hAnsi="Times New Roman" w:cs="Times New Roman"/>
          <w:sz w:val="24"/>
          <w:szCs w:val="24"/>
          <w:lang w:val="es-AR"/>
        </w:rPr>
        <w:t xml:space="preserve"> facilita la operación diaria y amplía las opciones de pago para los clientes. Asimismo, la articulación con cámaras empresariales, programas municipales o iniciativas de apoyo al </w:t>
      </w:r>
      <w:proofErr w:type="spellStart"/>
      <w:r w:rsidRPr="003B6453">
        <w:rPr>
          <w:rFonts w:ascii="Times New Roman" w:hAnsi="Times New Roman" w:cs="Times New Roman"/>
          <w:sz w:val="24"/>
          <w:szCs w:val="24"/>
          <w:lang w:val="es-AR"/>
        </w:rPr>
        <w:t>emprendedurismo</w:t>
      </w:r>
      <w:proofErr w:type="spellEnd"/>
      <w:r w:rsidRPr="003B6453">
        <w:rPr>
          <w:rFonts w:ascii="Times New Roman" w:hAnsi="Times New Roman" w:cs="Times New Roman"/>
          <w:sz w:val="24"/>
          <w:szCs w:val="24"/>
          <w:lang w:val="es-AR"/>
        </w:rPr>
        <w:t xml:space="preserve"> contribuye a fortalecer la inserción de la franquicia en el ecosistema regional del Alto Valle.</w:t>
      </w:r>
    </w:p>
    <w:p w14:paraId="0827E4F8" w14:textId="77777777" w:rsidR="00572700" w:rsidRPr="003B6453"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Finalmente, la estructura de costos refleja una combinación de costos fijos y variables típica del sector gastronómico, con una incidencia significativa de insumos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salarios y costos de operación. En el contexto regional, caracterizado por la competencia salarial del sector petrolero y por costos logísticos superiores a los de grandes centros urbanos, este bloque exige una gestión eficiente y una planificación financiera cuidadosa. La identificación temprana de estos costos permite anticipar escenarios, evaluar márgenes y diseñar estrategias que preserven la rentabilidad del negocio sin comprometer la calidad de la propuesta.</w:t>
      </w:r>
    </w:p>
    <w:p w14:paraId="62A5B7BE" w14:textId="33BA5F96" w:rsidR="000733D7" w:rsidRDefault="00572700"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síntesis, la aplicación del 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evidencia que la franquicia de medialunas gourmet presenta una lógica de negocio consistente, coherente y </w:t>
      </w:r>
      <w:proofErr w:type="gramStart"/>
      <w:r w:rsidRPr="003B6453">
        <w:rPr>
          <w:rFonts w:ascii="Times New Roman" w:hAnsi="Times New Roman" w:cs="Times New Roman"/>
          <w:sz w:val="24"/>
          <w:szCs w:val="24"/>
          <w:lang w:val="es-AR"/>
        </w:rPr>
        <w:t>alineada</w:t>
      </w:r>
      <w:proofErr w:type="gramEnd"/>
      <w:r w:rsidRPr="003B6453">
        <w:rPr>
          <w:rFonts w:ascii="Times New Roman" w:hAnsi="Times New Roman" w:cs="Times New Roman"/>
          <w:sz w:val="24"/>
          <w:szCs w:val="24"/>
          <w:lang w:val="es-AR"/>
        </w:rPr>
        <w:t xml:space="preserve"> con las características del mercado del Alto Valle. La integración entre diferenciación de producto, estandarización operativa, diversificación de ingresos y comunicación digital constituye una base sólida para escalar el modelo a través del sistema de franquicias. Este enfoque permite garantizar que cada unidad replique la experiencia gourmet de manera uniforme, preservando la identidad de marca y generando valor tanto para los consumidores como para los inversores en un contexto regional competitivo y dinámico.</w:t>
      </w:r>
    </w:p>
    <w:p w14:paraId="690A2EBB" w14:textId="77777777" w:rsidR="006E2EE3" w:rsidRDefault="006E2EE3" w:rsidP="003B6453">
      <w:pPr>
        <w:spacing w:line="360" w:lineRule="auto"/>
        <w:jc w:val="both"/>
        <w:rPr>
          <w:rFonts w:ascii="Times New Roman" w:hAnsi="Times New Roman" w:cs="Times New Roman"/>
          <w:sz w:val="24"/>
          <w:szCs w:val="24"/>
          <w:lang w:val="es-AR"/>
        </w:rPr>
      </w:pPr>
    </w:p>
    <w:p w14:paraId="5ED15C63" w14:textId="77777777" w:rsidR="006E2EE3" w:rsidRDefault="006E2EE3" w:rsidP="003B6453">
      <w:pPr>
        <w:spacing w:line="360" w:lineRule="auto"/>
        <w:jc w:val="both"/>
        <w:rPr>
          <w:rFonts w:ascii="Times New Roman" w:hAnsi="Times New Roman" w:cs="Times New Roman"/>
          <w:sz w:val="24"/>
          <w:szCs w:val="24"/>
          <w:lang w:val="es-AR"/>
        </w:rPr>
      </w:pPr>
    </w:p>
    <w:p w14:paraId="7E07D7A9" w14:textId="77777777" w:rsidR="006E2EE3" w:rsidRDefault="006E2EE3" w:rsidP="003B6453">
      <w:pPr>
        <w:spacing w:line="360" w:lineRule="auto"/>
        <w:jc w:val="both"/>
        <w:rPr>
          <w:rFonts w:ascii="Times New Roman" w:hAnsi="Times New Roman" w:cs="Times New Roman"/>
          <w:sz w:val="24"/>
          <w:szCs w:val="24"/>
          <w:lang w:val="es-AR"/>
        </w:rPr>
      </w:pPr>
    </w:p>
    <w:p w14:paraId="086B6D6A" w14:textId="77777777" w:rsidR="006E2EE3" w:rsidRDefault="006E2EE3" w:rsidP="003B6453">
      <w:pPr>
        <w:spacing w:line="360" w:lineRule="auto"/>
        <w:jc w:val="both"/>
        <w:rPr>
          <w:rFonts w:ascii="Times New Roman" w:hAnsi="Times New Roman" w:cs="Times New Roman"/>
          <w:sz w:val="24"/>
          <w:szCs w:val="24"/>
          <w:lang w:val="es-AR"/>
        </w:rPr>
      </w:pPr>
    </w:p>
    <w:p w14:paraId="6524577F" w14:textId="77777777" w:rsidR="006E2EE3" w:rsidRDefault="006E2EE3" w:rsidP="003B6453">
      <w:pPr>
        <w:spacing w:line="360" w:lineRule="auto"/>
        <w:jc w:val="both"/>
        <w:rPr>
          <w:rFonts w:ascii="Times New Roman" w:hAnsi="Times New Roman" w:cs="Times New Roman"/>
          <w:sz w:val="24"/>
          <w:szCs w:val="24"/>
          <w:lang w:val="es-AR"/>
        </w:rPr>
      </w:pPr>
    </w:p>
    <w:p w14:paraId="4EF7FEBB" w14:textId="77777777" w:rsidR="006E2EE3" w:rsidRDefault="006E2EE3" w:rsidP="003B6453">
      <w:pPr>
        <w:spacing w:line="360" w:lineRule="auto"/>
        <w:jc w:val="both"/>
        <w:rPr>
          <w:rFonts w:ascii="Times New Roman" w:hAnsi="Times New Roman" w:cs="Times New Roman"/>
          <w:sz w:val="24"/>
          <w:szCs w:val="24"/>
          <w:lang w:val="es-AR"/>
        </w:rPr>
      </w:pPr>
    </w:p>
    <w:p w14:paraId="4C10A64C" w14:textId="77777777" w:rsidR="006E2EE3" w:rsidRDefault="006E2EE3" w:rsidP="003B6453">
      <w:pPr>
        <w:spacing w:line="360" w:lineRule="auto"/>
        <w:jc w:val="both"/>
        <w:rPr>
          <w:rFonts w:ascii="Times New Roman" w:hAnsi="Times New Roman" w:cs="Times New Roman"/>
          <w:sz w:val="24"/>
          <w:szCs w:val="24"/>
          <w:lang w:val="es-AR"/>
        </w:rPr>
      </w:pPr>
    </w:p>
    <w:p w14:paraId="1DD7C1D7" w14:textId="77777777" w:rsidR="006E2EE3" w:rsidRPr="003B6453" w:rsidRDefault="006E2EE3" w:rsidP="003B6453">
      <w:pPr>
        <w:spacing w:line="360" w:lineRule="auto"/>
        <w:jc w:val="both"/>
        <w:rPr>
          <w:rFonts w:ascii="Times New Roman" w:hAnsi="Times New Roman" w:cs="Times New Roman"/>
          <w:sz w:val="24"/>
          <w:szCs w:val="24"/>
          <w:lang w:val="es-AR"/>
        </w:rPr>
      </w:pPr>
    </w:p>
    <w:p w14:paraId="465EC1B9" w14:textId="7B0E306D" w:rsidR="0036235E" w:rsidRPr="003B6453" w:rsidRDefault="0036235E" w:rsidP="003B6453">
      <w:pPr>
        <w:pStyle w:val="Ttulo2"/>
        <w:spacing w:line="360" w:lineRule="auto"/>
        <w:jc w:val="both"/>
        <w:rPr>
          <w:rFonts w:ascii="Times New Roman" w:hAnsi="Times New Roman" w:cs="Times New Roman"/>
          <w:sz w:val="24"/>
          <w:szCs w:val="24"/>
          <w:lang w:val="es-AR"/>
        </w:rPr>
      </w:pPr>
      <w:bookmarkStart w:id="13" w:name="_Toc228546580"/>
      <w:r w:rsidRPr="003B6453">
        <w:rPr>
          <w:rFonts w:ascii="Times New Roman" w:hAnsi="Times New Roman" w:cs="Times New Roman"/>
          <w:sz w:val="24"/>
          <w:szCs w:val="24"/>
          <w:lang w:val="es-AR"/>
        </w:rPr>
        <w:t xml:space="preserve">2.4 Análisis de las Cinco Fuerzas de </w:t>
      </w:r>
      <w:proofErr w:type="spellStart"/>
      <w:r w:rsidRPr="003B6453">
        <w:rPr>
          <w:rFonts w:ascii="Times New Roman" w:hAnsi="Times New Roman" w:cs="Times New Roman"/>
          <w:sz w:val="24"/>
          <w:szCs w:val="24"/>
          <w:lang w:val="es-AR"/>
        </w:rPr>
        <w:t>Porter</w:t>
      </w:r>
      <w:bookmarkEnd w:id="13"/>
      <w:proofErr w:type="spellEnd"/>
      <w:r w:rsidR="00A47047" w:rsidRPr="003B6453">
        <w:rPr>
          <w:rFonts w:ascii="Times New Roman" w:hAnsi="Times New Roman" w:cs="Times New Roman"/>
          <w:sz w:val="24"/>
          <w:szCs w:val="24"/>
          <w:lang w:val="es-AR"/>
        </w:rPr>
        <w:t xml:space="preserve"> </w:t>
      </w:r>
    </w:p>
    <w:p w14:paraId="5612F2C1" w14:textId="394518D1" w:rsidR="00873DFD" w:rsidRPr="003B6453" w:rsidRDefault="00873DFD" w:rsidP="003B6453">
      <w:pPr>
        <w:spacing w:line="360" w:lineRule="auto"/>
        <w:jc w:val="both"/>
        <w:rPr>
          <w:rFonts w:ascii="Times New Roman" w:hAnsi="Times New Roman" w:cs="Times New Roman"/>
          <w:sz w:val="24"/>
          <w:szCs w:val="24"/>
          <w:lang w:val="es-AR"/>
        </w:rPr>
      </w:pPr>
    </w:p>
    <w:p w14:paraId="5538A1C5" w14:textId="749F28ED" w:rsidR="00873DFD" w:rsidRPr="003B6453" w:rsidRDefault="00873DF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noProof/>
          <w:sz w:val="24"/>
          <w:szCs w:val="24"/>
          <w:lang w:val="es-AR" w:eastAsia="es-AR"/>
        </w:rPr>
        <w:drawing>
          <wp:inline distT="0" distB="0" distL="0" distR="0" wp14:anchorId="6F4CA6E0" wp14:editId="281261DB">
            <wp:extent cx="5486400" cy="3200400"/>
            <wp:effectExtent l="0" t="0" r="0" b="19050"/>
            <wp:docPr id="151785565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6E2EE3">
        <w:rPr>
          <w:rFonts w:ascii="Times New Roman" w:hAnsi="Times New Roman" w:cs="Times New Roman"/>
          <w:sz w:val="24"/>
          <w:szCs w:val="24"/>
          <w:lang w:val="es-AR"/>
        </w:rPr>
        <w:br/>
        <w:t xml:space="preserve">Fuente </w:t>
      </w:r>
      <w:r w:rsidR="006E2EE3" w:rsidRPr="006E2EE3">
        <w:rPr>
          <w:rFonts w:ascii="Times New Roman" w:hAnsi="Times New Roman" w:cs="Times New Roman"/>
          <w:sz w:val="24"/>
          <w:szCs w:val="24"/>
          <w:lang w:val="es-AR"/>
        </w:rPr>
        <w:t xml:space="preserve">“Elaboración propia en base a </w:t>
      </w:r>
      <w:proofErr w:type="spellStart"/>
      <w:r w:rsidR="006E2EE3" w:rsidRPr="006E2EE3">
        <w:rPr>
          <w:rFonts w:ascii="Times New Roman" w:hAnsi="Times New Roman" w:cs="Times New Roman"/>
          <w:sz w:val="24"/>
          <w:szCs w:val="24"/>
          <w:lang w:val="es-AR"/>
        </w:rPr>
        <w:t>Porter</w:t>
      </w:r>
      <w:proofErr w:type="spellEnd"/>
      <w:r w:rsidR="006E2EE3" w:rsidRPr="006E2EE3">
        <w:rPr>
          <w:rFonts w:ascii="Times New Roman" w:hAnsi="Times New Roman" w:cs="Times New Roman"/>
          <w:sz w:val="24"/>
          <w:szCs w:val="24"/>
          <w:lang w:val="es-AR"/>
        </w:rPr>
        <w:t xml:space="preserve"> (1979), AAMF y análisis sectorial”</w:t>
      </w:r>
      <w:r w:rsidR="006E2EE3">
        <w:rPr>
          <w:rFonts w:ascii="Times New Roman" w:hAnsi="Times New Roman" w:cs="Times New Roman"/>
          <w:sz w:val="24"/>
          <w:szCs w:val="24"/>
          <w:lang w:val="es-AR"/>
        </w:rPr>
        <w:t xml:space="preserve"> </w:t>
      </w:r>
    </w:p>
    <w:p w14:paraId="68A606E6" w14:textId="77777777"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modelo de las Cinco Fuerzas desarrollado por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(1980) constituye una herramienta central para evaluar la estructura competitiva de una industria y su atractivo en términos de rentabilidad de largo plazo. A diferencia de otros enfoques que se concentran exclusivamente en la competencia directa, este modelo permite comprender cómo distintos actores del entorno —competidores, proveedores, clientes, productos sustitutos y potenciales nuevos entrantes— condicionan la capacidad de una empresa para generar beneficios sostenibles. En el caso de la franquicia de medialunas gourmet en el Alto Valle, </w:t>
      </w:r>
      <w:r w:rsidRPr="003B6453">
        <w:rPr>
          <w:rFonts w:ascii="Times New Roman" w:hAnsi="Times New Roman" w:cs="Times New Roman"/>
          <w:sz w:val="24"/>
          <w:szCs w:val="24"/>
          <w:lang w:val="es-AR"/>
        </w:rPr>
        <w:lastRenderedPageBreak/>
        <w:t>su aplicación resulta particularmente pertinente, dado que se trata de un mercado regional con elevada competencia gastronómica, pero aún con espacios para propuestas diferenciadas.</w:t>
      </w:r>
    </w:p>
    <w:p w14:paraId="38C1CFDD" w14:textId="77777777"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rivalidad entre competidores existentes en el sector gastronómico del Alto Valle puede calificarse como alta. En ciudades como Neuquén capital, </w:t>
      </w:r>
      <w:proofErr w:type="spellStart"/>
      <w:r w:rsidRPr="003B6453">
        <w:rPr>
          <w:rFonts w:ascii="Times New Roman" w:hAnsi="Times New Roman" w:cs="Times New Roman"/>
          <w:sz w:val="24"/>
          <w:szCs w:val="24"/>
          <w:lang w:val="es-AR"/>
        </w:rPr>
        <w:t>Cipolletti</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Plottier</w:t>
      </w:r>
      <w:proofErr w:type="spellEnd"/>
      <w:r w:rsidRPr="003B6453">
        <w:rPr>
          <w:rFonts w:ascii="Times New Roman" w:hAnsi="Times New Roman" w:cs="Times New Roman"/>
          <w:sz w:val="24"/>
          <w:szCs w:val="24"/>
          <w:lang w:val="es-AR"/>
        </w:rPr>
        <w:t xml:space="preserve"> y Centenario existe una amplia oferta de panaderías, cafeterías, confiterías y locales de café que compiten por captar la demanda de desayunos y meriendas. Esta rivalidad se intensifica por la relativa homogeneidad de muchos productos ofrecidos y por la sensibilidad del consumidor al precio en determinados segmentos. Sin embargo, la mayoría de estos competidores se posiciona en un esquema tradicional, con escasa diferenciación en términos de experiencia, estética de marca y propuesta gourmet. En este contexto, la franquicia de medialunas gourmet tiene la posibilidad de reducir la rivalidad directa mediante una estrategia de diferenciación clara, basada en la calidad artesanal, la estandarización de procesos y la construcción de una identidad de marca consistente. No se trata de eliminar la competencia, sino de redefinir el campo competitivo en el que se participa.</w:t>
      </w:r>
    </w:p>
    <w:p w14:paraId="632ECC55" w14:textId="77777777"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amenaza de nuevos entrantes puede considerarse moderada. Por un lado, el sector gastronómico presenta barreras de entrada relativamente bajas en términos de capital inicial y requisitos técnicos, lo que facilita la apertura de nuevos locales independientes. Por otro lado, el desarrollo de un sistema de franquicia implica barreras más elevadas, asociadas al know-how acumulado, la estandarización operativa, la inversión en marca y la construcción de reputación. En el caso de la franquicia de medialunas gourmet, estas barreras se refuerzan mediante manuales operativos, recetas exclusivas, procesos de capacitación y una propuesta estética difícil de replicar en el corto plazo. La consolidación temprana de una base de clientes fieles y la ocupación estratégica de ubicaciones clave contribuyen a fortalecer la posición frente a posibles imitadores.</w:t>
      </w:r>
    </w:p>
    <w:p w14:paraId="61DDF9D2" w14:textId="77777777"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poder de negociación de los proveedores presenta características mixtas. Los insumos básicos de panificación —harina, azúcar, levadura— suelen encontrarse disponibles en mercados mayoristas, lo que reduce la dependencia de proveedores específicos. Sin embargo, en una propuesta gourmet, ciertos insumos diferenciados, como manteca de alta </w:t>
      </w:r>
      <w:r w:rsidRPr="003B6453">
        <w:rPr>
          <w:rFonts w:ascii="Times New Roman" w:hAnsi="Times New Roman" w:cs="Times New Roman"/>
          <w:sz w:val="24"/>
          <w:szCs w:val="24"/>
          <w:lang w:val="es-AR"/>
        </w:rPr>
        <w:lastRenderedPageBreak/>
        <w:t xml:space="preserve">calidad, rellenos especiales o </w:t>
      </w:r>
      <w:proofErr w:type="spellStart"/>
      <w:r w:rsidRPr="003B6453">
        <w:rPr>
          <w:rFonts w:ascii="Times New Roman" w:hAnsi="Times New Roman" w:cs="Times New Roman"/>
          <w:sz w:val="24"/>
          <w:szCs w:val="24"/>
          <w:lang w:val="es-AR"/>
        </w:rPr>
        <w:t>packaging</w:t>
      </w:r>
      <w:proofErr w:type="spellEnd"/>
      <w:r w:rsidRPr="003B6453">
        <w:rPr>
          <w:rFonts w:ascii="Times New Roman" w:hAnsi="Times New Roman" w:cs="Times New Roman"/>
          <w:sz w:val="24"/>
          <w:szCs w:val="24"/>
          <w:lang w:val="es-AR"/>
        </w:rPr>
        <w:t xml:space="preserve"> estético, pueden tener una oferta más limitada en la región, incrementando el poder relativo de los proveedores. A esto se suman los costos logísticos derivados de la distancia del Alto Valle respecto de los principales centros de abastecimiento del país. Frente a este escenario, la estrategia más adecuada consiste en diversificar proveedores, desarrollar alianzas con productores regionales y establecer estándares claros de calidad, lo que no solo reduce riesgos operativos, sino que también refuerza la narrativa de proximidad y autenticidad de la marca.</w:t>
      </w:r>
    </w:p>
    <w:p w14:paraId="120F99A4" w14:textId="77777777"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poder de negociación de los clientes es relativamente alto en el sector gastronómico, dado que los consumidores cuentan con múltiples alternativas para satisfacer la misma necesidad funcional. No obstante, este poder se atenúa cuando la empresa logra construir una propuesta de valor diferenciada y una relación emocional con el cliente.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 señalan que la fidelización basada en experiencias de marca reduce la elasticidad al precio y la propensión al cambio. En este sentido, la franquicia de medialunas gourmet puede disminuir el poder de negociación de los clientes a través de una experiencia consistente, programas de fidelización, </w:t>
      </w:r>
      <w:proofErr w:type="spellStart"/>
      <w:r w:rsidRPr="003B6453">
        <w:rPr>
          <w:rFonts w:ascii="Times New Roman" w:hAnsi="Times New Roman" w:cs="Times New Roman"/>
          <w:sz w:val="24"/>
          <w:szCs w:val="24"/>
          <w:lang w:val="es-AR"/>
        </w:rPr>
        <w:t>storytelling</w:t>
      </w:r>
      <w:proofErr w:type="spellEnd"/>
      <w:r w:rsidRPr="003B6453">
        <w:rPr>
          <w:rFonts w:ascii="Times New Roman" w:hAnsi="Times New Roman" w:cs="Times New Roman"/>
          <w:sz w:val="24"/>
          <w:szCs w:val="24"/>
          <w:lang w:val="es-AR"/>
        </w:rPr>
        <w:t xml:space="preserve"> de marca y una fuerte coherencia estética y sensorial, que transformen la elección del consumidor en un acto de preferencia y no de comparación exclusivamente racional.</w:t>
      </w:r>
    </w:p>
    <w:p w14:paraId="0A231515" w14:textId="0B70C9C4"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amenaza de productos sustitutos es elevada y constituye una de las fuerzas más relevantes en este análisis. El consumo de medialunas compite con una amplia variedad de alternativas para desayunos y meriendas, como tostados, tortas, </w:t>
      </w:r>
      <w:proofErr w:type="spellStart"/>
      <w:r w:rsidRPr="003B6453">
        <w:rPr>
          <w:rFonts w:ascii="Times New Roman" w:hAnsi="Times New Roman" w:cs="Times New Roman"/>
          <w:sz w:val="24"/>
          <w:szCs w:val="24"/>
          <w:lang w:val="es-AR"/>
        </w:rPr>
        <w:t>muffins</w:t>
      </w:r>
      <w:proofErr w:type="spellEnd"/>
      <w:r w:rsidRPr="003B6453">
        <w:rPr>
          <w:rFonts w:ascii="Times New Roman" w:hAnsi="Times New Roman" w:cs="Times New Roman"/>
          <w:sz w:val="24"/>
          <w:szCs w:val="24"/>
          <w:lang w:val="es-AR"/>
        </w:rPr>
        <w:t>, budines, productos de pastelería industrial e incluso opciones saludables o funcionales. Esta diversidad amplía las opciones del consumidor y limita el crecimiento automático de la demanda. Para mitigar esta amenaza, la franquicia debe evitar una oferta rígida y apostar por la innovación controlada, incorporando variantes de medialunas (integrales, rellenas, ediciones limitadas) y productos complementarios que refuercen la centralidad del producto principal sin diluir la identidad gourmet. De este modo, la medialuna se consolida como eje de la experiencia, pero dentro de una propuesta más amplia y adaptable.</w:t>
      </w:r>
    </w:p>
    <w:p w14:paraId="115885EC" w14:textId="00F9130A" w:rsidR="00A20BF3"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conjunto, el análisis de las Cinco Fuerzas muestra que el sector gastronómico del Alto Valle presenta un nivel de competencia elevado, pero no homogéneo. Si bien existen presiones competitivas significativas, la franquicia de medialunas gourmet puede construir </w:t>
      </w:r>
      <w:r w:rsidRPr="003B6453">
        <w:rPr>
          <w:rFonts w:ascii="Times New Roman" w:hAnsi="Times New Roman" w:cs="Times New Roman"/>
          <w:sz w:val="24"/>
          <w:szCs w:val="24"/>
          <w:lang w:val="es-AR"/>
        </w:rPr>
        <w:lastRenderedPageBreak/>
        <w:t xml:space="preserve">una posición defensiva sólida a partir de la diferenciación, la estandarización de procesos y la integración con el ecosistema regional. El atractivo del sector no radica en la ausencia de competencia, sino en la posibilidad de redefinir el espacio competitivo mediante una propuesta clara, consistente y difícil de imitar. Desde esta perspectiva, el modelo de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no solo permite diagnosticar amenazas, sino también identificar oportunidades estratégicas para sostener la rentabilidad en el largo plazo.</w:t>
      </w:r>
    </w:p>
    <w:p w14:paraId="0C166091" w14:textId="5BA7F545"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 xml:space="preserve">Tabla </w:t>
      </w:r>
      <w:r w:rsidR="00312CE2" w:rsidRPr="003B6453">
        <w:rPr>
          <w:rFonts w:ascii="Times New Roman" w:hAnsi="Times New Roman" w:cs="Times New Roman"/>
          <w:b/>
          <w:bCs/>
          <w:sz w:val="24"/>
          <w:szCs w:val="24"/>
          <w:lang w:val="es-AR"/>
        </w:rPr>
        <w:t>9</w:t>
      </w:r>
      <w:r w:rsidRPr="003B6453">
        <w:rPr>
          <w:rFonts w:ascii="Times New Roman" w:hAnsi="Times New Roman" w:cs="Times New Roman"/>
          <w:b/>
          <w:bCs/>
          <w:sz w:val="24"/>
          <w:szCs w:val="24"/>
          <w:lang w:val="es-AR"/>
        </w:rPr>
        <w:t xml:space="preserve">. Cinco Fuerzas de </w:t>
      </w:r>
      <w:proofErr w:type="spellStart"/>
      <w:r w:rsidRPr="003B6453">
        <w:rPr>
          <w:rFonts w:ascii="Times New Roman" w:hAnsi="Times New Roman" w:cs="Times New Roman"/>
          <w:b/>
          <w:bCs/>
          <w:sz w:val="24"/>
          <w:szCs w:val="24"/>
          <w:lang w:val="es-AR"/>
        </w:rPr>
        <w:t>Porter</w:t>
      </w:r>
      <w:proofErr w:type="spellEnd"/>
      <w:r w:rsidRPr="003B6453">
        <w:rPr>
          <w:rFonts w:ascii="Times New Roman" w:hAnsi="Times New Roman" w:cs="Times New Roman"/>
          <w:b/>
          <w:bCs/>
          <w:sz w:val="24"/>
          <w:szCs w:val="24"/>
          <w:lang w:val="es-AR"/>
        </w:rPr>
        <w:t xml:space="preserve"> en el sector gastronómico del Alto Valle</w:t>
      </w:r>
    </w:p>
    <w:tbl>
      <w:tblPr>
        <w:tblStyle w:val="GridTable5DarkAccent5"/>
        <w:tblW w:w="0" w:type="auto"/>
        <w:tblLook w:val="04A0" w:firstRow="1" w:lastRow="0" w:firstColumn="1" w:lastColumn="0" w:noHBand="0" w:noVBand="1"/>
      </w:tblPr>
      <w:tblGrid>
        <w:gridCol w:w="1900"/>
        <w:gridCol w:w="1317"/>
        <w:gridCol w:w="3161"/>
        <w:gridCol w:w="2676"/>
      </w:tblGrid>
      <w:tr w:rsidR="00A20BF3" w:rsidRPr="003B6453" w14:paraId="3C1EC90E" w14:textId="77777777" w:rsidTr="00312C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834622" w14:textId="77777777" w:rsidR="00A20BF3" w:rsidRPr="003B6453" w:rsidRDefault="00A20BF3"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Fuerza</w:t>
            </w:r>
            <w:proofErr w:type="spellEnd"/>
          </w:p>
        </w:tc>
        <w:tc>
          <w:tcPr>
            <w:tcW w:w="0" w:type="auto"/>
            <w:hideMark/>
          </w:tcPr>
          <w:p w14:paraId="34266DAE" w14:textId="77777777" w:rsidR="00A20BF3" w:rsidRPr="003B6453" w:rsidRDefault="00A20BF3"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Nivel</w:t>
            </w:r>
            <w:proofErr w:type="spellEnd"/>
            <w:r w:rsidRPr="003B6453">
              <w:rPr>
                <w:rFonts w:ascii="Times New Roman" w:hAnsi="Times New Roman" w:cs="Times New Roman"/>
                <w:b w:val="0"/>
                <w:bCs w:val="0"/>
                <w:sz w:val="24"/>
                <w:szCs w:val="24"/>
              </w:rPr>
              <w:t xml:space="preserve"> de </w:t>
            </w:r>
            <w:proofErr w:type="spellStart"/>
            <w:r w:rsidRPr="003B6453">
              <w:rPr>
                <w:rFonts w:ascii="Times New Roman" w:hAnsi="Times New Roman" w:cs="Times New Roman"/>
                <w:b w:val="0"/>
                <w:bCs w:val="0"/>
                <w:sz w:val="24"/>
                <w:szCs w:val="24"/>
              </w:rPr>
              <w:t>impacto</w:t>
            </w:r>
            <w:proofErr w:type="spellEnd"/>
          </w:p>
        </w:tc>
        <w:tc>
          <w:tcPr>
            <w:tcW w:w="0" w:type="auto"/>
            <w:hideMark/>
          </w:tcPr>
          <w:p w14:paraId="414A7232" w14:textId="77777777" w:rsidR="00A20BF3" w:rsidRPr="003B6453" w:rsidRDefault="00A20BF3"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Factores</w:t>
            </w:r>
            <w:proofErr w:type="spellEnd"/>
            <w:r w:rsidRPr="003B6453">
              <w:rPr>
                <w:rFonts w:ascii="Times New Roman" w:hAnsi="Times New Roman" w:cs="Times New Roman"/>
                <w:b w:val="0"/>
                <w:bCs w:val="0"/>
                <w:sz w:val="24"/>
                <w:szCs w:val="24"/>
              </w:rPr>
              <w:t xml:space="preserve"> clave</w:t>
            </w:r>
          </w:p>
        </w:tc>
        <w:tc>
          <w:tcPr>
            <w:tcW w:w="0" w:type="auto"/>
            <w:hideMark/>
          </w:tcPr>
          <w:p w14:paraId="600BB4AA" w14:textId="77777777" w:rsidR="00A20BF3" w:rsidRPr="003B6453" w:rsidRDefault="00A20BF3"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Implicancias</w:t>
            </w:r>
            <w:proofErr w:type="spellEnd"/>
            <w:r w:rsidRPr="003B6453">
              <w:rPr>
                <w:rFonts w:ascii="Times New Roman" w:hAnsi="Times New Roman" w:cs="Times New Roman"/>
                <w:b w:val="0"/>
                <w:bCs w:val="0"/>
                <w:sz w:val="24"/>
                <w:szCs w:val="24"/>
              </w:rPr>
              <w:t xml:space="preserve"> </w:t>
            </w:r>
            <w:proofErr w:type="spellStart"/>
            <w:r w:rsidRPr="003B6453">
              <w:rPr>
                <w:rFonts w:ascii="Times New Roman" w:hAnsi="Times New Roman" w:cs="Times New Roman"/>
                <w:b w:val="0"/>
                <w:bCs w:val="0"/>
                <w:sz w:val="24"/>
                <w:szCs w:val="24"/>
              </w:rPr>
              <w:t>para</w:t>
            </w:r>
            <w:proofErr w:type="spellEnd"/>
            <w:r w:rsidRPr="003B6453">
              <w:rPr>
                <w:rFonts w:ascii="Times New Roman" w:hAnsi="Times New Roman" w:cs="Times New Roman"/>
                <w:b w:val="0"/>
                <w:bCs w:val="0"/>
                <w:sz w:val="24"/>
                <w:szCs w:val="24"/>
              </w:rPr>
              <w:t xml:space="preserve"> la </w:t>
            </w:r>
            <w:proofErr w:type="spellStart"/>
            <w:r w:rsidRPr="003B6453">
              <w:rPr>
                <w:rFonts w:ascii="Times New Roman" w:hAnsi="Times New Roman" w:cs="Times New Roman"/>
                <w:b w:val="0"/>
                <w:bCs w:val="0"/>
                <w:sz w:val="24"/>
                <w:szCs w:val="24"/>
              </w:rPr>
              <w:t>franquicia</w:t>
            </w:r>
            <w:proofErr w:type="spellEnd"/>
          </w:p>
        </w:tc>
      </w:tr>
      <w:tr w:rsidR="00A20BF3" w:rsidRPr="003B6453" w14:paraId="1CB12EDB" w14:textId="77777777" w:rsidTr="00312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13FC20"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Rivalidad</w:t>
            </w:r>
            <w:proofErr w:type="spellEnd"/>
            <w:r w:rsidRPr="003B6453">
              <w:rPr>
                <w:rFonts w:ascii="Times New Roman" w:hAnsi="Times New Roman" w:cs="Times New Roman"/>
                <w:sz w:val="24"/>
                <w:szCs w:val="24"/>
              </w:rPr>
              <w:t xml:space="preserve"> entre </w:t>
            </w:r>
            <w:proofErr w:type="spellStart"/>
            <w:r w:rsidRPr="003B6453">
              <w:rPr>
                <w:rFonts w:ascii="Times New Roman" w:hAnsi="Times New Roman" w:cs="Times New Roman"/>
                <w:sz w:val="24"/>
                <w:szCs w:val="24"/>
              </w:rPr>
              <w:t>competidores</w:t>
            </w:r>
            <w:proofErr w:type="spellEnd"/>
          </w:p>
        </w:tc>
        <w:tc>
          <w:tcPr>
            <w:tcW w:w="0" w:type="auto"/>
            <w:hideMark/>
          </w:tcPr>
          <w:p w14:paraId="0DBC0988"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Alta</w:t>
            </w:r>
          </w:p>
        </w:tc>
        <w:tc>
          <w:tcPr>
            <w:tcW w:w="0" w:type="auto"/>
            <w:hideMark/>
          </w:tcPr>
          <w:p w14:paraId="01C658D6"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Presencia de panaderías y cafeterías tradicionales; crecimiento de locales de café</w:t>
            </w:r>
          </w:p>
        </w:tc>
        <w:tc>
          <w:tcPr>
            <w:tcW w:w="0" w:type="auto"/>
            <w:hideMark/>
          </w:tcPr>
          <w:p w14:paraId="314AC696"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Necesidad de diferenciación clara y construcción de marca gourmet</w:t>
            </w:r>
          </w:p>
        </w:tc>
      </w:tr>
      <w:tr w:rsidR="00A20BF3" w:rsidRPr="003B6453" w14:paraId="2FF91C74" w14:textId="77777777" w:rsidTr="00312CE2">
        <w:tc>
          <w:tcPr>
            <w:cnfStyle w:val="001000000000" w:firstRow="0" w:lastRow="0" w:firstColumn="1" w:lastColumn="0" w:oddVBand="0" w:evenVBand="0" w:oddHBand="0" w:evenHBand="0" w:firstRowFirstColumn="0" w:firstRowLastColumn="0" w:lastRowFirstColumn="0" w:lastRowLastColumn="0"/>
            <w:tcW w:w="0" w:type="auto"/>
            <w:hideMark/>
          </w:tcPr>
          <w:p w14:paraId="545F412D"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Amenaza</w:t>
            </w:r>
            <w:proofErr w:type="spellEnd"/>
            <w:r w:rsidRPr="003B6453">
              <w:rPr>
                <w:rFonts w:ascii="Times New Roman" w:hAnsi="Times New Roman" w:cs="Times New Roman"/>
                <w:sz w:val="24"/>
                <w:szCs w:val="24"/>
              </w:rPr>
              <w:t xml:space="preserve"> de </w:t>
            </w:r>
            <w:proofErr w:type="spellStart"/>
            <w:r w:rsidRPr="003B6453">
              <w:rPr>
                <w:rFonts w:ascii="Times New Roman" w:hAnsi="Times New Roman" w:cs="Times New Roman"/>
                <w:sz w:val="24"/>
                <w:szCs w:val="24"/>
              </w:rPr>
              <w:t>nuevos</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entrantes</w:t>
            </w:r>
            <w:proofErr w:type="spellEnd"/>
          </w:p>
        </w:tc>
        <w:tc>
          <w:tcPr>
            <w:tcW w:w="0" w:type="auto"/>
            <w:hideMark/>
          </w:tcPr>
          <w:p w14:paraId="65544F56"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Moderada</w:t>
            </w:r>
            <w:proofErr w:type="spellEnd"/>
          </w:p>
        </w:tc>
        <w:tc>
          <w:tcPr>
            <w:tcW w:w="0" w:type="auto"/>
            <w:hideMark/>
          </w:tcPr>
          <w:p w14:paraId="6E7476F9"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Baja inversión inicial para panaderías; dificultad de replicar procesos gourmet y estética de marca</w:t>
            </w:r>
          </w:p>
        </w:tc>
        <w:tc>
          <w:tcPr>
            <w:tcW w:w="0" w:type="auto"/>
            <w:hideMark/>
          </w:tcPr>
          <w:p w14:paraId="05051B68"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Fidelizar clientes tempranos y estandarizar procesos para elevar barreras</w:t>
            </w:r>
          </w:p>
        </w:tc>
      </w:tr>
      <w:tr w:rsidR="00A20BF3" w:rsidRPr="003B6453" w14:paraId="4D74FD2A" w14:textId="77777777" w:rsidTr="00312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C56669"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Poder</w:t>
            </w:r>
            <w:proofErr w:type="spellEnd"/>
            <w:r w:rsidRPr="003B6453">
              <w:rPr>
                <w:rFonts w:ascii="Times New Roman" w:hAnsi="Times New Roman" w:cs="Times New Roman"/>
                <w:sz w:val="24"/>
                <w:szCs w:val="24"/>
              </w:rPr>
              <w:t xml:space="preserve"> de </w:t>
            </w:r>
            <w:proofErr w:type="spellStart"/>
            <w:r w:rsidRPr="003B6453">
              <w:rPr>
                <w:rFonts w:ascii="Times New Roman" w:hAnsi="Times New Roman" w:cs="Times New Roman"/>
                <w:sz w:val="24"/>
                <w:szCs w:val="24"/>
              </w:rPr>
              <w:t>proveedores</w:t>
            </w:r>
            <w:proofErr w:type="spellEnd"/>
          </w:p>
        </w:tc>
        <w:tc>
          <w:tcPr>
            <w:tcW w:w="0" w:type="auto"/>
            <w:hideMark/>
          </w:tcPr>
          <w:p w14:paraId="69F67C92"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Medio</w:t>
            </w:r>
            <w:proofErr w:type="spellEnd"/>
          </w:p>
        </w:tc>
        <w:tc>
          <w:tcPr>
            <w:tcW w:w="0" w:type="auto"/>
            <w:hideMark/>
          </w:tcPr>
          <w:p w14:paraId="3015D03F"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Insumos básicos abundantes; ingredientes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con pocos oferentes</w:t>
            </w:r>
          </w:p>
        </w:tc>
        <w:tc>
          <w:tcPr>
            <w:tcW w:w="0" w:type="auto"/>
            <w:hideMark/>
          </w:tcPr>
          <w:p w14:paraId="4FE2DE3F"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Diversificar proveedores y establecer alianzas locales</w:t>
            </w:r>
          </w:p>
        </w:tc>
      </w:tr>
      <w:tr w:rsidR="00A20BF3" w:rsidRPr="003B6453" w14:paraId="3E22CBBF" w14:textId="77777777" w:rsidTr="00312CE2">
        <w:tc>
          <w:tcPr>
            <w:cnfStyle w:val="001000000000" w:firstRow="0" w:lastRow="0" w:firstColumn="1" w:lastColumn="0" w:oddVBand="0" w:evenVBand="0" w:oddHBand="0" w:evenHBand="0" w:firstRowFirstColumn="0" w:firstRowLastColumn="0" w:lastRowFirstColumn="0" w:lastRowLastColumn="0"/>
            <w:tcW w:w="0" w:type="auto"/>
            <w:hideMark/>
          </w:tcPr>
          <w:p w14:paraId="1C210BC7"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Poder</w:t>
            </w:r>
            <w:proofErr w:type="spellEnd"/>
            <w:r w:rsidRPr="003B6453">
              <w:rPr>
                <w:rFonts w:ascii="Times New Roman" w:hAnsi="Times New Roman" w:cs="Times New Roman"/>
                <w:sz w:val="24"/>
                <w:szCs w:val="24"/>
              </w:rPr>
              <w:t xml:space="preserve"> de </w:t>
            </w:r>
            <w:proofErr w:type="spellStart"/>
            <w:r w:rsidRPr="003B6453">
              <w:rPr>
                <w:rFonts w:ascii="Times New Roman" w:hAnsi="Times New Roman" w:cs="Times New Roman"/>
                <w:sz w:val="24"/>
                <w:szCs w:val="24"/>
              </w:rPr>
              <w:t>clientes</w:t>
            </w:r>
            <w:proofErr w:type="spellEnd"/>
          </w:p>
        </w:tc>
        <w:tc>
          <w:tcPr>
            <w:tcW w:w="0" w:type="auto"/>
            <w:hideMark/>
          </w:tcPr>
          <w:p w14:paraId="3ACD8AC3"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Alto</w:t>
            </w:r>
          </w:p>
        </w:tc>
        <w:tc>
          <w:tcPr>
            <w:tcW w:w="0" w:type="auto"/>
            <w:hideMark/>
          </w:tcPr>
          <w:p w14:paraId="7A5140E4"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Multiplicidad de opciones gastronómicas; sensibilidad al precio</w:t>
            </w:r>
          </w:p>
        </w:tc>
        <w:tc>
          <w:tcPr>
            <w:tcW w:w="0" w:type="auto"/>
            <w:hideMark/>
          </w:tcPr>
          <w:p w14:paraId="1A3353CE"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Enfatizar diferenciación y fidelización emocional para reducir elasticidad</w:t>
            </w:r>
          </w:p>
        </w:tc>
      </w:tr>
      <w:tr w:rsidR="00A20BF3" w:rsidRPr="003B6453" w14:paraId="3A3C8F0D" w14:textId="77777777" w:rsidTr="00312C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EF23EB" w14:textId="77777777" w:rsidR="00A20BF3" w:rsidRPr="003B6453" w:rsidRDefault="00A20BF3"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Sustitutos</w:t>
            </w:r>
            <w:proofErr w:type="spellEnd"/>
          </w:p>
        </w:tc>
        <w:tc>
          <w:tcPr>
            <w:tcW w:w="0" w:type="auto"/>
            <w:hideMark/>
          </w:tcPr>
          <w:p w14:paraId="0C41DDCB"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Alto</w:t>
            </w:r>
          </w:p>
        </w:tc>
        <w:tc>
          <w:tcPr>
            <w:tcW w:w="0" w:type="auto"/>
            <w:hideMark/>
          </w:tcPr>
          <w:p w14:paraId="55E66C0B"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Alternativas de pastelería, bebidas y </w:t>
            </w:r>
            <w:proofErr w:type="spellStart"/>
            <w:r w:rsidRPr="003B6453">
              <w:rPr>
                <w:rFonts w:ascii="Times New Roman" w:hAnsi="Times New Roman" w:cs="Times New Roman"/>
                <w:sz w:val="24"/>
                <w:szCs w:val="24"/>
                <w:lang w:val="es-AR"/>
              </w:rPr>
              <w:t>snacks</w:t>
            </w:r>
            <w:proofErr w:type="spellEnd"/>
            <w:r w:rsidRPr="003B6453">
              <w:rPr>
                <w:rFonts w:ascii="Times New Roman" w:hAnsi="Times New Roman" w:cs="Times New Roman"/>
                <w:sz w:val="24"/>
                <w:szCs w:val="24"/>
                <w:lang w:val="es-AR"/>
              </w:rPr>
              <w:t xml:space="preserve"> saludables</w:t>
            </w:r>
          </w:p>
        </w:tc>
        <w:tc>
          <w:tcPr>
            <w:tcW w:w="0" w:type="auto"/>
            <w:hideMark/>
          </w:tcPr>
          <w:p w14:paraId="03CBBDCA"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Innovar con variantes de medialunas y complementos gourmet</w:t>
            </w:r>
          </w:p>
        </w:tc>
      </w:tr>
    </w:tbl>
    <w:p w14:paraId="4048C70E"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(1980) y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w:t>
      </w:r>
    </w:p>
    <w:p w14:paraId="4198EC1C" w14:textId="574455A4"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conjunto, la sistematización presentada en la Tabla </w:t>
      </w:r>
      <w:r w:rsidR="00312CE2" w:rsidRPr="003B6453">
        <w:rPr>
          <w:rFonts w:ascii="Times New Roman" w:hAnsi="Times New Roman" w:cs="Times New Roman"/>
          <w:sz w:val="24"/>
          <w:szCs w:val="24"/>
          <w:lang w:val="es-AR"/>
        </w:rPr>
        <w:t>9</w:t>
      </w:r>
      <w:r w:rsidRPr="003B6453">
        <w:rPr>
          <w:rFonts w:ascii="Times New Roman" w:hAnsi="Times New Roman" w:cs="Times New Roman"/>
          <w:sz w:val="24"/>
          <w:szCs w:val="24"/>
          <w:lang w:val="es-AR"/>
        </w:rPr>
        <w:t xml:space="preserve"> permite observar con mayor claridad la configuración competitiva del sector gastronómico en el Alto Valle y el posicionamiento relativo que puede alcanzar la franquicia de medialunas gourmet dentro de </w:t>
      </w:r>
      <w:r w:rsidRPr="003B6453">
        <w:rPr>
          <w:rFonts w:ascii="Times New Roman" w:hAnsi="Times New Roman" w:cs="Times New Roman"/>
          <w:sz w:val="24"/>
          <w:szCs w:val="24"/>
          <w:lang w:val="es-AR"/>
        </w:rPr>
        <w:lastRenderedPageBreak/>
        <w:t>dicho entorno. La elevada rivalidad competitiva y la fuerte presencia de productos sustitutos configuran un escenario exigente, en el cual la supervivencia y la rentabilidad no pueden sostenerse mediante estrategias basadas exclusivamente en el precio. Por el contrario, estos factores refuerzan la necesidad de una propuesta de valor claramente diferenciada, capaz de generar preferencia y lealtad en el consumidor.</w:t>
      </w:r>
    </w:p>
    <w:p w14:paraId="22A6CB89" w14:textId="77777777"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Asimismo, el análisis muestra que, si bien la amenaza de nuevos entrantes no es despreciable, la construcción de una marca gourmet con procesos estandarizados, identidad estética coherente y experiencia de consumo consistente puede elevar de manera significativa las barreras de entrada. En este sentido, la lógica de franquicia no solo funciona como mecanismo de expansión, sino también como herramienta defensiva frente a la imitación, al proteger el know-how y garantizar homogeneidad en la ejecución del modelo.</w:t>
      </w:r>
    </w:p>
    <w:p w14:paraId="692D3530" w14:textId="3FD6337A"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poder de negociación de proveedores y clientes aparece como una variable que debe ser gestionada activamente. La diversificación de proveedores, especialmente a nivel regional, y el desarrollo de alianzas estratégicas permiten reducir riesgos logísticos y de abastecimiento, mientras que la fidelización emocional del cliente contribuye a disminuir la sensibilidad al precio y la propensión a la sustitución. En mercados regionales como el Alto Valle, donde la cercanía y la reputación tienen un peso significativo, estas estrategias adquieren una relevancia aún mayor.</w:t>
      </w:r>
    </w:p>
    <w:p w14:paraId="065E587E" w14:textId="77777777" w:rsidR="00E42B67"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perspectiva estratégica, el modelo de las Cinco Fuerzas no solo evidencia las amenazas del entorno, sino que también permite identificar oportunidades de posicionamiento. La franquicia de medialunas gourmet puede capitalizar la fragmentación de la oferta existente y la ausencia de actores claramente posicionados en el segmento gourmet especializado, ocupando un espacio competitivo intermedio entre la panadería tradicional y la cafetería genérica. Esta ubicación estratégica reduce la competencia directa y permite capturar valor a partir de atributos diferenciales.</w:t>
      </w:r>
    </w:p>
    <w:p w14:paraId="2B660752" w14:textId="1781A51E" w:rsidR="0036235E" w:rsidRPr="003B6453" w:rsidRDefault="00E42B6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síntesis, el análisis de las Cinco Fuerzas confirma que el sector gastronómico del Alto Valle presenta desafíos estructurales importantes, pero también oportunidades concretas para modelos de negocio bien definidos. La clave para la franquicia propuesta reside en comprender estas fuerzas no como limitaciones inamovibles, sino como variables </w:t>
      </w:r>
      <w:r w:rsidRPr="003B6453">
        <w:rPr>
          <w:rFonts w:ascii="Times New Roman" w:hAnsi="Times New Roman" w:cs="Times New Roman"/>
          <w:sz w:val="24"/>
          <w:szCs w:val="24"/>
          <w:lang w:val="es-AR"/>
        </w:rPr>
        <w:lastRenderedPageBreak/>
        <w:t>estratégicas que pueden ser gestionadas a través de diferenciación, estandarización, innovación y construcción de marca. Este diagnóstico constituye un insumo fundamental para el análisis FODA y para la definición de las estrategias competitivas que se desarrollan en los apartados siguientes.</w:t>
      </w:r>
    </w:p>
    <w:p w14:paraId="38442CF1" w14:textId="02EC8DF0" w:rsidR="00E42B67" w:rsidRPr="003B6453" w:rsidRDefault="0036235E" w:rsidP="003B6453">
      <w:pPr>
        <w:pStyle w:val="Ttulo2"/>
        <w:spacing w:line="360" w:lineRule="auto"/>
        <w:jc w:val="both"/>
        <w:rPr>
          <w:rFonts w:ascii="Times New Roman" w:hAnsi="Times New Roman" w:cs="Times New Roman"/>
          <w:sz w:val="24"/>
          <w:szCs w:val="24"/>
          <w:lang w:val="es-AR"/>
        </w:rPr>
      </w:pPr>
      <w:bookmarkStart w:id="14" w:name="_Toc228546581"/>
      <w:r w:rsidRPr="003B6453">
        <w:rPr>
          <w:rFonts w:ascii="Times New Roman" w:hAnsi="Times New Roman" w:cs="Times New Roman"/>
          <w:sz w:val="24"/>
          <w:szCs w:val="24"/>
          <w:lang w:val="es-AR"/>
        </w:rPr>
        <w:t>2.5 Análisis FODA</w:t>
      </w:r>
      <w:bookmarkEnd w:id="14"/>
      <w:r w:rsidR="00E42B67" w:rsidRPr="003B6453">
        <w:rPr>
          <w:rFonts w:ascii="Times New Roman" w:hAnsi="Times New Roman" w:cs="Times New Roman"/>
          <w:sz w:val="24"/>
          <w:szCs w:val="24"/>
          <w:lang w:val="es-AR"/>
        </w:rPr>
        <w:t xml:space="preserve"> </w:t>
      </w:r>
    </w:p>
    <w:p w14:paraId="7010B246" w14:textId="77777777" w:rsidR="00A06382" w:rsidRPr="003B6453" w:rsidRDefault="0085067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FODA (también denominado SWOT en su versión en inglés) constituye una de las herramientas clásicas y más difundidas del diagnóstico estratégico, utilizada para identificar de manera sistemática las Fortalezas y Debilidades internas de una organización, así como las Oportunidades y Amenazas provenientes del entorno en el que desarrolla su actividad (Humphrey, 1968). A pesar de su aparente simplicidad, el FODA continúa siendo un instrumento de gran valor analítico, en tanto permite sintetizar en una matriz integrada los principales factores que condicionan la viabilidad de un proyecto y facilita la formulación de estrategias coherentes a partir de la interacción entre variables internas y externas (Hill &amp; </w:t>
      </w:r>
      <w:proofErr w:type="spellStart"/>
      <w:r w:rsidRPr="003B6453">
        <w:rPr>
          <w:rFonts w:ascii="Times New Roman" w:hAnsi="Times New Roman" w:cs="Times New Roman"/>
          <w:sz w:val="24"/>
          <w:szCs w:val="24"/>
          <w:lang w:val="es-AR"/>
        </w:rPr>
        <w:t>Westbrook</w:t>
      </w:r>
      <w:proofErr w:type="spellEnd"/>
      <w:r w:rsidRPr="003B6453">
        <w:rPr>
          <w:rFonts w:ascii="Times New Roman" w:hAnsi="Times New Roman" w:cs="Times New Roman"/>
          <w:sz w:val="24"/>
          <w:szCs w:val="24"/>
          <w:lang w:val="es-AR"/>
        </w:rPr>
        <w:t>, 1997).</w:t>
      </w:r>
    </w:p>
    <w:p w14:paraId="386CF81C" w14:textId="6AC7C8DE" w:rsidR="0085067D" w:rsidRPr="003B6453" w:rsidRDefault="0085067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perspectiva estratégica, el valor del FODA no reside únicamente en la enumeración de factores positivos y negativos, sino en su capacidad para integrar diagnósticos previos y traducirlos en lineamientos de acción. En este sentido, el FODA funciona como una herramienta de síntesis que conecta el análisis del entorno macroeconómico y sociopolítico, la estructura competitiva del sector, la lógica interna del modelo de negocio y las capacidades organizacionales disponibles. Su correcta aplicación permite pasar de un diagnóstico descriptivo a una reflexión estratégica orientada a la toma de decisiones.</w:t>
      </w:r>
    </w:p>
    <w:p w14:paraId="4777200A" w14:textId="77777777" w:rsidR="0085067D" w:rsidRPr="003B6453" w:rsidRDefault="0085067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caso de la franquicia de medialunas gourmet analizada en este trabajo, el análisis FODA permite articular los hallazgos obtenidos en los apartados anteriores —particularmente el análisis PESTEL, el 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la Cadena de Valor y el modelo de las Cinco Fuerzas de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y proyectar lineamientos estratégicos para el diseño, la implementación y la expansión del modelo de negocio en el contexto regional del Alto Valle. De este modo, el FODA no se presenta como una herramienta aislada, sino como un marco integrador que condensa la información relevante desarrollada a lo largo del capítulo.</w:t>
      </w:r>
    </w:p>
    <w:p w14:paraId="734FACE9" w14:textId="0D71E67C" w:rsidR="0085067D" w:rsidRPr="003B6453" w:rsidRDefault="0085067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Las fortalezas y debilidades identificadas remiten a factores internos vinculados al know-how del negocio, la propuesta de valor gourmet, la estandarización de procesos, la capacidad de gestión y los recursos disponibles. Estas variables internas determinan en qué medida la franquicia se encuentra preparada para competir, diferenciarse y escalar su operación de manera eficiente. Por su parte, las oportunidades y amenazas reflejan las condiciones del entorno regional y nacional, incluyendo tendencias de consumo, dinámica competitiva, contexto macroeconómico, condiciones laborales y factores regulatorios, que pueden favorecer o limitar el desarrollo del proyecto.</w:t>
      </w:r>
    </w:p>
    <w:p w14:paraId="44F8B148" w14:textId="65A3E402" w:rsidR="0085067D" w:rsidRPr="003B6453" w:rsidRDefault="0085067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mercados regionales como el Alto Valle, caracterizados por una combinación de oportunidades de crecimiento y restricciones estructurales, el análisis FODA adquiere una relevancia particular. La coexistencia de una demanda creciente por propuestas gastronómicas diferenciadas y de desafíos vinculados a la competencia laboral del sector petrolero, los costos logísticos y la volatilidad económica obliga a diseñar estrategias que aprovechen las fortalezas internas del modelo y, al mismo tiempo, mitiguen los riesgos del entorno. En este contexto, el FODA permite visualizar con claridad las tensiones estratégicas que enfrenta la franquicia y orientar la definición de prioridades.</w:t>
      </w:r>
    </w:p>
    <w:p w14:paraId="12CB944E" w14:textId="436FF4E4" w:rsidR="00A20BF3" w:rsidRPr="003B6453" w:rsidRDefault="0085067D"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síntesis, el análisis FODA constituye una herramienta clave para evaluar la factibilidad estratégica de la franquicia de medialunas gourmet y para establecer un puente entre el diagnóstico del entorno y la formulación de estrategias concretas. Su aplicación en este trabajo permite integrar los distintos enfoques analíticos desarrollados previamente y sienta las bases para la identificación de estrategias defensivas, ofensivas, adaptativas y de supervivencia, que serán consideradas en el diseño del modelo de negocio y en las decisiones de expansión futura.</w:t>
      </w:r>
    </w:p>
    <w:p w14:paraId="4D100336" w14:textId="77777777" w:rsidR="00FD2120" w:rsidRPr="003B6453" w:rsidRDefault="00FD2120" w:rsidP="003B6453">
      <w:pPr>
        <w:spacing w:line="360" w:lineRule="auto"/>
        <w:jc w:val="both"/>
        <w:rPr>
          <w:rFonts w:ascii="Times New Roman" w:hAnsi="Times New Roman" w:cs="Times New Roman"/>
          <w:sz w:val="24"/>
          <w:szCs w:val="24"/>
          <w:lang w:val="es-AR"/>
        </w:rPr>
      </w:pPr>
    </w:p>
    <w:p w14:paraId="270533F4" w14:textId="3C1380B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 xml:space="preserve">Tabla </w:t>
      </w:r>
      <w:r w:rsidR="003A2836" w:rsidRPr="003B6453">
        <w:rPr>
          <w:rFonts w:ascii="Times New Roman" w:hAnsi="Times New Roman" w:cs="Times New Roman"/>
          <w:b/>
          <w:bCs/>
          <w:sz w:val="24"/>
          <w:szCs w:val="24"/>
          <w:lang w:val="es-AR"/>
        </w:rPr>
        <w:t>10</w:t>
      </w:r>
      <w:r w:rsidRPr="003B6453">
        <w:rPr>
          <w:rFonts w:ascii="Times New Roman" w:hAnsi="Times New Roman" w:cs="Times New Roman"/>
          <w:b/>
          <w:bCs/>
          <w:sz w:val="24"/>
          <w:szCs w:val="24"/>
          <w:lang w:val="es-AR"/>
        </w:rPr>
        <w:t>. Análisis FODA de la franquicia de medialunas gourmet en el Alto Valle</w:t>
      </w:r>
    </w:p>
    <w:tbl>
      <w:tblPr>
        <w:tblStyle w:val="GridTable5DarkAccent5"/>
        <w:tblW w:w="0" w:type="auto"/>
        <w:tblLook w:val="04A0" w:firstRow="1" w:lastRow="0" w:firstColumn="1" w:lastColumn="0" w:noHBand="0" w:noVBand="1"/>
      </w:tblPr>
      <w:tblGrid>
        <w:gridCol w:w="4565"/>
        <w:gridCol w:w="4489"/>
      </w:tblGrid>
      <w:tr w:rsidR="00A20BF3" w:rsidRPr="003B6453" w14:paraId="471C4383" w14:textId="77777777" w:rsidTr="00702D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DA6D349" w14:textId="77777777" w:rsidR="00A20BF3" w:rsidRPr="003B6453" w:rsidRDefault="00A20BF3" w:rsidP="003B6453">
            <w:pPr>
              <w:spacing w:line="360" w:lineRule="auto"/>
              <w:jc w:val="both"/>
              <w:rPr>
                <w:rFonts w:ascii="Times New Roman" w:hAnsi="Times New Roman" w:cs="Times New Roman"/>
                <w:color w:val="auto"/>
                <w:sz w:val="24"/>
                <w:szCs w:val="24"/>
              </w:rPr>
            </w:pPr>
            <w:proofErr w:type="spellStart"/>
            <w:r w:rsidRPr="003B6453">
              <w:rPr>
                <w:rFonts w:ascii="Times New Roman" w:hAnsi="Times New Roman" w:cs="Times New Roman"/>
                <w:color w:val="auto"/>
                <w:sz w:val="24"/>
                <w:szCs w:val="24"/>
              </w:rPr>
              <w:t>Fortalezas</w:t>
            </w:r>
            <w:proofErr w:type="spellEnd"/>
          </w:p>
        </w:tc>
        <w:tc>
          <w:tcPr>
            <w:tcW w:w="0" w:type="auto"/>
            <w:shd w:val="clear" w:color="auto" w:fill="auto"/>
            <w:hideMark/>
          </w:tcPr>
          <w:p w14:paraId="54046179" w14:textId="77777777" w:rsidR="00A20BF3" w:rsidRPr="003B6453" w:rsidRDefault="00A20BF3"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3B6453">
              <w:rPr>
                <w:rFonts w:ascii="Times New Roman" w:hAnsi="Times New Roman" w:cs="Times New Roman"/>
                <w:color w:val="auto"/>
                <w:sz w:val="24"/>
                <w:szCs w:val="24"/>
              </w:rPr>
              <w:t>Debilidades</w:t>
            </w:r>
            <w:proofErr w:type="spellEnd"/>
          </w:p>
        </w:tc>
      </w:tr>
      <w:tr w:rsidR="00A20BF3" w:rsidRPr="003B6453" w14:paraId="7DDE8494" w14:textId="77777777" w:rsidTr="003A28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56C94A"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Producto diferenciado con valor gourmet y artesanal.</w:t>
            </w:r>
          </w:p>
        </w:tc>
        <w:tc>
          <w:tcPr>
            <w:tcW w:w="0" w:type="auto"/>
            <w:hideMark/>
          </w:tcPr>
          <w:p w14:paraId="7674E768"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 Dependencia de insumos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que pueden encarecer costos.</w:t>
            </w:r>
          </w:p>
        </w:tc>
      </w:tr>
      <w:tr w:rsidR="00A20BF3" w:rsidRPr="003B6453" w14:paraId="4C96F404" w14:textId="77777777" w:rsidTr="003A2836">
        <w:tc>
          <w:tcPr>
            <w:cnfStyle w:val="001000000000" w:firstRow="0" w:lastRow="0" w:firstColumn="1" w:lastColumn="0" w:oddVBand="0" w:evenVBand="0" w:oddHBand="0" w:evenHBand="0" w:firstRowFirstColumn="0" w:firstRowLastColumn="0" w:lastRowFirstColumn="0" w:lastRowLastColumn="0"/>
            <w:tcW w:w="0" w:type="auto"/>
            <w:hideMark/>
          </w:tcPr>
          <w:p w14:paraId="5C910F16"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 Estandarización de procesos y manuales </w:t>
            </w:r>
            <w:r w:rsidRPr="003B6453">
              <w:rPr>
                <w:rFonts w:ascii="Times New Roman" w:hAnsi="Times New Roman" w:cs="Times New Roman"/>
                <w:sz w:val="24"/>
                <w:szCs w:val="24"/>
                <w:lang w:val="es-AR"/>
              </w:rPr>
              <w:lastRenderedPageBreak/>
              <w:t>de operación.</w:t>
            </w:r>
          </w:p>
        </w:tc>
        <w:tc>
          <w:tcPr>
            <w:tcW w:w="0" w:type="auto"/>
            <w:hideMark/>
          </w:tcPr>
          <w:p w14:paraId="43FC996E"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 Necesidad de capacitación intensiva del </w:t>
            </w:r>
            <w:r w:rsidRPr="003B6453">
              <w:rPr>
                <w:rFonts w:ascii="Times New Roman" w:hAnsi="Times New Roman" w:cs="Times New Roman"/>
                <w:sz w:val="24"/>
                <w:szCs w:val="24"/>
                <w:lang w:val="es-AR"/>
              </w:rPr>
              <w:lastRenderedPageBreak/>
              <w:t>personal por falta de experiencia en gastronomía local.</w:t>
            </w:r>
          </w:p>
        </w:tc>
      </w:tr>
      <w:tr w:rsidR="00A20BF3" w:rsidRPr="003B6453" w14:paraId="7531828B" w14:textId="77777777" w:rsidTr="003A28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1C1C3D"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Identidad de marca asociada a calidad, estética y experiencia.</w:t>
            </w:r>
          </w:p>
        </w:tc>
        <w:tc>
          <w:tcPr>
            <w:tcW w:w="0" w:type="auto"/>
            <w:hideMark/>
          </w:tcPr>
          <w:p w14:paraId="0F742163"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Escasa trayectoria previa de la marca frente a competidores instalados.</w:t>
            </w:r>
          </w:p>
        </w:tc>
      </w:tr>
      <w:tr w:rsidR="00A20BF3" w:rsidRPr="003B6453" w14:paraId="40D59901" w14:textId="77777777" w:rsidTr="003A2836">
        <w:tc>
          <w:tcPr>
            <w:cnfStyle w:val="001000000000" w:firstRow="0" w:lastRow="0" w:firstColumn="1" w:lastColumn="0" w:oddVBand="0" w:evenVBand="0" w:oddHBand="0" w:evenHBand="0" w:firstRowFirstColumn="0" w:firstRowLastColumn="0" w:lastRowFirstColumn="0" w:lastRowLastColumn="0"/>
            <w:tcW w:w="0" w:type="auto"/>
            <w:hideMark/>
          </w:tcPr>
          <w:p w14:paraId="0769F574"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Posibilidad de escalar mediante el modelo de franquicia.</w:t>
            </w:r>
          </w:p>
        </w:tc>
        <w:tc>
          <w:tcPr>
            <w:tcW w:w="0" w:type="auto"/>
            <w:hideMark/>
          </w:tcPr>
          <w:p w14:paraId="06FA0670"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Alta sensibilidad a variaciones en la demanda por temporalidad del consumo.</w:t>
            </w:r>
          </w:p>
        </w:tc>
      </w:tr>
      <w:tr w:rsidR="00A20BF3" w:rsidRPr="003B6453" w14:paraId="4CA49FFD" w14:textId="77777777" w:rsidTr="00702D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D5B9C8B" w14:textId="77777777" w:rsidR="00A20BF3" w:rsidRPr="003B6453" w:rsidRDefault="00A20BF3" w:rsidP="003B6453">
            <w:pPr>
              <w:spacing w:line="360" w:lineRule="auto"/>
              <w:jc w:val="both"/>
              <w:rPr>
                <w:rFonts w:ascii="Times New Roman" w:hAnsi="Times New Roman" w:cs="Times New Roman"/>
                <w:b w:val="0"/>
                <w:bCs w:val="0"/>
                <w:color w:val="auto"/>
                <w:sz w:val="24"/>
                <w:szCs w:val="24"/>
              </w:rPr>
            </w:pPr>
            <w:proofErr w:type="spellStart"/>
            <w:r w:rsidRPr="003B6453">
              <w:rPr>
                <w:rFonts w:ascii="Times New Roman" w:hAnsi="Times New Roman" w:cs="Times New Roman"/>
                <w:color w:val="auto"/>
                <w:sz w:val="24"/>
                <w:szCs w:val="24"/>
              </w:rPr>
              <w:t>Oportunidades</w:t>
            </w:r>
            <w:proofErr w:type="spellEnd"/>
          </w:p>
        </w:tc>
        <w:tc>
          <w:tcPr>
            <w:tcW w:w="0" w:type="auto"/>
            <w:shd w:val="clear" w:color="auto" w:fill="auto"/>
            <w:hideMark/>
          </w:tcPr>
          <w:p w14:paraId="1E9170E4"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3B6453">
              <w:rPr>
                <w:rFonts w:ascii="Times New Roman" w:hAnsi="Times New Roman" w:cs="Times New Roman"/>
                <w:b/>
                <w:bCs/>
                <w:sz w:val="24"/>
                <w:szCs w:val="24"/>
              </w:rPr>
              <w:t>Amenazas</w:t>
            </w:r>
            <w:proofErr w:type="spellEnd"/>
          </w:p>
        </w:tc>
      </w:tr>
      <w:tr w:rsidR="00A20BF3" w:rsidRPr="003B6453" w14:paraId="6134E2FA" w14:textId="77777777" w:rsidTr="003A2836">
        <w:tc>
          <w:tcPr>
            <w:cnfStyle w:val="001000000000" w:firstRow="0" w:lastRow="0" w:firstColumn="1" w:lastColumn="0" w:oddVBand="0" w:evenVBand="0" w:oddHBand="0" w:evenHBand="0" w:firstRowFirstColumn="0" w:firstRowLastColumn="0" w:lastRowFirstColumn="0" w:lastRowLastColumn="0"/>
            <w:tcW w:w="0" w:type="auto"/>
            <w:hideMark/>
          </w:tcPr>
          <w:p w14:paraId="629A797C"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Creciente demanda de productos gourmet en segmentos jóvenes y de ingresos medios-altos.</w:t>
            </w:r>
          </w:p>
        </w:tc>
        <w:tc>
          <w:tcPr>
            <w:tcW w:w="0" w:type="auto"/>
            <w:hideMark/>
          </w:tcPr>
          <w:p w14:paraId="5B337C50"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Inflación crónica y volatilidad macroeconómica que afecta previsibilidad financiera.</w:t>
            </w:r>
          </w:p>
        </w:tc>
      </w:tr>
      <w:tr w:rsidR="00A20BF3" w:rsidRPr="003B6453" w14:paraId="692B7250" w14:textId="77777777" w:rsidTr="003A28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F46976"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 Expansión de canales digitales y </w:t>
            </w:r>
            <w:proofErr w:type="spellStart"/>
            <w:r w:rsidRPr="003B6453">
              <w:rPr>
                <w:rFonts w:ascii="Times New Roman" w:hAnsi="Times New Roman" w:cs="Times New Roman"/>
                <w:sz w:val="24"/>
                <w:szCs w:val="24"/>
                <w:lang w:val="es-AR"/>
              </w:rPr>
              <w:t>apps</w:t>
            </w:r>
            <w:proofErr w:type="spellEnd"/>
            <w:r w:rsidRPr="003B6453">
              <w:rPr>
                <w:rFonts w:ascii="Times New Roman" w:hAnsi="Times New Roman" w:cs="Times New Roman"/>
                <w:sz w:val="24"/>
                <w:szCs w:val="24"/>
                <w:lang w:val="es-AR"/>
              </w:rPr>
              <w:t xml:space="preserve">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como complemento de venta.</w:t>
            </w:r>
          </w:p>
        </w:tc>
        <w:tc>
          <w:tcPr>
            <w:tcW w:w="0" w:type="auto"/>
            <w:hideMark/>
          </w:tcPr>
          <w:p w14:paraId="6F7EA922"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Competencia del sector petrolero en el mercado laboral que eleva salarios.</w:t>
            </w:r>
          </w:p>
        </w:tc>
      </w:tr>
      <w:tr w:rsidR="00A20BF3" w:rsidRPr="003B6453" w14:paraId="01B70ADA" w14:textId="77777777" w:rsidTr="003A2836">
        <w:tc>
          <w:tcPr>
            <w:cnfStyle w:val="001000000000" w:firstRow="0" w:lastRow="0" w:firstColumn="1" w:lastColumn="0" w:oddVBand="0" w:evenVBand="0" w:oddHBand="0" w:evenHBand="0" w:firstRowFirstColumn="0" w:firstRowLastColumn="0" w:lastRowFirstColumn="0" w:lastRowLastColumn="0"/>
            <w:tcW w:w="0" w:type="auto"/>
            <w:hideMark/>
          </w:tcPr>
          <w:p w14:paraId="42CD55BB"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 Crecimiento urbano en Neuquén y </w:t>
            </w:r>
            <w:proofErr w:type="spellStart"/>
            <w:r w:rsidRPr="003B6453">
              <w:rPr>
                <w:rFonts w:ascii="Times New Roman" w:hAnsi="Times New Roman" w:cs="Times New Roman"/>
                <w:sz w:val="24"/>
                <w:szCs w:val="24"/>
                <w:lang w:val="es-AR"/>
              </w:rPr>
              <w:t>Cipolletti</w:t>
            </w:r>
            <w:proofErr w:type="spellEnd"/>
            <w:r w:rsidRPr="003B6453">
              <w:rPr>
                <w:rFonts w:ascii="Times New Roman" w:hAnsi="Times New Roman" w:cs="Times New Roman"/>
                <w:sz w:val="24"/>
                <w:szCs w:val="24"/>
                <w:lang w:val="es-AR"/>
              </w:rPr>
              <w:t xml:space="preserve"> con corredores gastronómicos en expansión.</w:t>
            </w:r>
          </w:p>
        </w:tc>
        <w:tc>
          <w:tcPr>
            <w:tcW w:w="0" w:type="auto"/>
            <w:hideMark/>
          </w:tcPr>
          <w:p w14:paraId="5A5ECBA3" w14:textId="77777777" w:rsidR="00A20BF3" w:rsidRPr="003B6453" w:rsidRDefault="00A20BF3"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 Abundancia de sustitutos en el sector gastronómico (panaderías, cafés, </w:t>
            </w:r>
            <w:proofErr w:type="spellStart"/>
            <w:r w:rsidRPr="003B6453">
              <w:rPr>
                <w:rFonts w:ascii="Times New Roman" w:hAnsi="Times New Roman" w:cs="Times New Roman"/>
                <w:sz w:val="24"/>
                <w:szCs w:val="24"/>
                <w:lang w:val="es-AR"/>
              </w:rPr>
              <w:t>snacks</w:t>
            </w:r>
            <w:proofErr w:type="spellEnd"/>
            <w:r w:rsidRPr="003B6453">
              <w:rPr>
                <w:rFonts w:ascii="Times New Roman" w:hAnsi="Times New Roman" w:cs="Times New Roman"/>
                <w:sz w:val="24"/>
                <w:szCs w:val="24"/>
                <w:lang w:val="es-AR"/>
              </w:rPr>
              <w:t xml:space="preserve"> saludables).</w:t>
            </w:r>
          </w:p>
        </w:tc>
      </w:tr>
      <w:tr w:rsidR="00A20BF3" w:rsidRPr="003B6453" w14:paraId="54196DDA" w14:textId="77777777" w:rsidTr="003A28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28107B"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Potencial de alianzas con proveedores y productores regionales.</w:t>
            </w:r>
          </w:p>
        </w:tc>
        <w:tc>
          <w:tcPr>
            <w:tcW w:w="0" w:type="auto"/>
            <w:hideMark/>
          </w:tcPr>
          <w:p w14:paraId="2A0D1CDF" w14:textId="77777777" w:rsidR="00A20BF3" w:rsidRPr="003B6453" w:rsidRDefault="00A20BF3"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Cambios regulatorios y normativos municipales que pueden generar trabas operativas.</w:t>
            </w:r>
          </w:p>
        </w:tc>
      </w:tr>
    </w:tbl>
    <w:p w14:paraId="6E98320A" w14:textId="77777777" w:rsidR="00A20BF3" w:rsidRPr="003B6453" w:rsidRDefault="00A20BF3"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Humphrey (1968); Hill &amp; </w:t>
      </w:r>
      <w:proofErr w:type="spellStart"/>
      <w:r w:rsidRPr="003B6453">
        <w:rPr>
          <w:rFonts w:ascii="Times New Roman" w:hAnsi="Times New Roman" w:cs="Times New Roman"/>
          <w:sz w:val="24"/>
          <w:szCs w:val="24"/>
          <w:lang w:val="es-AR"/>
        </w:rPr>
        <w:t>Westbrook</w:t>
      </w:r>
      <w:proofErr w:type="spellEnd"/>
      <w:r w:rsidRPr="003B6453">
        <w:rPr>
          <w:rFonts w:ascii="Times New Roman" w:hAnsi="Times New Roman" w:cs="Times New Roman"/>
          <w:sz w:val="24"/>
          <w:szCs w:val="24"/>
          <w:lang w:val="es-AR"/>
        </w:rPr>
        <w:t xml:space="preserve"> (1997).</w:t>
      </w:r>
    </w:p>
    <w:p w14:paraId="7C4ADB28" w14:textId="77777777" w:rsidR="00702D4F"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FODA presentado en la Tabla </w:t>
      </w:r>
      <w:r w:rsidR="003A2836" w:rsidRPr="003B6453">
        <w:rPr>
          <w:rFonts w:ascii="Times New Roman" w:hAnsi="Times New Roman" w:cs="Times New Roman"/>
          <w:sz w:val="24"/>
          <w:szCs w:val="24"/>
          <w:lang w:val="es-AR"/>
        </w:rPr>
        <w:t>10</w:t>
      </w:r>
      <w:r w:rsidRPr="003B6453">
        <w:rPr>
          <w:rFonts w:ascii="Times New Roman" w:hAnsi="Times New Roman" w:cs="Times New Roman"/>
          <w:sz w:val="24"/>
          <w:szCs w:val="24"/>
          <w:lang w:val="es-AR"/>
        </w:rPr>
        <w:t xml:space="preserve"> permite sintetizar de manera estructurada los principales factores internos y externos que inciden en la factibilidad estratégica de la franquicia de medialunas gourmet en el Alto Valle. Más allá de la identificación aislada de fortalezas, debilidades, oportunidades y amenazas, el valor analítico de esta herramienta radica en su capacidad para poner en relación dichas variables y orientar la formulación de estrategias coherentes con el contexto regional y sectorial analizado en los apartados precedentes.</w:t>
      </w:r>
    </w:p>
    <w:p w14:paraId="1BE300C1" w14:textId="5EC67515"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Las fortalezas del proyecto se concentran principalmente en la diferenciación del producto y en la posibilidad de estandarizar procesos a través de manuales de operación. La propuesta de una medialuna gourmet artesanal, asociada a atributos de calidad sensorial, estética cuidada y experiencia de consumo, constituye un activo estratégico central que </w:t>
      </w:r>
      <w:r w:rsidRPr="003B6453">
        <w:rPr>
          <w:rFonts w:ascii="Times New Roman" w:hAnsi="Times New Roman" w:cs="Times New Roman"/>
          <w:sz w:val="24"/>
          <w:szCs w:val="24"/>
          <w:lang w:val="es-AR"/>
        </w:rPr>
        <w:lastRenderedPageBreak/>
        <w:t>permite distanciarse de la oferta tradicional del sector. Asimismo, la estandarización operativa resulta clave para preservar la identidad de marca y garantizar homogeneidad en la experiencia del cliente, especialmente en un modelo de franquicia orientado a la expansión territorial. Estas fortalezas se ven reforzadas por la construcción de una identidad de marca coherente, capaz de generar reconocimiento y confianza en el consumidor.</w:t>
      </w:r>
    </w:p>
    <w:p w14:paraId="246D4624" w14:textId="726513D4"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Desde una perspectiva estratégica, estas fortalezas deben ser apalancadas para capitalizar las oportunidades que ofrece el entorno. En particular, la creciente demanda de productos gourmet por parte de segmentos jóvenes y de ingresos medios-altos, junto con la expansión de los canales digitales y de las aplicaciones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configura un escenario favorable para propuestas diferenciadas. La estrategia del proyecto debería orientarse a consolidar el posicionamiento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de la marca, aprovechar la digitalización como canal de captación y fidelización de clientes, y vincular la propuesta de valor con los nuevos hábitos de consumo urbanos del Alto Valle.</w:t>
      </w:r>
    </w:p>
    <w:p w14:paraId="0F288E80" w14:textId="77777777"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cuanto a las debilidades internas, se destacan la dependencia de insumos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y la necesidad de una capacitación intensiva del personal. La utilización de materias primas de mayor calidad implica una estructura de costos más exigente y una mayor exposición a variaciones de precios, especialmente en un contexto macroeconómico volátil. Asimismo, la escasez de personal gastronómico calificado en la región obliga a invertir en programas de formación estandarizada y en esquemas de incentivos que permitan reducir la rotación y asegurar la calidad del servicio. La escasa trayectoria previa de la marca frente a competidores ya instalados constituye otra debilidad relevante, que refuerza la necesidad de construir reputación y confianza de manera progresiva.</w:t>
      </w:r>
    </w:p>
    <w:p w14:paraId="7B16E0C6" w14:textId="77777777"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Las amenazas externas identificadas refuerzan la complejidad del contexto en el que se desarrollará la franquicia. La inflación crónica y la volatilidad macroeconómica afectan la previsibilidad financiera y obligan a incorporar márgenes de seguridad en las proyecciones económicas. La competencia del sector petrolero en el mercado laboral regional eleva los salarios y dificulta la retención de personal, mientras que la abundancia de productos sustitutos en el sector gastronómico intensifica la presión competitiva. A ello se suman posibles cambios regulatorios y normativos a nivel municipal, que pueden generar trabas operativas si no se gestionan de manera anticipada.</w:t>
      </w:r>
    </w:p>
    <w:p w14:paraId="75E677E3" w14:textId="77777777"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Frente a este escenario, el análisis FODA sugiere la necesidad de diseñar estrategias de mitigación y adaptación. La diversificación de proveedores, el establecimiento de alianzas con productores regionales, la implementación de políticas de precios flexibles y el uso de herramientas de análisis de sensibilidad financiera constituyen respuestas estratégicas frente a las amenazas macroeconómicas y logísticas. Del mismo modo, la innovación controlada en la oferta —mediante variantes de producto y ediciones limitadas— permite enfrentar la amenaza de sustitutos sin diluir la identidad gourmet de la marca.</w:t>
      </w:r>
    </w:p>
    <w:p w14:paraId="74A25FC8" w14:textId="2AB6AD1E" w:rsidR="00A20BF3"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síntesis, el análisis FODA evidencia que la viabilidad del proyecto depende de la capacidad de explotar las fortalezas internas —producto diferenciado, estandarización y marca— y de aprovechar las oportunidades del entorno, particularmente la demanda gourmet y la digitalización, al tiempo que se diseñan mecanismos robustos para gestionar debilidades y amenazas estructurales. La matriz FODA no debe interpretarse como un diagnóstico estático, sino como una herramienta dinámica que orienta la formulación de estrategias y decisiones clave. En este sentido, constituye un puente fundamental entre el análisis del entorno competitivo y la definición de las estrategias de posicionamiento y crecimiento que se desarrollan en los capítulos siguientes.</w:t>
      </w:r>
    </w:p>
    <w:p w14:paraId="289ACA10" w14:textId="77777777" w:rsidR="00410CDA" w:rsidRPr="003B6453" w:rsidRDefault="00410CDA" w:rsidP="003B6453">
      <w:pPr>
        <w:spacing w:line="360" w:lineRule="auto"/>
        <w:jc w:val="both"/>
        <w:rPr>
          <w:rFonts w:ascii="Times New Roman" w:hAnsi="Times New Roman" w:cs="Times New Roman"/>
          <w:b/>
          <w:bCs/>
          <w:sz w:val="24"/>
          <w:szCs w:val="24"/>
          <w:lang w:val="es-AR"/>
        </w:rPr>
      </w:pPr>
      <w:r w:rsidRPr="003B6453">
        <w:rPr>
          <w:rFonts w:ascii="Times New Roman" w:hAnsi="Times New Roman" w:cs="Times New Roman"/>
          <w:b/>
          <w:bCs/>
          <w:sz w:val="24"/>
          <w:szCs w:val="24"/>
          <w:lang w:val="es-AR"/>
        </w:rPr>
        <w:t>2.6 Tendencias digitales, temporalidad del consumo y benchmarking sectorial</w:t>
      </w:r>
    </w:p>
    <w:p w14:paraId="0E54FDE5" w14:textId="4C1C2682"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marketing contemporáneo ha evolucionado hacia un enfoque progresivamente centrado en el cliente, en el cual la digitalización se constituye como un factor transversal que atraviesa todas las industrias y redefine la forma en que las organizaciones crean, comunican y entregan valor.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Kartajaya</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Setiawan</w:t>
      </w:r>
      <w:proofErr w:type="spellEnd"/>
      <w:r w:rsidRPr="003B6453">
        <w:rPr>
          <w:rFonts w:ascii="Times New Roman" w:hAnsi="Times New Roman" w:cs="Times New Roman"/>
          <w:sz w:val="24"/>
          <w:szCs w:val="24"/>
          <w:lang w:val="es-AR"/>
        </w:rPr>
        <w:t xml:space="preserve"> (2017) señalan que el pasaje desde un marketing transaccional hacia un marketing relacional y, posteriormente, hacia un marketing digital y </w:t>
      </w:r>
      <w:proofErr w:type="spellStart"/>
      <w:r w:rsidRPr="003B6453">
        <w:rPr>
          <w:rFonts w:ascii="Times New Roman" w:hAnsi="Times New Roman" w:cs="Times New Roman"/>
          <w:sz w:val="24"/>
          <w:szCs w:val="24"/>
          <w:lang w:val="es-AR"/>
        </w:rPr>
        <w:t>omnicanal</w:t>
      </w:r>
      <w:proofErr w:type="spellEnd"/>
      <w:r w:rsidRPr="003B6453">
        <w:rPr>
          <w:rFonts w:ascii="Times New Roman" w:hAnsi="Times New Roman" w:cs="Times New Roman"/>
          <w:sz w:val="24"/>
          <w:szCs w:val="24"/>
          <w:lang w:val="es-AR"/>
        </w:rPr>
        <w:t xml:space="preserve"> implica un cambio profundo en la lógica de interacción con los consumidores. En este nuevo paradigma, las empresas ya no compiten únicamente por precio o producto, sino por la capacidad de ofrecer experiencias coherentes, relevantes y consistentes a lo largo de todos los puntos de contacto.</w:t>
      </w:r>
    </w:p>
    <w:p w14:paraId="58AE44BD" w14:textId="77777777" w:rsidR="005D5D3D"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sector gastronómico, esta transformación se manifiesta con particular claridad. La irrupción de plataformas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el uso intensivo de redes sociales y la implementación de programas de fidelización digital han modificado sustancialmente los hábitos de consumo y las expectativas de los clientes. El consumidor actual no solo espera calidad en </w:t>
      </w:r>
      <w:r w:rsidRPr="003B6453">
        <w:rPr>
          <w:rFonts w:ascii="Times New Roman" w:hAnsi="Times New Roman" w:cs="Times New Roman"/>
          <w:sz w:val="24"/>
          <w:szCs w:val="24"/>
          <w:lang w:val="es-AR"/>
        </w:rPr>
        <w:lastRenderedPageBreak/>
        <w:t>el producto, sino también facilidad de acceso, rapidez en el servicio, información clara y una experiencia de marca alineada entre el canal físico y el digital. En este sentido, la digitalización deja de ser un complemento operativo para convertirse en un componente estratégico del modelo de negocio.</w:t>
      </w:r>
    </w:p>
    <w:p w14:paraId="26EAA31D" w14:textId="308FE2E6"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contexto específico del Alto Valle, las tendencias digitales impactan de manera decisiva en el comportamiento del consumidor gastronómico. El uso de aplicaciones como </w:t>
      </w:r>
      <w:proofErr w:type="spellStart"/>
      <w:r w:rsidRPr="003B6453">
        <w:rPr>
          <w:rFonts w:ascii="Times New Roman" w:hAnsi="Times New Roman" w:cs="Times New Roman"/>
          <w:sz w:val="24"/>
          <w:szCs w:val="24"/>
          <w:lang w:val="es-AR"/>
        </w:rPr>
        <w:t>PedidosYa</w:t>
      </w:r>
      <w:proofErr w:type="spellEnd"/>
      <w:r w:rsidRPr="003B6453">
        <w:rPr>
          <w:rFonts w:ascii="Times New Roman" w:hAnsi="Times New Roman" w:cs="Times New Roman"/>
          <w:sz w:val="24"/>
          <w:szCs w:val="24"/>
          <w:lang w:val="es-AR"/>
        </w:rPr>
        <w:t xml:space="preserve"> o </w:t>
      </w:r>
      <w:proofErr w:type="spellStart"/>
      <w:r w:rsidRPr="003B6453">
        <w:rPr>
          <w:rFonts w:ascii="Times New Roman" w:hAnsi="Times New Roman" w:cs="Times New Roman"/>
          <w:sz w:val="24"/>
          <w:szCs w:val="24"/>
          <w:lang w:val="es-AR"/>
        </w:rPr>
        <w:t>Rappi</w:t>
      </w:r>
      <w:proofErr w:type="spellEnd"/>
      <w:r w:rsidRPr="003B6453">
        <w:rPr>
          <w:rFonts w:ascii="Times New Roman" w:hAnsi="Times New Roman" w:cs="Times New Roman"/>
          <w:sz w:val="24"/>
          <w:szCs w:val="24"/>
          <w:lang w:val="es-AR"/>
        </w:rPr>
        <w:t xml:space="preserve"> ha ampliado las alternativas de acceso a productos de panificación y pastelería, reduciendo la necesidad de desplazamiento físico y favoreciendo el consumo por conveniencia. Paralelamente, las redes sociales funcionan como espacios de construcción simbólica de la marca, donde los consumidores esperan contenidos visualmente atractivos, mensajes </w:t>
      </w:r>
      <w:proofErr w:type="spellStart"/>
      <w:r w:rsidRPr="003B6453">
        <w:rPr>
          <w:rFonts w:ascii="Times New Roman" w:hAnsi="Times New Roman" w:cs="Times New Roman"/>
          <w:sz w:val="24"/>
          <w:szCs w:val="24"/>
          <w:lang w:val="es-AR"/>
        </w:rPr>
        <w:t>aspiracionales</w:t>
      </w:r>
      <w:proofErr w:type="spellEnd"/>
      <w:r w:rsidRPr="003B6453">
        <w:rPr>
          <w:rFonts w:ascii="Times New Roman" w:hAnsi="Times New Roman" w:cs="Times New Roman"/>
          <w:sz w:val="24"/>
          <w:szCs w:val="24"/>
          <w:lang w:val="es-AR"/>
        </w:rPr>
        <w:t xml:space="preserve"> y coherencia estética con la propuesta de valor. Tal como se señala en el material de Introducción al Marketing, la comunicación digital se ha convertido en un componente central del marketing mix, con capacidad para reforzar el posicionamiento y generar diferenciación en mercados altamente competitivos.</w:t>
      </w:r>
    </w:p>
    <w:p w14:paraId="12804869" w14:textId="77777777"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digitalización también habilita un mayor grado de segmentación y personalización de la oferta. La literatura sobre segmentación y </w:t>
      </w:r>
      <w:proofErr w:type="spellStart"/>
      <w:r w:rsidRPr="003B6453">
        <w:rPr>
          <w:rFonts w:ascii="Times New Roman" w:hAnsi="Times New Roman" w:cs="Times New Roman"/>
          <w:sz w:val="24"/>
          <w:szCs w:val="24"/>
          <w:lang w:val="es-AR"/>
        </w:rPr>
        <w:t>targeting</w:t>
      </w:r>
      <w:proofErr w:type="spellEnd"/>
      <w:r w:rsidRPr="003B6453">
        <w:rPr>
          <w:rFonts w:ascii="Times New Roman" w:hAnsi="Times New Roman" w:cs="Times New Roman"/>
          <w:sz w:val="24"/>
          <w:szCs w:val="24"/>
          <w:lang w:val="es-AR"/>
        </w:rPr>
        <w:t xml:space="preserve"> destaca la importancia de combinar variables demográficas, </w:t>
      </w:r>
      <w:proofErr w:type="spellStart"/>
      <w:r w:rsidRPr="003B6453">
        <w:rPr>
          <w:rFonts w:ascii="Times New Roman" w:hAnsi="Times New Roman" w:cs="Times New Roman"/>
          <w:sz w:val="24"/>
          <w:szCs w:val="24"/>
          <w:lang w:val="es-AR"/>
        </w:rPr>
        <w:t>psicográficas</w:t>
      </w:r>
      <w:proofErr w:type="spellEnd"/>
      <w:r w:rsidRPr="003B6453">
        <w:rPr>
          <w:rFonts w:ascii="Times New Roman" w:hAnsi="Times New Roman" w:cs="Times New Roman"/>
          <w:sz w:val="24"/>
          <w:szCs w:val="24"/>
          <w:lang w:val="es-AR"/>
        </w:rPr>
        <w:t xml:space="preserve"> y conductuales para identificar segmentos de clientes relevantes y diseñar propuestas específicas para cada uno de ellos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 En el caso de la franquicia de medialunas gourmet, los consumidores urbano-profesionales del Alto Valle constituyen el segmento central, pero el entorno digital permite avanzar hacia </w:t>
      </w:r>
      <w:proofErr w:type="spellStart"/>
      <w:r w:rsidRPr="003B6453">
        <w:rPr>
          <w:rFonts w:ascii="Times New Roman" w:hAnsi="Times New Roman" w:cs="Times New Roman"/>
          <w:sz w:val="24"/>
          <w:szCs w:val="24"/>
          <w:lang w:val="es-AR"/>
        </w:rPr>
        <w:t>microsegmentaciones</w:t>
      </w:r>
      <w:proofErr w:type="spellEnd"/>
      <w:r w:rsidRPr="003B6453">
        <w:rPr>
          <w:rFonts w:ascii="Times New Roman" w:hAnsi="Times New Roman" w:cs="Times New Roman"/>
          <w:sz w:val="24"/>
          <w:szCs w:val="24"/>
          <w:lang w:val="es-AR"/>
        </w:rPr>
        <w:t xml:space="preserve"> más precisas, basadas en hábitos de consumo, momentos del día, nivel de ingreso y predisposición a pagar un sobreprecio por experiencias gourmet. Herramientas como la publicidad </w:t>
      </w:r>
      <w:proofErr w:type="spellStart"/>
      <w:r w:rsidRPr="003B6453">
        <w:rPr>
          <w:rFonts w:ascii="Times New Roman" w:hAnsi="Times New Roman" w:cs="Times New Roman"/>
          <w:sz w:val="24"/>
          <w:szCs w:val="24"/>
          <w:lang w:val="es-AR"/>
        </w:rPr>
        <w:t>geolocalizada</w:t>
      </w:r>
      <w:proofErr w:type="spellEnd"/>
      <w:r w:rsidRPr="003B6453">
        <w:rPr>
          <w:rFonts w:ascii="Times New Roman" w:hAnsi="Times New Roman" w:cs="Times New Roman"/>
          <w:sz w:val="24"/>
          <w:szCs w:val="24"/>
          <w:lang w:val="es-AR"/>
        </w:rPr>
        <w:t xml:space="preserve">, el </w:t>
      </w:r>
      <w:proofErr w:type="spellStart"/>
      <w:r w:rsidRPr="003B6453">
        <w:rPr>
          <w:rFonts w:ascii="Times New Roman" w:hAnsi="Times New Roman" w:cs="Times New Roman"/>
          <w:sz w:val="24"/>
          <w:szCs w:val="24"/>
          <w:lang w:val="es-AR"/>
        </w:rPr>
        <w:t>remarketing</w:t>
      </w:r>
      <w:proofErr w:type="spellEnd"/>
      <w:r w:rsidRPr="003B6453">
        <w:rPr>
          <w:rFonts w:ascii="Times New Roman" w:hAnsi="Times New Roman" w:cs="Times New Roman"/>
          <w:sz w:val="24"/>
          <w:szCs w:val="24"/>
          <w:lang w:val="es-AR"/>
        </w:rPr>
        <w:t xml:space="preserve"> y los programas de fidelización online permiten maximizar la efectividad de la comunicación y optimizar el retorno de las acciones promocionales.</w:t>
      </w:r>
    </w:p>
    <w:p w14:paraId="5AABCE0E" w14:textId="52A48263" w:rsidR="00410CD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relación con la temporalidad del consumo, la información recogida en la encuesta (Capítulo 4) confirma que el consumo de medialunas no se distribuye de manera homogénea a lo largo del día ni de la semana, sino que responde a patrones claramente identificables. Al igual que otros productos de panificación, las medialunas presentan picos de demanda en </w:t>
      </w:r>
      <w:proofErr w:type="gramStart"/>
      <w:r w:rsidRPr="003B6453">
        <w:rPr>
          <w:rFonts w:ascii="Times New Roman" w:hAnsi="Times New Roman" w:cs="Times New Roman"/>
          <w:sz w:val="24"/>
          <w:szCs w:val="24"/>
          <w:lang w:val="es-AR"/>
        </w:rPr>
        <w:t>las mañanas, asociados</w:t>
      </w:r>
      <w:proofErr w:type="gramEnd"/>
      <w:r w:rsidRPr="003B6453">
        <w:rPr>
          <w:rFonts w:ascii="Times New Roman" w:hAnsi="Times New Roman" w:cs="Times New Roman"/>
          <w:sz w:val="24"/>
          <w:szCs w:val="24"/>
          <w:lang w:val="es-AR"/>
        </w:rPr>
        <w:t xml:space="preserve"> a desayunos laborales o escolares, y en las tardes, </w:t>
      </w:r>
      <w:r w:rsidRPr="003B6453">
        <w:rPr>
          <w:rFonts w:ascii="Times New Roman" w:hAnsi="Times New Roman" w:cs="Times New Roman"/>
          <w:sz w:val="24"/>
          <w:szCs w:val="24"/>
          <w:lang w:val="es-AR"/>
        </w:rPr>
        <w:lastRenderedPageBreak/>
        <w:t>vinculados a la merienda familiar o social. Durante los fines de semana, la frecuencia de consumo se incrementa, especialmente en contextos de encuentros sociales. Este comportamiento coincide con lo señalado por los estudios de comportamiento del consumidor, que destacan la relevancia de los “momentos de consumo” como disparadores de la decisión de compra (</w:t>
      </w:r>
      <w:proofErr w:type="spellStart"/>
      <w:r w:rsidRPr="003B6453">
        <w:rPr>
          <w:rFonts w:ascii="Times New Roman" w:hAnsi="Times New Roman" w:cs="Times New Roman"/>
          <w:sz w:val="24"/>
          <w:szCs w:val="24"/>
          <w:lang w:val="es-AR"/>
        </w:rPr>
        <w:t>Schiffman</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Wisenblit</w:t>
      </w:r>
      <w:proofErr w:type="spellEnd"/>
      <w:r w:rsidRPr="003B6453">
        <w:rPr>
          <w:rFonts w:ascii="Times New Roman" w:hAnsi="Times New Roman" w:cs="Times New Roman"/>
          <w:sz w:val="24"/>
          <w:szCs w:val="24"/>
          <w:lang w:val="es-AR"/>
        </w:rPr>
        <w:t>, 2015).</w:t>
      </w:r>
    </w:p>
    <w:p w14:paraId="0C0CCDE0" w14:textId="77777777" w:rsidR="00410CDA" w:rsidRPr="003B6453" w:rsidRDefault="00410CD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Tabla 11. Temporalidad del consumo de medialunas en el Alto Valle</w:t>
      </w:r>
    </w:p>
    <w:tbl>
      <w:tblPr>
        <w:tblStyle w:val="GridTable5DarkAccent5"/>
        <w:tblW w:w="0" w:type="auto"/>
        <w:tblLook w:val="04A0" w:firstRow="1" w:lastRow="0" w:firstColumn="1" w:lastColumn="0" w:noHBand="0" w:noVBand="1"/>
      </w:tblPr>
      <w:tblGrid>
        <w:gridCol w:w="2014"/>
        <w:gridCol w:w="2015"/>
        <w:gridCol w:w="5025"/>
      </w:tblGrid>
      <w:tr w:rsidR="00410CDA" w:rsidRPr="003B6453" w14:paraId="1D33398B" w14:textId="77777777" w:rsidTr="005F5D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42B53B" w14:textId="77777777" w:rsidR="00410CDA" w:rsidRPr="003B6453" w:rsidRDefault="00410CDA"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Momento</w:t>
            </w:r>
            <w:proofErr w:type="spellEnd"/>
          </w:p>
        </w:tc>
        <w:tc>
          <w:tcPr>
            <w:tcW w:w="0" w:type="auto"/>
            <w:hideMark/>
          </w:tcPr>
          <w:p w14:paraId="342F94BE" w14:textId="77777777" w:rsidR="00410CDA" w:rsidRPr="003B6453" w:rsidRDefault="00410CD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Días</w:t>
            </w:r>
            <w:proofErr w:type="spellEnd"/>
            <w:r w:rsidRPr="003B6453">
              <w:rPr>
                <w:rFonts w:ascii="Times New Roman" w:hAnsi="Times New Roman" w:cs="Times New Roman"/>
                <w:b w:val="0"/>
                <w:bCs w:val="0"/>
                <w:sz w:val="24"/>
                <w:szCs w:val="24"/>
              </w:rPr>
              <w:t xml:space="preserve"> </w:t>
            </w:r>
            <w:proofErr w:type="spellStart"/>
            <w:r w:rsidRPr="003B6453">
              <w:rPr>
                <w:rFonts w:ascii="Times New Roman" w:hAnsi="Times New Roman" w:cs="Times New Roman"/>
                <w:b w:val="0"/>
                <w:bCs w:val="0"/>
                <w:sz w:val="24"/>
                <w:szCs w:val="24"/>
              </w:rPr>
              <w:t>predominantes</w:t>
            </w:r>
            <w:proofErr w:type="spellEnd"/>
          </w:p>
        </w:tc>
        <w:tc>
          <w:tcPr>
            <w:tcW w:w="0" w:type="auto"/>
            <w:hideMark/>
          </w:tcPr>
          <w:p w14:paraId="2069FD9D" w14:textId="77777777" w:rsidR="00410CDA" w:rsidRPr="003B6453" w:rsidRDefault="00410CD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Características</w:t>
            </w:r>
            <w:proofErr w:type="spellEnd"/>
          </w:p>
        </w:tc>
      </w:tr>
      <w:tr w:rsidR="00410CDA" w:rsidRPr="003B6453" w14:paraId="20F55822" w14:textId="77777777" w:rsidTr="005F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33443D"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Mañana</w:t>
            </w:r>
            <w:proofErr w:type="spellEnd"/>
            <w:r w:rsidRPr="003B6453">
              <w:rPr>
                <w:rFonts w:ascii="Times New Roman" w:hAnsi="Times New Roman" w:cs="Times New Roman"/>
                <w:sz w:val="24"/>
                <w:szCs w:val="24"/>
              </w:rPr>
              <w:t xml:space="preserve"> (7 a 11 </w:t>
            </w:r>
            <w:proofErr w:type="spellStart"/>
            <w:r w:rsidRPr="003B6453">
              <w:rPr>
                <w:rFonts w:ascii="Times New Roman" w:hAnsi="Times New Roman" w:cs="Times New Roman"/>
                <w:sz w:val="24"/>
                <w:szCs w:val="24"/>
              </w:rPr>
              <w:t>hs</w:t>
            </w:r>
            <w:proofErr w:type="spellEnd"/>
            <w:r w:rsidRPr="003B6453">
              <w:rPr>
                <w:rFonts w:ascii="Times New Roman" w:hAnsi="Times New Roman" w:cs="Times New Roman"/>
                <w:sz w:val="24"/>
                <w:szCs w:val="24"/>
              </w:rPr>
              <w:t>)</w:t>
            </w:r>
          </w:p>
        </w:tc>
        <w:tc>
          <w:tcPr>
            <w:tcW w:w="0" w:type="auto"/>
            <w:hideMark/>
          </w:tcPr>
          <w:p w14:paraId="36CDC196"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Lunes</w:t>
            </w:r>
            <w:proofErr w:type="spellEnd"/>
            <w:r w:rsidRPr="003B6453">
              <w:rPr>
                <w:rFonts w:ascii="Times New Roman" w:hAnsi="Times New Roman" w:cs="Times New Roman"/>
                <w:sz w:val="24"/>
                <w:szCs w:val="24"/>
              </w:rPr>
              <w:t xml:space="preserve"> a </w:t>
            </w:r>
            <w:proofErr w:type="spellStart"/>
            <w:r w:rsidRPr="003B6453">
              <w:rPr>
                <w:rFonts w:ascii="Times New Roman" w:hAnsi="Times New Roman" w:cs="Times New Roman"/>
                <w:sz w:val="24"/>
                <w:szCs w:val="24"/>
              </w:rPr>
              <w:t>viernes</w:t>
            </w:r>
            <w:proofErr w:type="spellEnd"/>
          </w:p>
        </w:tc>
        <w:tc>
          <w:tcPr>
            <w:tcW w:w="0" w:type="auto"/>
            <w:hideMark/>
          </w:tcPr>
          <w:p w14:paraId="0E8860C7"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Consumo individual en oficinas o cafeterías; acompañado de café.</w:t>
            </w:r>
          </w:p>
        </w:tc>
      </w:tr>
      <w:tr w:rsidR="00410CDA" w:rsidRPr="003B6453" w14:paraId="21686A3F" w14:textId="77777777" w:rsidTr="005F5DF9">
        <w:tc>
          <w:tcPr>
            <w:cnfStyle w:val="001000000000" w:firstRow="0" w:lastRow="0" w:firstColumn="1" w:lastColumn="0" w:oddVBand="0" w:evenVBand="0" w:oddHBand="0" w:evenHBand="0" w:firstRowFirstColumn="0" w:firstRowLastColumn="0" w:lastRowFirstColumn="0" w:lastRowLastColumn="0"/>
            <w:tcW w:w="0" w:type="auto"/>
            <w:hideMark/>
          </w:tcPr>
          <w:p w14:paraId="7F42DFC6"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Tarde</w:t>
            </w:r>
            <w:proofErr w:type="spellEnd"/>
            <w:r w:rsidRPr="003B6453">
              <w:rPr>
                <w:rFonts w:ascii="Times New Roman" w:hAnsi="Times New Roman" w:cs="Times New Roman"/>
                <w:sz w:val="24"/>
                <w:szCs w:val="24"/>
              </w:rPr>
              <w:t xml:space="preserve"> (16 a 19 </w:t>
            </w:r>
            <w:proofErr w:type="spellStart"/>
            <w:r w:rsidRPr="003B6453">
              <w:rPr>
                <w:rFonts w:ascii="Times New Roman" w:hAnsi="Times New Roman" w:cs="Times New Roman"/>
                <w:sz w:val="24"/>
                <w:szCs w:val="24"/>
              </w:rPr>
              <w:t>hs</w:t>
            </w:r>
            <w:proofErr w:type="spellEnd"/>
            <w:r w:rsidRPr="003B6453">
              <w:rPr>
                <w:rFonts w:ascii="Times New Roman" w:hAnsi="Times New Roman" w:cs="Times New Roman"/>
                <w:sz w:val="24"/>
                <w:szCs w:val="24"/>
              </w:rPr>
              <w:t>)</w:t>
            </w:r>
          </w:p>
        </w:tc>
        <w:tc>
          <w:tcPr>
            <w:tcW w:w="0" w:type="auto"/>
            <w:hideMark/>
          </w:tcPr>
          <w:p w14:paraId="438F9D73"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Sábados</w:t>
            </w:r>
            <w:proofErr w:type="spellEnd"/>
            <w:r w:rsidRPr="003B6453">
              <w:rPr>
                <w:rFonts w:ascii="Times New Roman" w:hAnsi="Times New Roman" w:cs="Times New Roman"/>
                <w:sz w:val="24"/>
                <w:szCs w:val="24"/>
              </w:rPr>
              <w:t xml:space="preserve"> y </w:t>
            </w:r>
            <w:proofErr w:type="spellStart"/>
            <w:r w:rsidRPr="003B6453">
              <w:rPr>
                <w:rFonts w:ascii="Times New Roman" w:hAnsi="Times New Roman" w:cs="Times New Roman"/>
                <w:sz w:val="24"/>
                <w:szCs w:val="24"/>
              </w:rPr>
              <w:t>domingos</w:t>
            </w:r>
            <w:proofErr w:type="spellEnd"/>
          </w:p>
        </w:tc>
        <w:tc>
          <w:tcPr>
            <w:tcW w:w="0" w:type="auto"/>
            <w:hideMark/>
          </w:tcPr>
          <w:p w14:paraId="77981B9E"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Meriendas familiares y sociales; alto ticket promedio.</w:t>
            </w:r>
          </w:p>
        </w:tc>
      </w:tr>
      <w:tr w:rsidR="00410CDA" w:rsidRPr="003B6453" w14:paraId="6FAE816C" w14:textId="77777777" w:rsidTr="005F5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C0B174"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Mediodía</w:t>
            </w:r>
            <w:proofErr w:type="spellEnd"/>
            <w:r w:rsidRPr="003B6453">
              <w:rPr>
                <w:rFonts w:ascii="Times New Roman" w:hAnsi="Times New Roman" w:cs="Times New Roman"/>
                <w:sz w:val="24"/>
                <w:szCs w:val="24"/>
              </w:rPr>
              <w:t xml:space="preserve"> (12 a 14 </w:t>
            </w:r>
            <w:proofErr w:type="spellStart"/>
            <w:r w:rsidRPr="003B6453">
              <w:rPr>
                <w:rFonts w:ascii="Times New Roman" w:hAnsi="Times New Roman" w:cs="Times New Roman"/>
                <w:sz w:val="24"/>
                <w:szCs w:val="24"/>
              </w:rPr>
              <w:t>hs</w:t>
            </w:r>
            <w:proofErr w:type="spellEnd"/>
            <w:r w:rsidRPr="003B6453">
              <w:rPr>
                <w:rFonts w:ascii="Times New Roman" w:hAnsi="Times New Roman" w:cs="Times New Roman"/>
                <w:sz w:val="24"/>
                <w:szCs w:val="24"/>
              </w:rPr>
              <w:t>)</w:t>
            </w:r>
          </w:p>
        </w:tc>
        <w:tc>
          <w:tcPr>
            <w:tcW w:w="0" w:type="auto"/>
            <w:hideMark/>
          </w:tcPr>
          <w:p w14:paraId="24647C52"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Lunes</w:t>
            </w:r>
            <w:proofErr w:type="spellEnd"/>
            <w:r w:rsidRPr="003B6453">
              <w:rPr>
                <w:rFonts w:ascii="Times New Roman" w:hAnsi="Times New Roman" w:cs="Times New Roman"/>
                <w:sz w:val="24"/>
                <w:szCs w:val="24"/>
              </w:rPr>
              <w:t xml:space="preserve"> a </w:t>
            </w:r>
            <w:proofErr w:type="spellStart"/>
            <w:r w:rsidRPr="003B6453">
              <w:rPr>
                <w:rFonts w:ascii="Times New Roman" w:hAnsi="Times New Roman" w:cs="Times New Roman"/>
                <w:sz w:val="24"/>
                <w:szCs w:val="24"/>
              </w:rPr>
              <w:t>viernes</w:t>
            </w:r>
            <w:proofErr w:type="spellEnd"/>
          </w:p>
        </w:tc>
        <w:tc>
          <w:tcPr>
            <w:tcW w:w="0" w:type="auto"/>
            <w:hideMark/>
          </w:tcPr>
          <w:p w14:paraId="3E020CB6"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Consumo ocasional como postre o </w:t>
            </w:r>
            <w:proofErr w:type="spellStart"/>
            <w:r w:rsidRPr="003B6453">
              <w:rPr>
                <w:rFonts w:ascii="Times New Roman" w:hAnsi="Times New Roman" w:cs="Times New Roman"/>
                <w:sz w:val="24"/>
                <w:szCs w:val="24"/>
                <w:lang w:val="es-AR"/>
              </w:rPr>
              <w:t>snack</w:t>
            </w:r>
            <w:proofErr w:type="spellEnd"/>
            <w:r w:rsidRPr="003B6453">
              <w:rPr>
                <w:rFonts w:ascii="Times New Roman" w:hAnsi="Times New Roman" w:cs="Times New Roman"/>
                <w:sz w:val="24"/>
                <w:szCs w:val="24"/>
                <w:lang w:val="es-AR"/>
              </w:rPr>
              <w:t xml:space="preserve"> complementario.</w:t>
            </w:r>
          </w:p>
        </w:tc>
      </w:tr>
      <w:tr w:rsidR="00410CDA" w:rsidRPr="003B6453" w14:paraId="44EAE88B" w14:textId="77777777" w:rsidTr="005F5DF9">
        <w:tc>
          <w:tcPr>
            <w:cnfStyle w:val="001000000000" w:firstRow="0" w:lastRow="0" w:firstColumn="1" w:lastColumn="0" w:oddVBand="0" w:evenVBand="0" w:oddHBand="0" w:evenHBand="0" w:firstRowFirstColumn="0" w:firstRowLastColumn="0" w:lastRowFirstColumn="0" w:lastRowLastColumn="0"/>
            <w:tcW w:w="0" w:type="auto"/>
            <w:hideMark/>
          </w:tcPr>
          <w:p w14:paraId="14A80E3D"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Noche</w:t>
            </w:r>
            <w:proofErr w:type="spellEnd"/>
          </w:p>
        </w:tc>
        <w:tc>
          <w:tcPr>
            <w:tcW w:w="0" w:type="auto"/>
            <w:hideMark/>
          </w:tcPr>
          <w:p w14:paraId="0E36F355"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Poco</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frecuente</w:t>
            </w:r>
            <w:proofErr w:type="spellEnd"/>
          </w:p>
        </w:tc>
        <w:tc>
          <w:tcPr>
            <w:tcW w:w="0" w:type="auto"/>
            <w:hideMark/>
          </w:tcPr>
          <w:p w14:paraId="6D21CE0E"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Consumo residual en reuniones sociales o servicios de catering.</w:t>
            </w:r>
          </w:p>
        </w:tc>
      </w:tr>
    </w:tbl>
    <w:p w14:paraId="02E80746" w14:textId="77777777" w:rsidR="00410CDA" w:rsidRPr="003B6453" w:rsidRDefault="00410CD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encuesta (Cap. 4) y </w:t>
      </w:r>
      <w:proofErr w:type="spellStart"/>
      <w:r w:rsidRPr="003B6453">
        <w:rPr>
          <w:rFonts w:ascii="Times New Roman" w:hAnsi="Times New Roman" w:cs="Times New Roman"/>
          <w:sz w:val="24"/>
          <w:szCs w:val="24"/>
          <w:lang w:val="es-AR"/>
        </w:rPr>
        <w:t>Schiffman</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Wisenblit</w:t>
      </w:r>
      <w:proofErr w:type="spellEnd"/>
      <w:r w:rsidRPr="003B6453">
        <w:rPr>
          <w:rFonts w:ascii="Times New Roman" w:hAnsi="Times New Roman" w:cs="Times New Roman"/>
          <w:sz w:val="24"/>
          <w:szCs w:val="24"/>
          <w:lang w:val="es-AR"/>
        </w:rPr>
        <w:t xml:space="preserve"> (2015).</w:t>
      </w:r>
    </w:p>
    <w:p w14:paraId="3D788DA6" w14:textId="72B17761" w:rsidR="0051770A" w:rsidRPr="003B6453" w:rsidRDefault="005F5DF9"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I</w:t>
      </w:r>
      <w:r w:rsidR="0051770A" w:rsidRPr="003B6453">
        <w:rPr>
          <w:rFonts w:ascii="Times New Roman" w:hAnsi="Times New Roman" w:cs="Times New Roman"/>
          <w:sz w:val="24"/>
          <w:szCs w:val="24"/>
          <w:lang w:val="es-AR"/>
        </w:rPr>
        <w:t>ncorporar esta dimensión temporal en la estrategia de la franquicia permite traducir los patrones de consumo en decisiones operativas y comerciales concretas. La planificación de la producción, la organización de turnos de personal y el diseño de promociones específicas pueden alinearse con las franjas horarias de mayor demanda, optimizando recursos y reduciendo desperdicios. Por ejemplo, los combos de desayuno temprano pueden orientarse al público laboral, mientras que las promociones familiares durante los fines de semana refuerzan el posicionamiento de la marca como una experiencia social y compartida.</w:t>
      </w:r>
    </w:p>
    <w:p w14:paraId="12919AE1" w14:textId="762BEC61"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tercer componente de este apartado es el benchmarking sectorial, entendido como el análisis comparativo con empresas relevantes del sector con el objetivo de identificar buenas prácticas, estándares de desempeño y oportunidades de diferenciación (Camp, 1989). En Argentina, el sector gastronómico presenta múltiples casos de franquicias exitosas que sirven como referencia para el diseño del modelo propuesto. Empresas como </w:t>
      </w:r>
      <w:proofErr w:type="spellStart"/>
      <w:r w:rsidRPr="003B6453">
        <w:rPr>
          <w:rFonts w:ascii="Times New Roman" w:hAnsi="Times New Roman" w:cs="Times New Roman"/>
          <w:sz w:val="24"/>
          <w:szCs w:val="24"/>
          <w:lang w:val="es-AR"/>
        </w:rPr>
        <w:lastRenderedPageBreak/>
        <w:t>Havanna</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Grido</w:t>
      </w:r>
      <w:proofErr w:type="spellEnd"/>
      <w:r w:rsidRPr="003B6453">
        <w:rPr>
          <w:rFonts w:ascii="Times New Roman" w:hAnsi="Times New Roman" w:cs="Times New Roman"/>
          <w:sz w:val="24"/>
          <w:szCs w:val="24"/>
          <w:lang w:val="es-AR"/>
        </w:rPr>
        <w:t>, Mostaza y Medialunas Calentitas ilustran distintas estrategias de crecimiento y posicionamiento dentro del sector.</w:t>
      </w:r>
    </w:p>
    <w:p w14:paraId="02B7A84C" w14:textId="77777777" w:rsidR="008071AD" w:rsidRPr="003B6453" w:rsidRDefault="0051770A" w:rsidP="003B6453">
      <w:pPr>
        <w:spacing w:line="360" w:lineRule="auto"/>
        <w:jc w:val="both"/>
        <w:rPr>
          <w:rFonts w:ascii="Times New Roman" w:hAnsi="Times New Roman" w:cs="Times New Roman"/>
          <w:sz w:val="24"/>
          <w:szCs w:val="24"/>
          <w:lang w:val="es-AR"/>
        </w:rPr>
      </w:pPr>
      <w:proofErr w:type="spellStart"/>
      <w:r w:rsidRPr="003B6453">
        <w:rPr>
          <w:rFonts w:ascii="Times New Roman" w:hAnsi="Times New Roman" w:cs="Times New Roman"/>
          <w:sz w:val="24"/>
          <w:szCs w:val="24"/>
          <w:lang w:val="es-AR"/>
        </w:rPr>
        <w:t>Havanna</w:t>
      </w:r>
      <w:proofErr w:type="spellEnd"/>
      <w:r w:rsidRPr="003B6453">
        <w:rPr>
          <w:rFonts w:ascii="Times New Roman" w:hAnsi="Times New Roman" w:cs="Times New Roman"/>
          <w:sz w:val="24"/>
          <w:szCs w:val="24"/>
          <w:lang w:val="es-AR"/>
        </w:rPr>
        <w:t xml:space="preserve"> se ha consolidado como un referente en el segmento de cafeterías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con un fuerte énfasis en </w:t>
      </w:r>
      <w:proofErr w:type="spellStart"/>
      <w:r w:rsidRPr="003B6453">
        <w:rPr>
          <w:rFonts w:ascii="Times New Roman" w:hAnsi="Times New Roman" w:cs="Times New Roman"/>
          <w:sz w:val="24"/>
          <w:szCs w:val="24"/>
          <w:lang w:val="es-AR"/>
        </w:rPr>
        <w:t>branding</w:t>
      </w:r>
      <w:proofErr w:type="spellEnd"/>
      <w:r w:rsidRPr="003B6453">
        <w:rPr>
          <w:rFonts w:ascii="Times New Roman" w:hAnsi="Times New Roman" w:cs="Times New Roman"/>
          <w:sz w:val="24"/>
          <w:szCs w:val="24"/>
          <w:lang w:val="es-AR"/>
        </w:rPr>
        <w:t xml:space="preserve">, diseño de locales y experiencia integral en el punto de venta. </w:t>
      </w:r>
      <w:proofErr w:type="spellStart"/>
      <w:r w:rsidRPr="003B6453">
        <w:rPr>
          <w:rFonts w:ascii="Times New Roman" w:hAnsi="Times New Roman" w:cs="Times New Roman"/>
          <w:sz w:val="24"/>
          <w:szCs w:val="24"/>
          <w:lang w:val="es-AR"/>
        </w:rPr>
        <w:t>Grido</w:t>
      </w:r>
      <w:proofErr w:type="spellEnd"/>
      <w:r w:rsidRPr="003B6453">
        <w:rPr>
          <w:rFonts w:ascii="Times New Roman" w:hAnsi="Times New Roman" w:cs="Times New Roman"/>
          <w:sz w:val="24"/>
          <w:szCs w:val="24"/>
          <w:lang w:val="es-AR"/>
        </w:rPr>
        <w:t xml:space="preserve">, por su parte, logró una expansión masiva a nivel nacional mediante un modelo de franquicia de bajo costo y alta penetración territorial, priorizando la accesibilidad y la estandarización. Mostaza se posicionó como una de las principales cadenas de </w:t>
      </w:r>
      <w:proofErr w:type="spellStart"/>
      <w:r w:rsidRPr="003B6453">
        <w:rPr>
          <w:rFonts w:ascii="Times New Roman" w:hAnsi="Times New Roman" w:cs="Times New Roman"/>
          <w:sz w:val="24"/>
          <w:szCs w:val="24"/>
          <w:lang w:val="es-AR"/>
        </w:rPr>
        <w:t>fast</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food</w:t>
      </w:r>
      <w:proofErr w:type="spellEnd"/>
      <w:r w:rsidRPr="003B6453">
        <w:rPr>
          <w:rFonts w:ascii="Times New Roman" w:hAnsi="Times New Roman" w:cs="Times New Roman"/>
          <w:sz w:val="24"/>
          <w:szCs w:val="24"/>
          <w:lang w:val="es-AR"/>
        </w:rPr>
        <w:t xml:space="preserve"> del país, combinando eficiencia operativa, economías de escala y una propuesta de precios competitivos. Medialunas Calentitas, aunque de menor escala, demuestra la viabilidad de construir una marca alrededor de un producto icónico, replicando el modelo en distintas ciudades del país y del exterior.</w:t>
      </w:r>
    </w:p>
    <w:p w14:paraId="6E2F92B0" w14:textId="5AC0187D"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comparativo de estos casos permite extraer aprendizajes relevantes para la franquicia de medialunas gourmet. En particular, se observa que el éxito de las franquicias gastronómicas no depende únicamente del producto, sino de la coherencia entre propuesta de valor, estandarización operativa, comunicación de marca y adaptación al contexto local. Para el Alto Valle, esto implica combinar buenas prácticas de </w:t>
      </w:r>
      <w:proofErr w:type="spellStart"/>
      <w:r w:rsidRPr="003B6453">
        <w:rPr>
          <w:rFonts w:ascii="Times New Roman" w:hAnsi="Times New Roman" w:cs="Times New Roman"/>
          <w:sz w:val="24"/>
          <w:szCs w:val="24"/>
          <w:lang w:val="es-AR"/>
        </w:rPr>
        <w:t>branding</w:t>
      </w:r>
      <w:proofErr w:type="spellEnd"/>
      <w:r w:rsidRPr="003B6453">
        <w:rPr>
          <w:rFonts w:ascii="Times New Roman" w:hAnsi="Times New Roman" w:cs="Times New Roman"/>
          <w:sz w:val="24"/>
          <w:szCs w:val="24"/>
          <w:lang w:val="es-AR"/>
        </w:rPr>
        <w:t xml:space="preserve"> y experiencia (como las de </w:t>
      </w:r>
      <w:proofErr w:type="spellStart"/>
      <w:r w:rsidRPr="003B6453">
        <w:rPr>
          <w:rFonts w:ascii="Times New Roman" w:hAnsi="Times New Roman" w:cs="Times New Roman"/>
          <w:sz w:val="24"/>
          <w:szCs w:val="24"/>
          <w:lang w:val="es-AR"/>
        </w:rPr>
        <w:t>Havanna</w:t>
      </w:r>
      <w:proofErr w:type="spellEnd"/>
      <w:r w:rsidRPr="003B6453">
        <w:rPr>
          <w:rFonts w:ascii="Times New Roman" w:hAnsi="Times New Roman" w:cs="Times New Roman"/>
          <w:sz w:val="24"/>
          <w:szCs w:val="24"/>
          <w:lang w:val="es-AR"/>
        </w:rPr>
        <w:t xml:space="preserve">), eficiencia operativa y escalabilidad (como en </w:t>
      </w:r>
      <w:proofErr w:type="spellStart"/>
      <w:r w:rsidRPr="003B6453">
        <w:rPr>
          <w:rFonts w:ascii="Times New Roman" w:hAnsi="Times New Roman" w:cs="Times New Roman"/>
          <w:sz w:val="24"/>
          <w:szCs w:val="24"/>
          <w:lang w:val="es-AR"/>
        </w:rPr>
        <w:t>Grido</w:t>
      </w:r>
      <w:proofErr w:type="spellEnd"/>
      <w:r w:rsidRPr="003B6453">
        <w:rPr>
          <w:rFonts w:ascii="Times New Roman" w:hAnsi="Times New Roman" w:cs="Times New Roman"/>
          <w:sz w:val="24"/>
          <w:szCs w:val="24"/>
          <w:lang w:val="es-AR"/>
        </w:rPr>
        <w:t xml:space="preserve"> y Mostaza), y foco en un producto </w:t>
      </w:r>
      <w:proofErr w:type="spellStart"/>
      <w:r w:rsidRPr="003B6453">
        <w:rPr>
          <w:rFonts w:ascii="Times New Roman" w:hAnsi="Times New Roman" w:cs="Times New Roman"/>
          <w:sz w:val="24"/>
          <w:szCs w:val="24"/>
          <w:lang w:val="es-AR"/>
        </w:rPr>
        <w:t>identitario</w:t>
      </w:r>
      <w:proofErr w:type="spellEnd"/>
      <w:r w:rsidRPr="003B6453">
        <w:rPr>
          <w:rFonts w:ascii="Times New Roman" w:hAnsi="Times New Roman" w:cs="Times New Roman"/>
          <w:sz w:val="24"/>
          <w:szCs w:val="24"/>
          <w:lang w:val="es-AR"/>
        </w:rPr>
        <w:t xml:space="preserve"> (como en Medialunas Calentitas), adaptándolas a las particularidades regionales.</w:t>
      </w:r>
    </w:p>
    <w:p w14:paraId="3125EFB1" w14:textId="24D5E3C6" w:rsidR="00410CD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síntesis, el análisis conjunto de las tendencias digitales, la temporalidad del consumo y el benchmarking sectorial muestra que la franquicia de medialunas gourmet se inserta en un entorno dinámico, en el cual la digitalización, los hábitos de consumo y las prácticas del sector convergen para definir oportunidades y desafíos. La capacidad de integrar herramientas digitales, adaptar la oferta a los momentos clave de consumo y aprender de experiencias exitosas del sector constituye un factor crítico para construir una propuesta competitiva, diferenciada y sostenible en el mercado gastronómico del Alto Valle.</w:t>
      </w:r>
      <w:r w:rsidR="008071AD" w:rsidRPr="003B6453">
        <w:rPr>
          <w:rFonts w:ascii="Times New Roman" w:hAnsi="Times New Roman" w:cs="Times New Roman"/>
          <w:sz w:val="24"/>
          <w:szCs w:val="24"/>
          <w:lang w:val="es-AR"/>
        </w:rPr>
        <w:t>t</w:t>
      </w:r>
    </w:p>
    <w:p w14:paraId="1769201C" w14:textId="77777777" w:rsidR="00410CDA" w:rsidRPr="003B6453" w:rsidRDefault="00410CD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b/>
          <w:bCs/>
          <w:sz w:val="24"/>
          <w:szCs w:val="24"/>
          <w:lang w:val="es-AR"/>
        </w:rPr>
        <w:t>Tabla 12. Benchmarking sectorial de franquicias gastronómicas</w:t>
      </w:r>
    </w:p>
    <w:tbl>
      <w:tblPr>
        <w:tblStyle w:val="GridTable5DarkAccent5"/>
        <w:tblW w:w="0" w:type="auto"/>
        <w:tblLook w:val="04A0" w:firstRow="1" w:lastRow="0" w:firstColumn="1" w:lastColumn="0" w:noHBand="0" w:noVBand="1"/>
      </w:tblPr>
      <w:tblGrid>
        <w:gridCol w:w="1662"/>
        <w:gridCol w:w="1845"/>
        <w:gridCol w:w="2973"/>
        <w:gridCol w:w="2574"/>
      </w:tblGrid>
      <w:tr w:rsidR="00410CDA" w:rsidRPr="003B6453" w14:paraId="5C505B18" w14:textId="77777777" w:rsidTr="008071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019E99" w14:textId="77777777" w:rsidR="00410CDA" w:rsidRPr="003B6453" w:rsidRDefault="00410CDA" w:rsidP="003B6453">
            <w:pPr>
              <w:spacing w:line="360" w:lineRule="auto"/>
              <w:jc w:val="both"/>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Marca</w:t>
            </w:r>
            <w:proofErr w:type="spellEnd"/>
          </w:p>
        </w:tc>
        <w:tc>
          <w:tcPr>
            <w:tcW w:w="0" w:type="auto"/>
            <w:hideMark/>
          </w:tcPr>
          <w:p w14:paraId="542E37E9" w14:textId="77777777" w:rsidR="00410CDA" w:rsidRPr="003B6453" w:rsidRDefault="00410CD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Segmento</w:t>
            </w:r>
            <w:proofErr w:type="spellEnd"/>
          </w:p>
        </w:tc>
        <w:tc>
          <w:tcPr>
            <w:tcW w:w="0" w:type="auto"/>
            <w:hideMark/>
          </w:tcPr>
          <w:p w14:paraId="0C23C7CE" w14:textId="77777777" w:rsidR="00410CDA" w:rsidRPr="003B6453" w:rsidRDefault="00410CD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Estrategia</w:t>
            </w:r>
            <w:proofErr w:type="spellEnd"/>
            <w:r w:rsidRPr="003B6453">
              <w:rPr>
                <w:rFonts w:ascii="Times New Roman" w:hAnsi="Times New Roman" w:cs="Times New Roman"/>
                <w:b w:val="0"/>
                <w:bCs w:val="0"/>
                <w:sz w:val="24"/>
                <w:szCs w:val="24"/>
              </w:rPr>
              <w:t xml:space="preserve"> principal</w:t>
            </w:r>
          </w:p>
        </w:tc>
        <w:tc>
          <w:tcPr>
            <w:tcW w:w="0" w:type="auto"/>
            <w:hideMark/>
          </w:tcPr>
          <w:p w14:paraId="53B4DB5D" w14:textId="77777777" w:rsidR="00410CDA" w:rsidRPr="003B6453" w:rsidRDefault="00410CD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3B6453">
              <w:rPr>
                <w:rFonts w:ascii="Times New Roman" w:hAnsi="Times New Roman" w:cs="Times New Roman"/>
                <w:b w:val="0"/>
                <w:bCs w:val="0"/>
                <w:sz w:val="24"/>
                <w:szCs w:val="24"/>
              </w:rPr>
              <w:t>Elementos</w:t>
            </w:r>
            <w:proofErr w:type="spellEnd"/>
            <w:r w:rsidRPr="003B6453">
              <w:rPr>
                <w:rFonts w:ascii="Times New Roman" w:hAnsi="Times New Roman" w:cs="Times New Roman"/>
                <w:b w:val="0"/>
                <w:bCs w:val="0"/>
                <w:sz w:val="24"/>
                <w:szCs w:val="24"/>
              </w:rPr>
              <w:t xml:space="preserve"> </w:t>
            </w:r>
            <w:proofErr w:type="spellStart"/>
            <w:r w:rsidRPr="003B6453">
              <w:rPr>
                <w:rFonts w:ascii="Times New Roman" w:hAnsi="Times New Roman" w:cs="Times New Roman"/>
                <w:b w:val="0"/>
                <w:bCs w:val="0"/>
                <w:sz w:val="24"/>
                <w:szCs w:val="24"/>
              </w:rPr>
              <w:t>aplicables</w:t>
            </w:r>
            <w:proofErr w:type="spellEnd"/>
            <w:r w:rsidRPr="003B6453">
              <w:rPr>
                <w:rFonts w:ascii="Times New Roman" w:hAnsi="Times New Roman" w:cs="Times New Roman"/>
                <w:b w:val="0"/>
                <w:bCs w:val="0"/>
                <w:sz w:val="24"/>
                <w:szCs w:val="24"/>
              </w:rPr>
              <w:t xml:space="preserve"> al </w:t>
            </w:r>
            <w:proofErr w:type="spellStart"/>
            <w:r w:rsidRPr="003B6453">
              <w:rPr>
                <w:rFonts w:ascii="Times New Roman" w:hAnsi="Times New Roman" w:cs="Times New Roman"/>
                <w:b w:val="0"/>
                <w:bCs w:val="0"/>
                <w:sz w:val="24"/>
                <w:szCs w:val="24"/>
              </w:rPr>
              <w:t>caso</w:t>
            </w:r>
            <w:proofErr w:type="spellEnd"/>
          </w:p>
        </w:tc>
      </w:tr>
      <w:tr w:rsidR="00410CDA" w:rsidRPr="003B6453" w14:paraId="06C2210C" w14:textId="77777777" w:rsidTr="008071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C39F88"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lastRenderedPageBreak/>
              <w:t>Havanna</w:t>
            </w:r>
            <w:proofErr w:type="spellEnd"/>
          </w:p>
        </w:tc>
        <w:tc>
          <w:tcPr>
            <w:tcW w:w="0" w:type="auto"/>
            <w:hideMark/>
          </w:tcPr>
          <w:p w14:paraId="18CBE8E5"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Cafetería</w:t>
            </w:r>
            <w:proofErr w:type="spellEnd"/>
            <w:r w:rsidRPr="003B6453">
              <w:rPr>
                <w:rFonts w:ascii="Times New Roman" w:hAnsi="Times New Roman" w:cs="Times New Roman"/>
                <w:sz w:val="24"/>
                <w:szCs w:val="24"/>
              </w:rPr>
              <w:t xml:space="preserve"> premium</w:t>
            </w:r>
          </w:p>
        </w:tc>
        <w:tc>
          <w:tcPr>
            <w:tcW w:w="0" w:type="auto"/>
            <w:hideMark/>
          </w:tcPr>
          <w:p w14:paraId="61B24D6A"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Experiencia integral, </w:t>
            </w:r>
            <w:proofErr w:type="spellStart"/>
            <w:r w:rsidRPr="003B6453">
              <w:rPr>
                <w:rFonts w:ascii="Times New Roman" w:hAnsi="Times New Roman" w:cs="Times New Roman"/>
                <w:sz w:val="24"/>
                <w:szCs w:val="24"/>
                <w:lang w:val="es-AR"/>
              </w:rPr>
              <w:t>branding</w:t>
            </w:r>
            <w:proofErr w:type="spellEnd"/>
            <w:r w:rsidRPr="003B6453">
              <w:rPr>
                <w:rFonts w:ascii="Times New Roman" w:hAnsi="Times New Roman" w:cs="Times New Roman"/>
                <w:sz w:val="24"/>
                <w:szCs w:val="24"/>
                <w:lang w:val="es-AR"/>
              </w:rPr>
              <w:t xml:space="preserve"> fuerte, internacionalización</w:t>
            </w:r>
          </w:p>
        </w:tc>
        <w:tc>
          <w:tcPr>
            <w:tcW w:w="0" w:type="auto"/>
            <w:hideMark/>
          </w:tcPr>
          <w:p w14:paraId="1050CC81"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Enfatizar estética gourmet y </w:t>
            </w:r>
            <w:proofErr w:type="spellStart"/>
            <w:r w:rsidRPr="003B6453">
              <w:rPr>
                <w:rFonts w:ascii="Times New Roman" w:hAnsi="Times New Roman" w:cs="Times New Roman"/>
                <w:sz w:val="24"/>
                <w:szCs w:val="24"/>
                <w:lang w:val="es-AR"/>
              </w:rPr>
              <w:t>storytelling</w:t>
            </w:r>
            <w:proofErr w:type="spellEnd"/>
            <w:r w:rsidRPr="003B6453">
              <w:rPr>
                <w:rFonts w:ascii="Times New Roman" w:hAnsi="Times New Roman" w:cs="Times New Roman"/>
                <w:sz w:val="24"/>
                <w:szCs w:val="24"/>
                <w:lang w:val="es-AR"/>
              </w:rPr>
              <w:t xml:space="preserve"> de marca.</w:t>
            </w:r>
          </w:p>
        </w:tc>
      </w:tr>
      <w:tr w:rsidR="00410CDA" w:rsidRPr="003B6453" w14:paraId="0A55FDAB" w14:textId="77777777" w:rsidTr="008071AD">
        <w:tc>
          <w:tcPr>
            <w:cnfStyle w:val="001000000000" w:firstRow="0" w:lastRow="0" w:firstColumn="1" w:lastColumn="0" w:oddVBand="0" w:evenVBand="0" w:oddHBand="0" w:evenHBand="0" w:firstRowFirstColumn="0" w:firstRowLastColumn="0" w:lastRowFirstColumn="0" w:lastRowLastColumn="0"/>
            <w:tcW w:w="0" w:type="auto"/>
            <w:hideMark/>
          </w:tcPr>
          <w:p w14:paraId="607A74F7"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Grido</w:t>
            </w:r>
            <w:proofErr w:type="spellEnd"/>
          </w:p>
        </w:tc>
        <w:tc>
          <w:tcPr>
            <w:tcW w:w="0" w:type="auto"/>
            <w:hideMark/>
          </w:tcPr>
          <w:p w14:paraId="54E61CFE"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Heladería</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masiva</w:t>
            </w:r>
            <w:proofErr w:type="spellEnd"/>
          </w:p>
        </w:tc>
        <w:tc>
          <w:tcPr>
            <w:tcW w:w="0" w:type="auto"/>
            <w:hideMark/>
          </w:tcPr>
          <w:p w14:paraId="1AF32061"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Franquicias de bajo costo, alta penetración territorial</w:t>
            </w:r>
          </w:p>
        </w:tc>
        <w:tc>
          <w:tcPr>
            <w:tcW w:w="0" w:type="auto"/>
            <w:hideMark/>
          </w:tcPr>
          <w:p w14:paraId="7C2DF67C"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proofErr w:type="spellStart"/>
            <w:r w:rsidRPr="003B6453">
              <w:rPr>
                <w:rFonts w:ascii="Times New Roman" w:hAnsi="Times New Roman" w:cs="Times New Roman"/>
                <w:sz w:val="24"/>
                <w:szCs w:val="24"/>
                <w:lang w:val="es-AR"/>
              </w:rPr>
              <w:t>Replicabilidad</w:t>
            </w:r>
            <w:proofErr w:type="spellEnd"/>
            <w:r w:rsidRPr="003B6453">
              <w:rPr>
                <w:rFonts w:ascii="Times New Roman" w:hAnsi="Times New Roman" w:cs="Times New Roman"/>
                <w:sz w:val="24"/>
                <w:szCs w:val="24"/>
                <w:lang w:val="es-AR"/>
              </w:rPr>
              <w:t xml:space="preserve"> del modelo y escalabilidad.</w:t>
            </w:r>
          </w:p>
        </w:tc>
      </w:tr>
      <w:tr w:rsidR="00410CDA" w:rsidRPr="003B6453" w14:paraId="7FD929FC" w14:textId="77777777" w:rsidTr="008071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F13E19"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Mostaza</w:t>
            </w:r>
            <w:proofErr w:type="spellEnd"/>
          </w:p>
        </w:tc>
        <w:tc>
          <w:tcPr>
            <w:tcW w:w="0" w:type="auto"/>
            <w:hideMark/>
          </w:tcPr>
          <w:p w14:paraId="04E808AC"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B6453">
              <w:rPr>
                <w:rFonts w:ascii="Times New Roman" w:hAnsi="Times New Roman" w:cs="Times New Roman"/>
                <w:sz w:val="24"/>
                <w:szCs w:val="24"/>
              </w:rPr>
              <w:t>Fast food</w:t>
            </w:r>
          </w:p>
        </w:tc>
        <w:tc>
          <w:tcPr>
            <w:tcW w:w="0" w:type="auto"/>
            <w:hideMark/>
          </w:tcPr>
          <w:p w14:paraId="54A15BD1"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Precios competitivos, estandarización de procesos</w:t>
            </w:r>
          </w:p>
        </w:tc>
        <w:tc>
          <w:tcPr>
            <w:tcW w:w="0" w:type="auto"/>
            <w:hideMark/>
          </w:tcPr>
          <w:p w14:paraId="4D4C36A5" w14:textId="77777777" w:rsidR="00410CDA" w:rsidRPr="003B6453" w:rsidRDefault="00410CD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Manuales claros y eficiencia operativa.</w:t>
            </w:r>
          </w:p>
        </w:tc>
      </w:tr>
      <w:tr w:rsidR="00410CDA" w:rsidRPr="003B6453" w14:paraId="74FB5D4B" w14:textId="77777777" w:rsidTr="008071AD">
        <w:tc>
          <w:tcPr>
            <w:cnfStyle w:val="001000000000" w:firstRow="0" w:lastRow="0" w:firstColumn="1" w:lastColumn="0" w:oddVBand="0" w:evenVBand="0" w:oddHBand="0" w:evenHBand="0" w:firstRowFirstColumn="0" w:firstRowLastColumn="0" w:lastRowFirstColumn="0" w:lastRowLastColumn="0"/>
            <w:tcW w:w="0" w:type="auto"/>
            <w:hideMark/>
          </w:tcPr>
          <w:p w14:paraId="492CA4C7" w14:textId="77777777" w:rsidR="00410CDA" w:rsidRPr="003B6453" w:rsidRDefault="00410CDA" w:rsidP="003B6453">
            <w:pPr>
              <w:spacing w:line="360" w:lineRule="auto"/>
              <w:jc w:val="both"/>
              <w:rPr>
                <w:rFonts w:ascii="Times New Roman" w:hAnsi="Times New Roman" w:cs="Times New Roman"/>
                <w:sz w:val="24"/>
                <w:szCs w:val="24"/>
              </w:rPr>
            </w:pPr>
            <w:proofErr w:type="spellStart"/>
            <w:r w:rsidRPr="003B6453">
              <w:rPr>
                <w:rFonts w:ascii="Times New Roman" w:hAnsi="Times New Roman" w:cs="Times New Roman"/>
                <w:sz w:val="24"/>
                <w:szCs w:val="24"/>
              </w:rPr>
              <w:t>Medialunas</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Calentitas</w:t>
            </w:r>
            <w:proofErr w:type="spellEnd"/>
          </w:p>
        </w:tc>
        <w:tc>
          <w:tcPr>
            <w:tcW w:w="0" w:type="auto"/>
            <w:hideMark/>
          </w:tcPr>
          <w:p w14:paraId="50BA466D"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3B6453">
              <w:rPr>
                <w:rFonts w:ascii="Times New Roman" w:hAnsi="Times New Roman" w:cs="Times New Roman"/>
                <w:sz w:val="24"/>
                <w:szCs w:val="24"/>
              </w:rPr>
              <w:t>Producto</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icónico</w:t>
            </w:r>
            <w:proofErr w:type="spellEnd"/>
            <w:r w:rsidRPr="003B6453">
              <w:rPr>
                <w:rFonts w:ascii="Times New Roman" w:hAnsi="Times New Roman" w:cs="Times New Roman"/>
                <w:sz w:val="24"/>
                <w:szCs w:val="24"/>
              </w:rPr>
              <w:t xml:space="preserve"> (</w:t>
            </w:r>
            <w:proofErr w:type="spellStart"/>
            <w:r w:rsidRPr="003B6453">
              <w:rPr>
                <w:rFonts w:ascii="Times New Roman" w:hAnsi="Times New Roman" w:cs="Times New Roman"/>
                <w:sz w:val="24"/>
                <w:szCs w:val="24"/>
              </w:rPr>
              <w:t>medialunas</w:t>
            </w:r>
            <w:proofErr w:type="spellEnd"/>
            <w:r w:rsidRPr="003B6453">
              <w:rPr>
                <w:rFonts w:ascii="Times New Roman" w:hAnsi="Times New Roman" w:cs="Times New Roman"/>
                <w:sz w:val="24"/>
                <w:szCs w:val="24"/>
              </w:rPr>
              <w:t>)</w:t>
            </w:r>
          </w:p>
        </w:tc>
        <w:tc>
          <w:tcPr>
            <w:tcW w:w="0" w:type="auto"/>
            <w:hideMark/>
          </w:tcPr>
          <w:p w14:paraId="152C9F2A"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Foco en producto estrella, expansión regional</w:t>
            </w:r>
          </w:p>
        </w:tc>
        <w:tc>
          <w:tcPr>
            <w:tcW w:w="0" w:type="auto"/>
            <w:hideMark/>
          </w:tcPr>
          <w:p w14:paraId="6BE2C062" w14:textId="77777777" w:rsidR="00410CDA" w:rsidRPr="003B6453" w:rsidRDefault="00410CD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Validación del modelo en torno a un producto diferenciado.</w:t>
            </w:r>
          </w:p>
        </w:tc>
      </w:tr>
    </w:tbl>
    <w:p w14:paraId="2DAECF25" w14:textId="77777777" w:rsidR="008071AD" w:rsidRPr="003B6453" w:rsidRDefault="00410CD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Fuente: elaboración propia con base en Camp (1989),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&amp;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 y benchmarking de franquicias argentinas.</w:t>
      </w:r>
    </w:p>
    <w:p w14:paraId="4435C305" w14:textId="38DB8075"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benchmarking sectorial presentado en la Tabla 12 permite contextualizar la propuesta de la franquicia de medialunas gourmet dentro del mapa competitivo de las franquicias gastronómicas argentinas, identificando aprendizajes relevantes a partir de experiencias consolidadas. Los casos analizados evidencian que no existe un único modelo exitoso, sino distintas combinaciones estratégicas en función del segmento atendido, la propuesta de valor y el alcance territorial. En este sentido, la franquicia propuesta puede nutrirse del énfasis en </w:t>
      </w:r>
      <w:proofErr w:type="spellStart"/>
      <w:r w:rsidRPr="003B6453">
        <w:rPr>
          <w:rFonts w:ascii="Times New Roman" w:hAnsi="Times New Roman" w:cs="Times New Roman"/>
          <w:sz w:val="24"/>
          <w:szCs w:val="24"/>
          <w:lang w:val="es-AR"/>
        </w:rPr>
        <w:t>branding</w:t>
      </w:r>
      <w:proofErr w:type="spellEnd"/>
      <w:r w:rsidRPr="003B6453">
        <w:rPr>
          <w:rFonts w:ascii="Times New Roman" w:hAnsi="Times New Roman" w:cs="Times New Roman"/>
          <w:sz w:val="24"/>
          <w:szCs w:val="24"/>
          <w:lang w:val="es-AR"/>
        </w:rPr>
        <w:t xml:space="preserve"> y experiencia integral desarrollado por </w:t>
      </w:r>
      <w:proofErr w:type="spellStart"/>
      <w:r w:rsidRPr="003B6453">
        <w:rPr>
          <w:rFonts w:ascii="Times New Roman" w:hAnsi="Times New Roman" w:cs="Times New Roman"/>
          <w:sz w:val="24"/>
          <w:szCs w:val="24"/>
          <w:lang w:val="es-AR"/>
        </w:rPr>
        <w:t>Havanna</w:t>
      </w:r>
      <w:proofErr w:type="spellEnd"/>
      <w:r w:rsidRPr="003B6453">
        <w:rPr>
          <w:rFonts w:ascii="Times New Roman" w:hAnsi="Times New Roman" w:cs="Times New Roman"/>
          <w:sz w:val="24"/>
          <w:szCs w:val="24"/>
          <w:lang w:val="es-AR"/>
        </w:rPr>
        <w:t xml:space="preserve">, de la eficiencia y escalabilidad operativa alcanzada por </w:t>
      </w:r>
      <w:proofErr w:type="spellStart"/>
      <w:r w:rsidRPr="003B6453">
        <w:rPr>
          <w:rFonts w:ascii="Times New Roman" w:hAnsi="Times New Roman" w:cs="Times New Roman"/>
          <w:sz w:val="24"/>
          <w:szCs w:val="24"/>
          <w:lang w:val="es-AR"/>
        </w:rPr>
        <w:t>Grido</w:t>
      </w:r>
      <w:proofErr w:type="spellEnd"/>
      <w:r w:rsidRPr="003B6453">
        <w:rPr>
          <w:rFonts w:ascii="Times New Roman" w:hAnsi="Times New Roman" w:cs="Times New Roman"/>
          <w:sz w:val="24"/>
          <w:szCs w:val="24"/>
          <w:lang w:val="es-AR"/>
        </w:rPr>
        <w:t xml:space="preserve">, de la estandarización de procesos característica de Mostaza y del foco en un producto icónico que distingue a Medialunas Calentitas. No obstante, a diferencia de estos modelos, la propuesta analizada se apoya en una identidad gourmet y artesanal, orientada a un nicho menos </w:t>
      </w:r>
      <w:r w:rsidR="00BF0BCD" w:rsidRPr="003B6453">
        <w:rPr>
          <w:rFonts w:ascii="Times New Roman" w:hAnsi="Times New Roman" w:cs="Times New Roman"/>
          <w:sz w:val="24"/>
          <w:szCs w:val="24"/>
          <w:lang w:val="es-AR"/>
        </w:rPr>
        <w:t>masivo,</w:t>
      </w:r>
      <w:r w:rsidRPr="003B6453">
        <w:rPr>
          <w:rFonts w:ascii="Times New Roman" w:hAnsi="Times New Roman" w:cs="Times New Roman"/>
          <w:sz w:val="24"/>
          <w:szCs w:val="24"/>
          <w:lang w:val="es-AR"/>
        </w:rPr>
        <w:t xml:space="preserve"> pero con mayor potencial de valor percibido y diferenciación.</w:t>
      </w:r>
    </w:p>
    <w:p w14:paraId="5D8769FC" w14:textId="77777777"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integrado de tendencias digitales, temporalidad del consumo y benchmarking sectorial refuerza la necesidad de concebir la franquicia como un modelo flexible, digitalizado y centrado en la experiencia del cliente. La digitalización emerge como un habilitador estratégico que permite personalizar la comunicación, optimizar la captación de demanda en franjas horarias específicas y fortalecer los vínculos con los consumidores a través de programas de fidelización y marketing relacional. Al mismo tiempo, la </w:t>
      </w:r>
      <w:r w:rsidRPr="003B6453">
        <w:rPr>
          <w:rFonts w:ascii="Times New Roman" w:hAnsi="Times New Roman" w:cs="Times New Roman"/>
          <w:sz w:val="24"/>
          <w:szCs w:val="24"/>
          <w:lang w:val="es-AR"/>
        </w:rPr>
        <w:lastRenderedPageBreak/>
        <w:t>comprensión de la temporalidad del consumo de medialunas posibilita alinear la producción, la asignación de recursos y las acciones promocionales con los momentos de mayor predisposición al consumo, contribuyendo a mejorar la eficiencia operativa y la rentabilidad del negocio.</w:t>
      </w:r>
    </w:p>
    <w:p w14:paraId="0EC5CCD7" w14:textId="57DBE3FD"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mirada más amplia, el desarrollo del presente capítulo permitió examinar de manera sistemática el entorno macroeconómico, competitivo y sectorial que condiciona la factibilidad de la franquicia de medialunas gourmet en el Alto Valle. A través del análisis PESTEL se identificó un contexto complejo, atravesado por la inflación y la volatilidad macroeconómica, pero también por oportunidades concretas asociadas al crecimiento urbano, a políticas municipales de fomento comercial y a una demanda creciente por propuestas gastronómicas diferenciadas. La presencia de un consumidor con mayor valoración por productos gourmet y experiencias de calidad, junto con la expansión de la digitalización como canal de ventas y comunicación, configura un escenario propicio para el desarrollo del proyecto.</w:t>
      </w:r>
    </w:p>
    <w:p w14:paraId="791D5DDC" w14:textId="26E21D52"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Modelo </w:t>
      </w:r>
      <w:proofErr w:type="spellStart"/>
      <w:r w:rsidRPr="003B6453">
        <w:rPr>
          <w:rFonts w:ascii="Times New Roman" w:hAnsi="Times New Roman" w:cs="Times New Roman"/>
          <w:sz w:val="24"/>
          <w:szCs w:val="24"/>
          <w:lang w:val="es-AR"/>
        </w:rPr>
        <w:t>Canvas</w:t>
      </w:r>
      <w:proofErr w:type="spellEnd"/>
      <w:r w:rsidRPr="003B6453">
        <w:rPr>
          <w:rFonts w:ascii="Times New Roman" w:hAnsi="Times New Roman" w:cs="Times New Roman"/>
          <w:sz w:val="24"/>
          <w:szCs w:val="24"/>
          <w:lang w:val="es-AR"/>
        </w:rPr>
        <w:t xml:space="preserve"> permitió articular de manera coherente la propuesta de valor con los segmentos de clientes, los canales de distribución, los recursos clave y la estructura de costos, evidenciando la consistencia interna del modelo de negocio. Por su parte, el análisis de las Cinco Fuerzas de </w:t>
      </w:r>
      <w:proofErr w:type="spellStart"/>
      <w:r w:rsidRPr="003B6453">
        <w:rPr>
          <w:rFonts w:ascii="Times New Roman" w:hAnsi="Times New Roman" w:cs="Times New Roman"/>
          <w:sz w:val="24"/>
          <w:szCs w:val="24"/>
          <w:lang w:val="es-AR"/>
        </w:rPr>
        <w:t>Porter</w:t>
      </w:r>
      <w:proofErr w:type="spellEnd"/>
      <w:r w:rsidRPr="003B6453">
        <w:rPr>
          <w:rFonts w:ascii="Times New Roman" w:hAnsi="Times New Roman" w:cs="Times New Roman"/>
          <w:sz w:val="24"/>
          <w:szCs w:val="24"/>
          <w:lang w:val="es-AR"/>
        </w:rPr>
        <w:t xml:space="preserve"> reveló un mercado con elevada rivalidad y abundancia de sustitutos, pero también con la posibilidad de construir barreras de entrada a partir de la estandarización de procesos, la diferenciación gourmet y la fidelización temprana de los clientes. El análisis FODA sintetizó estos diagnósticos, mostrando que las fortalezas y oportunidades del proyecto pueden superar a las debilidades y amenazas en la medida en que se implementen estrategias de mitigación adecuadas, como la diversificación de proveedores, la capacitación intensiva del personal y la innovación controlada en la oferta.</w:t>
      </w:r>
    </w:p>
    <w:p w14:paraId="76A6BAE7" w14:textId="77777777" w:rsidR="0051770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Asimismo, la integración de la Cadena de Valor con el análisis de clúster regional puso de manifiesto que la competitividad de la franquicia no dependerá exclusivamente de su gestión interna, sino también de su capacidad para articularse con el ecosistema local de proveedores, instituciones educativas, cámaras empresariales y consumidores. En un contexto regional como el Alto Valle, esta articulación resulta clave para reducir costos de </w:t>
      </w:r>
      <w:r w:rsidRPr="003B6453">
        <w:rPr>
          <w:rFonts w:ascii="Times New Roman" w:hAnsi="Times New Roman" w:cs="Times New Roman"/>
          <w:sz w:val="24"/>
          <w:szCs w:val="24"/>
          <w:lang w:val="es-AR"/>
        </w:rPr>
        <w:lastRenderedPageBreak/>
        <w:t>transacción, mejorar el acceso a recursos y fortalecer la legitimidad de la marca en el mercado.</w:t>
      </w:r>
    </w:p>
    <w:p w14:paraId="54CED0EE" w14:textId="09F4E058" w:rsidR="00410CDA" w:rsidRPr="003B6453" w:rsidRDefault="0051770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conjunto, el análisis desarrollado en este capítulo muestra que la franquicia de medialunas gourmet en el Alto Valle se inserta en un entorno desafiante, pero con amplias oportunidades de diferenciación y creación de valor. La clave estratégica residirá en combinar una propuesta gourmet clara con un uso intensivo de herramientas digitales, en aprovechar la temporalidad del consumo para optimizar la operación y en construir un ecosistema regional de apoyo que refuerce la competitividad del modelo. Con este diagnóstico integral, se establecen las bases conceptuales y estratégicas para abordar en el Capítulo 3 la metodología de investigación empleada, orientada a validar empíricamente los supuestos del modelo de negocio y a sustentar las decisiones estratégicas del proyecto.</w:t>
      </w:r>
    </w:p>
    <w:p w14:paraId="57768758" w14:textId="28B98A76" w:rsidR="0051770A" w:rsidRPr="003B6453" w:rsidRDefault="000F700F" w:rsidP="003B6453">
      <w:pPr>
        <w:pStyle w:val="Ttulo2"/>
        <w:spacing w:line="360" w:lineRule="auto"/>
        <w:jc w:val="both"/>
        <w:rPr>
          <w:rFonts w:ascii="Times New Roman" w:hAnsi="Times New Roman" w:cs="Times New Roman"/>
          <w:sz w:val="24"/>
          <w:szCs w:val="24"/>
          <w:lang w:val="es-AR"/>
        </w:rPr>
      </w:pPr>
      <w:bookmarkStart w:id="15" w:name="_Toc228546582"/>
      <w:r w:rsidRPr="003B6453">
        <w:rPr>
          <w:rFonts w:ascii="Times New Roman" w:hAnsi="Times New Roman" w:cs="Times New Roman"/>
          <w:sz w:val="24"/>
          <w:szCs w:val="24"/>
          <w:lang w:val="es-AR"/>
        </w:rPr>
        <w:t>Capítulo 3: Diseño de la Investigación</w:t>
      </w:r>
      <w:bookmarkEnd w:id="15"/>
      <w:r w:rsidR="0051770A" w:rsidRPr="003B6453">
        <w:rPr>
          <w:rFonts w:ascii="Times New Roman" w:hAnsi="Times New Roman" w:cs="Times New Roman"/>
          <w:sz w:val="24"/>
          <w:szCs w:val="24"/>
          <w:lang w:val="es-AR"/>
        </w:rPr>
        <w:t xml:space="preserve"> </w:t>
      </w:r>
    </w:p>
    <w:p w14:paraId="4D982E99"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metodología constituye el núcleo estructural de toda investigación científica, en tanto define el camino sistemático a través del cual se busca responder al problema planteado, contrastar las hipótesis formuladas y alcanzar los objetivos propuestos. Lejos de limitarse a la selección de técnicas o instrumentos de recolección de datos, la metodología expresa un conjunto de decisiones epistemológicas, teóricas y operativas que orientan todo el proceso de construcción del conocimiento, desde la delimitación del objeto de estudio hasta la interpretación de los resultados obtenidos. En este sentido, Hernández </w:t>
      </w:r>
      <w:proofErr w:type="spellStart"/>
      <w:r w:rsidRPr="003B6453">
        <w:rPr>
          <w:rFonts w:ascii="Times New Roman" w:hAnsi="Times New Roman" w:cs="Times New Roman"/>
          <w:sz w:val="24"/>
          <w:szCs w:val="24"/>
          <w:lang w:val="es-AR"/>
        </w:rPr>
        <w:t>Sampieri</w:t>
      </w:r>
      <w:proofErr w:type="spellEnd"/>
      <w:r w:rsidRPr="003B6453">
        <w:rPr>
          <w:rFonts w:ascii="Times New Roman" w:hAnsi="Times New Roman" w:cs="Times New Roman"/>
          <w:sz w:val="24"/>
          <w:szCs w:val="24"/>
          <w:lang w:val="es-AR"/>
        </w:rPr>
        <w:t>, Fernández Collado y Baptista (2018) sostienen que el rigor metodológico constituye una condición indispensable para garantizar la validez, confiabilidad y utilidad de los hallazgos, especialmente en investigaciones aplicadas al campo de la gestión y los negocios, donde los resultados suelen ser utilizados como insumo para la toma de decisiones estratégicas.</w:t>
      </w:r>
    </w:p>
    <w:p w14:paraId="5FF00035"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el marco de la presente tesis, orientada a evaluar la factibilidad estratégica, económica y de mercado de una franquicia gastronómica especializada en medialunas gourmet en el Alto Valle de Neuquén y Río Negro, el diseño metodológico fue concebido bajo criterios de coherencia interna, consistencia lógica y pertinencia contextual. Siguiendo a Zapata (2005), toda investigación aplicada debe articular de manera equilibrada el sustento teórico con la realidad empírica en la que se inserta el fenómeno analizado, de modo tal que los resultados obtenidos no solo contribuyan al conocimiento académico, sino que también puedan </w:t>
      </w:r>
      <w:r w:rsidRPr="003B6453">
        <w:rPr>
          <w:rFonts w:ascii="Times New Roman" w:hAnsi="Times New Roman" w:cs="Times New Roman"/>
          <w:sz w:val="24"/>
          <w:szCs w:val="24"/>
          <w:lang w:val="es-AR"/>
        </w:rPr>
        <w:lastRenderedPageBreak/>
        <w:t xml:space="preserve">constituir un insumo válido para la planificación y gestión empresarial. En este sentido, la metodología adoptada busca integrar marcos conceptuales provenientes del </w:t>
      </w:r>
      <w:proofErr w:type="spellStart"/>
      <w:r w:rsidRPr="003B6453">
        <w:rPr>
          <w:rFonts w:ascii="Times New Roman" w:hAnsi="Times New Roman" w:cs="Times New Roman"/>
          <w:sz w:val="24"/>
          <w:szCs w:val="24"/>
          <w:lang w:val="es-AR"/>
        </w:rPr>
        <w:t>management</w:t>
      </w:r>
      <w:proofErr w:type="spellEnd"/>
      <w:r w:rsidRPr="003B6453">
        <w:rPr>
          <w:rFonts w:ascii="Times New Roman" w:hAnsi="Times New Roman" w:cs="Times New Roman"/>
          <w:sz w:val="24"/>
          <w:szCs w:val="24"/>
          <w:lang w:val="es-AR"/>
        </w:rPr>
        <w:t xml:space="preserve"> y del marketing con evidencia empírica recolectada en el contexto específico del Alto Valle.</w:t>
      </w:r>
    </w:p>
    <w:p w14:paraId="4539CA96" w14:textId="77777777" w:rsidR="004A6493"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Desde el punto de vista del tipo de investigación, el estudio se inscribe dentro de un enfoque exploratorio y descriptivo, con una clara orientación aplicada. La investigación exploratoria resulta especialmente adecuada cuando el fenómeno de estudio ha sido escasamente analizado en un contexto específico, o cuando se busca una primera aproximación sistemática que permita reducir la incertidumbre inicial y delimitar con mayor precisión el problema de investigación (Hernández </w:t>
      </w:r>
      <w:proofErr w:type="spellStart"/>
      <w:r w:rsidRPr="003B6453">
        <w:rPr>
          <w:rFonts w:ascii="Times New Roman" w:hAnsi="Times New Roman" w:cs="Times New Roman"/>
          <w:sz w:val="24"/>
          <w:szCs w:val="24"/>
          <w:lang w:val="es-AR"/>
        </w:rPr>
        <w:t>Sampieri</w:t>
      </w:r>
      <w:proofErr w:type="spellEnd"/>
      <w:r w:rsidRPr="003B6453">
        <w:rPr>
          <w:rFonts w:ascii="Times New Roman" w:hAnsi="Times New Roman" w:cs="Times New Roman"/>
          <w:sz w:val="24"/>
          <w:szCs w:val="24"/>
          <w:lang w:val="es-AR"/>
        </w:rPr>
        <w:t xml:space="preserve"> et al., 2018). En el caso de la franquicia de medialunas gourmet en el Alto Valle, si bien existen antecedentes sobre franquicias gastronómicas en Argentina, son limitados los estudios que analicen este modelo aplicado a productos de panificación gourmet en regiones intermedias, fuera de los grandes centros metropolitanos como el Área Metropolitana de Buenos Aires.</w:t>
      </w:r>
    </w:p>
    <w:p w14:paraId="72375360" w14:textId="551DC6AA"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carácter exploratorio del estudio se justifica, entonces, por la necesidad de identificar patrones de consumo, percepciones de valor, hábitos de compra y condiciones operativas propias del contexto regional, que no pueden inferirse de manera directa a partir de experiencias desarrolladas en mercados más maduros o saturados. Tal como señalan </w:t>
      </w:r>
      <w:proofErr w:type="spellStart"/>
      <w:r w:rsidRPr="003B6453">
        <w:rPr>
          <w:rFonts w:ascii="Times New Roman" w:hAnsi="Times New Roman" w:cs="Times New Roman"/>
          <w:sz w:val="24"/>
          <w:szCs w:val="24"/>
          <w:lang w:val="es-AR"/>
        </w:rPr>
        <w:t>Malhotra</w:t>
      </w:r>
      <w:proofErr w:type="spellEnd"/>
      <w:r w:rsidRPr="003B6453">
        <w:rPr>
          <w:rFonts w:ascii="Times New Roman" w:hAnsi="Times New Roman" w:cs="Times New Roman"/>
          <w:sz w:val="24"/>
          <w:szCs w:val="24"/>
          <w:lang w:val="es-AR"/>
        </w:rPr>
        <w:t xml:space="preserve"> (2012) y Churchill e </w:t>
      </w:r>
      <w:proofErr w:type="spellStart"/>
      <w:r w:rsidRPr="003B6453">
        <w:rPr>
          <w:rFonts w:ascii="Times New Roman" w:hAnsi="Times New Roman" w:cs="Times New Roman"/>
          <w:sz w:val="24"/>
          <w:szCs w:val="24"/>
          <w:lang w:val="es-AR"/>
        </w:rPr>
        <w:t>Iacobucci</w:t>
      </w:r>
      <w:proofErr w:type="spellEnd"/>
      <w:r w:rsidRPr="003B6453">
        <w:rPr>
          <w:rFonts w:ascii="Times New Roman" w:hAnsi="Times New Roman" w:cs="Times New Roman"/>
          <w:sz w:val="24"/>
          <w:szCs w:val="24"/>
          <w:lang w:val="es-AR"/>
        </w:rPr>
        <w:t xml:space="preserve"> (2014), los estudios exploratorios permiten generar conocimiento preliminar relevante, especialmente útil para proyectos de negocio en etapas tempranas de evaluación, donde el objetivo no es comprobar relaciones causales estrictas, sino comprender el fenómeno en profundidad y reducir el riesgo asociado a la toma de decisiones.</w:t>
      </w:r>
    </w:p>
    <w:p w14:paraId="74301841" w14:textId="725B505B"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Complementariamente, la investigación adopta un alcance descriptivo, en tanto busca caracterizar de manera detallada el comportamiento de los consumidores del Alto Valle en relación con el consumo de medialunas, la valoración de atributos gourmet, la disposición a pagar por una propuesta diferenciada y las preferencias en cuanto a canales de compra. La investigación descriptiva se orienta a responder preguntas del tipo “cómo”, “cuándo” y “en qué condiciones” ocurre un fenómeno, sin pretender establecer relaciones de causalidad deterministas (Hernández </w:t>
      </w:r>
      <w:proofErr w:type="spellStart"/>
      <w:r w:rsidRPr="003B6453">
        <w:rPr>
          <w:rFonts w:ascii="Times New Roman" w:hAnsi="Times New Roman" w:cs="Times New Roman"/>
          <w:sz w:val="24"/>
          <w:szCs w:val="24"/>
          <w:lang w:val="es-AR"/>
        </w:rPr>
        <w:t>Sampieri</w:t>
      </w:r>
      <w:proofErr w:type="spellEnd"/>
      <w:r w:rsidRPr="003B6453">
        <w:rPr>
          <w:rFonts w:ascii="Times New Roman" w:hAnsi="Times New Roman" w:cs="Times New Roman"/>
          <w:sz w:val="24"/>
          <w:szCs w:val="24"/>
          <w:lang w:val="es-AR"/>
        </w:rPr>
        <w:t xml:space="preserve"> et al., 2018). En este sentido, el objetivo no es explicar exhaustivamente las motivaciones profundas del consumidor, sino describir tendencias </w:t>
      </w:r>
      <w:r w:rsidRPr="003B6453">
        <w:rPr>
          <w:rFonts w:ascii="Times New Roman" w:hAnsi="Times New Roman" w:cs="Times New Roman"/>
          <w:sz w:val="24"/>
          <w:szCs w:val="24"/>
          <w:lang w:val="es-AR"/>
        </w:rPr>
        <w:lastRenderedPageBreak/>
        <w:t>relevantes que permitan evaluar la viabilidad del modelo de franquicia en el contexto regional.</w:t>
      </w:r>
    </w:p>
    <w:p w14:paraId="741F79EF"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orientación aplicada del estudio se vincula directamente con su finalidad práctica. De acuerdo con Zapata (2005), la investigación aplicada busca generar conocimiento útil para la resolución de problemas concretos, aportando herramientas que puedan ser utilizadas en contextos reales de decisión. En este caso, los resultados del estudio están orientados a servir como insumo para la planificación estratégica, económica y operativa de una franquicia gastronómica, complementando el análisis teórico desarrollado en los capítulos anteriores y aportando evidencia empírica específica del mercado del Alto Valle.</w:t>
      </w:r>
    </w:p>
    <w:p w14:paraId="6998DAC6"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perspectiva temporal, la investigación se define como transversal, dado que la recolección de datos se realizó en un único momento del tiempo. Este diseño resulta adecuado para captar una “fotografía” del comportamiento del consumidor y de las condiciones del mercado en un contexto caracterizado por alta volatilidad macroeconómica, como el argentino. Si bien los estudios longitudinales permiten analizar la evolución de los fenómenos a lo largo del tiempo, su implementación requiere recursos y plazos que exceden el alcance de esta investigación. No obstante, los resultados obtenidos pueden servir como base para futuras investigaciones de carácter longitudinal que analicen la evolución del consumo gourmet y la performance de franquicias gastronómicas en la región.</w:t>
      </w:r>
    </w:p>
    <w:p w14:paraId="2ADC4C2E" w14:textId="3426A2C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punto de partida metodológico de la investigación se sitúa en el planteamiento del problema, entendido como la identificación y delimitación de una situación que requiere ser estudiada de manera sistemática para generar conocimiento relevante. Un problema de investigación no surge de forma espontánea, sino que se construye a partir de la observación de la realidad, del análisis de antecedentes teóricos y empíricos, y de la detección de vacíos o tensiones no resueltas en la literatura o en la práctica profesional (Hernández </w:t>
      </w:r>
      <w:proofErr w:type="spellStart"/>
      <w:r w:rsidRPr="003B6453">
        <w:rPr>
          <w:rFonts w:ascii="Times New Roman" w:hAnsi="Times New Roman" w:cs="Times New Roman"/>
          <w:sz w:val="24"/>
          <w:szCs w:val="24"/>
          <w:lang w:val="es-AR"/>
        </w:rPr>
        <w:t>Sampieri</w:t>
      </w:r>
      <w:proofErr w:type="spellEnd"/>
      <w:r w:rsidRPr="003B6453">
        <w:rPr>
          <w:rFonts w:ascii="Times New Roman" w:hAnsi="Times New Roman" w:cs="Times New Roman"/>
          <w:sz w:val="24"/>
          <w:szCs w:val="24"/>
          <w:lang w:val="es-AR"/>
        </w:rPr>
        <w:t xml:space="preserve"> et al., 2018). En este estudio, el problema de investigación se vincula con la necesidad de determinar si el modelo de franquicia gastronómica gourmet, ampliamente difundido en grandes centros urbanos, puede adaptarse de manera viable a un contexto regional como el Alto Valle.</w:t>
      </w:r>
    </w:p>
    <w:p w14:paraId="5CEF17E7" w14:textId="493F7F8A"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Esta región presenta una combinación particular de factores que hacen pertinente el análisis. Por un lado, se observa un crecimiento urbano sostenido, un incremento del ingreso disponible en determinados segmentos de la población y una creciente demanda por productos gastronómicos diferenciados. Por otro lado, existen desafíos estructurales significativos, como la volatilidad macroeconómica, los elevados costos logísticos derivados de la distancia a los grandes centros de abastecimiento y la escasez de mano de obra gastronómica calificada, intensificada por la competencia salarial del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 xml:space="preserve"> asociado a Vaca Muerta. Estas condiciones configuran un escenario complejo, que requiere ser analizado de manera integral para evaluar la factibilidad real del modelo de franquicia propuesto.</w:t>
      </w:r>
    </w:p>
    <w:p w14:paraId="5B74F0A7"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problemática de investigación no se limita exclusivamente a la rentabilidad económica del emprendimiento, sino que abarca dimensiones estratégicas, operativas y de mercado. En este sentido, la investigación busca responder a interrogantes centrales tales como: ¿existe en el Alto Valle un segmento de consumidores dispuesto a pagar un precio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por medialunas gourmet?, ¿es posible estandarizar procesos artesanales sin perder calidad percibida?, ¿qué condiciones laborales y logísticas condicionan la operación de una franquicia gastronómica en la región?, y ¿qué aprendizajes pueden extraerse de experiencias previas de franquicias exitosas en el sector gastronómico argentino?</w:t>
      </w:r>
    </w:p>
    <w:p w14:paraId="4CA44B91"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 manera coherente con el planteamiento del problema, se establecieron los objetivos de la investigación, que cumplen la función de orientar el proceso metodológico y delimitar el alcance del estudio. La literatura metodológica coincide en que los objetivos deben formularse de manera clara, precisa y alcanzable, asegurando su alineación con el problema planteado y su viabilidad en función de los recursos disponibles (Que son los objetivos, 2023). El objetivo general de esta investigación fue analizar la factibilidad estratégica, económica y de mercado de una franquicia de medialunas gourmet en el Alto Valle. A partir de este objetivo general se derivaron objetivos específicos orientados a identificar patrones de consumo, medir la disposición de los consumidores a pagar por una propuesta gourmet, analizar las percepciones de valor y diferenciación, evaluar las condiciones laborales y logísticas de la región, y comparar el modelo propuesto con experiencias de franquicias gastronómicas exitosas en Argentina.</w:t>
      </w:r>
    </w:p>
    <w:p w14:paraId="09701950"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Los objetivos se relacionan directamente con las hipótesis, entendidas como proposiciones tentativas que anticipan relaciones entre variables y que serán contrastadas empíricamente. Hernández </w:t>
      </w:r>
      <w:proofErr w:type="spellStart"/>
      <w:r w:rsidRPr="003B6453">
        <w:rPr>
          <w:rFonts w:ascii="Times New Roman" w:hAnsi="Times New Roman" w:cs="Times New Roman"/>
          <w:sz w:val="24"/>
          <w:szCs w:val="24"/>
          <w:lang w:val="es-AR"/>
        </w:rPr>
        <w:t>Sampieri</w:t>
      </w:r>
      <w:proofErr w:type="spellEnd"/>
      <w:r w:rsidRPr="003B6453">
        <w:rPr>
          <w:rFonts w:ascii="Times New Roman" w:hAnsi="Times New Roman" w:cs="Times New Roman"/>
          <w:sz w:val="24"/>
          <w:szCs w:val="24"/>
          <w:lang w:val="es-AR"/>
        </w:rPr>
        <w:t xml:space="preserve"> et al. (2018) destacan que las hipótesis cumplen una función orientadora, especialmente en investigaciones aplicadas, ya que permiten focalizar la recolección y el análisis de los datos. La hipótesis central de este trabajo sostiene que existe un mercado potencial en el Alto Valle que, a pesar de las restricciones económicas y logísticas, presenta condiciones favorables para la implementación de una franquicia de medialunas gourmet, siempre que se adopten estrategias de diferenciación, digitalización y adaptación regional.</w:t>
      </w:r>
    </w:p>
    <w:p w14:paraId="719ABAD1"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cuanto al enfoque metodológico, la investigación adoptó un enfoque mixto, combinando técnicas cuantitativas y cualitativas. </w:t>
      </w:r>
      <w:proofErr w:type="spellStart"/>
      <w:r w:rsidRPr="003B6453">
        <w:rPr>
          <w:rFonts w:ascii="Times New Roman" w:hAnsi="Times New Roman" w:cs="Times New Roman"/>
          <w:sz w:val="24"/>
          <w:szCs w:val="24"/>
          <w:lang w:val="es-AR"/>
        </w:rPr>
        <w:t>Creswell</w:t>
      </w:r>
      <w:proofErr w:type="spellEnd"/>
      <w:r w:rsidRPr="003B6453">
        <w:rPr>
          <w:rFonts w:ascii="Times New Roman" w:hAnsi="Times New Roman" w:cs="Times New Roman"/>
          <w:sz w:val="24"/>
          <w:szCs w:val="24"/>
          <w:lang w:val="es-AR"/>
        </w:rPr>
        <w:t xml:space="preserve"> (2014) sostiene que este enfoque permite obtener una comprensión más completa del fenómeno estudiado, integrando la medición numérica con la profundidad interpretativa de los datos cualitativos. La combinación de ambos enfoques resulta particularmente pertinente en estudios de factibilidad, donde no solo interesa medir frecuencias o porcentajes, sino también comprender percepciones, significados y contextos que influyen en la viabilidad del proyecto.</w:t>
      </w:r>
    </w:p>
    <w:p w14:paraId="409329D7"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componente cuantitativo se instrumentó mediante encuestas estructuradas dirigidas a consumidores urbanos del Alto Valle. El cuestionario incluyó preguntas cerradas y escalas tipo Likert orientadas a medir frecuencia de consumo, hábitos de compra, disposición a pagar, valoración de atributos del producto y preferencias de canal. La muestra fue no probabilística por conveniencia, adecuada para estudios exploratorios y aplicada en contextos donde no se dispone de un marco </w:t>
      </w:r>
      <w:proofErr w:type="spellStart"/>
      <w:r w:rsidRPr="003B6453">
        <w:rPr>
          <w:rFonts w:ascii="Times New Roman" w:hAnsi="Times New Roman" w:cs="Times New Roman"/>
          <w:sz w:val="24"/>
          <w:szCs w:val="24"/>
          <w:lang w:val="es-AR"/>
        </w:rPr>
        <w:t>muestral</w:t>
      </w:r>
      <w:proofErr w:type="spellEnd"/>
      <w:r w:rsidRPr="003B6453">
        <w:rPr>
          <w:rFonts w:ascii="Times New Roman" w:hAnsi="Times New Roman" w:cs="Times New Roman"/>
          <w:sz w:val="24"/>
          <w:szCs w:val="24"/>
          <w:lang w:val="es-AR"/>
        </w:rPr>
        <w:t xml:space="preserve"> exhaustivo (Churchill &amp; </w:t>
      </w:r>
      <w:proofErr w:type="spellStart"/>
      <w:r w:rsidRPr="003B6453">
        <w:rPr>
          <w:rFonts w:ascii="Times New Roman" w:hAnsi="Times New Roman" w:cs="Times New Roman"/>
          <w:sz w:val="24"/>
          <w:szCs w:val="24"/>
          <w:lang w:val="es-AR"/>
        </w:rPr>
        <w:t>Iacobucci</w:t>
      </w:r>
      <w:proofErr w:type="spellEnd"/>
      <w:r w:rsidRPr="003B6453">
        <w:rPr>
          <w:rFonts w:ascii="Times New Roman" w:hAnsi="Times New Roman" w:cs="Times New Roman"/>
          <w:sz w:val="24"/>
          <w:szCs w:val="24"/>
          <w:lang w:val="es-AR"/>
        </w:rPr>
        <w:t>, 2014). Si bien este tipo de muestreo limita la posibilidad de generalización estadística, permite identificar tendencias relevantes en segmentos específicos del mercado, lo cual resulta coherente con los objetivos del estudio.</w:t>
      </w:r>
    </w:p>
    <w:p w14:paraId="1C1A05C0" w14:textId="582C563F"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componente cualitativo se abordó mediante observación directa en panaderías y cafeterías del Alto Valle. La observación directa posibilitó registrar comportamientos de consumo en su contexto natural, sin intervenir en la dinámica habitual de los clientes (Qué es una técnica de observación directa, 2023). La utilización de estas técnicas cualitativas </w:t>
      </w:r>
      <w:r w:rsidRPr="003B6453">
        <w:rPr>
          <w:rFonts w:ascii="Times New Roman" w:hAnsi="Times New Roman" w:cs="Times New Roman"/>
          <w:sz w:val="24"/>
          <w:szCs w:val="24"/>
          <w:lang w:val="es-AR"/>
        </w:rPr>
        <w:lastRenderedPageBreak/>
        <w:t>contribuyó a enriquecer la interpretación de los datos cuantitativos y a validar los hallazgos mediante triangulación.</w:t>
      </w:r>
    </w:p>
    <w:p w14:paraId="2512A406"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de los datos se realizó en dos niveles complementarios. En el plano cuantitativo, se aplicaron procedimientos de estadística descriptiva, como frecuencias, porcentajes y cruces simples de variables, que permitieron identificar patrones de consumo y tendencias de mercado. En el plano cualitativo, se empleó un proceso de codificación temática, identificando categorías recurrentes vinculadas a la experiencia gourmet, la escasez de personal, la logística de insumos y el rol de la digitalización. La triangulación de métodos y fuentes permitió reforzar la confiabilidad de los hallazgos, en línea con lo propuesto por </w:t>
      </w:r>
      <w:proofErr w:type="spellStart"/>
      <w:r w:rsidRPr="003B6453">
        <w:rPr>
          <w:rFonts w:ascii="Times New Roman" w:hAnsi="Times New Roman" w:cs="Times New Roman"/>
          <w:sz w:val="24"/>
          <w:szCs w:val="24"/>
          <w:lang w:val="es-AR"/>
        </w:rPr>
        <w:t>Creswell</w:t>
      </w:r>
      <w:proofErr w:type="spellEnd"/>
      <w:r w:rsidRPr="003B6453">
        <w:rPr>
          <w:rFonts w:ascii="Times New Roman" w:hAnsi="Times New Roman" w:cs="Times New Roman"/>
          <w:sz w:val="24"/>
          <w:szCs w:val="24"/>
          <w:lang w:val="es-AR"/>
        </w:rPr>
        <w:t xml:space="preserve"> (2014).</w:t>
      </w:r>
    </w:p>
    <w:p w14:paraId="43EE1668" w14:textId="37F580DC"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calidad metodológica de la investigación se evaluó a partir de criterios de validez y confiabilidad. Para asegurar la validez de contenido, los instrumentos de recolección de datos fueron diseñados en base a la literatura especializada y revisados por especialistas en marketing y gestión. Asimismo, se realizó una prueba piloto del cuestionario, lo que permitió ajustar la redacción y claridad de los ítems. La confiabilidad se fortaleció mediante la triangulación de fuentes y la coherencia entre los resultados obtenidos a través de distintas técnicas.</w:t>
      </w:r>
    </w:p>
    <w:p w14:paraId="1FDE6408" w14:textId="77777777" w:rsidR="008F1061" w:rsidRPr="003B6453" w:rsidRDefault="008F106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Finalmente, es necesario reconocer las limitaciones del estudio. El muestreo no probabilístico restringe la posibilidad de generalizar los resultados a toda la población del Alto Valle, aunque permite identificar tendencias relevantes en los segmentos analizados. El contexto macroeconómico argentino, caracterizado por alta inflación y volatilidad, introduce incertidumbre en las proyecciones económicas, lo que obliga a interpretar los resultados dentro de un marco dinámico y sujeto a cambios. No obstante, estas limitaciones no invalidan los hallazgos, sino que delimitan su alcance y refuerzan el carácter exploratorio y aplicado de la investigación.</w:t>
      </w:r>
    </w:p>
    <w:p w14:paraId="2723E5A0" w14:textId="7572CA64" w:rsidR="006C1B43" w:rsidRPr="003B6453" w:rsidRDefault="008F1061" w:rsidP="003B6453">
      <w:pPr>
        <w:spacing w:line="360" w:lineRule="auto"/>
        <w:jc w:val="both"/>
        <w:rPr>
          <w:rStyle w:val="Hipervnculo"/>
          <w:rFonts w:ascii="Times New Roman" w:hAnsi="Times New Roman" w:cs="Times New Roman"/>
          <w:sz w:val="24"/>
          <w:szCs w:val="24"/>
          <w:lang w:val="es-AR"/>
        </w:rPr>
      </w:pPr>
      <w:r w:rsidRPr="003B6453">
        <w:rPr>
          <w:rFonts w:ascii="Times New Roman" w:hAnsi="Times New Roman" w:cs="Times New Roman"/>
          <w:sz w:val="24"/>
          <w:szCs w:val="24"/>
          <w:lang w:val="es-AR"/>
        </w:rPr>
        <w:t>En síntesis, el diseño metodológico adoptado combina rigor científico y orientación práctica, permitiendo construir un diagnóstico sólido sobre la viabilidad de la franquicia de medialunas gourmet en el Alto Valle. La articulación entre problema, objetivos, hipótesis, enfoque mixto y técnicas de recolección y análisis de datos sienta una base robusta para el análisis de los resultados empíricos que se presentan en el capítulo siguiente.</w:t>
      </w:r>
    </w:p>
    <w:p w14:paraId="2A6390E9" w14:textId="495CAD5A" w:rsidR="009125AA" w:rsidRPr="003B6453" w:rsidRDefault="009125AA" w:rsidP="003B6453">
      <w:pPr>
        <w:pStyle w:val="Ttulo1"/>
        <w:spacing w:line="360" w:lineRule="auto"/>
        <w:jc w:val="both"/>
        <w:rPr>
          <w:rFonts w:ascii="Times New Roman" w:hAnsi="Times New Roman" w:cs="Times New Roman"/>
          <w:sz w:val="24"/>
          <w:szCs w:val="24"/>
          <w:lang w:val="es-AR"/>
        </w:rPr>
      </w:pPr>
      <w:bookmarkStart w:id="16" w:name="_Toc228546583"/>
      <w:r w:rsidRPr="003B6453">
        <w:rPr>
          <w:rFonts w:ascii="Times New Roman" w:hAnsi="Times New Roman" w:cs="Times New Roman"/>
          <w:sz w:val="24"/>
          <w:szCs w:val="24"/>
          <w:lang w:val="es-AR"/>
        </w:rPr>
        <w:lastRenderedPageBreak/>
        <w:t>Capítulo 4: Análisis de Resultados</w:t>
      </w:r>
      <w:bookmarkEnd w:id="16"/>
      <w:r w:rsidR="00477409" w:rsidRPr="003B6453">
        <w:rPr>
          <w:rFonts w:ascii="Times New Roman" w:hAnsi="Times New Roman" w:cs="Times New Roman"/>
          <w:sz w:val="24"/>
          <w:szCs w:val="24"/>
          <w:lang w:val="es-AR"/>
        </w:rPr>
        <w:t xml:space="preserve"> </w:t>
      </w:r>
    </w:p>
    <w:p w14:paraId="5D583761" w14:textId="3B6C71E2"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presente capítulo expone y analiza de manera integrada los resultados obtenidos a partir del trabajo de campo realizado en el marco de esta investigación. El análisis de resultados constituye el núcleo empírico del estudio, ya que permite contrastar las hipótesis formuladas en el Capítulo 3 con evidencia concreta proveniente del mercado objetivo del Alto Valle de Neuquén y Río Negro. La información analizada surge de la aplicación de 51 encuestas válidas a consumidores urbanos</w:t>
      </w:r>
      <w:r w:rsidR="00057842" w:rsidRPr="003B6453">
        <w:rPr>
          <w:rFonts w:ascii="Times New Roman" w:hAnsi="Times New Roman" w:cs="Times New Roman"/>
          <w:sz w:val="24"/>
          <w:szCs w:val="24"/>
          <w:lang w:val="es-AR"/>
        </w:rPr>
        <w:t xml:space="preserve"> </w:t>
      </w:r>
      <w:r w:rsidRPr="003B6453">
        <w:rPr>
          <w:rFonts w:ascii="Times New Roman" w:hAnsi="Times New Roman" w:cs="Times New Roman"/>
          <w:sz w:val="24"/>
          <w:szCs w:val="24"/>
          <w:lang w:val="es-AR"/>
        </w:rPr>
        <w:t>y de instancias de observación directa en cafeterías y panaderías locales.</w:t>
      </w:r>
    </w:p>
    <w:p w14:paraId="7B56171F" w14:textId="4A59CF95"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triangulación metodológica empleada —combinando técnicas cuantitativas y cualitativas— permitió obtener una visión integral del fenómeno estudiado, articulando datos estadísticos con interpretaciones contextuales y discursivas. Tal como sostienen </w:t>
      </w:r>
      <w:proofErr w:type="spellStart"/>
      <w:r w:rsidRPr="003B6453">
        <w:rPr>
          <w:rFonts w:ascii="Times New Roman" w:hAnsi="Times New Roman" w:cs="Times New Roman"/>
          <w:sz w:val="24"/>
          <w:szCs w:val="24"/>
          <w:lang w:val="es-AR"/>
        </w:rPr>
        <w:t>Creswell</w:t>
      </w:r>
      <w:proofErr w:type="spellEnd"/>
      <w:r w:rsidRPr="003B6453">
        <w:rPr>
          <w:rFonts w:ascii="Times New Roman" w:hAnsi="Times New Roman" w:cs="Times New Roman"/>
          <w:sz w:val="24"/>
          <w:szCs w:val="24"/>
          <w:lang w:val="es-AR"/>
        </w:rPr>
        <w:t xml:space="preserve"> (2014) y Hernández </w:t>
      </w:r>
      <w:proofErr w:type="spellStart"/>
      <w:r w:rsidRPr="003B6453">
        <w:rPr>
          <w:rFonts w:ascii="Times New Roman" w:hAnsi="Times New Roman" w:cs="Times New Roman"/>
          <w:sz w:val="24"/>
          <w:szCs w:val="24"/>
          <w:lang w:val="es-AR"/>
        </w:rPr>
        <w:t>Sampieri</w:t>
      </w:r>
      <w:proofErr w:type="spellEnd"/>
      <w:r w:rsidRPr="003B6453">
        <w:rPr>
          <w:rFonts w:ascii="Times New Roman" w:hAnsi="Times New Roman" w:cs="Times New Roman"/>
          <w:sz w:val="24"/>
          <w:szCs w:val="24"/>
          <w:lang w:val="es-AR"/>
        </w:rPr>
        <w:t xml:space="preserve"> et al. (2018), la convergencia de distintas fuentes de información fortalece la validez de los resultados, reduce sesgos y enriquece la comprensión de los comportamientos de consumo y de las condiciones estructurales que inciden en la factibilidad del modelo de negocio analizado.</w:t>
      </w:r>
    </w:p>
    <w:p w14:paraId="30C1EFAE" w14:textId="77777777" w:rsidR="008140DE" w:rsidRPr="003B6453" w:rsidRDefault="008140DE" w:rsidP="003B6453">
      <w:pPr>
        <w:pStyle w:val="Ttulo2"/>
        <w:spacing w:line="360" w:lineRule="auto"/>
        <w:jc w:val="both"/>
        <w:rPr>
          <w:rFonts w:ascii="Times New Roman" w:hAnsi="Times New Roman" w:cs="Times New Roman"/>
          <w:sz w:val="24"/>
          <w:szCs w:val="24"/>
          <w:lang w:val="es-AR"/>
        </w:rPr>
      </w:pPr>
      <w:bookmarkStart w:id="17" w:name="_Toc228546584"/>
      <w:r w:rsidRPr="003B6453">
        <w:rPr>
          <w:rFonts w:ascii="Times New Roman" w:hAnsi="Times New Roman" w:cs="Times New Roman"/>
          <w:sz w:val="24"/>
          <w:szCs w:val="24"/>
          <w:lang w:val="es-AR"/>
        </w:rPr>
        <w:t>4.1 Hábitos de consumo de medialunas y estabilidad de la demanda</w:t>
      </w:r>
      <w:bookmarkEnd w:id="17"/>
    </w:p>
    <w:p w14:paraId="65F38075" w14:textId="77777777" w:rsidR="00057842" w:rsidRPr="003B6453" w:rsidRDefault="00057842" w:rsidP="003B6453">
      <w:pPr>
        <w:spacing w:line="360" w:lineRule="auto"/>
        <w:jc w:val="both"/>
        <w:rPr>
          <w:rFonts w:ascii="Times New Roman" w:hAnsi="Times New Roman" w:cs="Times New Roman"/>
          <w:sz w:val="24"/>
          <w:szCs w:val="24"/>
          <w:lang w:val="es-AR"/>
        </w:rPr>
      </w:pPr>
    </w:p>
    <w:p w14:paraId="06ADFDAC" w14:textId="155E3F90"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Los resultados obtenidos confirman que el consumo de medialunas constituye un hábito frecuente, estable y socialmente arraigado en el Alto Valle. Tal como se observa en la Tabla 13, el 33,3</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encuestados manifestó consumir medialunas una vez por semana, el 19,6</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varias veces por semana y el 31,4</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una vez al mes. Solo un 15,7</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declaró hacerlo de manera esporádica. Estos datos indican que más del 80</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consumidores incorpora la medialuna en su dieta con una frecuencia regular, lo que evidencia la persistencia del producto dentro de las rutinas alimentarias cotidianas.</w:t>
      </w:r>
    </w:p>
    <w:tbl>
      <w:tblPr>
        <w:tblStyle w:val="GridTable4Accent1"/>
        <w:tblW w:w="0" w:type="auto"/>
        <w:tblLook w:val="04A0" w:firstRow="1" w:lastRow="0" w:firstColumn="1" w:lastColumn="0" w:noHBand="0" w:noVBand="1"/>
      </w:tblPr>
      <w:tblGrid>
        <w:gridCol w:w="4414"/>
        <w:gridCol w:w="4414"/>
      </w:tblGrid>
      <w:tr w:rsidR="00057842" w:rsidRPr="003B6453" w14:paraId="32F8639B" w14:textId="77777777" w:rsidTr="00057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75415FD"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Frecuencia declarada</w:t>
            </w:r>
          </w:p>
        </w:tc>
        <w:tc>
          <w:tcPr>
            <w:tcW w:w="4414" w:type="dxa"/>
          </w:tcPr>
          <w:p w14:paraId="2FDC56BD" w14:textId="77777777" w:rsidR="00057842" w:rsidRPr="003B6453" w:rsidRDefault="00057842"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Porcentaje</w:t>
            </w:r>
          </w:p>
        </w:tc>
      </w:tr>
      <w:tr w:rsidR="00057842" w:rsidRPr="003B6453" w14:paraId="004E7D86" w14:textId="77777777" w:rsidTr="0005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7E120E11"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Varias veces por semana</w:t>
            </w:r>
          </w:p>
        </w:tc>
        <w:tc>
          <w:tcPr>
            <w:tcW w:w="4414" w:type="dxa"/>
          </w:tcPr>
          <w:p w14:paraId="15B29D70" w14:textId="68B1444E" w:rsidR="00057842" w:rsidRPr="003B6453" w:rsidRDefault="00057842"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19,6</w:t>
            </w:r>
            <w:r w:rsidR="005419BE" w:rsidRPr="003B6453">
              <w:rPr>
                <w:rFonts w:ascii="Times New Roman" w:hAnsi="Times New Roman" w:cs="Times New Roman"/>
                <w:sz w:val="24"/>
                <w:szCs w:val="24"/>
                <w:lang w:val="es-AR"/>
              </w:rPr>
              <w:t>%</w:t>
            </w:r>
          </w:p>
        </w:tc>
      </w:tr>
      <w:tr w:rsidR="00057842" w:rsidRPr="003B6453" w14:paraId="18F4BF21" w14:textId="77777777" w:rsidTr="00057842">
        <w:tc>
          <w:tcPr>
            <w:cnfStyle w:val="001000000000" w:firstRow="0" w:lastRow="0" w:firstColumn="1" w:lastColumn="0" w:oddVBand="0" w:evenVBand="0" w:oddHBand="0" w:evenHBand="0" w:firstRowFirstColumn="0" w:firstRowLastColumn="0" w:lastRowFirstColumn="0" w:lastRowLastColumn="0"/>
            <w:tcW w:w="4414" w:type="dxa"/>
          </w:tcPr>
          <w:p w14:paraId="5E323B1F"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Una vez por semana</w:t>
            </w:r>
          </w:p>
        </w:tc>
        <w:tc>
          <w:tcPr>
            <w:tcW w:w="4414" w:type="dxa"/>
          </w:tcPr>
          <w:p w14:paraId="4812EC01" w14:textId="67C79FE7" w:rsidR="00057842" w:rsidRPr="003B6453" w:rsidRDefault="00057842"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33,3</w:t>
            </w:r>
            <w:r w:rsidR="005419BE" w:rsidRPr="003B6453">
              <w:rPr>
                <w:rFonts w:ascii="Times New Roman" w:hAnsi="Times New Roman" w:cs="Times New Roman"/>
                <w:sz w:val="24"/>
                <w:szCs w:val="24"/>
                <w:lang w:val="es-AR"/>
              </w:rPr>
              <w:t>%</w:t>
            </w:r>
          </w:p>
        </w:tc>
      </w:tr>
      <w:tr w:rsidR="00057842" w:rsidRPr="003B6453" w14:paraId="1579C087" w14:textId="77777777" w:rsidTr="0005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00550386"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Una vez al mes</w:t>
            </w:r>
          </w:p>
        </w:tc>
        <w:tc>
          <w:tcPr>
            <w:tcW w:w="4414" w:type="dxa"/>
          </w:tcPr>
          <w:p w14:paraId="5874D770" w14:textId="07C30D07" w:rsidR="00057842" w:rsidRPr="003B6453" w:rsidRDefault="00057842"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31,4</w:t>
            </w:r>
            <w:r w:rsidR="005419BE" w:rsidRPr="003B6453">
              <w:rPr>
                <w:rFonts w:ascii="Times New Roman" w:hAnsi="Times New Roman" w:cs="Times New Roman"/>
                <w:sz w:val="24"/>
                <w:szCs w:val="24"/>
                <w:lang w:val="es-AR"/>
              </w:rPr>
              <w:t>%</w:t>
            </w:r>
          </w:p>
        </w:tc>
      </w:tr>
      <w:tr w:rsidR="00057842" w:rsidRPr="003B6453" w14:paraId="20A05A6F" w14:textId="77777777" w:rsidTr="00057842">
        <w:tc>
          <w:tcPr>
            <w:cnfStyle w:val="001000000000" w:firstRow="0" w:lastRow="0" w:firstColumn="1" w:lastColumn="0" w:oddVBand="0" w:evenVBand="0" w:oddHBand="0" w:evenHBand="0" w:firstRowFirstColumn="0" w:firstRowLastColumn="0" w:lastRowFirstColumn="0" w:lastRowLastColumn="0"/>
            <w:tcW w:w="4414" w:type="dxa"/>
          </w:tcPr>
          <w:p w14:paraId="7ADBBEED"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Casi nunca</w:t>
            </w:r>
          </w:p>
        </w:tc>
        <w:tc>
          <w:tcPr>
            <w:tcW w:w="4414" w:type="dxa"/>
          </w:tcPr>
          <w:p w14:paraId="5B3879AA" w14:textId="444D91DE" w:rsidR="00057842" w:rsidRPr="003B6453" w:rsidRDefault="00057842"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15,7</w:t>
            </w:r>
            <w:r w:rsidR="005419BE" w:rsidRPr="003B6453">
              <w:rPr>
                <w:rFonts w:ascii="Times New Roman" w:hAnsi="Times New Roman" w:cs="Times New Roman"/>
                <w:sz w:val="24"/>
                <w:szCs w:val="24"/>
                <w:lang w:val="es-AR"/>
              </w:rPr>
              <w:t>%</w:t>
            </w:r>
          </w:p>
        </w:tc>
      </w:tr>
    </w:tbl>
    <w:p w14:paraId="73987B7C" w14:textId="08DD9110" w:rsidR="008140DE"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Tabla 13. Frecuencia de consumo de medialunas (N = 51); </w:t>
      </w:r>
      <w:r w:rsidR="008140DE" w:rsidRPr="003B6453">
        <w:rPr>
          <w:rFonts w:ascii="Times New Roman" w:hAnsi="Times New Roman" w:cs="Times New Roman"/>
          <w:sz w:val="24"/>
          <w:szCs w:val="24"/>
          <w:lang w:val="es-AR"/>
        </w:rPr>
        <w:t>Fuente: elaboración propia a partir de encuestas (2024).</w:t>
      </w:r>
      <w:r w:rsidR="008140DE" w:rsidRPr="003B6453">
        <w:rPr>
          <w:rFonts w:ascii="Times New Roman" w:hAnsi="Times New Roman" w:cs="Times New Roman"/>
          <w:sz w:val="24"/>
          <w:szCs w:val="24"/>
          <w:lang w:val="es-AR"/>
        </w:rPr>
        <w:tab/>
      </w:r>
    </w:p>
    <w:p w14:paraId="3FAE0300"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Desde una perspectiva teórica, estos resultados se alinean con lo planteado por </w:t>
      </w:r>
      <w:proofErr w:type="spellStart"/>
      <w:r w:rsidRPr="003B6453">
        <w:rPr>
          <w:rFonts w:ascii="Times New Roman" w:hAnsi="Times New Roman" w:cs="Times New Roman"/>
          <w:sz w:val="24"/>
          <w:szCs w:val="24"/>
          <w:lang w:val="es-AR"/>
        </w:rPr>
        <w:t>Schiffman</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Wisenblit</w:t>
      </w:r>
      <w:proofErr w:type="spellEnd"/>
      <w:r w:rsidRPr="003B6453">
        <w:rPr>
          <w:rFonts w:ascii="Times New Roman" w:hAnsi="Times New Roman" w:cs="Times New Roman"/>
          <w:sz w:val="24"/>
          <w:szCs w:val="24"/>
          <w:lang w:val="es-AR"/>
        </w:rPr>
        <w:t xml:space="preserve"> (2015), quienes sostienen que los hábitos de consumo alimentario se estructuran en torno a rutinas temporales y sociales que otorgan significado simbólico a los productos. En este sentido, la medialuna no se posiciona únicamente como un bien alimenticio funcional, sino como un elemento culturalmente asociado a momentos específicos del día, como el desayuno y la merienda, que refuerzan su recurrencia en distintos contextos sociales.</w:t>
      </w:r>
    </w:p>
    <w:p w14:paraId="48B9C830" w14:textId="77777777" w:rsidR="00057842"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observación directa realizada en cafeterías y panaderías del Alto Valle corroboró estos patrones cuantitativos. Se registraron picos de demanda claramente definidos durante las primeras horas de la mañana y en la franja de la tarde, vinculados al consumo de desayuno y merienda, respectivamente. Esta regularidad temporal reviste una importancia estratégica significativa, ya que condiciona de manera directa la organización operativa de la franquicia, la planificación de la producción y la asignación de recursos humanos.</w:t>
      </w:r>
    </w:p>
    <w:p w14:paraId="26C1DBA7" w14:textId="43986725"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una perspectiva analítica, la estabilidad del consumo constituye una fortaleza central del proyecto, ya que reduce la incertidumbre asociada a la demanda. Sin embargo, también plantea el desafío de captar no solo a los consumidores intensivos, sino también a aquellos de consumo ocasional, que representan un segmento relevante para el crecimiento incremental del negocio.</w:t>
      </w:r>
    </w:p>
    <w:p w14:paraId="0862C746" w14:textId="77777777" w:rsidR="008140DE" w:rsidRPr="003B6453" w:rsidRDefault="008140DE" w:rsidP="003B6453">
      <w:pPr>
        <w:pStyle w:val="Ttulo2"/>
        <w:spacing w:line="360" w:lineRule="auto"/>
        <w:jc w:val="both"/>
        <w:rPr>
          <w:rFonts w:ascii="Times New Roman" w:hAnsi="Times New Roman" w:cs="Times New Roman"/>
          <w:sz w:val="24"/>
          <w:szCs w:val="24"/>
          <w:lang w:val="es-AR"/>
        </w:rPr>
      </w:pPr>
      <w:bookmarkStart w:id="18" w:name="_Toc228546585"/>
      <w:r w:rsidRPr="003B6453">
        <w:rPr>
          <w:rFonts w:ascii="Times New Roman" w:hAnsi="Times New Roman" w:cs="Times New Roman"/>
          <w:sz w:val="24"/>
          <w:szCs w:val="24"/>
          <w:lang w:val="es-AR"/>
        </w:rPr>
        <w:t xml:space="preserve">4.2 Canales de compra, </w:t>
      </w:r>
      <w:proofErr w:type="spellStart"/>
      <w:r w:rsidRPr="003B6453">
        <w:rPr>
          <w:rFonts w:ascii="Times New Roman" w:hAnsi="Times New Roman" w:cs="Times New Roman"/>
          <w:sz w:val="24"/>
          <w:szCs w:val="24"/>
          <w:lang w:val="es-AR"/>
        </w:rPr>
        <w:t>multicanalidad</w:t>
      </w:r>
      <w:proofErr w:type="spellEnd"/>
      <w:r w:rsidRPr="003B6453">
        <w:rPr>
          <w:rFonts w:ascii="Times New Roman" w:hAnsi="Times New Roman" w:cs="Times New Roman"/>
          <w:sz w:val="24"/>
          <w:szCs w:val="24"/>
          <w:lang w:val="es-AR"/>
        </w:rPr>
        <w:t xml:space="preserve"> y experiencia del consumidor</w:t>
      </w:r>
      <w:bookmarkEnd w:id="18"/>
    </w:p>
    <w:p w14:paraId="50838040" w14:textId="77777777" w:rsidR="008140DE" w:rsidRPr="003B6453" w:rsidRDefault="008140DE" w:rsidP="003B6453">
      <w:pPr>
        <w:spacing w:line="360" w:lineRule="auto"/>
        <w:jc w:val="both"/>
        <w:rPr>
          <w:rFonts w:ascii="Times New Roman" w:hAnsi="Times New Roman" w:cs="Times New Roman"/>
          <w:sz w:val="24"/>
          <w:szCs w:val="24"/>
          <w:lang w:val="es-AR"/>
        </w:rPr>
      </w:pPr>
    </w:p>
    <w:p w14:paraId="5FDBFD73" w14:textId="4C123495"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análisis de los canales de compra habituales evidencia que el consumo de medialunas se concentra principalmente en las panaderías de barrio, con un 51</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las menciones. Un 13,7</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encuestados combina la compra en panaderías y cafeterías o bares, mientras que apenas un 7,8</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utiliza plataformas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como canal principal. El resto de las respuestas corresponde a combinaciones diversas de canales.</w:t>
      </w:r>
    </w:p>
    <w:p w14:paraId="15971BB1" w14:textId="77777777" w:rsidR="008140DE" w:rsidRPr="003B6453" w:rsidRDefault="008140DE" w:rsidP="003B6453">
      <w:pPr>
        <w:spacing w:line="360" w:lineRule="auto"/>
        <w:jc w:val="both"/>
        <w:rPr>
          <w:rFonts w:ascii="Times New Roman" w:hAnsi="Times New Roman" w:cs="Times New Roman"/>
          <w:sz w:val="24"/>
          <w:szCs w:val="24"/>
          <w:lang w:val="es-AR"/>
        </w:rPr>
      </w:pPr>
    </w:p>
    <w:p w14:paraId="610E12E4"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Tabla 14. Lugar de compra habitual de medialunas (N = 51)</w:t>
      </w:r>
    </w:p>
    <w:tbl>
      <w:tblPr>
        <w:tblStyle w:val="GridTable4Accent1"/>
        <w:tblW w:w="0" w:type="auto"/>
        <w:tblLook w:val="04A0" w:firstRow="1" w:lastRow="0" w:firstColumn="1" w:lastColumn="0" w:noHBand="0" w:noVBand="1"/>
      </w:tblPr>
      <w:tblGrid>
        <w:gridCol w:w="4414"/>
        <w:gridCol w:w="4414"/>
      </w:tblGrid>
      <w:tr w:rsidR="00057842" w:rsidRPr="003B6453" w14:paraId="3C0D6414" w14:textId="77777777" w:rsidTr="00057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7398A967"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Lugar de compra</w:t>
            </w:r>
          </w:p>
        </w:tc>
        <w:tc>
          <w:tcPr>
            <w:tcW w:w="4414" w:type="dxa"/>
          </w:tcPr>
          <w:p w14:paraId="42A7D7C4" w14:textId="77777777" w:rsidR="00057842" w:rsidRPr="003B6453" w:rsidRDefault="00057842"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Porcentaje</w:t>
            </w:r>
          </w:p>
        </w:tc>
      </w:tr>
      <w:tr w:rsidR="00057842" w:rsidRPr="003B6453" w14:paraId="76F48334" w14:textId="77777777" w:rsidTr="0005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68C51FFD"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Panadería de barrio</w:t>
            </w:r>
          </w:p>
        </w:tc>
        <w:tc>
          <w:tcPr>
            <w:tcW w:w="4414" w:type="dxa"/>
          </w:tcPr>
          <w:p w14:paraId="6D692D1C" w14:textId="27981A48" w:rsidR="00057842" w:rsidRPr="003B6453" w:rsidRDefault="00057842"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51,0</w:t>
            </w:r>
            <w:r w:rsidR="005419BE" w:rsidRPr="003B6453">
              <w:rPr>
                <w:rFonts w:ascii="Times New Roman" w:hAnsi="Times New Roman" w:cs="Times New Roman"/>
                <w:sz w:val="24"/>
                <w:szCs w:val="24"/>
                <w:lang w:val="es-AR"/>
              </w:rPr>
              <w:t>%</w:t>
            </w:r>
          </w:p>
        </w:tc>
      </w:tr>
      <w:tr w:rsidR="00057842" w:rsidRPr="003B6453" w14:paraId="0B088207" w14:textId="77777777" w:rsidTr="00057842">
        <w:tc>
          <w:tcPr>
            <w:cnfStyle w:val="001000000000" w:firstRow="0" w:lastRow="0" w:firstColumn="1" w:lastColumn="0" w:oddVBand="0" w:evenVBand="0" w:oddHBand="0" w:evenHBand="0" w:firstRowFirstColumn="0" w:firstRowLastColumn="0" w:lastRowFirstColumn="0" w:lastRowLastColumn="0"/>
            <w:tcW w:w="4414" w:type="dxa"/>
          </w:tcPr>
          <w:p w14:paraId="1D5A61CC"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Panadería + cafetería/bar</w:t>
            </w:r>
          </w:p>
        </w:tc>
        <w:tc>
          <w:tcPr>
            <w:tcW w:w="4414" w:type="dxa"/>
          </w:tcPr>
          <w:p w14:paraId="2F6684FC" w14:textId="3C602BE5" w:rsidR="00057842" w:rsidRPr="003B6453" w:rsidRDefault="00057842"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13,7</w:t>
            </w:r>
            <w:r w:rsidR="005419BE" w:rsidRPr="003B6453">
              <w:rPr>
                <w:rFonts w:ascii="Times New Roman" w:hAnsi="Times New Roman" w:cs="Times New Roman"/>
                <w:sz w:val="24"/>
                <w:szCs w:val="24"/>
                <w:lang w:val="es-AR"/>
              </w:rPr>
              <w:t>%</w:t>
            </w:r>
          </w:p>
        </w:tc>
      </w:tr>
      <w:tr w:rsidR="00057842" w:rsidRPr="003B6453" w14:paraId="136A30F8" w14:textId="77777777" w:rsidTr="0005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60710F26" w14:textId="77777777" w:rsidR="00057842" w:rsidRPr="003B6453" w:rsidRDefault="00057842" w:rsidP="003B6453">
            <w:pPr>
              <w:spacing w:line="360" w:lineRule="auto"/>
              <w:jc w:val="both"/>
              <w:rPr>
                <w:rFonts w:ascii="Times New Roman" w:hAnsi="Times New Roman" w:cs="Times New Roman"/>
                <w:sz w:val="24"/>
                <w:szCs w:val="24"/>
                <w:lang w:val="es-AR"/>
              </w:rPr>
            </w:pP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 </w:t>
            </w:r>
            <w:proofErr w:type="spellStart"/>
            <w:r w:rsidRPr="003B6453">
              <w:rPr>
                <w:rFonts w:ascii="Times New Roman" w:hAnsi="Times New Roman" w:cs="Times New Roman"/>
                <w:sz w:val="24"/>
                <w:szCs w:val="24"/>
                <w:lang w:val="es-AR"/>
              </w:rPr>
              <w:t>apps</w:t>
            </w:r>
            <w:proofErr w:type="spellEnd"/>
          </w:p>
        </w:tc>
        <w:tc>
          <w:tcPr>
            <w:tcW w:w="4414" w:type="dxa"/>
          </w:tcPr>
          <w:p w14:paraId="6C5EFF04" w14:textId="789C9D86" w:rsidR="00057842" w:rsidRPr="003B6453" w:rsidRDefault="00057842"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7,8</w:t>
            </w:r>
            <w:r w:rsidR="005419BE" w:rsidRPr="003B6453">
              <w:rPr>
                <w:rFonts w:ascii="Times New Roman" w:hAnsi="Times New Roman" w:cs="Times New Roman"/>
                <w:sz w:val="24"/>
                <w:szCs w:val="24"/>
                <w:lang w:val="es-AR"/>
              </w:rPr>
              <w:t>%</w:t>
            </w:r>
          </w:p>
        </w:tc>
      </w:tr>
      <w:tr w:rsidR="00057842" w:rsidRPr="003B6453" w14:paraId="00E1354B" w14:textId="77777777" w:rsidTr="00057842">
        <w:tc>
          <w:tcPr>
            <w:cnfStyle w:val="001000000000" w:firstRow="0" w:lastRow="0" w:firstColumn="1" w:lastColumn="0" w:oddVBand="0" w:evenVBand="0" w:oddHBand="0" w:evenHBand="0" w:firstRowFirstColumn="0" w:firstRowLastColumn="0" w:lastRowFirstColumn="0" w:lastRowLastColumn="0"/>
            <w:tcW w:w="4414" w:type="dxa"/>
          </w:tcPr>
          <w:p w14:paraId="6BE55EF3"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Otros (combinados)</w:t>
            </w:r>
          </w:p>
        </w:tc>
        <w:tc>
          <w:tcPr>
            <w:tcW w:w="4414" w:type="dxa"/>
          </w:tcPr>
          <w:p w14:paraId="59788DB5" w14:textId="51FD5C06" w:rsidR="00057842" w:rsidRPr="003B6453" w:rsidRDefault="00057842"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27,5</w:t>
            </w:r>
            <w:r w:rsidR="005419BE" w:rsidRPr="003B6453">
              <w:rPr>
                <w:rFonts w:ascii="Times New Roman" w:hAnsi="Times New Roman" w:cs="Times New Roman"/>
                <w:sz w:val="24"/>
                <w:szCs w:val="24"/>
                <w:lang w:val="es-AR"/>
              </w:rPr>
              <w:t>%</w:t>
            </w:r>
          </w:p>
        </w:tc>
      </w:tr>
    </w:tbl>
    <w:p w14:paraId="6E233971"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Fuente: elaboración propia a partir de encuestas (2024).</w:t>
      </w:r>
      <w:r w:rsidRPr="003B6453">
        <w:rPr>
          <w:rFonts w:ascii="Times New Roman" w:hAnsi="Times New Roman" w:cs="Times New Roman"/>
          <w:sz w:val="24"/>
          <w:szCs w:val="24"/>
          <w:lang w:val="es-AR"/>
        </w:rPr>
        <w:tab/>
      </w:r>
    </w:p>
    <w:p w14:paraId="63EBB44C" w14:textId="0CA193C2"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Si bien estos resultados muestran que el canal físico continúa siendo dominante, el análisis interpretativo revela una oportunidad clara de desarrollo del canal digital. En efecto, el 65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encuestados manifestó preferir un modelo híbrido que combine la experiencia presencial con la posibilidad de compra a través de aplicaciones móviles. Este dato adquiere especial relevancia desde la lógica del modelo de negocio, ya que sugiere que el canal digital no sustituye al local físico, sino que lo complementa, ampliando el alcance y la conveniencia para el consumidor.</w:t>
      </w:r>
    </w:p>
    <w:p w14:paraId="53F67C05" w14:textId="77777777" w:rsidR="008140DE" w:rsidRPr="003B6453" w:rsidRDefault="008140DE" w:rsidP="003B6453">
      <w:pPr>
        <w:spacing w:line="360" w:lineRule="auto"/>
        <w:jc w:val="both"/>
        <w:rPr>
          <w:rFonts w:ascii="Times New Roman" w:hAnsi="Times New Roman" w:cs="Times New Roman"/>
          <w:sz w:val="24"/>
          <w:szCs w:val="24"/>
          <w:lang w:val="es-AR"/>
        </w:rPr>
      </w:pPr>
      <w:proofErr w:type="spellStart"/>
      <w:r w:rsidRPr="003B6453">
        <w:rPr>
          <w:rFonts w:ascii="Times New Roman" w:hAnsi="Times New Roman" w:cs="Times New Roman"/>
          <w:sz w:val="24"/>
          <w:szCs w:val="24"/>
          <w:lang w:val="es-AR"/>
        </w:rPr>
        <w:t>Osterwalder</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Pigneur</w:t>
      </w:r>
      <w:proofErr w:type="spellEnd"/>
      <w:r w:rsidRPr="003B6453">
        <w:rPr>
          <w:rFonts w:ascii="Times New Roman" w:hAnsi="Times New Roman" w:cs="Times New Roman"/>
          <w:sz w:val="24"/>
          <w:szCs w:val="24"/>
          <w:lang w:val="es-AR"/>
        </w:rPr>
        <w:t xml:space="preserve"> (2010) destacan que los modelos de negocio contemporáneos exitosos integran múltiples canales de contacto con el cliente, generando experiencias coherentes y consistentes. En el caso de la franquicia de medialunas gourmet, la </w:t>
      </w:r>
      <w:proofErr w:type="spellStart"/>
      <w:r w:rsidRPr="003B6453">
        <w:rPr>
          <w:rFonts w:ascii="Times New Roman" w:hAnsi="Times New Roman" w:cs="Times New Roman"/>
          <w:sz w:val="24"/>
          <w:szCs w:val="24"/>
          <w:lang w:val="es-AR"/>
        </w:rPr>
        <w:t>multicanalidad</w:t>
      </w:r>
      <w:proofErr w:type="spellEnd"/>
      <w:r w:rsidRPr="003B6453">
        <w:rPr>
          <w:rFonts w:ascii="Times New Roman" w:hAnsi="Times New Roman" w:cs="Times New Roman"/>
          <w:sz w:val="24"/>
          <w:szCs w:val="24"/>
          <w:lang w:val="es-AR"/>
        </w:rPr>
        <w:t xml:space="preserve"> permite atender distintos momentos de consumo: el consumo impulsivo y experiencial en el local, y el consumo funcional o planificado a través del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Esta integración resulta particularmente relevante en contextos urbanos como el Alto Valle, donde los hábitos de movilidad y trabajo influyen de manera directa en las decisiones de compra.</w:t>
      </w:r>
    </w:p>
    <w:p w14:paraId="604FB3A3" w14:textId="77777777" w:rsidR="008140DE" w:rsidRPr="003B6453" w:rsidRDefault="008140DE" w:rsidP="003B6453">
      <w:pPr>
        <w:pStyle w:val="Ttulo2"/>
        <w:spacing w:line="360" w:lineRule="auto"/>
        <w:jc w:val="both"/>
        <w:rPr>
          <w:rFonts w:ascii="Times New Roman" w:hAnsi="Times New Roman" w:cs="Times New Roman"/>
          <w:sz w:val="24"/>
          <w:szCs w:val="24"/>
          <w:lang w:val="es-AR"/>
        </w:rPr>
      </w:pPr>
      <w:bookmarkStart w:id="19" w:name="_Toc228546586"/>
      <w:r w:rsidRPr="003B6453">
        <w:rPr>
          <w:rFonts w:ascii="Times New Roman" w:hAnsi="Times New Roman" w:cs="Times New Roman"/>
          <w:sz w:val="24"/>
          <w:szCs w:val="24"/>
          <w:lang w:val="es-AR"/>
        </w:rPr>
        <w:t>4.3 Disposición a pagar y validación del posicionamiento gourmet</w:t>
      </w:r>
      <w:bookmarkEnd w:id="19"/>
    </w:p>
    <w:p w14:paraId="6CAB680D" w14:textId="77777777" w:rsidR="008140DE" w:rsidRPr="003B6453" w:rsidRDefault="008140DE" w:rsidP="003B6453">
      <w:pPr>
        <w:spacing w:line="360" w:lineRule="auto"/>
        <w:jc w:val="both"/>
        <w:rPr>
          <w:rFonts w:ascii="Times New Roman" w:hAnsi="Times New Roman" w:cs="Times New Roman"/>
          <w:sz w:val="24"/>
          <w:szCs w:val="24"/>
          <w:lang w:val="es-AR"/>
        </w:rPr>
      </w:pPr>
    </w:p>
    <w:p w14:paraId="06C3B3E3" w14:textId="135F036C"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Uno de los ejes centrales para evaluar la factibilidad del modelo de franquicia es la disposición de los consumidores a pagar un precio diferencial por una propuesta gourmet. Los resultados obtenidos indican que un 58,8</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encuestados estaría dispuesto a pagar entre $ 1.000 y $ 1.500 por una medialuna artesanal gourmet, mientras que un 15,7</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aceptaría precios superiores a $ 1.500. Solo un 25,5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manifestó una preferencia por precios inferiores a $ 1.000.</w:t>
      </w:r>
    </w:p>
    <w:p w14:paraId="407E481B"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Tabla 15. Disposición a pagar por medialunas gourmet (N = 51)</w:t>
      </w:r>
    </w:p>
    <w:tbl>
      <w:tblPr>
        <w:tblStyle w:val="GridTable4Accent1"/>
        <w:tblW w:w="0" w:type="auto"/>
        <w:tblLook w:val="04A0" w:firstRow="1" w:lastRow="0" w:firstColumn="1" w:lastColumn="0" w:noHBand="0" w:noVBand="1"/>
      </w:tblPr>
      <w:tblGrid>
        <w:gridCol w:w="4414"/>
        <w:gridCol w:w="4414"/>
      </w:tblGrid>
      <w:tr w:rsidR="00057842" w:rsidRPr="003B6453" w14:paraId="32F50C59" w14:textId="77777777" w:rsidTr="00057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6C80476E"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Rango de precio</w:t>
            </w:r>
          </w:p>
        </w:tc>
        <w:tc>
          <w:tcPr>
            <w:tcW w:w="4414" w:type="dxa"/>
          </w:tcPr>
          <w:p w14:paraId="104144B2" w14:textId="77777777" w:rsidR="00057842" w:rsidRPr="003B6453" w:rsidRDefault="00057842"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Porcentaje</w:t>
            </w:r>
          </w:p>
        </w:tc>
      </w:tr>
      <w:tr w:rsidR="00057842" w:rsidRPr="003B6453" w14:paraId="3F5E2B4A" w14:textId="77777777" w:rsidTr="0005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7DE78832"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Menos de $ 1.000</w:t>
            </w:r>
          </w:p>
        </w:tc>
        <w:tc>
          <w:tcPr>
            <w:tcW w:w="4414" w:type="dxa"/>
          </w:tcPr>
          <w:p w14:paraId="3660EC83" w14:textId="58F96AA5" w:rsidR="00057842" w:rsidRPr="003B6453" w:rsidRDefault="00057842"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25,5</w:t>
            </w:r>
            <w:r w:rsidR="005419BE" w:rsidRPr="003B6453">
              <w:rPr>
                <w:rFonts w:ascii="Times New Roman" w:hAnsi="Times New Roman" w:cs="Times New Roman"/>
                <w:sz w:val="24"/>
                <w:szCs w:val="24"/>
                <w:lang w:val="es-AR"/>
              </w:rPr>
              <w:t>%</w:t>
            </w:r>
          </w:p>
        </w:tc>
      </w:tr>
      <w:tr w:rsidR="00057842" w:rsidRPr="003B6453" w14:paraId="6FB17FE6" w14:textId="77777777" w:rsidTr="00057842">
        <w:tc>
          <w:tcPr>
            <w:cnfStyle w:val="001000000000" w:firstRow="0" w:lastRow="0" w:firstColumn="1" w:lastColumn="0" w:oddVBand="0" w:evenVBand="0" w:oddHBand="0" w:evenHBand="0" w:firstRowFirstColumn="0" w:firstRowLastColumn="0" w:lastRowFirstColumn="0" w:lastRowLastColumn="0"/>
            <w:tcW w:w="4414" w:type="dxa"/>
          </w:tcPr>
          <w:p w14:paraId="1AAF9D96"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Entre $ 1.000 y $ 1.500</w:t>
            </w:r>
          </w:p>
        </w:tc>
        <w:tc>
          <w:tcPr>
            <w:tcW w:w="4414" w:type="dxa"/>
          </w:tcPr>
          <w:p w14:paraId="5E3D45F4" w14:textId="245701B0" w:rsidR="00057842" w:rsidRPr="003B6453" w:rsidRDefault="00057842"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58,8</w:t>
            </w:r>
            <w:r w:rsidR="005419BE" w:rsidRPr="003B6453">
              <w:rPr>
                <w:rFonts w:ascii="Times New Roman" w:hAnsi="Times New Roman" w:cs="Times New Roman"/>
                <w:sz w:val="24"/>
                <w:szCs w:val="24"/>
                <w:lang w:val="es-AR"/>
              </w:rPr>
              <w:t>%</w:t>
            </w:r>
          </w:p>
        </w:tc>
      </w:tr>
      <w:tr w:rsidR="00057842" w:rsidRPr="003B6453" w14:paraId="7A1718D5" w14:textId="77777777" w:rsidTr="00057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078487BB" w14:textId="77777777" w:rsidR="00057842" w:rsidRPr="003B6453" w:rsidRDefault="00057842"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Más de $ 1.500</w:t>
            </w:r>
          </w:p>
        </w:tc>
        <w:tc>
          <w:tcPr>
            <w:tcW w:w="4414" w:type="dxa"/>
          </w:tcPr>
          <w:p w14:paraId="0257B714" w14:textId="4A77C9CC" w:rsidR="00057842" w:rsidRPr="003B6453" w:rsidRDefault="00057842"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15,7</w:t>
            </w:r>
            <w:r w:rsidR="005419BE" w:rsidRPr="003B6453">
              <w:rPr>
                <w:rFonts w:ascii="Times New Roman" w:hAnsi="Times New Roman" w:cs="Times New Roman"/>
                <w:sz w:val="24"/>
                <w:szCs w:val="24"/>
                <w:lang w:val="es-AR"/>
              </w:rPr>
              <w:t>%</w:t>
            </w:r>
          </w:p>
        </w:tc>
      </w:tr>
    </w:tbl>
    <w:p w14:paraId="5D33977A"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Fuente: elaboración propia (2024).</w:t>
      </w:r>
      <w:r w:rsidRPr="003B6453">
        <w:rPr>
          <w:rFonts w:ascii="Times New Roman" w:hAnsi="Times New Roman" w:cs="Times New Roman"/>
          <w:sz w:val="24"/>
          <w:szCs w:val="24"/>
          <w:lang w:val="es-AR"/>
        </w:rPr>
        <w:tab/>
      </w:r>
    </w:p>
    <w:p w14:paraId="025974D6"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Estos resultados confirman empíricamente la viabilidad de un posicionamiento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al evidenciar la existencia de un segmento mayoritario dispuesto a pagar un diferencial por atributos de calidad y experiencia.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Keller</w:t>
      </w:r>
      <w:proofErr w:type="spellEnd"/>
      <w:r w:rsidRPr="003B6453">
        <w:rPr>
          <w:rFonts w:ascii="Times New Roman" w:hAnsi="Times New Roman" w:cs="Times New Roman"/>
          <w:sz w:val="24"/>
          <w:szCs w:val="24"/>
          <w:lang w:val="es-AR"/>
        </w:rPr>
        <w:t xml:space="preserve"> (2016) y Solomon (2018) señalan que los consumidores de productos gourmet evalúan el valor más allá del precio, incorporando dimensiones simbólicas, estéticas y emocionales. En este sentido, la medialuna gourmet se posiciona como un bien experiencial que comunica disfrute, estatus y diferenciación.</w:t>
      </w:r>
    </w:p>
    <w:p w14:paraId="19DC5EE7" w14:textId="77777777" w:rsidR="00057842"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Desde una perspectiva estratégica, la disposición a pagar detectada no implica la eliminación del segmento sensible al precio, sino la necesidad de diseñar una oferta escalonada que permita capturar distintos niveles de valor percibido, sin diluir la identidad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de la marca.</w:t>
      </w:r>
    </w:p>
    <w:p w14:paraId="6B76997E" w14:textId="7A25DEAC" w:rsidR="008140DE" w:rsidRPr="003B6453" w:rsidRDefault="008140DE" w:rsidP="003B6453">
      <w:pPr>
        <w:spacing w:line="360" w:lineRule="auto"/>
        <w:jc w:val="both"/>
        <w:rPr>
          <w:rFonts w:ascii="Times New Roman" w:hAnsi="Times New Roman" w:cs="Times New Roman"/>
          <w:sz w:val="24"/>
          <w:szCs w:val="24"/>
          <w:lang w:val="es-AR"/>
        </w:rPr>
      </w:pPr>
      <w:bookmarkStart w:id="20" w:name="_Toc228546587"/>
      <w:r w:rsidRPr="003B6453">
        <w:rPr>
          <w:rStyle w:val="Ttulo2Car"/>
          <w:rFonts w:ascii="Times New Roman" w:hAnsi="Times New Roman" w:cs="Times New Roman"/>
          <w:sz w:val="24"/>
          <w:szCs w:val="24"/>
        </w:rPr>
        <w:t xml:space="preserve">4.4 </w:t>
      </w:r>
      <w:proofErr w:type="spellStart"/>
      <w:r w:rsidRPr="003B6453">
        <w:rPr>
          <w:rStyle w:val="Ttulo2Car"/>
          <w:rFonts w:ascii="Times New Roman" w:hAnsi="Times New Roman" w:cs="Times New Roman"/>
          <w:sz w:val="24"/>
          <w:szCs w:val="24"/>
        </w:rPr>
        <w:t>Atributos</w:t>
      </w:r>
      <w:proofErr w:type="spellEnd"/>
      <w:r w:rsidRPr="003B6453">
        <w:rPr>
          <w:rStyle w:val="Ttulo2Car"/>
          <w:rFonts w:ascii="Times New Roman" w:hAnsi="Times New Roman" w:cs="Times New Roman"/>
          <w:sz w:val="24"/>
          <w:szCs w:val="24"/>
        </w:rPr>
        <w:t xml:space="preserve"> </w:t>
      </w:r>
      <w:proofErr w:type="spellStart"/>
      <w:r w:rsidRPr="003B6453">
        <w:rPr>
          <w:rStyle w:val="Ttulo2Car"/>
          <w:rFonts w:ascii="Times New Roman" w:hAnsi="Times New Roman" w:cs="Times New Roman"/>
          <w:sz w:val="24"/>
          <w:szCs w:val="24"/>
        </w:rPr>
        <w:t>valorados</w:t>
      </w:r>
      <w:proofErr w:type="spellEnd"/>
      <w:r w:rsidRPr="003B6453">
        <w:rPr>
          <w:rStyle w:val="Ttulo2Car"/>
          <w:rFonts w:ascii="Times New Roman" w:hAnsi="Times New Roman" w:cs="Times New Roman"/>
          <w:sz w:val="24"/>
          <w:szCs w:val="24"/>
        </w:rPr>
        <w:t xml:space="preserve">, </w:t>
      </w:r>
      <w:proofErr w:type="spellStart"/>
      <w:r w:rsidRPr="003B6453">
        <w:rPr>
          <w:rStyle w:val="Ttulo2Car"/>
          <w:rFonts w:ascii="Times New Roman" w:hAnsi="Times New Roman" w:cs="Times New Roman"/>
          <w:sz w:val="24"/>
          <w:szCs w:val="24"/>
        </w:rPr>
        <w:t>innovación</w:t>
      </w:r>
      <w:proofErr w:type="spellEnd"/>
      <w:r w:rsidRPr="003B6453">
        <w:rPr>
          <w:rStyle w:val="Ttulo2Car"/>
          <w:rFonts w:ascii="Times New Roman" w:hAnsi="Times New Roman" w:cs="Times New Roman"/>
          <w:sz w:val="24"/>
          <w:szCs w:val="24"/>
        </w:rPr>
        <w:t xml:space="preserve"> y </w:t>
      </w:r>
      <w:proofErr w:type="spellStart"/>
      <w:r w:rsidRPr="003B6453">
        <w:rPr>
          <w:rStyle w:val="Ttulo2Car"/>
          <w:rFonts w:ascii="Times New Roman" w:hAnsi="Times New Roman" w:cs="Times New Roman"/>
          <w:sz w:val="24"/>
          <w:szCs w:val="24"/>
        </w:rPr>
        <w:t>consumo</w:t>
      </w:r>
      <w:proofErr w:type="spellEnd"/>
      <w:r w:rsidRPr="003B6453">
        <w:rPr>
          <w:rStyle w:val="Ttulo2Car"/>
          <w:rFonts w:ascii="Times New Roman" w:hAnsi="Times New Roman" w:cs="Times New Roman"/>
          <w:sz w:val="24"/>
          <w:szCs w:val="24"/>
        </w:rPr>
        <w:t xml:space="preserve"> </w:t>
      </w:r>
      <w:proofErr w:type="spellStart"/>
      <w:r w:rsidRPr="003B6453">
        <w:rPr>
          <w:rStyle w:val="Ttulo2Car"/>
          <w:rFonts w:ascii="Times New Roman" w:hAnsi="Times New Roman" w:cs="Times New Roman"/>
          <w:sz w:val="24"/>
          <w:szCs w:val="24"/>
        </w:rPr>
        <w:t>consciente</w:t>
      </w:r>
      <w:bookmarkEnd w:id="20"/>
      <w:proofErr w:type="spellEnd"/>
    </w:p>
    <w:p w14:paraId="29E03CB8" w14:textId="3F2FE86A" w:rsidR="005419B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análisis de los atributos más valorados refuerza la centralidad de la calidad sensorial en la propuesta de valor. El 41</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encuestados priorizó el sabor y la textura, seguido por el tamaño del producto y el precio (18</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cada uno), y la originalidad de los sabores (14</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Estos resultados evidencian que la diferenciación debe sustentarse, en primer lugar, en la excelencia del producto, complementada por la innovación en rellenos, formatos y presentaciones.</w:t>
      </w:r>
    </w:p>
    <w:p w14:paraId="053BA6CA" w14:textId="7E6E0D4A"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Asimismo, más del 50% de los encuestados consideró importante o muy importante la existencia de opciones más saludables, como medialunas integrales o reducidas en azúcar. Esta tendencia se inscribe en la corriente de consumo consciente descripta por </w:t>
      </w:r>
      <w:proofErr w:type="spellStart"/>
      <w:r w:rsidRPr="003B6453">
        <w:rPr>
          <w:rFonts w:ascii="Times New Roman" w:hAnsi="Times New Roman" w:cs="Times New Roman"/>
          <w:sz w:val="24"/>
          <w:szCs w:val="24"/>
          <w:lang w:val="es-AR"/>
        </w:rPr>
        <w:t>Kotler</w:t>
      </w:r>
      <w:proofErr w:type="spellEnd"/>
      <w:r w:rsidRPr="003B6453">
        <w:rPr>
          <w:rFonts w:ascii="Times New Roman" w:hAnsi="Times New Roman" w:cs="Times New Roman"/>
          <w:sz w:val="24"/>
          <w:szCs w:val="24"/>
          <w:lang w:val="es-AR"/>
        </w:rPr>
        <w:t xml:space="preserve">, </w:t>
      </w:r>
      <w:proofErr w:type="spellStart"/>
      <w:r w:rsidRPr="003B6453">
        <w:rPr>
          <w:rFonts w:ascii="Times New Roman" w:hAnsi="Times New Roman" w:cs="Times New Roman"/>
          <w:sz w:val="24"/>
          <w:szCs w:val="24"/>
          <w:lang w:val="es-AR"/>
        </w:rPr>
        <w:t>Kartajaya</w:t>
      </w:r>
      <w:proofErr w:type="spellEnd"/>
      <w:r w:rsidRPr="003B6453">
        <w:rPr>
          <w:rFonts w:ascii="Times New Roman" w:hAnsi="Times New Roman" w:cs="Times New Roman"/>
          <w:sz w:val="24"/>
          <w:szCs w:val="24"/>
          <w:lang w:val="es-AR"/>
        </w:rPr>
        <w:t xml:space="preserve"> y </w:t>
      </w:r>
      <w:proofErr w:type="spellStart"/>
      <w:r w:rsidRPr="003B6453">
        <w:rPr>
          <w:rFonts w:ascii="Times New Roman" w:hAnsi="Times New Roman" w:cs="Times New Roman"/>
          <w:sz w:val="24"/>
          <w:szCs w:val="24"/>
          <w:lang w:val="es-AR"/>
        </w:rPr>
        <w:t>Setiawan</w:t>
      </w:r>
      <w:proofErr w:type="spellEnd"/>
      <w:r w:rsidRPr="003B6453">
        <w:rPr>
          <w:rFonts w:ascii="Times New Roman" w:hAnsi="Times New Roman" w:cs="Times New Roman"/>
          <w:sz w:val="24"/>
          <w:szCs w:val="24"/>
          <w:lang w:val="es-AR"/>
        </w:rPr>
        <w:t xml:space="preserve"> (2017), y sugiere que la indulgencia gastronómica puede coexistir con propuestas percibidas como más equilibradas. Para la franquicia, esta información abre </w:t>
      </w:r>
      <w:r w:rsidRPr="003B6453">
        <w:rPr>
          <w:rFonts w:ascii="Times New Roman" w:hAnsi="Times New Roman" w:cs="Times New Roman"/>
          <w:sz w:val="24"/>
          <w:szCs w:val="24"/>
          <w:lang w:val="es-AR"/>
        </w:rPr>
        <w:lastRenderedPageBreak/>
        <w:t>la posibilidad de ampliar el portafolio de productos sin comprometer el posicionamiento gourmet.</w:t>
      </w:r>
    </w:p>
    <w:p w14:paraId="5C7A395F" w14:textId="77777777" w:rsidR="008140DE" w:rsidRPr="003B6453" w:rsidRDefault="008140DE" w:rsidP="003B6453">
      <w:pPr>
        <w:pStyle w:val="Ttulo2"/>
        <w:spacing w:line="360" w:lineRule="auto"/>
        <w:jc w:val="both"/>
        <w:rPr>
          <w:rFonts w:ascii="Times New Roman" w:hAnsi="Times New Roman" w:cs="Times New Roman"/>
          <w:sz w:val="24"/>
          <w:szCs w:val="24"/>
          <w:lang w:val="es-AR"/>
        </w:rPr>
      </w:pPr>
      <w:bookmarkStart w:id="21" w:name="_Toc228546588"/>
      <w:r w:rsidRPr="003B6453">
        <w:rPr>
          <w:rFonts w:ascii="Times New Roman" w:hAnsi="Times New Roman" w:cs="Times New Roman"/>
          <w:sz w:val="24"/>
          <w:szCs w:val="24"/>
          <w:lang w:val="es-AR"/>
        </w:rPr>
        <w:t>4.5 Marca, franquicias y predisposición a la adopción</w:t>
      </w:r>
      <w:bookmarkEnd w:id="21"/>
    </w:p>
    <w:p w14:paraId="57F7CEDF" w14:textId="77777777" w:rsidR="008140DE" w:rsidRPr="003B6453" w:rsidRDefault="008140DE" w:rsidP="003B6453">
      <w:pPr>
        <w:spacing w:line="360" w:lineRule="auto"/>
        <w:jc w:val="both"/>
        <w:rPr>
          <w:rFonts w:ascii="Times New Roman" w:hAnsi="Times New Roman" w:cs="Times New Roman"/>
          <w:sz w:val="24"/>
          <w:szCs w:val="24"/>
          <w:lang w:val="es-AR"/>
        </w:rPr>
      </w:pPr>
    </w:p>
    <w:p w14:paraId="58C8274A" w14:textId="0D9A8D96"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relación con el conocimiento de franquicias gastronómicas en la región, los resultados muestran un bajo nivel de recordación espontánea. Un 39,5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encuestados no identificó ninguna marca, y las menciones restantes fueron dispersas. Este hallazgo indica que el mercado regional aún no se encuentra saturado por grandes marcas especializadas en medialunas, lo que representa una oportunidad estratégica para el posicionamiento de una nueva propuesta con identidad clara.</w:t>
      </w:r>
    </w:p>
    <w:p w14:paraId="13133DE4" w14:textId="2A4A1314"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Al mismo tiempo, la percepción del formato de franquicia resultó ampliamente positiva. El 65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los encuestados otorgó puntuaciones altas (4 o 5) en la escala de confianza hacia las franquicias gastronómicas, y un 92% afirmó que probaría una nueva franquicia de medialunas gourmet si la percibiera atractiva. Estos resultados se alinean con la teoría de la agencia (</w:t>
      </w:r>
      <w:proofErr w:type="spellStart"/>
      <w:r w:rsidRPr="003B6453">
        <w:rPr>
          <w:rFonts w:ascii="Times New Roman" w:hAnsi="Times New Roman" w:cs="Times New Roman"/>
          <w:sz w:val="24"/>
          <w:szCs w:val="24"/>
          <w:lang w:val="es-AR"/>
        </w:rPr>
        <w:t>Rubin</w:t>
      </w:r>
      <w:proofErr w:type="spellEnd"/>
      <w:r w:rsidRPr="003B6453">
        <w:rPr>
          <w:rFonts w:ascii="Times New Roman" w:hAnsi="Times New Roman" w:cs="Times New Roman"/>
          <w:sz w:val="24"/>
          <w:szCs w:val="24"/>
          <w:lang w:val="es-AR"/>
        </w:rPr>
        <w:t>, 1978), que plantea que las franquicias reducen la incertidumbre del consumidor al garantizar estándares homogéneos de calidad y servicio.</w:t>
      </w:r>
    </w:p>
    <w:p w14:paraId="58A81D64" w14:textId="77777777" w:rsidR="005419BE" w:rsidRPr="003B6453" w:rsidRDefault="005419BE" w:rsidP="003B6453">
      <w:pPr>
        <w:pStyle w:val="Ttulo2"/>
        <w:spacing w:line="360" w:lineRule="auto"/>
        <w:jc w:val="both"/>
        <w:rPr>
          <w:rFonts w:ascii="Times New Roman" w:hAnsi="Times New Roman" w:cs="Times New Roman"/>
          <w:sz w:val="24"/>
          <w:szCs w:val="24"/>
          <w:lang w:val="es-AR"/>
        </w:rPr>
      </w:pPr>
    </w:p>
    <w:p w14:paraId="230B97EE" w14:textId="1888F192" w:rsidR="008140DE" w:rsidRPr="003B6453" w:rsidRDefault="008140DE" w:rsidP="003B6453">
      <w:pPr>
        <w:pStyle w:val="Ttulo2"/>
        <w:spacing w:line="360" w:lineRule="auto"/>
        <w:jc w:val="both"/>
        <w:rPr>
          <w:rFonts w:ascii="Times New Roman" w:hAnsi="Times New Roman" w:cs="Times New Roman"/>
          <w:sz w:val="24"/>
          <w:szCs w:val="24"/>
          <w:lang w:val="es-AR"/>
        </w:rPr>
      </w:pPr>
      <w:bookmarkStart w:id="22" w:name="_Toc228546589"/>
      <w:r w:rsidRPr="003B6453">
        <w:rPr>
          <w:rFonts w:ascii="Times New Roman" w:hAnsi="Times New Roman" w:cs="Times New Roman"/>
          <w:sz w:val="24"/>
          <w:szCs w:val="24"/>
          <w:lang w:val="es-AR"/>
        </w:rPr>
        <w:t>4.6 Aportes cualitativos y validación contextual</w:t>
      </w:r>
      <w:bookmarkEnd w:id="22"/>
    </w:p>
    <w:p w14:paraId="76F09186" w14:textId="77777777" w:rsidR="005419BE" w:rsidRPr="003B6453" w:rsidRDefault="005419BE" w:rsidP="003B6453">
      <w:pPr>
        <w:spacing w:line="360" w:lineRule="auto"/>
        <w:jc w:val="both"/>
        <w:rPr>
          <w:rFonts w:ascii="Times New Roman" w:hAnsi="Times New Roman" w:cs="Times New Roman"/>
          <w:sz w:val="24"/>
          <w:szCs w:val="24"/>
          <w:lang w:val="es-AR"/>
        </w:rPr>
      </w:pPr>
    </w:p>
    <w:p w14:paraId="65CDC886" w14:textId="060BC808"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Los resultados cualitativos aportaron profundidad interpretativa al análisis cuantitativo. Los referentes gastronómicos entrevistados coincidieron en señalar la necesidad de diferenciar la oferta frente a las panaderías tradicionales mediante productos de mayor calidad, diseño cuidado y una narrativa de marca consistente. Asimismo, destacaron como principales desafíos la dificultad de atraer y retener personal capacitado, debido a la competencia salarial del sector petrolero, y los costos logísticos asociados a la distancia de los grandes centros de abastecimiento.</w:t>
      </w:r>
    </w:p>
    <w:p w14:paraId="229299F8"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observación directa reforzó estos hallazgos, evidenciando una alta rotación de personal y una fuerte dependencia de insumos externos en los locales visitados. Estas observaciones </w:t>
      </w:r>
      <w:r w:rsidRPr="003B6453">
        <w:rPr>
          <w:rFonts w:ascii="Times New Roman" w:hAnsi="Times New Roman" w:cs="Times New Roman"/>
          <w:sz w:val="24"/>
          <w:szCs w:val="24"/>
          <w:lang w:val="es-AR"/>
        </w:rPr>
        <w:lastRenderedPageBreak/>
        <w:t>permiten contextualizar los resultados cuantitativos y refuerzan la necesidad de estrategias específicas de recursos humanos y abastecimiento regional.</w:t>
      </w:r>
    </w:p>
    <w:p w14:paraId="6AEEF345" w14:textId="77777777" w:rsidR="008140DE" w:rsidRPr="003B6453" w:rsidRDefault="008140DE" w:rsidP="003B6453">
      <w:pPr>
        <w:pStyle w:val="Ttulo2"/>
        <w:spacing w:line="360" w:lineRule="auto"/>
        <w:jc w:val="both"/>
        <w:rPr>
          <w:rFonts w:ascii="Times New Roman" w:hAnsi="Times New Roman" w:cs="Times New Roman"/>
          <w:sz w:val="24"/>
          <w:szCs w:val="24"/>
          <w:lang w:val="es-AR"/>
        </w:rPr>
      </w:pPr>
      <w:bookmarkStart w:id="23" w:name="_Toc228546590"/>
      <w:r w:rsidRPr="003B6453">
        <w:rPr>
          <w:rFonts w:ascii="Times New Roman" w:hAnsi="Times New Roman" w:cs="Times New Roman"/>
          <w:sz w:val="24"/>
          <w:szCs w:val="24"/>
          <w:lang w:val="es-AR"/>
        </w:rPr>
        <w:t>4.7 Síntesis integradora de resultados</w:t>
      </w:r>
      <w:bookmarkEnd w:id="23"/>
    </w:p>
    <w:p w14:paraId="10EED966" w14:textId="77777777" w:rsidR="00956AFA" w:rsidRPr="003B6453" w:rsidRDefault="00956AFA" w:rsidP="003B6453">
      <w:pPr>
        <w:spacing w:line="360" w:lineRule="auto"/>
        <w:jc w:val="both"/>
        <w:rPr>
          <w:rFonts w:ascii="Times New Roman" w:hAnsi="Times New Roman" w:cs="Times New Roman"/>
          <w:sz w:val="24"/>
          <w:szCs w:val="24"/>
          <w:lang w:val="es-AR"/>
        </w:rPr>
      </w:pPr>
    </w:p>
    <w:p w14:paraId="109A4734" w14:textId="41E1DD2D"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conjunto, los hallazgos cuantitativos y cualitativos evidencian la existencia de un mercado con demanda estable, sensibilidad hacia la calidad y predisposición a adoptar propuestas innovadoras. El consumo frecuente y socialmente enraizado de medialunas, la aceptación del formato de franquicia y la disposición a pagar precios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constituyen indicadores contundentes de factibilidad.</w:t>
      </w:r>
    </w:p>
    <w:p w14:paraId="64D8EC4D" w14:textId="77777777" w:rsidR="008140DE"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No obstante, la viabilidad del proyecto dependerá de la capacidad para gestionar los desafíos estructurales del contexto regional, particularmente aquellos vinculados al mercado laboral y a la logística. El análisis integrado permite afirmar que el modelo de franquicia de medialunas gourmet posee un alto potencial de éxito en el Alto Valle, siempre que logre articular de manera coherente la diferenciación del producto, la eficiencia operativa y la coherencia comunicacional.</w:t>
      </w:r>
    </w:p>
    <w:p w14:paraId="0814AC43" w14:textId="3616CD8F" w:rsidR="00867E12" w:rsidRPr="003B6453" w:rsidRDefault="008140D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evidencia empírica obtenida valida las hipótesis teóricas planteadas y consolida el sustento científico del proyecto, estableciendo las bases para el análisis económico y las recomendaciones estratégicas que se desarrollan en los capítulos siguientes.</w:t>
      </w:r>
    </w:p>
    <w:p w14:paraId="506E90C0" w14:textId="5A8C3F1B" w:rsidR="00633533" w:rsidRPr="003B6453" w:rsidRDefault="00633533" w:rsidP="003B6453">
      <w:pPr>
        <w:pStyle w:val="Ttulo1"/>
        <w:spacing w:line="360" w:lineRule="auto"/>
        <w:jc w:val="both"/>
        <w:rPr>
          <w:rFonts w:ascii="Times New Roman" w:hAnsi="Times New Roman" w:cs="Times New Roman"/>
          <w:sz w:val="24"/>
          <w:szCs w:val="24"/>
          <w:lang w:val="es-AR"/>
        </w:rPr>
      </w:pPr>
      <w:bookmarkStart w:id="24" w:name="_Toc228546591"/>
      <w:r w:rsidRPr="003B6453">
        <w:rPr>
          <w:rFonts w:ascii="Times New Roman" w:hAnsi="Times New Roman" w:cs="Times New Roman"/>
          <w:sz w:val="24"/>
          <w:szCs w:val="24"/>
          <w:lang w:val="es-AR"/>
        </w:rPr>
        <w:t>Capítulo 5 – Análisis económico y financiero del proyecto</w:t>
      </w:r>
      <w:bookmarkEnd w:id="24"/>
      <w:r w:rsidR="008140DE" w:rsidRPr="003B6453">
        <w:rPr>
          <w:rFonts w:ascii="Times New Roman" w:hAnsi="Times New Roman" w:cs="Times New Roman"/>
          <w:sz w:val="24"/>
          <w:szCs w:val="24"/>
          <w:lang w:val="es-AR"/>
        </w:rPr>
        <w:t xml:space="preserve"> </w:t>
      </w:r>
    </w:p>
    <w:p w14:paraId="1518D894"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análisis económico y financiero constituye una instancia central dentro del estudio de factibilidad del modelo de franquicia de medialunas gourmet en el Alto Valle, ya que permite evaluar de manera objetiva la capacidad del proyecto para generar valor, sostenerse en el tiempo y compensar adecuadamente el riesgo asumido por el inversor. A diferencia de los capítulos anteriores, enfocados en el entorno, el mercado y la estrategia, este capítulo se orienta a traducir dichas dimensiones en variables económicas concretas, integrando ingresos, costos, inversión inicial, flujos de fondos y escenarios alternativos.</w:t>
      </w:r>
    </w:p>
    <w:p w14:paraId="32C2C0F9"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modelo financiero desarrollado se apoya en un horizonte de evaluación de cinco años y fue construido a partir de supuestos realistas derivados del estudio de mercado, del análisis </w:t>
      </w:r>
      <w:r w:rsidRPr="003B6453">
        <w:rPr>
          <w:rFonts w:ascii="Times New Roman" w:hAnsi="Times New Roman" w:cs="Times New Roman"/>
          <w:sz w:val="24"/>
          <w:szCs w:val="24"/>
          <w:lang w:val="es-AR"/>
        </w:rPr>
        <w:lastRenderedPageBreak/>
        <w:t>sectorial y de entrevistas con referentes gastronómicos de la región. Asimismo, incorpora explícitamente la estacionalidad del consumo de productos panificados en la provincia de Neuquén, variable clave para comprender la dinámica de ingresos del negocio y su impacto en la planificación operativa y financiera.</w:t>
      </w:r>
    </w:p>
    <w:p w14:paraId="51C03113"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punto de partida del modelo económico es la proyección de ventas anuales, elaborada en función de los hábitos de consumo identificados en los capítulos anteriores, del comportamiento observado en panaderías y cafeterías regionales y del crecimiento esperado del segmento gourmet. Para el primer año de operación se estimó una venta total de 67.950 docenas de facturas, con un precio promedio inicial de USD 11,14 por docena. Este precio se ubica por encima del promedio de las panaderías tradicionales, pero resulta consistente con la disposición a pagar detectada en la encuesta y con el posicionamiento gourmet del producto.</w:t>
      </w:r>
    </w:p>
    <w:p w14:paraId="666AF88E"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 partir de esta base, el modelo proyecta un crecimiento sostenido tanto en unidades vendidas como en precios, reflejando la maduración del negocio, la consolidación de la marca y la actualización nominal asociada al contexto inflacionario. Este crecimiento no se plantea de manera agresiva, sino prudente, considerando la volatilidad macroeconómica y la necesidad de preservar la estabilidad operativa.</w:t>
      </w:r>
    </w:p>
    <w:p w14:paraId="784ED947"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Un aspecto clave incorporado al modelo es la estacionalidad del consumo. El rubro panadero presenta variaciones mensuales significativas asociadas a factores climáticos, culturales y sociales. En el Alto Valle, los meses fríos concentran mayores niveles de consumo, mientras que el verano muestra una retracción relativa. Esta dinámica fue incorporada al modelo ponderando la participación mensual de las ventas sobre el total anual, a partir de información del Observatorio Económico de Neuquén (2024) y de entrevistas al sector gastronómico.</w:t>
      </w:r>
    </w:p>
    <w:p w14:paraId="0452CBD7"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Tabla 16. Estacionalidad estimada del consumo de productos panificados en Neuquén</w:t>
      </w:r>
    </w:p>
    <w:tbl>
      <w:tblPr>
        <w:tblStyle w:val="GridTable4Accent1"/>
        <w:tblW w:w="0" w:type="auto"/>
        <w:tblLook w:val="04A0" w:firstRow="1" w:lastRow="0" w:firstColumn="1" w:lastColumn="0" w:noHBand="0" w:noVBand="1"/>
      </w:tblPr>
      <w:tblGrid>
        <w:gridCol w:w="4414"/>
        <w:gridCol w:w="4414"/>
      </w:tblGrid>
      <w:tr w:rsidR="00956AFA" w:rsidRPr="003B6453" w14:paraId="783BB7AB" w14:textId="77777777" w:rsidTr="00956A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EA83657"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Mes</w:t>
            </w:r>
          </w:p>
        </w:tc>
        <w:tc>
          <w:tcPr>
            <w:tcW w:w="4414" w:type="dxa"/>
          </w:tcPr>
          <w:p w14:paraId="563988A3" w14:textId="77777777" w:rsidR="00956AFA" w:rsidRPr="003B6453" w:rsidRDefault="00956AFA"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Nivel de ventas estimado (%)</w:t>
            </w:r>
          </w:p>
        </w:tc>
      </w:tr>
      <w:tr w:rsidR="00956AFA" w:rsidRPr="003B6453" w14:paraId="3BEF7E10" w14:textId="77777777" w:rsidTr="00956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26020EE3"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Enero</w:t>
            </w:r>
          </w:p>
        </w:tc>
        <w:tc>
          <w:tcPr>
            <w:tcW w:w="4414" w:type="dxa"/>
          </w:tcPr>
          <w:p w14:paraId="3801E65E" w14:textId="77777777" w:rsidR="00956AFA" w:rsidRPr="003B6453" w:rsidRDefault="00956AF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80%</w:t>
            </w:r>
          </w:p>
        </w:tc>
      </w:tr>
      <w:tr w:rsidR="00956AFA" w:rsidRPr="003B6453" w14:paraId="531BA9E5" w14:textId="77777777" w:rsidTr="00956AFA">
        <w:tc>
          <w:tcPr>
            <w:cnfStyle w:val="001000000000" w:firstRow="0" w:lastRow="0" w:firstColumn="1" w:lastColumn="0" w:oddVBand="0" w:evenVBand="0" w:oddHBand="0" w:evenHBand="0" w:firstRowFirstColumn="0" w:firstRowLastColumn="0" w:lastRowFirstColumn="0" w:lastRowLastColumn="0"/>
            <w:tcW w:w="4414" w:type="dxa"/>
          </w:tcPr>
          <w:p w14:paraId="6DC40473"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Febrero</w:t>
            </w:r>
          </w:p>
        </w:tc>
        <w:tc>
          <w:tcPr>
            <w:tcW w:w="4414" w:type="dxa"/>
          </w:tcPr>
          <w:p w14:paraId="13EBAB69" w14:textId="77777777" w:rsidR="00956AFA" w:rsidRPr="003B6453" w:rsidRDefault="00956AF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85%</w:t>
            </w:r>
          </w:p>
        </w:tc>
      </w:tr>
      <w:tr w:rsidR="00956AFA" w:rsidRPr="003B6453" w14:paraId="2EB24684" w14:textId="77777777" w:rsidTr="00956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67518C5B"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Marzo</w:t>
            </w:r>
          </w:p>
        </w:tc>
        <w:tc>
          <w:tcPr>
            <w:tcW w:w="4414" w:type="dxa"/>
          </w:tcPr>
          <w:p w14:paraId="3E827AEA" w14:textId="77777777" w:rsidR="00956AFA" w:rsidRPr="003B6453" w:rsidRDefault="00956AF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95%</w:t>
            </w:r>
          </w:p>
        </w:tc>
      </w:tr>
      <w:tr w:rsidR="00956AFA" w:rsidRPr="003B6453" w14:paraId="7B815DFE" w14:textId="77777777" w:rsidTr="00956AFA">
        <w:tc>
          <w:tcPr>
            <w:cnfStyle w:val="001000000000" w:firstRow="0" w:lastRow="0" w:firstColumn="1" w:lastColumn="0" w:oddVBand="0" w:evenVBand="0" w:oddHBand="0" w:evenHBand="0" w:firstRowFirstColumn="0" w:firstRowLastColumn="0" w:lastRowFirstColumn="0" w:lastRowLastColumn="0"/>
            <w:tcW w:w="4414" w:type="dxa"/>
          </w:tcPr>
          <w:p w14:paraId="0847F1D3"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Abril</w:t>
            </w:r>
          </w:p>
        </w:tc>
        <w:tc>
          <w:tcPr>
            <w:tcW w:w="4414" w:type="dxa"/>
          </w:tcPr>
          <w:p w14:paraId="4B14E426" w14:textId="77777777" w:rsidR="00956AFA" w:rsidRPr="003B6453" w:rsidRDefault="00956AF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100%</w:t>
            </w:r>
          </w:p>
        </w:tc>
      </w:tr>
      <w:tr w:rsidR="00956AFA" w:rsidRPr="003B6453" w14:paraId="1ADD1D5D" w14:textId="77777777" w:rsidTr="00956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2CFFD176"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Mayo</w:t>
            </w:r>
          </w:p>
        </w:tc>
        <w:tc>
          <w:tcPr>
            <w:tcW w:w="4414" w:type="dxa"/>
          </w:tcPr>
          <w:p w14:paraId="6D135CD4" w14:textId="77777777" w:rsidR="00956AFA" w:rsidRPr="003B6453" w:rsidRDefault="00956AF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105%</w:t>
            </w:r>
          </w:p>
        </w:tc>
      </w:tr>
      <w:tr w:rsidR="00956AFA" w:rsidRPr="003B6453" w14:paraId="4EA8BFBE" w14:textId="77777777" w:rsidTr="00956AFA">
        <w:tc>
          <w:tcPr>
            <w:cnfStyle w:val="001000000000" w:firstRow="0" w:lastRow="0" w:firstColumn="1" w:lastColumn="0" w:oddVBand="0" w:evenVBand="0" w:oddHBand="0" w:evenHBand="0" w:firstRowFirstColumn="0" w:firstRowLastColumn="0" w:lastRowFirstColumn="0" w:lastRowLastColumn="0"/>
            <w:tcW w:w="4414" w:type="dxa"/>
          </w:tcPr>
          <w:p w14:paraId="2FBC4570"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Junio</w:t>
            </w:r>
          </w:p>
        </w:tc>
        <w:tc>
          <w:tcPr>
            <w:tcW w:w="4414" w:type="dxa"/>
          </w:tcPr>
          <w:p w14:paraId="64C0AC8E" w14:textId="77777777" w:rsidR="00956AFA" w:rsidRPr="003B6453" w:rsidRDefault="00956AF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110%</w:t>
            </w:r>
          </w:p>
        </w:tc>
      </w:tr>
      <w:tr w:rsidR="00956AFA" w:rsidRPr="003B6453" w14:paraId="5DD3F398" w14:textId="77777777" w:rsidTr="00956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3AD0B50A"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Julio</w:t>
            </w:r>
          </w:p>
        </w:tc>
        <w:tc>
          <w:tcPr>
            <w:tcW w:w="4414" w:type="dxa"/>
          </w:tcPr>
          <w:p w14:paraId="73BE1260" w14:textId="77777777" w:rsidR="00956AFA" w:rsidRPr="003B6453" w:rsidRDefault="00956AF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115%</w:t>
            </w:r>
          </w:p>
        </w:tc>
      </w:tr>
      <w:tr w:rsidR="00956AFA" w:rsidRPr="003B6453" w14:paraId="0F80926B" w14:textId="77777777" w:rsidTr="00956AFA">
        <w:tc>
          <w:tcPr>
            <w:cnfStyle w:val="001000000000" w:firstRow="0" w:lastRow="0" w:firstColumn="1" w:lastColumn="0" w:oddVBand="0" w:evenVBand="0" w:oddHBand="0" w:evenHBand="0" w:firstRowFirstColumn="0" w:firstRowLastColumn="0" w:lastRowFirstColumn="0" w:lastRowLastColumn="0"/>
            <w:tcW w:w="4414" w:type="dxa"/>
          </w:tcPr>
          <w:p w14:paraId="2734FED6"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Agosto</w:t>
            </w:r>
          </w:p>
        </w:tc>
        <w:tc>
          <w:tcPr>
            <w:tcW w:w="4414" w:type="dxa"/>
          </w:tcPr>
          <w:p w14:paraId="372131CF" w14:textId="77777777" w:rsidR="00956AFA" w:rsidRPr="003B6453" w:rsidRDefault="00956AF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110%</w:t>
            </w:r>
          </w:p>
        </w:tc>
      </w:tr>
      <w:tr w:rsidR="00956AFA" w:rsidRPr="003B6453" w14:paraId="06634274" w14:textId="77777777" w:rsidTr="00956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527DB989"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Septiembre</w:t>
            </w:r>
          </w:p>
        </w:tc>
        <w:tc>
          <w:tcPr>
            <w:tcW w:w="4414" w:type="dxa"/>
          </w:tcPr>
          <w:p w14:paraId="3C438C1F" w14:textId="77777777" w:rsidR="00956AFA" w:rsidRPr="003B6453" w:rsidRDefault="00956AF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100%</w:t>
            </w:r>
          </w:p>
        </w:tc>
      </w:tr>
      <w:tr w:rsidR="00956AFA" w:rsidRPr="003B6453" w14:paraId="26A54066" w14:textId="77777777" w:rsidTr="00956AFA">
        <w:tc>
          <w:tcPr>
            <w:cnfStyle w:val="001000000000" w:firstRow="0" w:lastRow="0" w:firstColumn="1" w:lastColumn="0" w:oddVBand="0" w:evenVBand="0" w:oddHBand="0" w:evenHBand="0" w:firstRowFirstColumn="0" w:firstRowLastColumn="0" w:lastRowFirstColumn="0" w:lastRowLastColumn="0"/>
            <w:tcW w:w="4414" w:type="dxa"/>
          </w:tcPr>
          <w:p w14:paraId="28F910AB"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Octubre</w:t>
            </w:r>
          </w:p>
        </w:tc>
        <w:tc>
          <w:tcPr>
            <w:tcW w:w="4414" w:type="dxa"/>
          </w:tcPr>
          <w:p w14:paraId="76013042" w14:textId="77777777" w:rsidR="00956AFA" w:rsidRPr="003B6453" w:rsidRDefault="00956AF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95%</w:t>
            </w:r>
          </w:p>
        </w:tc>
      </w:tr>
      <w:tr w:rsidR="00956AFA" w:rsidRPr="003B6453" w14:paraId="52A984DC" w14:textId="77777777" w:rsidTr="00956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14:paraId="2CA45C9A"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Noviembre</w:t>
            </w:r>
          </w:p>
        </w:tc>
        <w:tc>
          <w:tcPr>
            <w:tcW w:w="4414" w:type="dxa"/>
          </w:tcPr>
          <w:p w14:paraId="388147BA" w14:textId="77777777" w:rsidR="00956AFA" w:rsidRPr="003B6453" w:rsidRDefault="00956AFA"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110%</w:t>
            </w:r>
          </w:p>
        </w:tc>
      </w:tr>
      <w:tr w:rsidR="00956AFA" w:rsidRPr="003B6453" w14:paraId="0543BADF" w14:textId="77777777" w:rsidTr="00956AFA">
        <w:tc>
          <w:tcPr>
            <w:cnfStyle w:val="001000000000" w:firstRow="0" w:lastRow="0" w:firstColumn="1" w:lastColumn="0" w:oddVBand="0" w:evenVBand="0" w:oddHBand="0" w:evenHBand="0" w:firstRowFirstColumn="0" w:firstRowLastColumn="0" w:lastRowFirstColumn="0" w:lastRowLastColumn="0"/>
            <w:tcW w:w="4414" w:type="dxa"/>
          </w:tcPr>
          <w:p w14:paraId="4C5AC10A" w14:textId="77777777" w:rsidR="00956AFA" w:rsidRPr="003B6453" w:rsidRDefault="00956AFA"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Diciembre</w:t>
            </w:r>
          </w:p>
        </w:tc>
        <w:tc>
          <w:tcPr>
            <w:tcW w:w="4414" w:type="dxa"/>
          </w:tcPr>
          <w:p w14:paraId="50AC83A9" w14:textId="77777777" w:rsidR="00956AFA" w:rsidRPr="003B6453" w:rsidRDefault="00956AFA"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120%</w:t>
            </w:r>
          </w:p>
        </w:tc>
      </w:tr>
    </w:tbl>
    <w:p w14:paraId="0CA047E6"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Fuente: elaboración propia en base a Observatorio Económico de Neuquén (2024) y entrevistas al sector gastronómico.</w:t>
      </w:r>
    </w:p>
    <w:p w14:paraId="323189F3"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incorporación de esta estacionalidad permite comprender que el flujo de ingresos no es uniforme a lo largo del año, lo cual tiene implicancias directas en la gestión de caja, la planificación de turnos de personal y la programación de la producción. Los meses de invierno y diciembre funcionan como períodos de mayor generación de excedentes, mientras que los meses estivales requieren una administración más prudente de los recursos.</w:t>
      </w:r>
    </w:p>
    <w:p w14:paraId="7EBF4E11"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Sobre esta base se construyó la proyección de ventas y precios unitarios para el período 2025–2029, contemplando un crecimiento progresivo en volumen y una actualización del precio promedio.</w:t>
      </w:r>
    </w:p>
    <w:p w14:paraId="0C22D917" w14:textId="77777777" w:rsidR="00906981" w:rsidRPr="003B6453" w:rsidRDefault="00906981" w:rsidP="003B6453">
      <w:pPr>
        <w:spacing w:line="360" w:lineRule="auto"/>
        <w:jc w:val="both"/>
        <w:rPr>
          <w:rFonts w:ascii="Times New Roman" w:hAnsi="Times New Roman" w:cs="Times New Roman"/>
          <w:sz w:val="24"/>
          <w:szCs w:val="24"/>
          <w:lang w:val="es-AR"/>
        </w:rPr>
      </w:pPr>
    </w:p>
    <w:p w14:paraId="2FEF0506"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Tabla 17. Proyección de ventas y precios unitarios (2025–2029)</w:t>
      </w:r>
    </w:p>
    <w:tbl>
      <w:tblPr>
        <w:tblStyle w:val="GridTable4Accent1"/>
        <w:tblW w:w="0" w:type="auto"/>
        <w:tblLook w:val="04A0" w:firstRow="1" w:lastRow="0" w:firstColumn="1" w:lastColumn="0" w:noHBand="0" w:noVBand="1"/>
      </w:tblPr>
      <w:tblGrid>
        <w:gridCol w:w="2207"/>
        <w:gridCol w:w="2207"/>
        <w:gridCol w:w="2207"/>
        <w:gridCol w:w="2207"/>
      </w:tblGrid>
      <w:tr w:rsidR="00F8159F" w:rsidRPr="003B6453" w14:paraId="651E9EAD" w14:textId="77777777" w:rsidTr="00F815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42B1D1D7"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Año</w:t>
            </w:r>
          </w:p>
        </w:tc>
        <w:tc>
          <w:tcPr>
            <w:tcW w:w="2207" w:type="dxa"/>
          </w:tcPr>
          <w:p w14:paraId="3ACC0DDB"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Ventas (docenas)</w:t>
            </w:r>
          </w:p>
        </w:tc>
        <w:tc>
          <w:tcPr>
            <w:tcW w:w="2207" w:type="dxa"/>
          </w:tcPr>
          <w:p w14:paraId="413C61DA"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Precio promedio (USD)</w:t>
            </w:r>
          </w:p>
        </w:tc>
        <w:tc>
          <w:tcPr>
            <w:tcW w:w="2207" w:type="dxa"/>
          </w:tcPr>
          <w:p w14:paraId="4482B320"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Ventas totales (USD)</w:t>
            </w:r>
          </w:p>
        </w:tc>
      </w:tr>
      <w:tr w:rsidR="00F8159F" w:rsidRPr="003B6453" w14:paraId="67CAEC63" w14:textId="77777777" w:rsidTr="00F81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62BA3AB2"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2025</w:t>
            </w:r>
          </w:p>
        </w:tc>
        <w:tc>
          <w:tcPr>
            <w:tcW w:w="2207" w:type="dxa"/>
          </w:tcPr>
          <w:p w14:paraId="1D6AB56E"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67.950</w:t>
            </w:r>
          </w:p>
        </w:tc>
        <w:tc>
          <w:tcPr>
            <w:tcW w:w="2207" w:type="dxa"/>
          </w:tcPr>
          <w:p w14:paraId="21BEEC9E"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11,14</w:t>
            </w:r>
          </w:p>
        </w:tc>
        <w:tc>
          <w:tcPr>
            <w:tcW w:w="2207" w:type="dxa"/>
          </w:tcPr>
          <w:p w14:paraId="348830F5"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757.157</w:t>
            </w:r>
          </w:p>
        </w:tc>
      </w:tr>
      <w:tr w:rsidR="00F8159F" w:rsidRPr="003B6453" w14:paraId="3EAFE363" w14:textId="77777777" w:rsidTr="00F8159F">
        <w:tc>
          <w:tcPr>
            <w:cnfStyle w:val="001000000000" w:firstRow="0" w:lastRow="0" w:firstColumn="1" w:lastColumn="0" w:oddVBand="0" w:evenVBand="0" w:oddHBand="0" w:evenHBand="0" w:firstRowFirstColumn="0" w:firstRowLastColumn="0" w:lastRowFirstColumn="0" w:lastRowLastColumn="0"/>
            <w:tcW w:w="2207" w:type="dxa"/>
          </w:tcPr>
          <w:p w14:paraId="6EDB7372"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2026</w:t>
            </w:r>
          </w:p>
        </w:tc>
        <w:tc>
          <w:tcPr>
            <w:tcW w:w="2207" w:type="dxa"/>
          </w:tcPr>
          <w:p w14:paraId="73E8C250"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78.142</w:t>
            </w:r>
          </w:p>
        </w:tc>
        <w:tc>
          <w:tcPr>
            <w:tcW w:w="2207" w:type="dxa"/>
          </w:tcPr>
          <w:p w14:paraId="43737877"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12,81</w:t>
            </w:r>
          </w:p>
        </w:tc>
        <w:tc>
          <w:tcPr>
            <w:tcW w:w="2207" w:type="dxa"/>
          </w:tcPr>
          <w:p w14:paraId="3FE13B62"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1.001.340</w:t>
            </w:r>
          </w:p>
        </w:tc>
      </w:tr>
      <w:tr w:rsidR="00F8159F" w:rsidRPr="003B6453" w14:paraId="364960DB" w14:textId="77777777" w:rsidTr="00F81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7CB31D0F"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2027</w:t>
            </w:r>
          </w:p>
        </w:tc>
        <w:tc>
          <w:tcPr>
            <w:tcW w:w="2207" w:type="dxa"/>
          </w:tcPr>
          <w:p w14:paraId="7E6ECF51"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89.864</w:t>
            </w:r>
          </w:p>
        </w:tc>
        <w:tc>
          <w:tcPr>
            <w:tcW w:w="2207" w:type="dxa"/>
          </w:tcPr>
          <w:p w14:paraId="7C1454D4"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14,74</w:t>
            </w:r>
          </w:p>
        </w:tc>
        <w:tc>
          <w:tcPr>
            <w:tcW w:w="2207" w:type="dxa"/>
          </w:tcPr>
          <w:p w14:paraId="33073357"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1.324.273</w:t>
            </w:r>
          </w:p>
        </w:tc>
      </w:tr>
      <w:tr w:rsidR="00F8159F" w:rsidRPr="003B6453" w14:paraId="21D9C485" w14:textId="77777777" w:rsidTr="00F8159F">
        <w:tc>
          <w:tcPr>
            <w:cnfStyle w:val="001000000000" w:firstRow="0" w:lastRow="0" w:firstColumn="1" w:lastColumn="0" w:oddVBand="0" w:evenVBand="0" w:oddHBand="0" w:evenHBand="0" w:firstRowFirstColumn="0" w:firstRowLastColumn="0" w:lastRowFirstColumn="0" w:lastRowLastColumn="0"/>
            <w:tcW w:w="2207" w:type="dxa"/>
          </w:tcPr>
          <w:p w14:paraId="381579A4"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2028</w:t>
            </w:r>
          </w:p>
        </w:tc>
        <w:tc>
          <w:tcPr>
            <w:tcW w:w="2207" w:type="dxa"/>
          </w:tcPr>
          <w:p w14:paraId="2AE85861"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94.357</w:t>
            </w:r>
          </w:p>
        </w:tc>
        <w:tc>
          <w:tcPr>
            <w:tcW w:w="2207" w:type="dxa"/>
          </w:tcPr>
          <w:p w14:paraId="2E9345E0"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15,47</w:t>
            </w:r>
          </w:p>
        </w:tc>
        <w:tc>
          <w:tcPr>
            <w:tcW w:w="2207" w:type="dxa"/>
          </w:tcPr>
          <w:p w14:paraId="62EC6489"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1.460.011</w:t>
            </w:r>
          </w:p>
        </w:tc>
      </w:tr>
      <w:tr w:rsidR="00F8159F" w:rsidRPr="003B6453" w14:paraId="68CDA8CE" w14:textId="77777777" w:rsidTr="00F81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tcPr>
          <w:p w14:paraId="3A54F99C"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2029</w:t>
            </w:r>
          </w:p>
        </w:tc>
        <w:tc>
          <w:tcPr>
            <w:tcW w:w="2207" w:type="dxa"/>
          </w:tcPr>
          <w:p w14:paraId="68F8A099"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99.075</w:t>
            </w:r>
          </w:p>
        </w:tc>
        <w:tc>
          <w:tcPr>
            <w:tcW w:w="2207" w:type="dxa"/>
          </w:tcPr>
          <w:p w14:paraId="25360000"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16,25</w:t>
            </w:r>
          </w:p>
        </w:tc>
        <w:tc>
          <w:tcPr>
            <w:tcW w:w="2207" w:type="dxa"/>
          </w:tcPr>
          <w:p w14:paraId="23AAC17D"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1.609.662</w:t>
            </w:r>
          </w:p>
        </w:tc>
      </w:tr>
    </w:tbl>
    <w:p w14:paraId="6FC793DD" w14:textId="77777777" w:rsidR="00906981" w:rsidRPr="003B6453" w:rsidRDefault="00906981" w:rsidP="003B6453">
      <w:pPr>
        <w:spacing w:line="360" w:lineRule="auto"/>
        <w:jc w:val="both"/>
        <w:rPr>
          <w:rFonts w:ascii="Times New Roman" w:hAnsi="Times New Roman" w:cs="Times New Roman"/>
          <w:sz w:val="24"/>
          <w:szCs w:val="24"/>
          <w:lang w:val="es-AR"/>
        </w:rPr>
      </w:pPr>
    </w:p>
    <w:p w14:paraId="5680876F"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Fuente: elaboración propia a partir del modelo financiero (2025).</w:t>
      </w:r>
    </w:p>
    <w:p w14:paraId="5FB7460B" w14:textId="459413FF"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estructura de costos del proyecto contempla los principales rubros relevantes para una franquicia gastronómica: el Costo de Mercadería Vendida (CMV), los gastos operativos fijos y variables, y la amortización de la inversión inicial. En el primer año, el CMV representa aproximadamente el 65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de las ventas, reflejando el peso de los insumos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la mano de obra directa y los costos asociados a la producción artesanal. A medida que el negocio gana eficiencia y consolida acuerdos con proveedores regionales, este porcentaje se reduce levemente en los años siguientes.</w:t>
      </w:r>
    </w:p>
    <w:p w14:paraId="4AB8C48C"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El siguiente estado de resultados proyectado resume la evolución económica del negocio.</w:t>
      </w:r>
    </w:p>
    <w:p w14:paraId="49486860"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Tabla 18. Estado de Resultados proyectado – valores en USD</w:t>
      </w:r>
    </w:p>
    <w:tbl>
      <w:tblPr>
        <w:tblStyle w:val="GridTable4Accent1"/>
        <w:tblW w:w="0" w:type="auto"/>
        <w:tblLook w:val="04A0" w:firstRow="1" w:lastRow="0" w:firstColumn="1" w:lastColumn="0" w:noHBand="0" w:noVBand="1"/>
      </w:tblPr>
      <w:tblGrid>
        <w:gridCol w:w="1471"/>
        <w:gridCol w:w="1471"/>
        <w:gridCol w:w="1471"/>
        <w:gridCol w:w="1471"/>
        <w:gridCol w:w="1472"/>
        <w:gridCol w:w="1472"/>
      </w:tblGrid>
      <w:tr w:rsidR="00F8159F" w:rsidRPr="003B6453" w14:paraId="0FBA1009" w14:textId="77777777" w:rsidTr="00F815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63C2B575"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Año</w:t>
            </w:r>
          </w:p>
        </w:tc>
        <w:tc>
          <w:tcPr>
            <w:tcW w:w="1471" w:type="dxa"/>
          </w:tcPr>
          <w:p w14:paraId="3FB82D4F"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Ventas netas</w:t>
            </w:r>
          </w:p>
        </w:tc>
        <w:tc>
          <w:tcPr>
            <w:tcW w:w="1471" w:type="dxa"/>
          </w:tcPr>
          <w:p w14:paraId="17AF0771"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CMV</w:t>
            </w:r>
          </w:p>
        </w:tc>
        <w:tc>
          <w:tcPr>
            <w:tcW w:w="1471" w:type="dxa"/>
          </w:tcPr>
          <w:p w14:paraId="30BD486D"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Resultado bruto</w:t>
            </w:r>
          </w:p>
        </w:tc>
        <w:tc>
          <w:tcPr>
            <w:tcW w:w="1472" w:type="dxa"/>
          </w:tcPr>
          <w:p w14:paraId="68905749"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Gastos operativos</w:t>
            </w:r>
          </w:p>
        </w:tc>
        <w:tc>
          <w:tcPr>
            <w:tcW w:w="1472" w:type="dxa"/>
          </w:tcPr>
          <w:p w14:paraId="0471759F" w14:textId="77777777" w:rsidR="00F8159F" w:rsidRPr="003B6453" w:rsidRDefault="00F8159F"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Resultado operativo</w:t>
            </w:r>
          </w:p>
        </w:tc>
      </w:tr>
      <w:tr w:rsidR="00F8159F" w:rsidRPr="003B6453" w14:paraId="753CC4EE" w14:textId="77777777" w:rsidTr="00F81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7005D061"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2025</w:t>
            </w:r>
          </w:p>
        </w:tc>
        <w:tc>
          <w:tcPr>
            <w:tcW w:w="1471" w:type="dxa"/>
          </w:tcPr>
          <w:p w14:paraId="2A181266"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757.157</w:t>
            </w:r>
          </w:p>
        </w:tc>
        <w:tc>
          <w:tcPr>
            <w:tcW w:w="1471" w:type="dxa"/>
          </w:tcPr>
          <w:p w14:paraId="7886A1F3"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492.152</w:t>
            </w:r>
          </w:p>
        </w:tc>
        <w:tc>
          <w:tcPr>
            <w:tcW w:w="1471" w:type="dxa"/>
          </w:tcPr>
          <w:p w14:paraId="5FFFF1BE"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265.005</w:t>
            </w:r>
          </w:p>
        </w:tc>
        <w:tc>
          <w:tcPr>
            <w:tcW w:w="1472" w:type="dxa"/>
          </w:tcPr>
          <w:p w14:paraId="78E9F9A2"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180.000</w:t>
            </w:r>
          </w:p>
        </w:tc>
        <w:tc>
          <w:tcPr>
            <w:tcW w:w="1472" w:type="dxa"/>
          </w:tcPr>
          <w:p w14:paraId="431AC678"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85.005</w:t>
            </w:r>
          </w:p>
        </w:tc>
      </w:tr>
      <w:tr w:rsidR="00F8159F" w:rsidRPr="003B6453" w14:paraId="24C17ECA" w14:textId="77777777" w:rsidTr="00F8159F">
        <w:tc>
          <w:tcPr>
            <w:cnfStyle w:val="001000000000" w:firstRow="0" w:lastRow="0" w:firstColumn="1" w:lastColumn="0" w:oddVBand="0" w:evenVBand="0" w:oddHBand="0" w:evenHBand="0" w:firstRowFirstColumn="0" w:firstRowLastColumn="0" w:lastRowFirstColumn="0" w:lastRowLastColumn="0"/>
            <w:tcW w:w="1471" w:type="dxa"/>
          </w:tcPr>
          <w:p w14:paraId="375BC869"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2026</w:t>
            </w:r>
          </w:p>
        </w:tc>
        <w:tc>
          <w:tcPr>
            <w:tcW w:w="1471" w:type="dxa"/>
          </w:tcPr>
          <w:p w14:paraId="572437FD"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1.001.340</w:t>
            </w:r>
          </w:p>
        </w:tc>
        <w:tc>
          <w:tcPr>
            <w:tcW w:w="1471" w:type="dxa"/>
          </w:tcPr>
          <w:p w14:paraId="2384C891"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650.871</w:t>
            </w:r>
          </w:p>
        </w:tc>
        <w:tc>
          <w:tcPr>
            <w:tcW w:w="1471" w:type="dxa"/>
          </w:tcPr>
          <w:p w14:paraId="380F2C7B"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350.469</w:t>
            </w:r>
          </w:p>
        </w:tc>
        <w:tc>
          <w:tcPr>
            <w:tcW w:w="1472" w:type="dxa"/>
          </w:tcPr>
          <w:p w14:paraId="392A414D"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200.000</w:t>
            </w:r>
          </w:p>
        </w:tc>
        <w:tc>
          <w:tcPr>
            <w:tcW w:w="1472" w:type="dxa"/>
          </w:tcPr>
          <w:p w14:paraId="2517FFEA"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150.469</w:t>
            </w:r>
          </w:p>
        </w:tc>
      </w:tr>
      <w:tr w:rsidR="00F8159F" w:rsidRPr="003B6453" w14:paraId="56C801A9" w14:textId="77777777" w:rsidTr="00F81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2E29C980"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2027</w:t>
            </w:r>
          </w:p>
        </w:tc>
        <w:tc>
          <w:tcPr>
            <w:tcW w:w="1471" w:type="dxa"/>
          </w:tcPr>
          <w:p w14:paraId="1423FD3C"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1.324.273</w:t>
            </w:r>
          </w:p>
        </w:tc>
        <w:tc>
          <w:tcPr>
            <w:tcW w:w="1471" w:type="dxa"/>
          </w:tcPr>
          <w:p w14:paraId="43B69015"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860.777</w:t>
            </w:r>
          </w:p>
        </w:tc>
        <w:tc>
          <w:tcPr>
            <w:tcW w:w="1471" w:type="dxa"/>
          </w:tcPr>
          <w:p w14:paraId="4DC252B0"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463.496</w:t>
            </w:r>
          </w:p>
        </w:tc>
        <w:tc>
          <w:tcPr>
            <w:tcW w:w="1472" w:type="dxa"/>
          </w:tcPr>
          <w:p w14:paraId="32EB1AB5"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220.000</w:t>
            </w:r>
          </w:p>
        </w:tc>
        <w:tc>
          <w:tcPr>
            <w:tcW w:w="1472" w:type="dxa"/>
          </w:tcPr>
          <w:p w14:paraId="006C5365"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243.496</w:t>
            </w:r>
          </w:p>
        </w:tc>
      </w:tr>
      <w:tr w:rsidR="00F8159F" w:rsidRPr="003B6453" w14:paraId="04C2BB03" w14:textId="77777777" w:rsidTr="00F8159F">
        <w:tc>
          <w:tcPr>
            <w:cnfStyle w:val="001000000000" w:firstRow="0" w:lastRow="0" w:firstColumn="1" w:lastColumn="0" w:oddVBand="0" w:evenVBand="0" w:oddHBand="0" w:evenHBand="0" w:firstRowFirstColumn="0" w:firstRowLastColumn="0" w:lastRowFirstColumn="0" w:lastRowLastColumn="0"/>
            <w:tcW w:w="1471" w:type="dxa"/>
          </w:tcPr>
          <w:p w14:paraId="51F4A489"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2028</w:t>
            </w:r>
          </w:p>
        </w:tc>
        <w:tc>
          <w:tcPr>
            <w:tcW w:w="1471" w:type="dxa"/>
          </w:tcPr>
          <w:p w14:paraId="3158EF8A"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1.460.011</w:t>
            </w:r>
          </w:p>
        </w:tc>
        <w:tc>
          <w:tcPr>
            <w:tcW w:w="1471" w:type="dxa"/>
          </w:tcPr>
          <w:p w14:paraId="3BEA5DD2"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949.007</w:t>
            </w:r>
          </w:p>
        </w:tc>
        <w:tc>
          <w:tcPr>
            <w:tcW w:w="1471" w:type="dxa"/>
          </w:tcPr>
          <w:p w14:paraId="291E0F37"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511.004</w:t>
            </w:r>
          </w:p>
        </w:tc>
        <w:tc>
          <w:tcPr>
            <w:tcW w:w="1472" w:type="dxa"/>
          </w:tcPr>
          <w:p w14:paraId="013A873A"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230.000</w:t>
            </w:r>
          </w:p>
        </w:tc>
        <w:tc>
          <w:tcPr>
            <w:tcW w:w="1472" w:type="dxa"/>
          </w:tcPr>
          <w:p w14:paraId="3D62722B" w14:textId="77777777" w:rsidR="00F8159F" w:rsidRPr="003B6453" w:rsidRDefault="00F8159F"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281.004</w:t>
            </w:r>
          </w:p>
        </w:tc>
      </w:tr>
      <w:tr w:rsidR="00F8159F" w:rsidRPr="003B6453" w14:paraId="38FF3533" w14:textId="77777777" w:rsidTr="00F815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3D8D036F" w14:textId="77777777" w:rsidR="00F8159F" w:rsidRPr="003B6453" w:rsidRDefault="00F8159F"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2029</w:t>
            </w:r>
          </w:p>
        </w:tc>
        <w:tc>
          <w:tcPr>
            <w:tcW w:w="1471" w:type="dxa"/>
          </w:tcPr>
          <w:p w14:paraId="65C98CA4"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1.609.662</w:t>
            </w:r>
          </w:p>
        </w:tc>
        <w:tc>
          <w:tcPr>
            <w:tcW w:w="1471" w:type="dxa"/>
          </w:tcPr>
          <w:p w14:paraId="00256F2F"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1.046.280</w:t>
            </w:r>
          </w:p>
        </w:tc>
        <w:tc>
          <w:tcPr>
            <w:tcW w:w="1471" w:type="dxa"/>
          </w:tcPr>
          <w:p w14:paraId="37271E5D"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563.382</w:t>
            </w:r>
          </w:p>
        </w:tc>
        <w:tc>
          <w:tcPr>
            <w:tcW w:w="1472" w:type="dxa"/>
          </w:tcPr>
          <w:p w14:paraId="72C4A9C7"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240.000</w:t>
            </w:r>
          </w:p>
        </w:tc>
        <w:tc>
          <w:tcPr>
            <w:tcW w:w="1472" w:type="dxa"/>
          </w:tcPr>
          <w:p w14:paraId="7DB23744" w14:textId="77777777" w:rsidR="00F8159F" w:rsidRPr="003B6453" w:rsidRDefault="00F8159F"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323.382</w:t>
            </w:r>
          </w:p>
        </w:tc>
      </w:tr>
    </w:tbl>
    <w:p w14:paraId="49EEDE66"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Fuente: elaboración propia en base al modelo financiero (2025).</w:t>
      </w:r>
    </w:p>
    <w:p w14:paraId="2AA66233" w14:textId="3D587FC4"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La evolución del resultado operativo evidencia una mejora progresiva de los márgenes. El margen bruto pasa de aproximadamente 35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en el primer año a valores superiores al 40</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hacia el final del período, impulsado por el crecimiento del volumen, la estabilización de los costos fijos y el aprovechamiento de economías de escala propias del formato de franquicia.</w:t>
      </w:r>
    </w:p>
    <w:p w14:paraId="6C0CED87"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A partir de los flujos de fondos generados se calcularon los principales indicadores financieros utilizados para evaluar la conveniencia de la inversión: Valor Actual Neto (VAN), Tasa Interna de Retorno (TIR) y Período de Recupero de la Inversión (</w:t>
      </w:r>
      <w:proofErr w:type="spellStart"/>
      <w:r w:rsidRPr="003B6453">
        <w:rPr>
          <w:rFonts w:ascii="Times New Roman" w:hAnsi="Times New Roman" w:cs="Times New Roman"/>
          <w:sz w:val="24"/>
          <w:szCs w:val="24"/>
          <w:lang w:val="es-AR"/>
        </w:rPr>
        <w:t>Payback</w:t>
      </w:r>
      <w:proofErr w:type="spellEnd"/>
      <w:r w:rsidRPr="003B6453">
        <w:rPr>
          <w:rFonts w:ascii="Times New Roman" w:hAnsi="Times New Roman" w:cs="Times New Roman"/>
          <w:sz w:val="24"/>
          <w:szCs w:val="24"/>
          <w:lang w:val="es-AR"/>
        </w:rPr>
        <w:t>).</w:t>
      </w:r>
    </w:p>
    <w:p w14:paraId="1571F005"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Tabla 19. Indicadores financieros del proyecto</w:t>
      </w:r>
    </w:p>
    <w:tbl>
      <w:tblPr>
        <w:tblStyle w:val="GridTable4Accent1"/>
        <w:tblW w:w="0" w:type="auto"/>
        <w:tblLook w:val="04A0" w:firstRow="1" w:lastRow="0" w:firstColumn="1" w:lastColumn="0" w:noHBand="0" w:noVBand="1"/>
      </w:tblPr>
      <w:tblGrid>
        <w:gridCol w:w="2942"/>
        <w:gridCol w:w="2943"/>
        <w:gridCol w:w="2943"/>
      </w:tblGrid>
      <w:tr w:rsidR="00E83747" w:rsidRPr="003B6453" w14:paraId="2AE5DA0A" w14:textId="77777777" w:rsidTr="00E837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0132601F" w14:textId="77777777" w:rsidR="00E83747" w:rsidRPr="003B6453" w:rsidRDefault="00E8374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Indicador</w:t>
            </w:r>
          </w:p>
        </w:tc>
        <w:tc>
          <w:tcPr>
            <w:tcW w:w="2943" w:type="dxa"/>
          </w:tcPr>
          <w:p w14:paraId="049E281B" w14:textId="77777777" w:rsidR="00E83747" w:rsidRPr="003B6453" w:rsidRDefault="00E83747"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Resultado</w:t>
            </w:r>
          </w:p>
        </w:tc>
        <w:tc>
          <w:tcPr>
            <w:tcW w:w="2943" w:type="dxa"/>
          </w:tcPr>
          <w:p w14:paraId="4275590B" w14:textId="77777777" w:rsidR="00E83747" w:rsidRPr="003B6453" w:rsidRDefault="00E83747"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Interpretación</w:t>
            </w:r>
          </w:p>
        </w:tc>
      </w:tr>
      <w:tr w:rsidR="00E83747" w:rsidRPr="003B6453" w14:paraId="59A16F28" w14:textId="77777777" w:rsidTr="00E83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4EEA8075" w14:textId="77777777" w:rsidR="00E83747" w:rsidRPr="003B6453" w:rsidRDefault="00E8374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VAN</w:t>
            </w:r>
          </w:p>
        </w:tc>
        <w:tc>
          <w:tcPr>
            <w:tcW w:w="2943" w:type="dxa"/>
          </w:tcPr>
          <w:p w14:paraId="154EE5A5"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USD 1.674.374</w:t>
            </w:r>
          </w:p>
        </w:tc>
        <w:tc>
          <w:tcPr>
            <w:tcW w:w="2943" w:type="dxa"/>
          </w:tcPr>
          <w:p w14:paraId="0ECC95F4"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Genera valor presente neto positivo respecto al costo de capital</w:t>
            </w:r>
          </w:p>
        </w:tc>
      </w:tr>
      <w:tr w:rsidR="00E83747" w:rsidRPr="003B6453" w14:paraId="37B7A9A3" w14:textId="77777777" w:rsidTr="00E83747">
        <w:tc>
          <w:tcPr>
            <w:cnfStyle w:val="001000000000" w:firstRow="0" w:lastRow="0" w:firstColumn="1" w:lastColumn="0" w:oddVBand="0" w:evenVBand="0" w:oddHBand="0" w:evenHBand="0" w:firstRowFirstColumn="0" w:firstRowLastColumn="0" w:lastRowFirstColumn="0" w:lastRowLastColumn="0"/>
            <w:tcW w:w="2942" w:type="dxa"/>
          </w:tcPr>
          <w:p w14:paraId="2132303E" w14:textId="77777777" w:rsidR="00E83747" w:rsidRPr="003B6453" w:rsidRDefault="00E8374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TIR</w:t>
            </w:r>
          </w:p>
        </w:tc>
        <w:tc>
          <w:tcPr>
            <w:tcW w:w="2943" w:type="dxa"/>
          </w:tcPr>
          <w:p w14:paraId="1D7184C8" w14:textId="77777777" w:rsidR="00E83747" w:rsidRPr="003B6453" w:rsidRDefault="00E83747"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144,9%</w:t>
            </w:r>
          </w:p>
        </w:tc>
        <w:tc>
          <w:tcPr>
            <w:tcW w:w="2943" w:type="dxa"/>
          </w:tcPr>
          <w:p w14:paraId="26FFA05C" w14:textId="77777777" w:rsidR="00E83747" w:rsidRPr="003B6453" w:rsidRDefault="00E83747"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Supera ampliamente el rendimiento promedio del sector</w:t>
            </w:r>
          </w:p>
        </w:tc>
      </w:tr>
      <w:tr w:rsidR="00E83747" w:rsidRPr="003B6453" w14:paraId="03EAF55B" w14:textId="77777777" w:rsidTr="00E83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1BF39F3E" w14:textId="77777777" w:rsidR="00E83747" w:rsidRPr="003B6453" w:rsidRDefault="00E83747" w:rsidP="003B6453">
            <w:pPr>
              <w:spacing w:line="360" w:lineRule="auto"/>
              <w:jc w:val="both"/>
              <w:rPr>
                <w:rFonts w:ascii="Times New Roman" w:hAnsi="Times New Roman" w:cs="Times New Roman"/>
                <w:sz w:val="24"/>
                <w:szCs w:val="24"/>
                <w:lang w:val="es-AR"/>
              </w:rPr>
            </w:pPr>
            <w:proofErr w:type="spellStart"/>
            <w:r w:rsidRPr="003B6453">
              <w:rPr>
                <w:rFonts w:ascii="Times New Roman" w:hAnsi="Times New Roman" w:cs="Times New Roman"/>
                <w:sz w:val="24"/>
                <w:szCs w:val="24"/>
                <w:lang w:val="es-AR"/>
              </w:rPr>
              <w:t>Payback</w:t>
            </w:r>
            <w:proofErr w:type="spellEnd"/>
          </w:p>
        </w:tc>
        <w:tc>
          <w:tcPr>
            <w:tcW w:w="2943" w:type="dxa"/>
          </w:tcPr>
          <w:p w14:paraId="6C30DCDF"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1,1 años</w:t>
            </w:r>
          </w:p>
        </w:tc>
        <w:tc>
          <w:tcPr>
            <w:tcW w:w="2943" w:type="dxa"/>
          </w:tcPr>
          <w:p w14:paraId="29963E90"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Recuperación rápida del capital invertido</w:t>
            </w:r>
          </w:p>
        </w:tc>
      </w:tr>
    </w:tbl>
    <w:p w14:paraId="6513BF8D"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Fuente: elaboración propia a partir del modelo financiero (2025).</w:t>
      </w:r>
    </w:p>
    <w:p w14:paraId="77DEE76C"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Los valores obtenidos indican una rentabilidad elevada y un riesgo financiero acotado. La rápida recuperación de la inversión reduce la exposición al contexto macroeconómico adverso y mejora el atractivo del proyecto tanto para inversores individuales como para potenciales franquiciados.</w:t>
      </w:r>
    </w:p>
    <w:p w14:paraId="51BE86BE" w14:textId="7A050D34"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Con el objetivo de evaluar la robustez del modelo frente a cambios en las variables clave, se realizó un análisis de sensibilidad considerando escenarios alternativos. El escenario pesimista contempla una caída del 15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en las ventas del primer año, sin crecimiento posterior, y un incremento del 10</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en los costos. El escenario optimista asume ventas 15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superiores y una reducción del 5</w:t>
      </w:r>
      <w:r w:rsidR="005419BE" w:rsidRPr="003B6453">
        <w:rPr>
          <w:rFonts w:ascii="Times New Roman" w:hAnsi="Times New Roman" w:cs="Times New Roman"/>
          <w:sz w:val="24"/>
          <w:szCs w:val="24"/>
          <w:lang w:val="es-AR"/>
        </w:rPr>
        <w:t>%</w:t>
      </w:r>
      <w:r w:rsidRPr="003B6453">
        <w:rPr>
          <w:rFonts w:ascii="Times New Roman" w:hAnsi="Times New Roman" w:cs="Times New Roman"/>
          <w:sz w:val="24"/>
          <w:szCs w:val="24"/>
          <w:lang w:val="es-AR"/>
        </w:rPr>
        <w:t xml:space="preserve"> en los costos.</w:t>
      </w:r>
    </w:p>
    <w:p w14:paraId="6F6E7299"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Tabla 20. Escenarios de sensibilidad económica</w:t>
      </w:r>
    </w:p>
    <w:tbl>
      <w:tblPr>
        <w:tblStyle w:val="GridTable5DarkAccent1"/>
        <w:tblW w:w="0" w:type="auto"/>
        <w:tblLook w:val="04A0" w:firstRow="1" w:lastRow="0" w:firstColumn="1" w:lastColumn="0" w:noHBand="0" w:noVBand="1"/>
      </w:tblPr>
      <w:tblGrid>
        <w:gridCol w:w="1471"/>
        <w:gridCol w:w="1471"/>
        <w:gridCol w:w="1471"/>
        <w:gridCol w:w="1471"/>
        <w:gridCol w:w="1472"/>
        <w:gridCol w:w="1472"/>
      </w:tblGrid>
      <w:tr w:rsidR="00E83747" w:rsidRPr="003B6453" w14:paraId="53634BA0" w14:textId="77777777" w:rsidTr="00E837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25EE10CB" w14:textId="77777777" w:rsidR="00E83747" w:rsidRPr="003B6453" w:rsidRDefault="00E8374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Escenario</w:t>
            </w:r>
          </w:p>
        </w:tc>
        <w:tc>
          <w:tcPr>
            <w:tcW w:w="1471" w:type="dxa"/>
          </w:tcPr>
          <w:p w14:paraId="3906F0F2" w14:textId="77777777" w:rsidR="00E83747" w:rsidRPr="003B6453" w:rsidRDefault="00E83747"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Ventas</w:t>
            </w:r>
          </w:p>
        </w:tc>
        <w:tc>
          <w:tcPr>
            <w:tcW w:w="1471" w:type="dxa"/>
          </w:tcPr>
          <w:p w14:paraId="5A564C67" w14:textId="77777777" w:rsidR="00E83747" w:rsidRPr="003B6453" w:rsidRDefault="00E83747"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Costos</w:t>
            </w:r>
          </w:p>
        </w:tc>
        <w:tc>
          <w:tcPr>
            <w:tcW w:w="1471" w:type="dxa"/>
          </w:tcPr>
          <w:p w14:paraId="3BBDF91D" w14:textId="77777777" w:rsidR="00E83747" w:rsidRPr="003B6453" w:rsidRDefault="00E83747"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VAN (USD)</w:t>
            </w:r>
          </w:p>
        </w:tc>
        <w:tc>
          <w:tcPr>
            <w:tcW w:w="1472" w:type="dxa"/>
          </w:tcPr>
          <w:p w14:paraId="020AA462" w14:textId="77777777" w:rsidR="00E83747" w:rsidRPr="003B6453" w:rsidRDefault="00E83747"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TIR</w:t>
            </w:r>
          </w:p>
        </w:tc>
        <w:tc>
          <w:tcPr>
            <w:tcW w:w="1472" w:type="dxa"/>
          </w:tcPr>
          <w:p w14:paraId="6D50E4B8" w14:textId="77777777" w:rsidR="00E83747" w:rsidRPr="003B6453" w:rsidRDefault="00E83747" w:rsidP="003B6453">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proofErr w:type="spellStart"/>
            <w:r w:rsidRPr="003B6453">
              <w:rPr>
                <w:rFonts w:ascii="Times New Roman" w:hAnsi="Times New Roman" w:cs="Times New Roman"/>
                <w:sz w:val="24"/>
                <w:szCs w:val="24"/>
                <w:lang w:val="es-AR"/>
              </w:rPr>
              <w:t>Payback</w:t>
            </w:r>
            <w:proofErr w:type="spellEnd"/>
            <w:r w:rsidRPr="003B6453">
              <w:rPr>
                <w:rFonts w:ascii="Times New Roman" w:hAnsi="Times New Roman" w:cs="Times New Roman"/>
                <w:sz w:val="24"/>
                <w:szCs w:val="24"/>
                <w:lang w:val="es-AR"/>
              </w:rPr>
              <w:t xml:space="preserve"> (años)</w:t>
            </w:r>
          </w:p>
        </w:tc>
      </w:tr>
      <w:tr w:rsidR="00E83747" w:rsidRPr="003B6453" w14:paraId="195D8AF5" w14:textId="77777777" w:rsidTr="00E83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23590F5F" w14:textId="77777777" w:rsidR="00E83747" w:rsidRPr="003B6453" w:rsidRDefault="00E8374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Optimista</w:t>
            </w:r>
          </w:p>
        </w:tc>
        <w:tc>
          <w:tcPr>
            <w:tcW w:w="1471" w:type="dxa"/>
          </w:tcPr>
          <w:p w14:paraId="2AAF659D"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+15%</w:t>
            </w:r>
          </w:p>
        </w:tc>
        <w:tc>
          <w:tcPr>
            <w:tcW w:w="1471" w:type="dxa"/>
          </w:tcPr>
          <w:p w14:paraId="25D9F10F"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−5%</w:t>
            </w:r>
          </w:p>
        </w:tc>
        <w:tc>
          <w:tcPr>
            <w:tcW w:w="1471" w:type="dxa"/>
          </w:tcPr>
          <w:p w14:paraId="350188B1"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2.328.074</w:t>
            </w:r>
          </w:p>
        </w:tc>
        <w:tc>
          <w:tcPr>
            <w:tcW w:w="1472" w:type="dxa"/>
          </w:tcPr>
          <w:p w14:paraId="16E5C9A4"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186,7%</w:t>
            </w:r>
          </w:p>
        </w:tc>
        <w:tc>
          <w:tcPr>
            <w:tcW w:w="1472" w:type="dxa"/>
          </w:tcPr>
          <w:p w14:paraId="08755C2B"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0,9</w:t>
            </w:r>
          </w:p>
        </w:tc>
      </w:tr>
      <w:tr w:rsidR="00E83747" w:rsidRPr="003B6453" w14:paraId="50DE67C3" w14:textId="77777777" w:rsidTr="00E83747">
        <w:tc>
          <w:tcPr>
            <w:cnfStyle w:val="001000000000" w:firstRow="0" w:lastRow="0" w:firstColumn="1" w:lastColumn="0" w:oddVBand="0" w:evenVBand="0" w:oddHBand="0" w:evenHBand="0" w:firstRowFirstColumn="0" w:firstRowLastColumn="0" w:lastRowFirstColumn="0" w:lastRowLastColumn="0"/>
            <w:tcW w:w="1471" w:type="dxa"/>
          </w:tcPr>
          <w:p w14:paraId="34A8885C" w14:textId="77777777" w:rsidR="00E83747" w:rsidRPr="003B6453" w:rsidRDefault="00E8374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Base</w:t>
            </w:r>
          </w:p>
        </w:tc>
        <w:tc>
          <w:tcPr>
            <w:tcW w:w="1471" w:type="dxa"/>
          </w:tcPr>
          <w:p w14:paraId="40840378" w14:textId="77777777" w:rsidR="00E83747" w:rsidRPr="003B6453" w:rsidRDefault="00E83747"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0%</w:t>
            </w:r>
          </w:p>
        </w:tc>
        <w:tc>
          <w:tcPr>
            <w:tcW w:w="1471" w:type="dxa"/>
          </w:tcPr>
          <w:p w14:paraId="2385E877" w14:textId="77777777" w:rsidR="00E83747" w:rsidRPr="003B6453" w:rsidRDefault="00E83747"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0%</w:t>
            </w:r>
          </w:p>
        </w:tc>
        <w:tc>
          <w:tcPr>
            <w:tcW w:w="1471" w:type="dxa"/>
          </w:tcPr>
          <w:p w14:paraId="6333D6D9" w14:textId="77777777" w:rsidR="00E83747" w:rsidRPr="003B6453" w:rsidRDefault="00E83747"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1.674.374</w:t>
            </w:r>
          </w:p>
        </w:tc>
        <w:tc>
          <w:tcPr>
            <w:tcW w:w="1472" w:type="dxa"/>
          </w:tcPr>
          <w:p w14:paraId="56C636D2" w14:textId="77777777" w:rsidR="00E83747" w:rsidRPr="003B6453" w:rsidRDefault="00E83747"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144,9%</w:t>
            </w:r>
          </w:p>
        </w:tc>
        <w:tc>
          <w:tcPr>
            <w:tcW w:w="1472" w:type="dxa"/>
          </w:tcPr>
          <w:p w14:paraId="0D31F706" w14:textId="77777777" w:rsidR="00E83747" w:rsidRPr="003B6453" w:rsidRDefault="00E83747" w:rsidP="003B645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1,1</w:t>
            </w:r>
          </w:p>
        </w:tc>
      </w:tr>
      <w:tr w:rsidR="00E83747" w:rsidRPr="003B6453" w14:paraId="18EA3695" w14:textId="77777777" w:rsidTr="00E83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7F3F81B9" w14:textId="77777777" w:rsidR="00E83747" w:rsidRPr="003B6453" w:rsidRDefault="00E83747"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Pesimista</w:t>
            </w:r>
          </w:p>
        </w:tc>
        <w:tc>
          <w:tcPr>
            <w:tcW w:w="1471" w:type="dxa"/>
          </w:tcPr>
          <w:p w14:paraId="426086E6"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−15%</w:t>
            </w:r>
          </w:p>
        </w:tc>
        <w:tc>
          <w:tcPr>
            <w:tcW w:w="1471" w:type="dxa"/>
          </w:tcPr>
          <w:p w14:paraId="0C240697"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+10%</w:t>
            </w:r>
          </w:p>
        </w:tc>
        <w:tc>
          <w:tcPr>
            <w:tcW w:w="1471" w:type="dxa"/>
          </w:tcPr>
          <w:p w14:paraId="5D1D8AF2"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329.000</w:t>
            </w:r>
          </w:p>
        </w:tc>
        <w:tc>
          <w:tcPr>
            <w:tcW w:w="1472" w:type="dxa"/>
          </w:tcPr>
          <w:p w14:paraId="516859AD"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60,9%</w:t>
            </w:r>
          </w:p>
        </w:tc>
        <w:tc>
          <w:tcPr>
            <w:tcW w:w="1472" w:type="dxa"/>
          </w:tcPr>
          <w:p w14:paraId="2B45340A" w14:textId="77777777" w:rsidR="00E83747" w:rsidRPr="003B6453" w:rsidRDefault="00E83747" w:rsidP="003B645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AR"/>
              </w:rPr>
            </w:pPr>
            <w:r w:rsidRPr="003B6453">
              <w:rPr>
                <w:rFonts w:ascii="Times New Roman" w:hAnsi="Times New Roman" w:cs="Times New Roman"/>
                <w:sz w:val="24"/>
                <w:szCs w:val="24"/>
                <w:lang w:val="es-AR"/>
              </w:rPr>
              <w:t>2,6</w:t>
            </w:r>
          </w:p>
        </w:tc>
      </w:tr>
    </w:tbl>
    <w:p w14:paraId="3BEC36AC"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Fuente: elaboración propia a partir del modelo financiero (2025).</w:t>
      </w:r>
    </w:p>
    <w:p w14:paraId="6B72A7A3" w14:textId="77777777" w:rsidR="00906981"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Aun en el escenario más desfavorable, el proyecto mantiene un VAN positivo y una TIR superior al costo de capital promedio, lo que confirma su </w:t>
      </w:r>
      <w:proofErr w:type="spellStart"/>
      <w:r w:rsidRPr="003B6453">
        <w:rPr>
          <w:rFonts w:ascii="Times New Roman" w:hAnsi="Times New Roman" w:cs="Times New Roman"/>
          <w:sz w:val="24"/>
          <w:szCs w:val="24"/>
          <w:lang w:val="es-AR"/>
        </w:rPr>
        <w:t>resiliencia</w:t>
      </w:r>
      <w:proofErr w:type="spellEnd"/>
      <w:r w:rsidRPr="003B6453">
        <w:rPr>
          <w:rFonts w:ascii="Times New Roman" w:hAnsi="Times New Roman" w:cs="Times New Roman"/>
          <w:sz w:val="24"/>
          <w:szCs w:val="24"/>
          <w:lang w:val="es-AR"/>
        </w:rPr>
        <w:t xml:space="preserve"> económica. Esta </w:t>
      </w:r>
      <w:r w:rsidRPr="003B6453">
        <w:rPr>
          <w:rFonts w:ascii="Times New Roman" w:hAnsi="Times New Roman" w:cs="Times New Roman"/>
          <w:sz w:val="24"/>
          <w:szCs w:val="24"/>
          <w:lang w:val="es-AR"/>
        </w:rPr>
        <w:lastRenderedPageBreak/>
        <w:t>robustez resulta especialmente relevante en un contexto como el argentino, caracterizado por alta inflación, volatilidad cambiaria e incertidumbre regulatoria.</w:t>
      </w:r>
    </w:p>
    <w:p w14:paraId="695801A0" w14:textId="44341C2C" w:rsidR="00633533" w:rsidRPr="003B6453" w:rsidRDefault="00906981"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síntesis, el análisis económico-financiero demuestra que el modelo de franquicia de medialunas gourmet en el Alto Valle es viable, rentable y capaz de generar valor sostenido en el tiempo. La estructura de ingresos y costos permite márgenes competitivos, la recuperación de la inversión es rápida y la sensibilidad del proyecto frente a escenarios adversos se mantiene dentro de parámetros aceptables. Estos resultados validan empíricamente la hipótesis planteada en los capítulos iniciales y constituyen un fundamento sólido para las conclusiones y recomendaciones estratégicas que se desarrollan en el capítulo siguiente.</w:t>
      </w:r>
    </w:p>
    <w:p w14:paraId="08802F87" w14:textId="638CC956" w:rsidR="00BA2053" w:rsidRPr="003B6453" w:rsidRDefault="0047438D" w:rsidP="003B6453">
      <w:pPr>
        <w:pStyle w:val="Ttulo1"/>
        <w:spacing w:line="360" w:lineRule="auto"/>
        <w:jc w:val="both"/>
        <w:rPr>
          <w:rFonts w:ascii="Times New Roman" w:hAnsi="Times New Roman" w:cs="Times New Roman"/>
          <w:sz w:val="24"/>
          <w:szCs w:val="24"/>
          <w:lang w:val="es-AR"/>
        </w:rPr>
      </w:pPr>
      <w:bookmarkStart w:id="25" w:name="_Toc228546592"/>
      <w:bookmarkEnd w:id="0"/>
      <w:r w:rsidRPr="003B6453">
        <w:rPr>
          <w:rFonts w:ascii="Times New Roman" w:hAnsi="Times New Roman" w:cs="Times New Roman"/>
          <w:sz w:val="24"/>
          <w:szCs w:val="24"/>
          <w:lang w:val="es-AR"/>
        </w:rPr>
        <w:t xml:space="preserve">Capítulo </w:t>
      </w:r>
      <w:r w:rsidR="00633533" w:rsidRPr="003B6453">
        <w:rPr>
          <w:rFonts w:ascii="Times New Roman" w:hAnsi="Times New Roman" w:cs="Times New Roman"/>
          <w:sz w:val="24"/>
          <w:szCs w:val="24"/>
          <w:lang w:val="es-AR"/>
        </w:rPr>
        <w:t>6</w:t>
      </w:r>
      <w:r w:rsidRPr="003B6453">
        <w:rPr>
          <w:rFonts w:ascii="Times New Roman" w:hAnsi="Times New Roman" w:cs="Times New Roman"/>
          <w:sz w:val="24"/>
          <w:szCs w:val="24"/>
          <w:lang w:val="es-AR"/>
        </w:rPr>
        <w:t xml:space="preserve"> – Conclusiones y recomendaciones</w:t>
      </w:r>
      <w:bookmarkEnd w:id="25"/>
      <w:r w:rsidR="00906981" w:rsidRPr="003B6453">
        <w:rPr>
          <w:rFonts w:ascii="Times New Roman" w:hAnsi="Times New Roman" w:cs="Times New Roman"/>
          <w:sz w:val="24"/>
          <w:szCs w:val="24"/>
          <w:lang w:val="es-AR"/>
        </w:rPr>
        <w:t xml:space="preserve"> </w:t>
      </w:r>
    </w:p>
    <w:p w14:paraId="19A1C2A9" w14:textId="77777777" w:rsidR="00E83747"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La presente investigación tuvo como objetivo analizar la factibilidad integral de implementar una franquicia gastronómica especializada en medialunas gourmet en el Alto Valle de Neuquén y Río Negro, evaluando su viabilidad desde las dimensiones estratégica, comercial, organizacional y económico-financiera. Para ello, se integraron marcos teóricos del </w:t>
      </w:r>
      <w:proofErr w:type="spellStart"/>
      <w:r w:rsidRPr="003B6453">
        <w:rPr>
          <w:rFonts w:ascii="Times New Roman" w:hAnsi="Times New Roman" w:cs="Times New Roman"/>
          <w:sz w:val="24"/>
          <w:szCs w:val="24"/>
          <w:lang w:val="es-AR"/>
        </w:rPr>
        <w:t>management</w:t>
      </w:r>
      <w:proofErr w:type="spellEnd"/>
      <w:r w:rsidRPr="003B6453">
        <w:rPr>
          <w:rFonts w:ascii="Times New Roman" w:hAnsi="Times New Roman" w:cs="Times New Roman"/>
          <w:sz w:val="24"/>
          <w:szCs w:val="24"/>
          <w:lang w:val="es-AR"/>
        </w:rPr>
        <w:t>, el marketing y la economía, un análisis del entorno regional, un estudio empírico del comportamiento del consumidor y una proyección financiera de mediano plazo, con el propósito de construir un diagnóstico riguroso, contextualizado y aplicable a la toma de decisiones empresariales.</w:t>
      </w:r>
    </w:p>
    <w:p w14:paraId="1B8DD2C4" w14:textId="5BC7C372"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Desde el punto de vista teórico-conceptual, el trabajo confirmó la pertinencia del modelo de franquicia de negocio como mecanismo de expansión eficiente para emprendimientos gastronómicos que buscan escalar manteniendo estándares homogéneos de calidad y experiencia. Los aportes de la teoría de la agencia, de los costos de transacción y de la diferenciación competitiva permitieron comprender que la competitividad del modelo no se sustenta exclusivamente en el producto, sino en la articulación entre estandarización operativa, construcción de marca, experiencia del cliente y adaptación al contexto regional. En este sentido, el enfoque gourmet aplicado a un producto tradicional como la medialuna se presenta como una estrategia válida para generar valor diferencial en mercados regionales con creciente sofisticación del consumo.</w:t>
      </w:r>
    </w:p>
    <w:p w14:paraId="3DB2E30C" w14:textId="77777777"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lastRenderedPageBreak/>
        <w:t xml:space="preserve">Los resultados empíricos obtenidos a partir del estudio de mercado permiten afirmar que el Alto Valle presenta condiciones favorables para la introducción de una franquicia de medialunas gourmet. El análisis del comportamiento del consumidor evidenció hábitos de consumo frecuentes y estables, con una fuerte asociación del producto a rutinas sociales como el desayuno y la merienda. Asimismo, se constató una valoración significativa de atributos sensoriales —sabor, textura y calidad de los insumos— y una predisposición mayoritaria a pagar precios </w:t>
      </w:r>
      <w:proofErr w:type="spellStart"/>
      <w:r w:rsidRPr="003B6453">
        <w:rPr>
          <w:rFonts w:ascii="Times New Roman" w:hAnsi="Times New Roman" w:cs="Times New Roman"/>
          <w:sz w:val="24"/>
          <w:szCs w:val="24"/>
          <w:lang w:val="es-AR"/>
        </w:rPr>
        <w:t>premium</w:t>
      </w:r>
      <w:proofErr w:type="spellEnd"/>
      <w:r w:rsidRPr="003B6453">
        <w:rPr>
          <w:rFonts w:ascii="Times New Roman" w:hAnsi="Times New Roman" w:cs="Times New Roman"/>
          <w:sz w:val="24"/>
          <w:szCs w:val="24"/>
          <w:lang w:val="es-AR"/>
        </w:rPr>
        <w:t xml:space="preserve"> por una propuesta percibida como diferenciada. Estos hallazgos validan la existencia de un segmento de consumidores urbanos dispuesto a adoptar una oferta gourmet, lo que respalda empíricamente la hipótesis central planteada en el Capítulo 3.</w:t>
      </w:r>
    </w:p>
    <w:p w14:paraId="61AEFF3C" w14:textId="0EA38EEC"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En relación con los canales de compra, si bien el consumo continúa concentrándose en locales físicos tradicionales, se identificó una preferencia creciente por modelos híbridos que integren experiencia presencial y canales digitales. Esta evidencia refuerza la necesidad de concebir la franquicia bajo una lógica multicanal, coherente con las tendencias contemporáneas del marketing gastronómico y con los patrones de consumo detectados en la región. La aceptación del formato de franquicia como garante de calidad y consistencia, sumada a la alta predisposición a probar nuevas marcas, indica que el mercado regional no se encuentra saturado en este segmento específico, lo que constituye una oportunidad estratégica relevante.</w:t>
      </w:r>
    </w:p>
    <w:p w14:paraId="1182813C" w14:textId="77777777"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Desde una perspectiva organizacional y estratégica, la investigación permitió constatar que la franquicia representa un vehículo adecuado para expandir propuestas gastronómicas en contextos regionales, siempre que se contemplen las particularidades del entorno. El análisis del clúster local puso de manifiesto que el Alto Valle combina oportunidades de crecimiento urbano y gastronómico con restricciones estructurales significativas, entre las que se destacan la competencia laboral del sector </w:t>
      </w:r>
      <w:proofErr w:type="spellStart"/>
      <w:r w:rsidRPr="003B6453">
        <w:rPr>
          <w:rFonts w:ascii="Times New Roman" w:hAnsi="Times New Roman" w:cs="Times New Roman"/>
          <w:sz w:val="24"/>
          <w:szCs w:val="24"/>
          <w:lang w:val="es-AR"/>
        </w:rPr>
        <w:t>hidrocarburífero</w:t>
      </w:r>
      <w:proofErr w:type="spellEnd"/>
      <w:r w:rsidRPr="003B6453">
        <w:rPr>
          <w:rFonts w:ascii="Times New Roman" w:hAnsi="Times New Roman" w:cs="Times New Roman"/>
          <w:sz w:val="24"/>
          <w:szCs w:val="24"/>
          <w:lang w:val="es-AR"/>
        </w:rPr>
        <w:t xml:space="preserve"> y los costos logísticos asociados a la distancia de los grandes centros de abastecimiento. Estos factores no invalidan la viabilidad del proyecto, pero condicionan su implementación y exigen estrategias específicas de gestión de recursos humanos, abastecimiento y control de costos.</w:t>
      </w:r>
    </w:p>
    <w:p w14:paraId="00A2943D" w14:textId="77777777"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El análisis económico-financiero confirmó la viabilidad cuantitativa del modelo propuesto. Los indicadores obtenidos —Valor Actual Neto positivo y elevado, Tasa Interna de Retorno </w:t>
      </w:r>
      <w:r w:rsidRPr="003B6453">
        <w:rPr>
          <w:rFonts w:ascii="Times New Roman" w:hAnsi="Times New Roman" w:cs="Times New Roman"/>
          <w:sz w:val="24"/>
          <w:szCs w:val="24"/>
          <w:lang w:val="es-AR"/>
        </w:rPr>
        <w:lastRenderedPageBreak/>
        <w:t xml:space="preserve">ampliamente superior a los promedios del sector y un período de recupero reducido— evidencian que el proyecto genera valor y presenta un perfil de riesgo acotado. La inclusión de escenarios de sensibilidad permitió comprobar que, aun bajo supuestos adversos de caída de ventas y aumento de costos, el modelo mantiene rentabilidad positiva, lo que demuestra su </w:t>
      </w:r>
      <w:proofErr w:type="spellStart"/>
      <w:r w:rsidRPr="003B6453">
        <w:rPr>
          <w:rFonts w:ascii="Times New Roman" w:hAnsi="Times New Roman" w:cs="Times New Roman"/>
          <w:sz w:val="24"/>
          <w:szCs w:val="24"/>
          <w:lang w:val="es-AR"/>
        </w:rPr>
        <w:t>resiliencia</w:t>
      </w:r>
      <w:proofErr w:type="spellEnd"/>
      <w:r w:rsidRPr="003B6453">
        <w:rPr>
          <w:rFonts w:ascii="Times New Roman" w:hAnsi="Times New Roman" w:cs="Times New Roman"/>
          <w:sz w:val="24"/>
          <w:szCs w:val="24"/>
          <w:lang w:val="es-AR"/>
        </w:rPr>
        <w:t xml:space="preserve"> frente a la volatilidad macroeconómica característica del contexto argentino. Estos resultados refuerzan la consistencia entre los hallazgos empíricos, el análisis estratégico y la proyección financiera.</w:t>
      </w:r>
    </w:p>
    <w:p w14:paraId="205C0B3F" w14:textId="77777777"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Más allá de los indicadores financieros, la factibilidad del proyecto se apoya en factores cualitativos relevantes. El consumidor del Alto Valle muestra una creciente valoración por experiencias gastronómicas con identidad, coherencia estética y relato de marca, lo que favorece propuestas que integren calidad artesanal y profesionalización de la gestión. Asimismo, la temporalidad del consumo identificada en el estudio empírico —con picos definidos en franjas horarias específicas— ofrece oportunidades para optimizar la operación, la asignación de recursos y las acciones comerciales, siempre que se incorporen de manera explícita en el diseño del modelo de franquicia.</w:t>
      </w:r>
    </w:p>
    <w:p w14:paraId="50C40BB6" w14:textId="77777777"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No obstante, la investigación también permitió identificar limitaciones y condicionantes que deben ser gestionados de forma proactiva. La escasez relativa de mano de obra gastronómica calificada y la elevada rotación asociada a la competencia salarial del sector petrolero constituyen uno de los principales desafíos operativos del proyecto. Del mismo modo, los costos logísticos y la dependencia de insumos específicos exigen una planificación cuidadosa del abastecimiento y el desarrollo de alianzas con proveedores regionales. Estos factores refuerzan la necesidad de abordar la expansión del negocio de manera gradual y controlada.</w:t>
      </w:r>
    </w:p>
    <w:p w14:paraId="14D6AE4D" w14:textId="110A3980"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A partir del análisis realizado, se derivan una serie de recomendaciones estratégicas. En primer lugar, se sugiere consolidar una identidad de marca clara y consistente, basada en la diferenciación gourmet, la calidad artesanal y una narrativa coherente en todos los puntos de contacto con el cliente. En segundo término, resulta recomendable implementar una estrategia multicanal desde el inicio, integrando local físico, plataformas de </w:t>
      </w:r>
      <w:proofErr w:type="spellStart"/>
      <w:r w:rsidRPr="003B6453">
        <w:rPr>
          <w:rFonts w:ascii="Times New Roman" w:hAnsi="Times New Roman" w:cs="Times New Roman"/>
          <w:sz w:val="24"/>
          <w:szCs w:val="24"/>
          <w:lang w:val="es-AR"/>
        </w:rPr>
        <w:t>delivery</w:t>
      </w:r>
      <w:proofErr w:type="spellEnd"/>
      <w:r w:rsidRPr="003B6453">
        <w:rPr>
          <w:rFonts w:ascii="Times New Roman" w:hAnsi="Times New Roman" w:cs="Times New Roman"/>
          <w:sz w:val="24"/>
          <w:szCs w:val="24"/>
          <w:lang w:val="es-AR"/>
        </w:rPr>
        <w:t xml:space="preserve"> y marketing digital </w:t>
      </w:r>
      <w:proofErr w:type="spellStart"/>
      <w:r w:rsidRPr="003B6453">
        <w:rPr>
          <w:rFonts w:ascii="Times New Roman" w:hAnsi="Times New Roman" w:cs="Times New Roman"/>
          <w:sz w:val="24"/>
          <w:szCs w:val="24"/>
          <w:lang w:val="es-AR"/>
        </w:rPr>
        <w:t>geolocalizado</w:t>
      </w:r>
      <w:proofErr w:type="spellEnd"/>
      <w:r w:rsidRPr="003B6453">
        <w:rPr>
          <w:rFonts w:ascii="Times New Roman" w:hAnsi="Times New Roman" w:cs="Times New Roman"/>
          <w:sz w:val="24"/>
          <w:szCs w:val="24"/>
          <w:lang w:val="es-AR"/>
        </w:rPr>
        <w:t xml:space="preserve">, con el objetivo de captar demanda en los distintos momentos de consumo identificados. En el plano organizacional, se recomienda diseñar </w:t>
      </w:r>
      <w:r w:rsidRPr="003B6453">
        <w:rPr>
          <w:rFonts w:ascii="Times New Roman" w:hAnsi="Times New Roman" w:cs="Times New Roman"/>
          <w:sz w:val="24"/>
          <w:szCs w:val="24"/>
          <w:lang w:val="es-AR"/>
        </w:rPr>
        <w:lastRenderedPageBreak/>
        <w:t>programas sistemáticos de capacitación y retención de personal, que incluyan incentivos no exclusivamente monetarios y oportunidades de desarrollo, como mecanismo para mitigar la presión del mercado laboral regional. Asimismo, la articulación con proveedores locales, cámaras empresariales e instituciones educativas puede contribuir a fortalecer la cadena de valor y reducir riesgos operativos.</w:t>
      </w:r>
    </w:p>
    <w:p w14:paraId="37D6C1C5" w14:textId="504C94E1"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En cuanto a la implementación del modelo, se recomienda una estrategia de expansión gradual, comenzando con una unidad piloto en ciudades como Neuquén capital o </w:t>
      </w:r>
      <w:proofErr w:type="spellStart"/>
      <w:r w:rsidRPr="003B6453">
        <w:rPr>
          <w:rFonts w:ascii="Times New Roman" w:hAnsi="Times New Roman" w:cs="Times New Roman"/>
          <w:sz w:val="24"/>
          <w:szCs w:val="24"/>
          <w:lang w:val="es-AR"/>
        </w:rPr>
        <w:t>Cipolletti</w:t>
      </w:r>
      <w:proofErr w:type="spellEnd"/>
      <w:r w:rsidRPr="003B6453">
        <w:rPr>
          <w:rFonts w:ascii="Times New Roman" w:hAnsi="Times New Roman" w:cs="Times New Roman"/>
          <w:sz w:val="24"/>
          <w:szCs w:val="24"/>
          <w:lang w:val="es-AR"/>
        </w:rPr>
        <w:t>, que permita validar en condiciones reales los supuestos operativos, comerciales y financieros del proyecto antes de escalar el sistema de franquicias. Esta etapa piloto resulta clave para ajustar procesos, afinar la propuesta de valor y reducir la incertidumbre asociada a la expansión.</w:t>
      </w:r>
    </w:p>
    <w:p w14:paraId="44D47E6E" w14:textId="77777777" w:rsidR="005773EE" w:rsidRPr="003B6453" w:rsidRDefault="005773EE" w:rsidP="003B6453">
      <w:pPr>
        <w:spacing w:line="360" w:lineRule="auto"/>
        <w:jc w:val="both"/>
        <w:rPr>
          <w:rFonts w:ascii="Times New Roman" w:hAnsi="Times New Roman" w:cs="Times New Roman"/>
          <w:sz w:val="24"/>
          <w:szCs w:val="24"/>
          <w:lang w:val="es-AR"/>
        </w:rPr>
      </w:pPr>
      <w:r w:rsidRPr="003B6453">
        <w:rPr>
          <w:rFonts w:ascii="Times New Roman" w:hAnsi="Times New Roman" w:cs="Times New Roman"/>
          <w:sz w:val="24"/>
          <w:szCs w:val="24"/>
          <w:lang w:val="es-AR"/>
        </w:rPr>
        <w:t xml:space="preserve">Finalmente, es necesario reconocer las limitaciones de la investigación. El tamaño </w:t>
      </w:r>
      <w:proofErr w:type="spellStart"/>
      <w:r w:rsidRPr="003B6453">
        <w:rPr>
          <w:rFonts w:ascii="Times New Roman" w:hAnsi="Times New Roman" w:cs="Times New Roman"/>
          <w:sz w:val="24"/>
          <w:szCs w:val="24"/>
          <w:lang w:val="es-AR"/>
        </w:rPr>
        <w:t>muestral</w:t>
      </w:r>
      <w:proofErr w:type="spellEnd"/>
      <w:r w:rsidRPr="003B6453">
        <w:rPr>
          <w:rFonts w:ascii="Times New Roman" w:hAnsi="Times New Roman" w:cs="Times New Roman"/>
          <w:sz w:val="24"/>
          <w:szCs w:val="24"/>
          <w:lang w:val="es-AR"/>
        </w:rPr>
        <w:t xml:space="preserve"> y el tipo de muestreo utilizado restringen la posibilidad de generalizar los resultados a toda la población del Alto Valle. Asimismo, el contexto macroeconómico argentino introduce un nivel de incertidumbre que obliga a interpretar las proyecciones financieras como escenarios plausibles y no como predicciones deterministas. Futuras investigaciones podrían ampliar la base empírica mediante muestreos probabilísticos, incorporar análisis longitudinales que permitan evaluar la evolución del negocio en el tiempo, o profundizar en el impacto de la digitalización y la sostenibilidad en la percepción de valor del consumidor gastronómico.</w:t>
      </w:r>
    </w:p>
    <w:p w14:paraId="69F4D3F0" w14:textId="24F84A1E" w:rsidR="008C11E0" w:rsidRPr="003B6453" w:rsidRDefault="005773EE" w:rsidP="003B6453">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En conclusión, la franquicia de medialunas gourmet en el Alto Valle se presenta como una oportunidad de negocio viable, rentable y estratégicamente consistente, siempre que se gestione de manera profesional y adaptada al contexto regional. La convergencia entre una demanda favorable, un modelo de franquicia adecuado y una proyección económica sólida permite afirmar que el proyecto cuenta con fundamentos suficientes para su implementación. El éxito del modelo dependerá, en última instancia, de la capacidad de sostener la calidad del producto, la coherencia de la experiencia de marca y la eficiencia operativa en un entorno regional dinámico y desafiante.</w:t>
      </w:r>
      <w:r>
        <w:br/>
      </w:r>
      <w:r>
        <w:br/>
      </w:r>
    </w:p>
    <w:p w14:paraId="19C025B1" w14:textId="7B6FC73A" w:rsidR="3143223D" w:rsidRDefault="3143223D" w:rsidP="3143223D">
      <w:pPr>
        <w:spacing w:line="360" w:lineRule="auto"/>
        <w:jc w:val="both"/>
      </w:pPr>
    </w:p>
    <w:p w14:paraId="07F69EEF" w14:textId="5DE3E413" w:rsidR="3143223D" w:rsidRDefault="3143223D" w:rsidP="3143223D">
      <w:pPr>
        <w:spacing w:line="360" w:lineRule="auto"/>
        <w:jc w:val="both"/>
      </w:pPr>
    </w:p>
    <w:p w14:paraId="0A1A42A6" w14:textId="3248DE05" w:rsidR="3143223D" w:rsidRDefault="3143223D" w:rsidP="3143223D">
      <w:pPr>
        <w:spacing w:line="360" w:lineRule="auto"/>
        <w:jc w:val="both"/>
      </w:pPr>
    </w:p>
    <w:p w14:paraId="09068E0A" w14:textId="38A64521" w:rsidR="3143223D" w:rsidRDefault="3143223D" w:rsidP="3143223D">
      <w:pPr>
        <w:spacing w:line="360" w:lineRule="auto"/>
        <w:jc w:val="both"/>
      </w:pPr>
    </w:p>
    <w:p w14:paraId="45164782" w14:textId="27BFA0F2" w:rsidR="221D53AD" w:rsidRDefault="221D53AD" w:rsidP="3143223D">
      <w:pPr>
        <w:pStyle w:val="Ttulo1"/>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Capítulo 7: Bibliografía / Referencias</w:t>
      </w:r>
    </w:p>
    <w:p w14:paraId="2758F670" w14:textId="34571F40" w:rsidR="221D53AD" w:rsidRDefault="221D53AD" w:rsidP="3143223D">
      <w:pPr>
        <w:spacing w:line="360" w:lineRule="auto"/>
        <w:jc w:val="both"/>
        <w:rPr>
          <w:rFonts w:ascii="Times New Roman" w:hAnsi="Times New Roman" w:cs="Times New Roman"/>
          <w:sz w:val="24"/>
          <w:szCs w:val="24"/>
          <w:lang w:val="es-AR"/>
        </w:rPr>
      </w:pPr>
      <w:proofErr w:type="spellStart"/>
      <w:r w:rsidRPr="3143223D">
        <w:rPr>
          <w:rFonts w:ascii="Times New Roman" w:hAnsi="Times New Roman" w:cs="Times New Roman"/>
          <w:sz w:val="24"/>
          <w:szCs w:val="24"/>
          <w:lang w:val="es-AR"/>
        </w:rPr>
        <w:t>Ajzen</w:t>
      </w:r>
      <w:proofErr w:type="spellEnd"/>
      <w:r w:rsidRPr="3143223D">
        <w:rPr>
          <w:rFonts w:ascii="Times New Roman" w:hAnsi="Times New Roman" w:cs="Times New Roman"/>
          <w:sz w:val="24"/>
          <w:szCs w:val="24"/>
          <w:lang w:val="es-AR"/>
        </w:rPr>
        <w:t xml:space="preserve">, I., &amp; </w:t>
      </w:r>
      <w:proofErr w:type="spellStart"/>
      <w:r w:rsidRPr="3143223D">
        <w:rPr>
          <w:rFonts w:ascii="Times New Roman" w:hAnsi="Times New Roman" w:cs="Times New Roman"/>
          <w:sz w:val="24"/>
          <w:szCs w:val="24"/>
          <w:lang w:val="es-AR"/>
        </w:rPr>
        <w:t>Fishbein</w:t>
      </w:r>
      <w:proofErr w:type="spellEnd"/>
      <w:r w:rsidRPr="3143223D">
        <w:rPr>
          <w:rFonts w:ascii="Times New Roman" w:hAnsi="Times New Roman" w:cs="Times New Roman"/>
          <w:sz w:val="24"/>
          <w:szCs w:val="24"/>
          <w:lang w:val="es-AR"/>
        </w:rPr>
        <w:t xml:space="preserve">, M. (1975). </w:t>
      </w:r>
      <w:r w:rsidRPr="3143223D">
        <w:rPr>
          <w:rFonts w:ascii="Times New Roman" w:hAnsi="Times New Roman" w:cs="Times New Roman"/>
          <w:sz w:val="24"/>
          <w:szCs w:val="24"/>
        </w:rPr>
        <w:t xml:space="preserve">Belief, attitude, intention, and behavior: An introduction to theory and research. </w:t>
      </w:r>
      <w:r w:rsidRPr="3143223D">
        <w:rPr>
          <w:rFonts w:ascii="Times New Roman" w:hAnsi="Times New Roman" w:cs="Times New Roman"/>
          <w:sz w:val="24"/>
          <w:szCs w:val="24"/>
          <w:lang w:val="es-AR"/>
        </w:rPr>
        <w:t>Addison-Wesley.</w:t>
      </w:r>
    </w:p>
    <w:p w14:paraId="5E84BF5D" w14:textId="070DB7F6"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lang w:val="es-AR"/>
        </w:rPr>
        <w:t xml:space="preserve">Asociación Argentina de Marcas y Franquicias (AAMF). (2023). Reporte anual del sistema de franquicias en Argentina. </w:t>
      </w:r>
      <w:proofErr w:type="gramStart"/>
      <w:r w:rsidRPr="3143223D">
        <w:rPr>
          <w:rFonts w:ascii="Times New Roman" w:hAnsi="Times New Roman" w:cs="Times New Roman"/>
          <w:sz w:val="24"/>
          <w:szCs w:val="24"/>
        </w:rPr>
        <w:t>AAMF.</w:t>
      </w:r>
      <w:proofErr w:type="gramEnd"/>
    </w:p>
    <w:p w14:paraId="266CB99E" w14:textId="1B3CD03F" w:rsidR="221D53AD" w:rsidRDefault="221D53AD" w:rsidP="3143223D">
      <w:pPr>
        <w:spacing w:line="360" w:lineRule="auto"/>
        <w:jc w:val="both"/>
        <w:rPr>
          <w:rFonts w:ascii="Times New Roman" w:hAnsi="Times New Roman" w:cs="Times New Roman"/>
          <w:sz w:val="24"/>
          <w:szCs w:val="24"/>
        </w:rPr>
      </w:pPr>
      <w:proofErr w:type="spellStart"/>
      <w:proofErr w:type="gramStart"/>
      <w:r w:rsidRPr="3143223D">
        <w:rPr>
          <w:rFonts w:ascii="Times New Roman" w:hAnsi="Times New Roman" w:cs="Times New Roman"/>
          <w:sz w:val="24"/>
          <w:szCs w:val="24"/>
        </w:rPr>
        <w:t>Brealey</w:t>
      </w:r>
      <w:proofErr w:type="spellEnd"/>
      <w:r w:rsidRPr="3143223D">
        <w:rPr>
          <w:rFonts w:ascii="Times New Roman" w:hAnsi="Times New Roman" w:cs="Times New Roman"/>
          <w:sz w:val="24"/>
          <w:szCs w:val="24"/>
        </w:rPr>
        <w:t>, R. A., &amp; Myers, S. C. (2013).</w:t>
      </w:r>
      <w:proofErr w:type="gramEnd"/>
      <w:r w:rsidRPr="3143223D">
        <w:rPr>
          <w:rFonts w:ascii="Times New Roman" w:hAnsi="Times New Roman" w:cs="Times New Roman"/>
          <w:sz w:val="24"/>
          <w:szCs w:val="24"/>
        </w:rPr>
        <w:t xml:space="preserve"> Principles of corporate finance (10th </w:t>
      </w:r>
      <w:proofErr w:type="gramStart"/>
      <w:r w:rsidRPr="3143223D">
        <w:rPr>
          <w:rFonts w:ascii="Times New Roman" w:hAnsi="Times New Roman" w:cs="Times New Roman"/>
          <w:sz w:val="24"/>
          <w:szCs w:val="24"/>
        </w:rPr>
        <w:t>ed</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McGraw-Hill Education.</w:t>
      </w:r>
      <w:proofErr w:type="gramEnd"/>
    </w:p>
    <w:p w14:paraId="2295C5CC" w14:textId="74A28E5F"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 xml:space="preserve">Camp, R. C. (1989). </w:t>
      </w:r>
      <w:proofErr w:type="gramStart"/>
      <w:r w:rsidRPr="3143223D">
        <w:rPr>
          <w:rFonts w:ascii="Times New Roman" w:hAnsi="Times New Roman" w:cs="Times New Roman"/>
          <w:sz w:val="24"/>
          <w:szCs w:val="24"/>
        </w:rPr>
        <w:t>Benchmarking: The search for industry best practices that lead to superior performance.</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Quality Press.</w:t>
      </w:r>
      <w:proofErr w:type="gramEnd"/>
    </w:p>
    <w:p w14:paraId="1CF467D2" w14:textId="00FC9310" w:rsidR="221D53AD" w:rsidRDefault="221D53AD" w:rsidP="3143223D">
      <w:pPr>
        <w:spacing w:line="360" w:lineRule="auto"/>
        <w:jc w:val="both"/>
        <w:rPr>
          <w:rFonts w:ascii="Times New Roman" w:hAnsi="Times New Roman" w:cs="Times New Roman"/>
          <w:sz w:val="24"/>
          <w:szCs w:val="24"/>
        </w:rPr>
      </w:pPr>
      <w:proofErr w:type="gramStart"/>
      <w:r w:rsidRPr="3143223D">
        <w:rPr>
          <w:rFonts w:ascii="Times New Roman" w:hAnsi="Times New Roman" w:cs="Times New Roman"/>
          <w:sz w:val="24"/>
          <w:szCs w:val="24"/>
        </w:rPr>
        <w:t xml:space="preserve">Churchill, G. A., &amp; </w:t>
      </w:r>
      <w:proofErr w:type="spellStart"/>
      <w:r w:rsidRPr="3143223D">
        <w:rPr>
          <w:rFonts w:ascii="Times New Roman" w:hAnsi="Times New Roman" w:cs="Times New Roman"/>
          <w:sz w:val="24"/>
          <w:szCs w:val="24"/>
        </w:rPr>
        <w:t>Iacobucci</w:t>
      </w:r>
      <w:proofErr w:type="spellEnd"/>
      <w:r w:rsidRPr="3143223D">
        <w:rPr>
          <w:rFonts w:ascii="Times New Roman" w:hAnsi="Times New Roman" w:cs="Times New Roman"/>
          <w:sz w:val="24"/>
          <w:szCs w:val="24"/>
        </w:rPr>
        <w:t>, D. (2014).</w:t>
      </w:r>
      <w:proofErr w:type="gramEnd"/>
      <w:r w:rsidRPr="3143223D">
        <w:rPr>
          <w:rFonts w:ascii="Times New Roman" w:hAnsi="Times New Roman" w:cs="Times New Roman"/>
          <w:sz w:val="24"/>
          <w:szCs w:val="24"/>
        </w:rPr>
        <w:t xml:space="preserve"> Marketing research: Methodological foundations (11th </w:t>
      </w:r>
      <w:proofErr w:type="gramStart"/>
      <w:r w:rsidRPr="3143223D">
        <w:rPr>
          <w:rFonts w:ascii="Times New Roman" w:hAnsi="Times New Roman" w:cs="Times New Roman"/>
          <w:sz w:val="24"/>
          <w:szCs w:val="24"/>
        </w:rPr>
        <w:t>ed</w:t>
      </w:r>
      <w:proofErr w:type="gramEnd"/>
      <w:r w:rsidRPr="3143223D">
        <w:rPr>
          <w:rFonts w:ascii="Times New Roman" w:hAnsi="Times New Roman" w:cs="Times New Roman"/>
          <w:sz w:val="24"/>
          <w:szCs w:val="24"/>
        </w:rPr>
        <w:t xml:space="preserve">.). </w:t>
      </w:r>
      <w:proofErr w:type="spellStart"/>
      <w:r w:rsidRPr="3143223D">
        <w:rPr>
          <w:rFonts w:ascii="Times New Roman" w:hAnsi="Times New Roman" w:cs="Times New Roman"/>
          <w:sz w:val="24"/>
          <w:szCs w:val="24"/>
        </w:rPr>
        <w:t>Cengage</w:t>
      </w:r>
      <w:proofErr w:type="spellEnd"/>
      <w:r w:rsidRPr="3143223D">
        <w:rPr>
          <w:rFonts w:ascii="Times New Roman" w:hAnsi="Times New Roman" w:cs="Times New Roman"/>
          <w:sz w:val="24"/>
          <w:szCs w:val="24"/>
        </w:rPr>
        <w:t xml:space="preserve"> Learning.</w:t>
      </w:r>
    </w:p>
    <w:p w14:paraId="0BF88041" w14:textId="78DE3DFA"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 xml:space="preserve">Creswell, J. W. (2014). Research design: </w:t>
      </w:r>
      <w:proofErr w:type="gramStart"/>
      <w:r w:rsidRPr="3143223D">
        <w:rPr>
          <w:rFonts w:ascii="Times New Roman" w:hAnsi="Times New Roman" w:cs="Times New Roman"/>
          <w:sz w:val="24"/>
          <w:szCs w:val="24"/>
        </w:rPr>
        <w:t>Qualitative, quantitative, and mixed methods approaches</w:t>
      </w:r>
      <w:proofErr w:type="gramEnd"/>
      <w:r w:rsidRPr="3143223D">
        <w:rPr>
          <w:rFonts w:ascii="Times New Roman" w:hAnsi="Times New Roman" w:cs="Times New Roman"/>
          <w:sz w:val="24"/>
          <w:szCs w:val="24"/>
        </w:rPr>
        <w:t xml:space="preserve"> (4th ed.). </w:t>
      </w:r>
      <w:proofErr w:type="gramStart"/>
      <w:r w:rsidRPr="3143223D">
        <w:rPr>
          <w:rFonts w:ascii="Times New Roman" w:hAnsi="Times New Roman" w:cs="Times New Roman"/>
          <w:sz w:val="24"/>
          <w:szCs w:val="24"/>
        </w:rPr>
        <w:t>SAGE Publications.</w:t>
      </w:r>
      <w:proofErr w:type="gramEnd"/>
    </w:p>
    <w:p w14:paraId="396E60FF" w14:textId="46B3C01F" w:rsidR="221D53AD" w:rsidRDefault="221D53AD" w:rsidP="3143223D">
      <w:pPr>
        <w:spacing w:line="360" w:lineRule="auto"/>
        <w:jc w:val="both"/>
        <w:rPr>
          <w:rFonts w:ascii="Times New Roman" w:hAnsi="Times New Roman" w:cs="Times New Roman"/>
          <w:sz w:val="24"/>
          <w:szCs w:val="24"/>
          <w:lang w:val="es-AR"/>
        </w:rPr>
      </w:pPr>
      <w:proofErr w:type="spellStart"/>
      <w:r w:rsidRPr="3143223D">
        <w:rPr>
          <w:rFonts w:ascii="Times New Roman" w:hAnsi="Times New Roman" w:cs="Times New Roman"/>
          <w:sz w:val="24"/>
          <w:szCs w:val="24"/>
        </w:rPr>
        <w:t>Damodaran</w:t>
      </w:r>
      <w:proofErr w:type="spellEnd"/>
      <w:r w:rsidRPr="3143223D">
        <w:rPr>
          <w:rFonts w:ascii="Times New Roman" w:hAnsi="Times New Roman" w:cs="Times New Roman"/>
          <w:sz w:val="24"/>
          <w:szCs w:val="24"/>
        </w:rPr>
        <w:t xml:space="preserve">, A. (2012). Investment valuation: Tools and techniques for determining the value of any asset (3rd </w:t>
      </w:r>
      <w:proofErr w:type="gramStart"/>
      <w:r w:rsidRPr="3143223D">
        <w:rPr>
          <w:rFonts w:ascii="Times New Roman" w:hAnsi="Times New Roman" w:cs="Times New Roman"/>
          <w:sz w:val="24"/>
          <w:szCs w:val="24"/>
        </w:rPr>
        <w:t>ed</w:t>
      </w:r>
      <w:proofErr w:type="gramEnd"/>
      <w:r w:rsidRPr="3143223D">
        <w:rPr>
          <w:rFonts w:ascii="Times New Roman" w:hAnsi="Times New Roman" w:cs="Times New Roman"/>
          <w:sz w:val="24"/>
          <w:szCs w:val="24"/>
        </w:rPr>
        <w:t xml:space="preserve">.). </w:t>
      </w:r>
      <w:proofErr w:type="spellStart"/>
      <w:r w:rsidRPr="3143223D">
        <w:rPr>
          <w:rFonts w:ascii="Times New Roman" w:hAnsi="Times New Roman" w:cs="Times New Roman"/>
          <w:sz w:val="24"/>
          <w:szCs w:val="24"/>
          <w:lang w:val="es-AR"/>
        </w:rPr>
        <w:t>Wiley</w:t>
      </w:r>
      <w:proofErr w:type="spellEnd"/>
      <w:r w:rsidRPr="3143223D">
        <w:rPr>
          <w:rFonts w:ascii="Times New Roman" w:hAnsi="Times New Roman" w:cs="Times New Roman"/>
          <w:sz w:val="24"/>
          <w:szCs w:val="24"/>
          <w:lang w:val="es-AR"/>
        </w:rPr>
        <w:t>.</w:t>
      </w:r>
    </w:p>
    <w:p w14:paraId="130EBB3C" w14:textId="023502A9" w:rsidR="221D53AD" w:rsidRDefault="221D53AD"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 xml:space="preserve">Hernández </w:t>
      </w:r>
      <w:proofErr w:type="spellStart"/>
      <w:r w:rsidRPr="3143223D">
        <w:rPr>
          <w:rFonts w:ascii="Times New Roman" w:hAnsi="Times New Roman" w:cs="Times New Roman"/>
          <w:sz w:val="24"/>
          <w:szCs w:val="24"/>
          <w:lang w:val="es-AR"/>
        </w:rPr>
        <w:t>Sampieri</w:t>
      </w:r>
      <w:proofErr w:type="spellEnd"/>
      <w:r w:rsidRPr="3143223D">
        <w:rPr>
          <w:rFonts w:ascii="Times New Roman" w:hAnsi="Times New Roman" w:cs="Times New Roman"/>
          <w:sz w:val="24"/>
          <w:szCs w:val="24"/>
          <w:lang w:val="es-AR"/>
        </w:rPr>
        <w:t>, R., Fernández Collado, C., &amp; Baptista, P. (2018). Metodología de la investigación (6</w:t>
      </w:r>
      <w:proofErr w:type="gramStart"/>
      <w:r w:rsidRPr="3143223D">
        <w:rPr>
          <w:rFonts w:ascii="Times New Roman" w:hAnsi="Times New Roman" w:cs="Times New Roman"/>
          <w:sz w:val="24"/>
          <w:szCs w:val="24"/>
          <w:lang w:val="es-AR"/>
        </w:rPr>
        <w:t>.ª</w:t>
      </w:r>
      <w:proofErr w:type="gramEnd"/>
      <w:r w:rsidRPr="3143223D">
        <w:rPr>
          <w:rFonts w:ascii="Times New Roman" w:hAnsi="Times New Roman" w:cs="Times New Roman"/>
          <w:sz w:val="24"/>
          <w:szCs w:val="24"/>
          <w:lang w:val="es-AR"/>
        </w:rPr>
        <w:t xml:space="preserve"> ed.). McGraw-Hill </w:t>
      </w:r>
      <w:proofErr w:type="spellStart"/>
      <w:r w:rsidRPr="3143223D">
        <w:rPr>
          <w:rFonts w:ascii="Times New Roman" w:hAnsi="Times New Roman" w:cs="Times New Roman"/>
          <w:sz w:val="24"/>
          <w:szCs w:val="24"/>
          <w:lang w:val="es-AR"/>
        </w:rPr>
        <w:t>Education</w:t>
      </w:r>
      <w:proofErr w:type="spellEnd"/>
      <w:r w:rsidRPr="3143223D">
        <w:rPr>
          <w:rFonts w:ascii="Times New Roman" w:hAnsi="Times New Roman" w:cs="Times New Roman"/>
          <w:sz w:val="24"/>
          <w:szCs w:val="24"/>
          <w:lang w:val="es-AR"/>
        </w:rPr>
        <w:t>.</w:t>
      </w:r>
    </w:p>
    <w:p w14:paraId="3C0A9880" w14:textId="77777777" w:rsidR="221D53AD" w:rsidRDefault="221D53AD"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 xml:space="preserve">IAE Business </w:t>
      </w:r>
      <w:proofErr w:type="spellStart"/>
      <w:r w:rsidRPr="3143223D">
        <w:rPr>
          <w:rFonts w:ascii="Times New Roman" w:hAnsi="Times New Roman" w:cs="Times New Roman"/>
          <w:sz w:val="24"/>
          <w:szCs w:val="24"/>
          <w:lang w:val="es-AR"/>
        </w:rPr>
        <w:t>School</w:t>
      </w:r>
      <w:proofErr w:type="spellEnd"/>
      <w:r w:rsidRPr="3143223D">
        <w:rPr>
          <w:rFonts w:ascii="Times New Roman" w:hAnsi="Times New Roman" w:cs="Times New Roman"/>
          <w:sz w:val="24"/>
          <w:szCs w:val="24"/>
          <w:lang w:val="es-AR"/>
        </w:rPr>
        <w:t>. (2022). Tendencias y desafíos en el desarrollo de franquicias en Argentina. IAE Publishing.</w:t>
      </w:r>
    </w:p>
    <w:p w14:paraId="5E594922" w14:textId="2094A970" w:rsidR="221D53AD" w:rsidRDefault="221D53AD"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Instituto Nacional de Estadística y Censos (INDEC). (2024). Informes técnicos: Población y consumo en la región Patagonia. https://www.indec.gob.ar</w:t>
      </w:r>
    </w:p>
    <w:p w14:paraId="11550BA7" w14:textId="24DF2B81"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lang w:val="es-AR"/>
        </w:rPr>
        <w:lastRenderedPageBreak/>
        <w:t xml:space="preserve">Joyce, A., &amp; </w:t>
      </w:r>
      <w:proofErr w:type="spellStart"/>
      <w:r w:rsidRPr="3143223D">
        <w:rPr>
          <w:rFonts w:ascii="Times New Roman" w:hAnsi="Times New Roman" w:cs="Times New Roman"/>
          <w:sz w:val="24"/>
          <w:szCs w:val="24"/>
          <w:lang w:val="es-AR"/>
        </w:rPr>
        <w:t>Paquin</w:t>
      </w:r>
      <w:proofErr w:type="spellEnd"/>
      <w:r w:rsidRPr="3143223D">
        <w:rPr>
          <w:rFonts w:ascii="Times New Roman" w:hAnsi="Times New Roman" w:cs="Times New Roman"/>
          <w:sz w:val="24"/>
          <w:szCs w:val="24"/>
          <w:lang w:val="es-AR"/>
        </w:rPr>
        <w:t xml:space="preserve">, R. L. (2016). </w:t>
      </w:r>
      <w:r w:rsidRPr="3143223D">
        <w:rPr>
          <w:rFonts w:ascii="Times New Roman" w:hAnsi="Times New Roman" w:cs="Times New Roman"/>
          <w:sz w:val="24"/>
          <w:szCs w:val="24"/>
        </w:rPr>
        <w:t>The triple layered business model canvas: A tool to design more sustainable business models. Journal of Cleaner Production, 135, 1474–1486.</w:t>
      </w:r>
    </w:p>
    <w:p w14:paraId="4A527249" w14:textId="58C1FBA1" w:rsidR="221D53AD" w:rsidRDefault="221D53AD" w:rsidP="3143223D">
      <w:pPr>
        <w:spacing w:line="360" w:lineRule="auto"/>
        <w:jc w:val="both"/>
        <w:rPr>
          <w:rFonts w:ascii="Times New Roman" w:hAnsi="Times New Roman" w:cs="Times New Roman"/>
          <w:sz w:val="24"/>
          <w:szCs w:val="24"/>
          <w:lang w:val="es-AR"/>
        </w:rPr>
      </w:pPr>
      <w:proofErr w:type="gramStart"/>
      <w:r w:rsidRPr="3143223D">
        <w:rPr>
          <w:rFonts w:ascii="Times New Roman" w:hAnsi="Times New Roman" w:cs="Times New Roman"/>
          <w:sz w:val="24"/>
          <w:szCs w:val="24"/>
        </w:rPr>
        <w:t>Kaplan, R. S., &amp; Norton, D. P. (1992).</w:t>
      </w:r>
      <w:proofErr w:type="gramEnd"/>
      <w:r w:rsidRPr="3143223D">
        <w:rPr>
          <w:rFonts w:ascii="Times New Roman" w:hAnsi="Times New Roman" w:cs="Times New Roman"/>
          <w:sz w:val="24"/>
          <w:szCs w:val="24"/>
        </w:rPr>
        <w:t xml:space="preserve"> The balanced scorecard—Measures that drive performance. </w:t>
      </w:r>
      <w:r w:rsidRPr="3143223D">
        <w:rPr>
          <w:rFonts w:ascii="Times New Roman" w:hAnsi="Times New Roman" w:cs="Times New Roman"/>
          <w:sz w:val="24"/>
          <w:szCs w:val="24"/>
          <w:lang w:val="es-AR"/>
        </w:rPr>
        <w:t xml:space="preserve">Harvard Business </w:t>
      </w:r>
      <w:proofErr w:type="spellStart"/>
      <w:r w:rsidRPr="3143223D">
        <w:rPr>
          <w:rFonts w:ascii="Times New Roman" w:hAnsi="Times New Roman" w:cs="Times New Roman"/>
          <w:sz w:val="24"/>
          <w:szCs w:val="24"/>
          <w:lang w:val="es-AR"/>
        </w:rPr>
        <w:t>Review</w:t>
      </w:r>
      <w:proofErr w:type="spellEnd"/>
      <w:r w:rsidRPr="3143223D">
        <w:rPr>
          <w:rFonts w:ascii="Times New Roman" w:hAnsi="Times New Roman" w:cs="Times New Roman"/>
          <w:sz w:val="24"/>
          <w:szCs w:val="24"/>
          <w:lang w:val="es-AR"/>
        </w:rPr>
        <w:t>, 70(1), 71–79.</w:t>
      </w:r>
    </w:p>
    <w:p w14:paraId="5B0772DE" w14:textId="6DCEA0D9" w:rsidR="221D53AD" w:rsidRDefault="221D53AD" w:rsidP="3143223D">
      <w:pPr>
        <w:spacing w:line="360" w:lineRule="auto"/>
        <w:jc w:val="both"/>
        <w:rPr>
          <w:rFonts w:ascii="Times New Roman" w:hAnsi="Times New Roman" w:cs="Times New Roman"/>
          <w:sz w:val="24"/>
          <w:szCs w:val="24"/>
          <w:lang w:val="es-AR"/>
        </w:rPr>
      </w:pPr>
      <w:proofErr w:type="spellStart"/>
      <w:r w:rsidRPr="3143223D">
        <w:rPr>
          <w:rFonts w:ascii="Times New Roman" w:hAnsi="Times New Roman" w:cs="Times New Roman"/>
          <w:sz w:val="24"/>
          <w:szCs w:val="24"/>
          <w:lang w:val="es-AR"/>
        </w:rPr>
        <w:t>Kantis</w:t>
      </w:r>
      <w:proofErr w:type="spellEnd"/>
      <w:r w:rsidRPr="3143223D">
        <w:rPr>
          <w:rFonts w:ascii="Times New Roman" w:hAnsi="Times New Roman" w:cs="Times New Roman"/>
          <w:sz w:val="24"/>
          <w:szCs w:val="24"/>
          <w:lang w:val="es-AR"/>
        </w:rPr>
        <w:t>, H. (2017). Emprendimientos dinámicos y desarrollo regional en Argentina. Universidad Nacional de General Sarmiento.</w:t>
      </w:r>
    </w:p>
    <w:p w14:paraId="774DD84F" w14:textId="38BE0B92"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lang w:val="es-AR"/>
        </w:rPr>
        <w:t xml:space="preserve">Kim, W. C., &amp; </w:t>
      </w:r>
      <w:proofErr w:type="spellStart"/>
      <w:r w:rsidRPr="3143223D">
        <w:rPr>
          <w:rFonts w:ascii="Times New Roman" w:hAnsi="Times New Roman" w:cs="Times New Roman"/>
          <w:sz w:val="24"/>
          <w:szCs w:val="24"/>
          <w:lang w:val="es-AR"/>
        </w:rPr>
        <w:t>Mauborgne</w:t>
      </w:r>
      <w:proofErr w:type="spellEnd"/>
      <w:r w:rsidRPr="3143223D">
        <w:rPr>
          <w:rFonts w:ascii="Times New Roman" w:hAnsi="Times New Roman" w:cs="Times New Roman"/>
          <w:sz w:val="24"/>
          <w:szCs w:val="24"/>
          <w:lang w:val="es-AR"/>
        </w:rPr>
        <w:t xml:space="preserve">, R. (2005). </w:t>
      </w:r>
      <w:proofErr w:type="gramStart"/>
      <w:r w:rsidRPr="3143223D">
        <w:rPr>
          <w:rFonts w:ascii="Times New Roman" w:hAnsi="Times New Roman" w:cs="Times New Roman"/>
          <w:sz w:val="24"/>
          <w:szCs w:val="24"/>
        </w:rPr>
        <w:t>Blue ocean strategy.</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Harvard Business School Press.</w:t>
      </w:r>
      <w:proofErr w:type="gramEnd"/>
    </w:p>
    <w:p w14:paraId="279462B9" w14:textId="510144ED" w:rsidR="221D53AD" w:rsidRDefault="221D53AD" w:rsidP="3143223D">
      <w:pPr>
        <w:spacing w:line="360" w:lineRule="auto"/>
        <w:jc w:val="both"/>
        <w:rPr>
          <w:rFonts w:ascii="Times New Roman" w:hAnsi="Times New Roman" w:cs="Times New Roman"/>
          <w:sz w:val="24"/>
          <w:szCs w:val="24"/>
        </w:rPr>
      </w:pPr>
      <w:proofErr w:type="spellStart"/>
      <w:proofErr w:type="gramStart"/>
      <w:r w:rsidRPr="3143223D">
        <w:rPr>
          <w:rFonts w:ascii="Times New Roman" w:hAnsi="Times New Roman" w:cs="Times New Roman"/>
          <w:sz w:val="24"/>
          <w:szCs w:val="24"/>
        </w:rPr>
        <w:t>Kotler</w:t>
      </w:r>
      <w:proofErr w:type="spellEnd"/>
      <w:r w:rsidRPr="3143223D">
        <w:rPr>
          <w:rFonts w:ascii="Times New Roman" w:hAnsi="Times New Roman" w:cs="Times New Roman"/>
          <w:sz w:val="24"/>
          <w:szCs w:val="24"/>
        </w:rPr>
        <w:t>, P., &amp; Keller, K. L. (2016).</w:t>
      </w:r>
      <w:proofErr w:type="gramEnd"/>
      <w:r w:rsidRPr="3143223D">
        <w:rPr>
          <w:rFonts w:ascii="Times New Roman" w:hAnsi="Times New Roman" w:cs="Times New Roman"/>
          <w:sz w:val="24"/>
          <w:szCs w:val="24"/>
        </w:rPr>
        <w:t xml:space="preserve"> </w:t>
      </w:r>
      <w:r w:rsidRPr="3143223D">
        <w:rPr>
          <w:rFonts w:ascii="Times New Roman" w:hAnsi="Times New Roman" w:cs="Times New Roman"/>
          <w:sz w:val="24"/>
          <w:szCs w:val="24"/>
          <w:lang w:val="es-AR"/>
        </w:rPr>
        <w:t>Dirección de marketing (15</w:t>
      </w:r>
      <w:proofErr w:type="gramStart"/>
      <w:r w:rsidRPr="3143223D">
        <w:rPr>
          <w:rFonts w:ascii="Times New Roman" w:hAnsi="Times New Roman" w:cs="Times New Roman"/>
          <w:sz w:val="24"/>
          <w:szCs w:val="24"/>
          <w:lang w:val="es-AR"/>
        </w:rPr>
        <w:t>.ª</w:t>
      </w:r>
      <w:proofErr w:type="gramEnd"/>
      <w:r w:rsidRPr="3143223D">
        <w:rPr>
          <w:rFonts w:ascii="Times New Roman" w:hAnsi="Times New Roman" w:cs="Times New Roman"/>
          <w:sz w:val="24"/>
          <w:szCs w:val="24"/>
          <w:lang w:val="es-AR"/>
        </w:rPr>
        <w:t xml:space="preserve"> ed.). </w:t>
      </w:r>
      <w:r w:rsidRPr="3143223D">
        <w:rPr>
          <w:rFonts w:ascii="Times New Roman" w:hAnsi="Times New Roman" w:cs="Times New Roman"/>
          <w:sz w:val="24"/>
          <w:szCs w:val="24"/>
        </w:rPr>
        <w:t xml:space="preserve">Pearson </w:t>
      </w:r>
      <w:proofErr w:type="spellStart"/>
      <w:r w:rsidRPr="3143223D">
        <w:rPr>
          <w:rFonts w:ascii="Times New Roman" w:hAnsi="Times New Roman" w:cs="Times New Roman"/>
          <w:sz w:val="24"/>
          <w:szCs w:val="24"/>
        </w:rPr>
        <w:t>Educación</w:t>
      </w:r>
      <w:proofErr w:type="spellEnd"/>
      <w:r w:rsidRPr="3143223D">
        <w:rPr>
          <w:rFonts w:ascii="Times New Roman" w:hAnsi="Times New Roman" w:cs="Times New Roman"/>
          <w:sz w:val="24"/>
          <w:szCs w:val="24"/>
        </w:rPr>
        <w:t>.</w:t>
      </w:r>
    </w:p>
    <w:p w14:paraId="78A8E321" w14:textId="2FA11076" w:rsidR="221D53AD" w:rsidRDefault="221D53AD" w:rsidP="3143223D">
      <w:pPr>
        <w:spacing w:line="360" w:lineRule="auto"/>
        <w:jc w:val="both"/>
        <w:rPr>
          <w:rFonts w:ascii="Times New Roman" w:hAnsi="Times New Roman" w:cs="Times New Roman"/>
          <w:sz w:val="24"/>
          <w:szCs w:val="24"/>
        </w:rPr>
      </w:pPr>
      <w:proofErr w:type="spellStart"/>
      <w:proofErr w:type="gramStart"/>
      <w:r w:rsidRPr="3143223D">
        <w:rPr>
          <w:rFonts w:ascii="Times New Roman" w:hAnsi="Times New Roman" w:cs="Times New Roman"/>
          <w:sz w:val="24"/>
          <w:szCs w:val="24"/>
        </w:rPr>
        <w:t>Kotler</w:t>
      </w:r>
      <w:proofErr w:type="spellEnd"/>
      <w:r w:rsidRPr="3143223D">
        <w:rPr>
          <w:rFonts w:ascii="Times New Roman" w:hAnsi="Times New Roman" w:cs="Times New Roman"/>
          <w:sz w:val="24"/>
          <w:szCs w:val="24"/>
        </w:rPr>
        <w:t xml:space="preserve">, P., </w:t>
      </w:r>
      <w:proofErr w:type="spellStart"/>
      <w:r w:rsidRPr="3143223D">
        <w:rPr>
          <w:rFonts w:ascii="Times New Roman" w:hAnsi="Times New Roman" w:cs="Times New Roman"/>
          <w:sz w:val="24"/>
          <w:szCs w:val="24"/>
        </w:rPr>
        <w:t>Kartajaya</w:t>
      </w:r>
      <w:proofErr w:type="spellEnd"/>
      <w:r w:rsidRPr="3143223D">
        <w:rPr>
          <w:rFonts w:ascii="Times New Roman" w:hAnsi="Times New Roman" w:cs="Times New Roman"/>
          <w:sz w:val="24"/>
          <w:szCs w:val="24"/>
        </w:rPr>
        <w:t xml:space="preserve">, H., &amp; </w:t>
      </w:r>
      <w:proofErr w:type="spellStart"/>
      <w:r w:rsidRPr="3143223D">
        <w:rPr>
          <w:rFonts w:ascii="Times New Roman" w:hAnsi="Times New Roman" w:cs="Times New Roman"/>
          <w:sz w:val="24"/>
          <w:szCs w:val="24"/>
        </w:rPr>
        <w:t>Setiawan</w:t>
      </w:r>
      <w:proofErr w:type="spellEnd"/>
      <w:r w:rsidRPr="3143223D">
        <w:rPr>
          <w:rFonts w:ascii="Times New Roman" w:hAnsi="Times New Roman" w:cs="Times New Roman"/>
          <w:sz w:val="24"/>
          <w:szCs w:val="24"/>
        </w:rPr>
        <w:t>, I. (2017).</w:t>
      </w:r>
      <w:proofErr w:type="gramEnd"/>
      <w:r w:rsidRPr="3143223D">
        <w:rPr>
          <w:rFonts w:ascii="Times New Roman" w:hAnsi="Times New Roman" w:cs="Times New Roman"/>
          <w:sz w:val="24"/>
          <w:szCs w:val="24"/>
        </w:rPr>
        <w:t xml:space="preserve"> Marketing 4.0: Moving from traditional to digital. </w:t>
      </w:r>
      <w:proofErr w:type="gramStart"/>
      <w:r w:rsidRPr="3143223D">
        <w:rPr>
          <w:rFonts w:ascii="Times New Roman" w:hAnsi="Times New Roman" w:cs="Times New Roman"/>
          <w:sz w:val="24"/>
          <w:szCs w:val="24"/>
        </w:rPr>
        <w:t>Wiley.</w:t>
      </w:r>
      <w:proofErr w:type="gramEnd"/>
    </w:p>
    <w:p w14:paraId="55C9FFD6" w14:textId="6959A879" w:rsidR="221D53AD" w:rsidRDefault="221D53AD" w:rsidP="3143223D">
      <w:pPr>
        <w:spacing w:line="360" w:lineRule="auto"/>
        <w:jc w:val="both"/>
        <w:rPr>
          <w:rFonts w:ascii="Times New Roman" w:hAnsi="Times New Roman" w:cs="Times New Roman"/>
          <w:sz w:val="24"/>
          <w:szCs w:val="24"/>
        </w:rPr>
      </w:pPr>
      <w:proofErr w:type="gramStart"/>
      <w:r w:rsidRPr="3143223D">
        <w:rPr>
          <w:rFonts w:ascii="Times New Roman" w:hAnsi="Times New Roman" w:cs="Times New Roman"/>
          <w:sz w:val="24"/>
          <w:szCs w:val="24"/>
        </w:rPr>
        <w:t>Lindstrom, M. (2008).</w:t>
      </w:r>
      <w:proofErr w:type="gramEnd"/>
      <w:r w:rsidRPr="3143223D">
        <w:rPr>
          <w:rFonts w:ascii="Times New Roman" w:hAnsi="Times New Roman" w:cs="Times New Roman"/>
          <w:sz w:val="24"/>
          <w:szCs w:val="24"/>
        </w:rPr>
        <w:t xml:space="preserve"> </w:t>
      </w:r>
      <w:proofErr w:type="spellStart"/>
      <w:r w:rsidRPr="3143223D">
        <w:rPr>
          <w:rFonts w:ascii="Times New Roman" w:hAnsi="Times New Roman" w:cs="Times New Roman"/>
          <w:sz w:val="24"/>
          <w:szCs w:val="24"/>
        </w:rPr>
        <w:t>Buyology</w:t>
      </w:r>
      <w:proofErr w:type="spellEnd"/>
      <w:r w:rsidRPr="3143223D">
        <w:rPr>
          <w:rFonts w:ascii="Times New Roman" w:hAnsi="Times New Roman" w:cs="Times New Roman"/>
          <w:sz w:val="24"/>
          <w:szCs w:val="24"/>
        </w:rPr>
        <w:t>: Truth and lies about why we buy. Doubleday.</w:t>
      </w:r>
    </w:p>
    <w:p w14:paraId="78C338C5" w14:textId="0FD13E8F" w:rsidR="221D53AD" w:rsidRDefault="221D53AD" w:rsidP="3143223D">
      <w:pPr>
        <w:spacing w:line="360" w:lineRule="auto"/>
        <w:jc w:val="both"/>
        <w:rPr>
          <w:rFonts w:ascii="Times New Roman" w:hAnsi="Times New Roman" w:cs="Times New Roman"/>
          <w:sz w:val="24"/>
          <w:szCs w:val="24"/>
        </w:rPr>
      </w:pPr>
      <w:proofErr w:type="spellStart"/>
      <w:r w:rsidRPr="3143223D">
        <w:rPr>
          <w:rFonts w:ascii="Times New Roman" w:hAnsi="Times New Roman" w:cs="Times New Roman"/>
          <w:sz w:val="24"/>
          <w:szCs w:val="24"/>
        </w:rPr>
        <w:t>Malhotra</w:t>
      </w:r>
      <w:proofErr w:type="spellEnd"/>
      <w:r w:rsidRPr="3143223D">
        <w:rPr>
          <w:rFonts w:ascii="Times New Roman" w:hAnsi="Times New Roman" w:cs="Times New Roman"/>
          <w:sz w:val="24"/>
          <w:szCs w:val="24"/>
        </w:rPr>
        <w:t xml:space="preserve">, N. K. (2012). Marketing research: An applied orientation (6th </w:t>
      </w:r>
      <w:proofErr w:type="gramStart"/>
      <w:r w:rsidRPr="3143223D">
        <w:rPr>
          <w:rFonts w:ascii="Times New Roman" w:hAnsi="Times New Roman" w:cs="Times New Roman"/>
          <w:sz w:val="24"/>
          <w:szCs w:val="24"/>
        </w:rPr>
        <w:t>ed</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Pearson Education.</w:t>
      </w:r>
      <w:proofErr w:type="gramEnd"/>
    </w:p>
    <w:p w14:paraId="759B52C4" w14:textId="09E420F6"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 xml:space="preserve">Marr, B. (2012). Key performance indicators: The 75 measures every manager needs to know. </w:t>
      </w:r>
      <w:proofErr w:type="gramStart"/>
      <w:r w:rsidRPr="3143223D">
        <w:rPr>
          <w:rFonts w:ascii="Times New Roman" w:hAnsi="Times New Roman" w:cs="Times New Roman"/>
          <w:sz w:val="24"/>
          <w:szCs w:val="24"/>
        </w:rPr>
        <w:t>Financial Times Publishing.</w:t>
      </w:r>
      <w:proofErr w:type="gramEnd"/>
    </w:p>
    <w:p w14:paraId="6F6E4865" w14:textId="43A0C64C" w:rsidR="221D53AD" w:rsidRDefault="221D53AD" w:rsidP="3143223D">
      <w:pPr>
        <w:spacing w:line="360" w:lineRule="auto"/>
        <w:jc w:val="both"/>
        <w:rPr>
          <w:rFonts w:ascii="Times New Roman" w:hAnsi="Times New Roman" w:cs="Times New Roman"/>
          <w:sz w:val="24"/>
          <w:szCs w:val="24"/>
          <w:lang w:val="es-AR"/>
        </w:rPr>
      </w:pPr>
      <w:proofErr w:type="spellStart"/>
      <w:proofErr w:type="gramStart"/>
      <w:r w:rsidRPr="3143223D">
        <w:rPr>
          <w:rFonts w:ascii="Times New Roman" w:hAnsi="Times New Roman" w:cs="Times New Roman"/>
          <w:sz w:val="24"/>
          <w:szCs w:val="24"/>
        </w:rPr>
        <w:t>Mintzberg</w:t>
      </w:r>
      <w:proofErr w:type="spellEnd"/>
      <w:r w:rsidRPr="3143223D">
        <w:rPr>
          <w:rFonts w:ascii="Times New Roman" w:hAnsi="Times New Roman" w:cs="Times New Roman"/>
          <w:sz w:val="24"/>
          <w:szCs w:val="24"/>
        </w:rPr>
        <w:t xml:space="preserve">, H., </w:t>
      </w:r>
      <w:proofErr w:type="spellStart"/>
      <w:r w:rsidRPr="3143223D">
        <w:rPr>
          <w:rFonts w:ascii="Times New Roman" w:hAnsi="Times New Roman" w:cs="Times New Roman"/>
          <w:sz w:val="24"/>
          <w:szCs w:val="24"/>
        </w:rPr>
        <w:t>Ahlstrand</w:t>
      </w:r>
      <w:proofErr w:type="spellEnd"/>
      <w:r w:rsidRPr="3143223D">
        <w:rPr>
          <w:rFonts w:ascii="Times New Roman" w:hAnsi="Times New Roman" w:cs="Times New Roman"/>
          <w:sz w:val="24"/>
          <w:szCs w:val="24"/>
        </w:rPr>
        <w:t xml:space="preserve">, B., &amp; </w:t>
      </w:r>
      <w:proofErr w:type="spellStart"/>
      <w:r w:rsidRPr="3143223D">
        <w:rPr>
          <w:rFonts w:ascii="Times New Roman" w:hAnsi="Times New Roman" w:cs="Times New Roman"/>
          <w:sz w:val="24"/>
          <w:szCs w:val="24"/>
        </w:rPr>
        <w:t>Lampel</w:t>
      </w:r>
      <w:proofErr w:type="spellEnd"/>
      <w:r w:rsidRPr="3143223D">
        <w:rPr>
          <w:rFonts w:ascii="Times New Roman" w:hAnsi="Times New Roman" w:cs="Times New Roman"/>
          <w:sz w:val="24"/>
          <w:szCs w:val="24"/>
        </w:rPr>
        <w:t>, J. (1999).</w:t>
      </w:r>
      <w:proofErr w:type="gramEnd"/>
      <w:r w:rsidRPr="3143223D">
        <w:rPr>
          <w:rFonts w:ascii="Times New Roman" w:hAnsi="Times New Roman" w:cs="Times New Roman"/>
          <w:sz w:val="24"/>
          <w:szCs w:val="24"/>
        </w:rPr>
        <w:t xml:space="preserve"> Strategy safari: A guided tour through the wilds of strategic management. </w:t>
      </w:r>
      <w:r w:rsidRPr="3143223D">
        <w:rPr>
          <w:rFonts w:ascii="Times New Roman" w:hAnsi="Times New Roman" w:cs="Times New Roman"/>
          <w:sz w:val="24"/>
          <w:szCs w:val="24"/>
          <w:lang w:val="es-AR"/>
        </w:rPr>
        <w:t xml:space="preserve">Free </w:t>
      </w:r>
      <w:proofErr w:type="spellStart"/>
      <w:r w:rsidRPr="3143223D">
        <w:rPr>
          <w:rFonts w:ascii="Times New Roman" w:hAnsi="Times New Roman" w:cs="Times New Roman"/>
          <w:sz w:val="24"/>
          <w:szCs w:val="24"/>
          <w:lang w:val="es-AR"/>
        </w:rPr>
        <w:t>Press</w:t>
      </w:r>
      <w:proofErr w:type="spellEnd"/>
      <w:r w:rsidRPr="3143223D">
        <w:rPr>
          <w:rFonts w:ascii="Times New Roman" w:hAnsi="Times New Roman" w:cs="Times New Roman"/>
          <w:sz w:val="24"/>
          <w:szCs w:val="24"/>
          <w:lang w:val="es-AR"/>
        </w:rPr>
        <w:t>.</w:t>
      </w:r>
    </w:p>
    <w:p w14:paraId="06EF517C" w14:textId="0873200A" w:rsidR="221D53AD" w:rsidRDefault="221D53AD"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Observatorio Económico de Neuquén. (2024). Informe sectorial: Gastronomía y consumo urbano. Gobierno de la Provincia de Neuquén.</w:t>
      </w:r>
    </w:p>
    <w:p w14:paraId="72974DAF" w14:textId="6143FDF9" w:rsidR="221D53AD" w:rsidRDefault="221D53AD" w:rsidP="3143223D">
      <w:pPr>
        <w:spacing w:line="360" w:lineRule="auto"/>
        <w:jc w:val="both"/>
        <w:rPr>
          <w:rFonts w:ascii="Times New Roman" w:hAnsi="Times New Roman" w:cs="Times New Roman"/>
          <w:sz w:val="24"/>
          <w:szCs w:val="24"/>
        </w:rPr>
      </w:pPr>
      <w:proofErr w:type="spellStart"/>
      <w:r w:rsidRPr="3143223D">
        <w:rPr>
          <w:rFonts w:ascii="Times New Roman" w:hAnsi="Times New Roman" w:cs="Times New Roman"/>
          <w:sz w:val="24"/>
          <w:szCs w:val="24"/>
          <w:lang w:val="es-AR"/>
        </w:rPr>
        <w:t>Osterwalder</w:t>
      </w:r>
      <w:proofErr w:type="spellEnd"/>
      <w:r w:rsidRPr="3143223D">
        <w:rPr>
          <w:rFonts w:ascii="Times New Roman" w:hAnsi="Times New Roman" w:cs="Times New Roman"/>
          <w:sz w:val="24"/>
          <w:szCs w:val="24"/>
          <w:lang w:val="es-AR"/>
        </w:rPr>
        <w:t xml:space="preserve">, A., &amp; </w:t>
      </w:r>
      <w:proofErr w:type="spellStart"/>
      <w:r w:rsidRPr="3143223D">
        <w:rPr>
          <w:rFonts w:ascii="Times New Roman" w:hAnsi="Times New Roman" w:cs="Times New Roman"/>
          <w:sz w:val="24"/>
          <w:szCs w:val="24"/>
          <w:lang w:val="es-AR"/>
        </w:rPr>
        <w:t>Pigneur</w:t>
      </w:r>
      <w:proofErr w:type="spellEnd"/>
      <w:r w:rsidRPr="3143223D">
        <w:rPr>
          <w:rFonts w:ascii="Times New Roman" w:hAnsi="Times New Roman" w:cs="Times New Roman"/>
          <w:sz w:val="24"/>
          <w:szCs w:val="24"/>
          <w:lang w:val="es-AR"/>
        </w:rPr>
        <w:t xml:space="preserve">, Y. (2010). </w:t>
      </w:r>
      <w:proofErr w:type="gramStart"/>
      <w:r w:rsidRPr="3143223D">
        <w:rPr>
          <w:rFonts w:ascii="Times New Roman" w:hAnsi="Times New Roman" w:cs="Times New Roman"/>
          <w:sz w:val="24"/>
          <w:szCs w:val="24"/>
        </w:rPr>
        <w:t>Business model generation.</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Wiley.</w:t>
      </w:r>
      <w:proofErr w:type="gramEnd"/>
    </w:p>
    <w:p w14:paraId="170AD867" w14:textId="678E82FC"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Porter, M. E. (1980). Competitive strategy: Techniques for analyzing industries and competitors. Free Press.</w:t>
      </w:r>
    </w:p>
    <w:p w14:paraId="0E53B599" w14:textId="05DC17ED"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Porter, M. E. (1985). Competitive advantage: Creating and sustaining superior performance. Free Press.</w:t>
      </w:r>
    </w:p>
    <w:p w14:paraId="391F7017" w14:textId="672B5EAE"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 xml:space="preserve">Porter, M. E. (1990). </w:t>
      </w:r>
      <w:proofErr w:type="gramStart"/>
      <w:r w:rsidRPr="3143223D">
        <w:rPr>
          <w:rFonts w:ascii="Times New Roman" w:hAnsi="Times New Roman" w:cs="Times New Roman"/>
          <w:sz w:val="24"/>
          <w:szCs w:val="24"/>
        </w:rPr>
        <w:t>The competitive advantage of nations.</w:t>
      </w:r>
      <w:proofErr w:type="gramEnd"/>
      <w:r w:rsidRPr="3143223D">
        <w:rPr>
          <w:rFonts w:ascii="Times New Roman" w:hAnsi="Times New Roman" w:cs="Times New Roman"/>
          <w:sz w:val="24"/>
          <w:szCs w:val="24"/>
        </w:rPr>
        <w:t xml:space="preserve"> Free Press.</w:t>
      </w:r>
    </w:p>
    <w:p w14:paraId="65B43EA1" w14:textId="77777777" w:rsidR="221D53AD" w:rsidRDefault="221D53AD" w:rsidP="3143223D">
      <w:pPr>
        <w:spacing w:line="360" w:lineRule="auto"/>
        <w:jc w:val="both"/>
        <w:rPr>
          <w:rFonts w:ascii="Times New Roman" w:hAnsi="Times New Roman" w:cs="Times New Roman"/>
          <w:sz w:val="24"/>
          <w:szCs w:val="24"/>
        </w:rPr>
      </w:pPr>
      <w:proofErr w:type="gramStart"/>
      <w:r w:rsidRPr="3143223D">
        <w:rPr>
          <w:rFonts w:ascii="Times New Roman" w:hAnsi="Times New Roman" w:cs="Times New Roman"/>
          <w:sz w:val="24"/>
          <w:szCs w:val="24"/>
        </w:rPr>
        <w:lastRenderedPageBreak/>
        <w:t xml:space="preserve">Ross, S. A., </w:t>
      </w:r>
      <w:proofErr w:type="spellStart"/>
      <w:r w:rsidRPr="3143223D">
        <w:rPr>
          <w:rFonts w:ascii="Times New Roman" w:hAnsi="Times New Roman" w:cs="Times New Roman"/>
          <w:sz w:val="24"/>
          <w:szCs w:val="24"/>
        </w:rPr>
        <w:t>Westerfield</w:t>
      </w:r>
      <w:proofErr w:type="spellEnd"/>
      <w:r w:rsidRPr="3143223D">
        <w:rPr>
          <w:rFonts w:ascii="Times New Roman" w:hAnsi="Times New Roman" w:cs="Times New Roman"/>
          <w:sz w:val="24"/>
          <w:szCs w:val="24"/>
        </w:rPr>
        <w:t>, R. W., &amp; Jordan, B. D. (2018).</w:t>
      </w:r>
      <w:proofErr w:type="gramEnd"/>
      <w:r w:rsidRPr="3143223D">
        <w:rPr>
          <w:rFonts w:ascii="Times New Roman" w:hAnsi="Times New Roman" w:cs="Times New Roman"/>
          <w:sz w:val="24"/>
          <w:szCs w:val="24"/>
        </w:rPr>
        <w:t xml:space="preserve"> Fundamentals of corporate finance (12th </w:t>
      </w:r>
      <w:proofErr w:type="gramStart"/>
      <w:r w:rsidRPr="3143223D">
        <w:rPr>
          <w:rFonts w:ascii="Times New Roman" w:hAnsi="Times New Roman" w:cs="Times New Roman"/>
          <w:sz w:val="24"/>
          <w:szCs w:val="24"/>
        </w:rPr>
        <w:t>ed</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McGraw-Hill Education.</w:t>
      </w:r>
      <w:proofErr w:type="gramEnd"/>
    </w:p>
    <w:p w14:paraId="69830F06" w14:textId="7EC2B30A" w:rsidR="221D53AD" w:rsidRDefault="221D53AD" w:rsidP="3143223D">
      <w:pPr>
        <w:spacing w:line="360" w:lineRule="auto"/>
        <w:jc w:val="both"/>
        <w:rPr>
          <w:rFonts w:ascii="Times New Roman" w:hAnsi="Times New Roman" w:cs="Times New Roman"/>
          <w:sz w:val="24"/>
          <w:szCs w:val="24"/>
        </w:rPr>
      </w:pPr>
      <w:proofErr w:type="spellStart"/>
      <w:proofErr w:type="gramStart"/>
      <w:r w:rsidRPr="3143223D">
        <w:rPr>
          <w:rFonts w:ascii="Times New Roman" w:hAnsi="Times New Roman" w:cs="Times New Roman"/>
          <w:sz w:val="24"/>
          <w:szCs w:val="24"/>
        </w:rPr>
        <w:t>Schiffman</w:t>
      </w:r>
      <w:proofErr w:type="spellEnd"/>
      <w:r w:rsidRPr="3143223D">
        <w:rPr>
          <w:rFonts w:ascii="Times New Roman" w:hAnsi="Times New Roman" w:cs="Times New Roman"/>
          <w:sz w:val="24"/>
          <w:szCs w:val="24"/>
        </w:rPr>
        <w:t xml:space="preserve">, L. G., &amp; </w:t>
      </w:r>
      <w:proofErr w:type="spellStart"/>
      <w:r w:rsidRPr="3143223D">
        <w:rPr>
          <w:rFonts w:ascii="Times New Roman" w:hAnsi="Times New Roman" w:cs="Times New Roman"/>
          <w:sz w:val="24"/>
          <w:szCs w:val="24"/>
        </w:rPr>
        <w:t>Wisenblit</w:t>
      </w:r>
      <w:proofErr w:type="spellEnd"/>
      <w:r w:rsidRPr="3143223D">
        <w:rPr>
          <w:rFonts w:ascii="Times New Roman" w:hAnsi="Times New Roman" w:cs="Times New Roman"/>
          <w:sz w:val="24"/>
          <w:szCs w:val="24"/>
        </w:rPr>
        <w:t>, J. (2015).</w:t>
      </w:r>
      <w:proofErr w:type="gramEnd"/>
      <w:r w:rsidRPr="3143223D">
        <w:rPr>
          <w:rFonts w:ascii="Times New Roman" w:hAnsi="Times New Roman" w:cs="Times New Roman"/>
          <w:sz w:val="24"/>
          <w:szCs w:val="24"/>
        </w:rPr>
        <w:t xml:space="preserve"> Consumer behavior (11th </w:t>
      </w:r>
      <w:proofErr w:type="gramStart"/>
      <w:r w:rsidRPr="3143223D">
        <w:rPr>
          <w:rFonts w:ascii="Times New Roman" w:hAnsi="Times New Roman" w:cs="Times New Roman"/>
          <w:sz w:val="24"/>
          <w:szCs w:val="24"/>
        </w:rPr>
        <w:t>ed</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Pearson Education.</w:t>
      </w:r>
      <w:proofErr w:type="gramEnd"/>
    </w:p>
    <w:p w14:paraId="0AC44BC8" w14:textId="77777777"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 xml:space="preserve">Schmitt, B. (1999). </w:t>
      </w:r>
      <w:proofErr w:type="gramStart"/>
      <w:r w:rsidRPr="3143223D">
        <w:rPr>
          <w:rFonts w:ascii="Times New Roman" w:hAnsi="Times New Roman" w:cs="Times New Roman"/>
          <w:sz w:val="24"/>
          <w:szCs w:val="24"/>
        </w:rPr>
        <w:t>Experiential marketing.</w:t>
      </w:r>
      <w:proofErr w:type="gramEnd"/>
      <w:r w:rsidRPr="3143223D">
        <w:rPr>
          <w:rFonts w:ascii="Times New Roman" w:hAnsi="Times New Roman" w:cs="Times New Roman"/>
          <w:sz w:val="24"/>
          <w:szCs w:val="24"/>
        </w:rPr>
        <w:t xml:space="preserve"> Journal of Marketing Management, 15(1–3), 53–67.</w:t>
      </w:r>
    </w:p>
    <w:p w14:paraId="488A5F62" w14:textId="0783A1EA" w:rsidR="221D53AD" w:rsidRDefault="221D53AD" w:rsidP="3143223D">
      <w:pPr>
        <w:spacing w:line="360" w:lineRule="auto"/>
        <w:jc w:val="both"/>
        <w:rPr>
          <w:rFonts w:ascii="Times New Roman" w:hAnsi="Times New Roman" w:cs="Times New Roman"/>
          <w:sz w:val="24"/>
          <w:szCs w:val="24"/>
        </w:rPr>
      </w:pPr>
      <w:r w:rsidRPr="3143223D">
        <w:rPr>
          <w:rFonts w:ascii="Times New Roman" w:hAnsi="Times New Roman" w:cs="Times New Roman"/>
          <w:sz w:val="24"/>
          <w:szCs w:val="24"/>
        </w:rPr>
        <w:t xml:space="preserve">Solomon, M. R. (2018). Consumer behavior: Buying, having, and being (12th </w:t>
      </w:r>
      <w:proofErr w:type="gramStart"/>
      <w:r w:rsidRPr="3143223D">
        <w:rPr>
          <w:rFonts w:ascii="Times New Roman" w:hAnsi="Times New Roman" w:cs="Times New Roman"/>
          <w:sz w:val="24"/>
          <w:szCs w:val="24"/>
        </w:rPr>
        <w:t>ed</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Pearson Education.</w:t>
      </w:r>
      <w:proofErr w:type="gramEnd"/>
    </w:p>
    <w:p w14:paraId="1BE3BC41" w14:textId="5FE74A19" w:rsidR="221D53AD" w:rsidRDefault="221D53AD" w:rsidP="3143223D">
      <w:pPr>
        <w:spacing w:line="360" w:lineRule="auto"/>
        <w:jc w:val="both"/>
        <w:rPr>
          <w:rFonts w:ascii="Times New Roman" w:hAnsi="Times New Roman" w:cs="Times New Roman"/>
          <w:sz w:val="24"/>
          <w:szCs w:val="24"/>
          <w:lang w:val="es-AR"/>
        </w:rPr>
      </w:pPr>
      <w:proofErr w:type="gramStart"/>
      <w:r w:rsidRPr="3143223D">
        <w:rPr>
          <w:rFonts w:ascii="Times New Roman" w:hAnsi="Times New Roman" w:cs="Times New Roman"/>
          <w:sz w:val="24"/>
          <w:szCs w:val="24"/>
        </w:rPr>
        <w:t>Von Neumann, J., &amp; Morgenstern, O. (1944).</w:t>
      </w:r>
      <w:proofErr w:type="gramEnd"/>
      <w:r w:rsidRPr="3143223D">
        <w:rPr>
          <w:rFonts w:ascii="Times New Roman" w:hAnsi="Times New Roman" w:cs="Times New Roman"/>
          <w:sz w:val="24"/>
          <w:szCs w:val="24"/>
        </w:rPr>
        <w:t xml:space="preserve"> </w:t>
      </w:r>
      <w:proofErr w:type="gramStart"/>
      <w:r w:rsidRPr="3143223D">
        <w:rPr>
          <w:rFonts w:ascii="Times New Roman" w:hAnsi="Times New Roman" w:cs="Times New Roman"/>
          <w:sz w:val="24"/>
          <w:szCs w:val="24"/>
        </w:rPr>
        <w:t>Theory of games and economic behavior.</w:t>
      </w:r>
      <w:proofErr w:type="gramEnd"/>
      <w:r w:rsidRPr="3143223D">
        <w:rPr>
          <w:rFonts w:ascii="Times New Roman" w:hAnsi="Times New Roman" w:cs="Times New Roman"/>
          <w:sz w:val="24"/>
          <w:szCs w:val="24"/>
        </w:rPr>
        <w:t xml:space="preserve"> </w:t>
      </w:r>
      <w:r w:rsidRPr="3143223D">
        <w:rPr>
          <w:rFonts w:ascii="Times New Roman" w:hAnsi="Times New Roman" w:cs="Times New Roman"/>
          <w:sz w:val="24"/>
          <w:szCs w:val="24"/>
          <w:lang w:val="es-AR"/>
        </w:rPr>
        <w:t xml:space="preserve">Princeton </w:t>
      </w:r>
      <w:proofErr w:type="spellStart"/>
      <w:r w:rsidRPr="3143223D">
        <w:rPr>
          <w:rFonts w:ascii="Times New Roman" w:hAnsi="Times New Roman" w:cs="Times New Roman"/>
          <w:sz w:val="24"/>
          <w:szCs w:val="24"/>
          <w:lang w:val="es-AR"/>
        </w:rPr>
        <w:t>University</w:t>
      </w:r>
      <w:proofErr w:type="spellEnd"/>
      <w:r w:rsidRPr="3143223D">
        <w:rPr>
          <w:rFonts w:ascii="Times New Roman" w:hAnsi="Times New Roman" w:cs="Times New Roman"/>
          <w:sz w:val="24"/>
          <w:szCs w:val="24"/>
          <w:lang w:val="es-AR"/>
        </w:rPr>
        <w:t xml:space="preserve"> </w:t>
      </w:r>
      <w:proofErr w:type="spellStart"/>
      <w:r w:rsidRPr="3143223D">
        <w:rPr>
          <w:rFonts w:ascii="Times New Roman" w:hAnsi="Times New Roman" w:cs="Times New Roman"/>
          <w:sz w:val="24"/>
          <w:szCs w:val="24"/>
          <w:lang w:val="es-AR"/>
        </w:rPr>
        <w:t>Press</w:t>
      </w:r>
      <w:proofErr w:type="spellEnd"/>
      <w:r w:rsidRPr="3143223D">
        <w:rPr>
          <w:rFonts w:ascii="Times New Roman" w:hAnsi="Times New Roman" w:cs="Times New Roman"/>
          <w:sz w:val="24"/>
          <w:szCs w:val="24"/>
          <w:lang w:val="es-AR"/>
        </w:rPr>
        <w:t>.</w:t>
      </w:r>
    </w:p>
    <w:p w14:paraId="39091A2C" w14:textId="471294D9" w:rsidR="221D53AD" w:rsidRDefault="221D53AD" w:rsidP="3143223D">
      <w:pPr>
        <w:spacing w:line="360" w:lineRule="auto"/>
        <w:jc w:val="both"/>
        <w:rPr>
          <w:rFonts w:ascii="Times New Roman" w:hAnsi="Times New Roman" w:cs="Times New Roman"/>
          <w:sz w:val="24"/>
          <w:szCs w:val="24"/>
          <w:lang w:val="es-AR"/>
        </w:rPr>
      </w:pPr>
      <w:r w:rsidRPr="3143223D">
        <w:rPr>
          <w:rFonts w:ascii="Times New Roman" w:hAnsi="Times New Roman" w:cs="Times New Roman"/>
          <w:sz w:val="24"/>
          <w:szCs w:val="24"/>
          <w:lang w:val="es-AR"/>
        </w:rPr>
        <w:t>Universidad de Palermo. (2024). Normativas y lineamientos para la presentación de tesis de maestría. Dirección de Posgrados, Universidad de Palermo.</w:t>
      </w:r>
    </w:p>
    <w:p w14:paraId="795D3DA2" w14:textId="6F627249" w:rsidR="3143223D" w:rsidRDefault="3143223D" w:rsidP="3143223D">
      <w:pPr>
        <w:spacing w:line="360" w:lineRule="auto"/>
        <w:jc w:val="both"/>
      </w:pPr>
    </w:p>
    <w:p w14:paraId="54DAA711" w14:textId="1519F7BD" w:rsidR="3143223D" w:rsidRDefault="3143223D" w:rsidP="3143223D">
      <w:pPr>
        <w:spacing w:line="360" w:lineRule="auto"/>
        <w:jc w:val="both"/>
      </w:pPr>
    </w:p>
    <w:p w14:paraId="2F2B0A29" w14:textId="103946A8" w:rsidR="3143223D" w:rsidRDefault="3143223D" w:rsidP="3143223D">
      <w:pPr>
        <w:spacing w:line="360" w:lineRule="auto"/>
        <w:jc w:val="both"/>
      </w:pPr>
    </w:p>
    <w:p w14:paraId="0954B8CF" w14:textId="77777777" w:rsidR="000951FD" w:rsidRPr="003B6453" w:rsidRDefault="000951FD" w:rsidP="003B6453">
      <w:pPr>
        <w:spacing w:line="360" w:lineRule="auto"/>
        <w:jc w:val="both"/>
        <w:rPr>
          <w:rFonts w:ascii="Times New Roman" w:hAnsi="Times New Roman" w:cs="Times New Roman"/>
          <w:sz w:val="24"/>
          <w:szCs w:val="24"/>
          <w:lang w:val="es-AR"/>
        </w:rPr>
      </w:pPr>
    </w:p>
    <w:p w14:paraId="1FE00112" w14:textId="77777777" w:rsidR="000951FD" w:rsidRPr="003B6453" w:rsidRDefault="000951FD" w:rsidP="003B6453">
      <w:pPr>
        <w:spacing w:line="360" w:lineRule="auto"/>
        <w:jc w:val="both"/>
        <w:rPr>
          <w:rFonts w:ascii="Times New Roman" w:hAnsi="Times New Roman" w:cs="Times New Roman"/>
          <w:sz w:val="24"/>
          <w:szCs w:val="24"/>
          <w:lang w:val="es-AR"/>
        </w:rPr>
      </w:pPr>
    </w:p>
    <w:p w14:paraId="6418CC11" w14:textId="77777777" w:rsidR="000951FD" w:rsidRPr="003B6453" w:rsidRDefault="000951FD" w:rsidP="003B6453">
      <w:pPr>
        <w:spacing w:line="360" w:lineRule="auto"/>
        <w:jc w:val="both"/>
        <w:rPr>
          <w:rFonts w:ascii="Times New Roman" w:hAnsi="Times New Roman" w:cs="Times New Roman"/>
          <w:sz w:val="24"/>
          <w:szCs w:val="24"/>
          <w:lang w:val="es-AR"/>
        </w:rPr>
      </w:pPr>
    </w:p>
    <w:p w14:paraId="535C1F6F" w14:textId="77777777" w:rsidR="000951FD" w:rsidRPr="003B6453" w:rsidRDefault="000951FD" w:rsidP="003B6453">
      <w:pPr>
        <w:spacing w:line="360" w:lineRule="auto"/>
        <w:jc w:val="both"/>
        <w:rPr>
          <w:rFonts w:ascii="Times New Roman" w:hAnsi="Times New Roman" w:cs="Times New Roman"/>
          <w:sz w:val="24"/>
          <w:szCs w:val="24"/>
          <w:lang w:val="es-AR"/>
        </w:rPr>
      </w:pPr>
    </w:p>
    <w:p w14:paraId="6DE9AE99" w14:textId="77777777" w:rsidR="000951FD" w:rsidRPr="003B6453" w:rsidRDefault="000951FD" w:rsidP="003B6453">
      <w:pPr>
        <w:spacing w:line="360" w:lineRule="auto"/>
        <w:jc w:val="both"/>
        <w:rPr>
          <w:rFonts w:ascii="Times New Roman" w:hAnsi="Times New Roman" w:cs="Times New Roman"/>
          <w:sz w:val="24"/>
          <w:szCs w:val="24"/>
          <w:lang w:val="es-AR"/>
        </w:rPr>
      </w:pPr>
    </w:p>
    <w:p w14:paraId="6DFFC2AA" w14:textId="77777777" w:rsidR="000951FD" w:rsidRPr="003B6453" w:rsidRDefault="000951FD" w:rsidP="003B6453">
      <w:pPr>
        <w:spacing w:line="360" w:lineRule="auto"/>
        <w:jc w:val="both"/>
        <w:rPr>
          <w:rFonts w:ascii="Times New Roman" w:hAnsi="Times New Roman" w:cs="Times New Roman"/>
          <w:sz w:val="24"/>
          <w:szCs w:val="24"/>
          <w:lang w:val="es-AR"/>
        </w:rPr>
      </w:pPr>
    </w:p>
    <w:p w14:paraId="195F3665" w14:textId="77777777" w:rsidR="000951FD" w:rsidRPr="003B6453" w:rsidRDefault="000951FD" w:rsidP="003B6453">
      <w:pPr>
        <w:spacing w:line="360" w:lineRule="auto"/>
        <w:jc w:val="both"/>
        <w:rPr>
          <w:rFonts w:ascii="Times New Roman" w:hAnsi="Times New Roman" w:cs="Times New Roman"/>
          <w:sz w:val="24"/>
          <w:szCs w:val="24"/>
          <w:lang w:val="es-AR"/>
        </w:rPr>
      </w:pPr>
    </w:p>
    <w:p w14:paraId="172600B3" w14:textId="77777777" w:rsidR="000951FD" w:rsidRPr="003B6453" w:rsidRDefault="000951FD" w:rsidP="003B6453">
      <w:pPr>
        <w:spacing w:line="360" w:lineRule="auto"/>
        <w:jc w:val="both"/>
        <w:rPr>
          <w:rFonts w:ascii="Times New Roman" w:hAnsi="Times New Roman" w:cs="Times New Roman"/>
          <w:sz w:val="24"/>
          <w:szCs w:val="24"/>
          <w:lang w:val="es-AR"/>
        </w:rPr>
      </w:pPr>
    </w:p>
    <w:p w14:paraId="1DACCDF0" w14:textId="77777777" w:rsidR="00531DA5" w:rsidRPr="003B6453" w:rsidRDefault="00531DA5" w:rsidP="003B6453">
      <w:pPr>
        <w:spacing w:line="360" w:lineRule="auto"/>
        <w:jc w:val="both"/>
        <w:rPr>
          <w:rFonts w:ascii="Times New Roman" w:hAnsi="Times New Roman" w:cs="Times New Roman"/>
          <w:sz w:val="24"/>
          <w:szCs w:val="24"/>
          <w:lang w:val="es-AR"/>
        </w:rPr>
      </w:pPr>
    </w:p>
    <w:sectPr w:rsidR="00531DA5" w:rsidRPr="003B6453">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A03C30"/>
    <w:multiLevelType w:val="multilevel"/>
    <w:tmpl w:val="969EBA60"/>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F55"/>
    <w:rsid w:val="00050C66"/>
    <w:rsid w:val="00057842"/>
    <w:rsid w:val="00062DBB"/>
    <w:rsid w:val="00064681"/>
    <w:rsid w:val="000657CD"/>
    <w:rsid w:val="000733D7"/>
    <w:rsid w:val="00077F23"/>
    <w:rsid w:val="00083FAD"/>
    <w:rsid w:val="00093A72"/>
    <w:rsid w:val="000951FD"/>
    <w:rsid w:val="000A643E"/>
    <w:rsid w:val="000B56B8"/>
    <w:rsid w:val="000E1E21"/>
    <w:rsid w:val="000F700F"/>
    <w:rsid w:val="00101544"/>
    <w:rsid w:val="0011670A"/>
    <w:rsid w:val="001364BC"/>
    <w:rsid w:val="00145C4C"/>
    <w:rsid w:val="001468F6"/>
    <w:rsid w:val="0016432D"/>
    <w:rsid w:val="0018241E"/>
    <w:rsid w:val="001906BE"/>
    <w:rsid w:val="0019680B"/>
    <w:rsid w:val="001B0B4E"/>
    <w:rsid w:val="001B0FFE"/>
    <w:rsid w:val="001D5F87"/>
    <w:rsid w:val="001F4DE6"/>
    <w:rsid w:val="00246927"/>
    <w:rsid w:val="00262D8F"/>
    <w:rsid w:val="00265132"/>
    <w:rsid w:val="0027687F"/>
    <w:rsid w:val="00291CA9"/>
    <w:rsid w:val="00297CBC"/>
    <w:rsid w:val="002B0507"/>
    <w:rsid w:val="003007F8"/>
    <w:rsid w:val="00301E9D"/>
    <w:rsid w:val="00312CE2"/>
    <w:rsid w:val="00315C56"/>
    <w:rsid w:val="00347EE7"/>
    <w:rsid w:val="0036235E"/>
    <w:rsid w:val="00367532"/>
    <w:rsid w:val="00372203"/>
    <w:rsid w:val="00376DE3"/>
    <w:rsid w:val="00387A23"/>
    <w:rsid w:val="0039770B"/>
    <w:rsid w:val="003A2836"/>
    <w:rsid w:val="003B1B59"/>
    <w:rsid w:val="003B6453"/>
    <w:rsid w:val="003C0AC3"/>
    <w:rsid w:val="00410CDA"/>
    <w:rsid w:val="00434C01"/>
    <w:rsid w:val="00444067"/>
    <w:rsid w:val="00473659"/>
    <w:rsid w:val="0047438D"/>
    <w:rsid w:val="00477409"/>
    <w:rsid w:val="00483657"/>
    <w:rsid w:val="00491BCF"/>
    <w:rsid w:val="004A6493"/>
    <w:rsid w:val="004B2326"/>
    <w:rsid w:val="004F6F53"/>
    <w:rsid w:val="00502D0C"/>
    <w:rsid w:val="00515124"/>
    <w:rsid w:val="0051770A"/>
    <w:rsid w:val="00517DC0"/>
    <w:rsid w:val="005271AF"/>
    <w:rsid w:val="00530BCD"/>
    <w:rsid w:val="00531DA5"/>
    <w:rsid w:val="005419BE"/>
    <w:rsid w:val="00553B8E"/>
    <w:rsid w:val="00557FBF"/>
    <w:rsid w:val="00572700"/>
    <w:rsid w:val="005773EE"/>
    <w:rsid w:val="0058120F"/>
    <w:rsid w:val="00583E57"/>
    <w:rsid w:val="005910F0"/>
    <w:rsid w:val="005C7063"/>
    <w:rsid w:val="005D5D3D"/>
    <w:rsid w:val="005F2DE8"/>
    <w:rsid w:val="005F5DF9"/>
    <w:rsid w:val="00621D8E"/>
    <w:rsid w:val="00633533"/>
    <w:rsid w:val="00683DAE"/>
    <w:rsid w:val="00690EB1"/>
    <w:rsid w:val="006A4B61"/>
    <w:rsid w:val="006A7862"/>
    <w:rsid w:val="006B21B7"/>
    <w:rsid w:val="006B4A58"/>
    <w:rsid w:val="006B72F6"/>
    <w:rsid w:val="006C1B43"/>
    <w:rsid w:val="006C5128"/>
    <w:rsid w:val="006E2EE3"/>
    <w:rsid w:val="006F01B9"/>
    <w:rsid w:val="006F5610"/>
    <w:rsid w:val="00702D4F"/>
    <w:rsid w:val="00717157"/>
    <w:rsid w:val="00760920"/>
    <w:rsid w:val="0076619B"/>
    <w:rsid w:val="00793E35"/>
    <w:rsid w:val="007974DE"/>
    <w:rsid w:val="00797AD1"/>
    <w:rsid w:val="007A3A7C"/>
    <w:rsid w:val="007B4283"/>
    <w:rsid w:val="007B73C9"/>
    <w:rsid w:val="007C16BC"/>
    <w:rsid w:val="008071AD"/>
    <w:rsid w:val="008140DE"/>
    <w:rsid w:val="0085067D"/>
    <w:rsid w:val="008569A5"/>
    <w:rsid w:val="00862A43"/>
    <w:rsid w:val="00867E12"/>
    <w:rsid w:val="00870145"/>
    <w:rsid w:val="00873DFD"/>
    <w:rsid w:val="0087793E"/>
    <w:rsid w:val="008925CD"/>
    <w:rsid w:val="00892C26"/>
    <w:rsid w:val="008A3CD0"/>
    <w:rsid w:val="008A4EBA"/>
    <w:rsid w:val="008B00A1"/>
    <w:rsid w:val="008C11E0"/>
    <w:rsid w:val="008D7268"/>
    <w:rsid w:val="008E2D5F"/>
    <w:rsid w:val="008F023C"/>
    <w:rsid w:val="008F1061"/>
    <w:rsid w:val="009031AC"/>
    <w:rsid w:val="00906981"/>
    <w:rsid w:val="009125AA"/>
    <w:rsid w:val="009152A9"/>
    <w:rsid w:val="009177E0"/>
    <w:rsid w:val="00926D23"/>
    <w:rsid w:val="009314CA"/>
    <w:rsid w:val="00940122"/>
    <w:rsid w:val="00952849"/>
    <w:rsid w:val="00956AFA"/>
    <w:rsid w:val="009932CD"/>
    <w:rsid w:val="009A7116"/>
    <w:rsid w:val="009B3CA9"/>
    <w:rsid w:val="009B7B70"/>
    <w:rsid w:val="009E7ECC"/>
    <w:rsid w:val="00A06382"/>
    <w:rsid w:val="00A104E5"/>
    <w:rsid w:val="00A20BF3"/>
    <w:rsid w:val="00A304A5"/>
    <w:rsid w:val="00A31B5C"/>
    <w:rsid w:val="00A47047"/>
    <w:rsid w:val="00A9510D"/>
    <w:rsid w:val="00AB5A55"/>
    <w:rsid w:val="00AC1982"/>
    <w:rsid w:val="00AD50D0"/>
    <w:rsid w:val="00AE6CA8"/>
    <w:rsid w:val="00AF5A0D"/>
    <w:rsid w:val="00AF614F"/>
    <w:rsid w:val="00B21C2C"/>
    <w:rsid w:val="00B27E51"/>
    <w:rsid w:val="00B3212B"/>
    <w:rsid w:val="00B33F6C"/>
    <w:rsid w:val="00B6294E"/>
    <w:rsid w:val="00BA2053"/>
    <w:rsid w:val="00BB14AF"/>
    <w:rsid w:val="00BC0307"/>
    <w:rsid w:val="00BC3822"/>
    <w:rsid w:val="00BD53F5"/>
    <w:rsid w:val="00BD71D1"/>
    <w:rsid w:val="00BD7B42"/>
    <w:rsid w:val="00BF0BCD"/>
    <w:rsid w:val="00BF7478"/>
    <w:rsid w:val="00C21178"/>
    <w:rsid w:val="00C32C99"/>
    <w:rsid w:val="00C34A01"/>
    <w:rsid w:val="00C56C3B"/>
    <w:rsid w:val="00C724AD"/>
    <w:rsid w:val="00C73570"/>
    <w:rsid w:val="00C73814"/>
    <w:rsid w:val="00C74B55"/>
    <w:rsid w:val="00CC669E"/>
    <w:rsid w:val="00CD08F5"/>
    <w:rsid w:val="00CD145A"/>
    <w:rsid w:val="00CE37AE"/>
    <w:rsid w:val="00CE4F65"/>
    <w:rsid w:val="00CF72FA"/>
    <w:rsid w:val="00D21915"/>
    <w:rsid w:val="00D33F6E"/>
    <w:rsid w:val="00D35443"/>
    <w:rsid w:val="00D40A41"/>
    <w:rsid w:val="00D51148"/>
    <w:rsid w:val="00D640BB"/>
    <w:rsid w:val="00D66F48"/>
    <w:rsid w:val="00D8394A"/>
    <w:rsid w:val="00D93C29"/>
    <w:rsid w:val="00DC674B"/>
    <w:rsid w:val="00E05D93"/>
    <w:rsid w:val="00E15643"/>
    <w:rsid w:val="00E21410"/>
    <w:rsid w:val="00E218A7"/>
    <w:rsid w:val="00E2331D"/>
    <w:rsid w:val="00E42B67"/>
    <w:rsid w:val="00E82089"/>
    <w:rsid w:val="00E83747"/>
    <w:rsid w:val="00EB7C00"/>
    <w:rsid w:val="00EC04F7"/>
    <w:rsid w:val="00EC35C4"/>
    <w:rsid w:val="00EC4113"/>
    <w:rsid w:val="00ED3BA3"/>
    <w:rsid w:val="00ED73ED"/>
    <w:rsid w:val="00EE2A00"/>
    <w:rsid w:val="00EE65DA"/>
    <w:rsid w:val="00EF028D"/>
    <w:rsid w:val="00EF0AAA"/>
    <w:rsid w:val="00F10DAD"/>
    <w:rsid w:val="00F41F55"/>
    <w:rsid w:val="00F6403A"/>
    <w:rsid w:val="00F67A8C"/>
    <w:rsid w:val="00F7619B"/>
    <w:rsid w:val="00F8159F"/>
    <w:rsid w:val="00F8788D"/>
    <w:rsid w:val="00F94EC8"/>
    <w:rsid w:val="00FA289E"/>
    <w:rsid w:val="00FB7846"/>
    <w:rsid w:val="00FD2120"/>
    <w:rsid w:val="00FF2ACB"/>
    <w:rsid w:val="221D53AD"/>
    <w:rsid w:val="3143223D"/>
    <w:rsid w:val="3BBB3394"/>
    <w:rsid w:val="60D1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9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F028D"/>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tulo2">
    <w:name w:val="heading 2"/>
    <w:basedOn w:val="Normal"/>
    <w:next w:val="Normal"/>
    <w:link w:val="Ttulo2Car"/>
    <w:uiPriority w:val="9"/>
    <w:unhideWhenUsed/>
    <w:qFormat/>
    <w:rsid w:val="00EF02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C74B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C74B5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C74B55"/>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C74B5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028D"/>
    <w:rPr>
      <w:rFonts w:asciiTheme="majorHAnsi" w:eastAsiaTheme="majorEastAsia" w:hAnsiTheme="majorHAnsi" w:cstheme="majorBidi"/>
      <w:b/>
      <w:bCs/>
      <w:color w:val="2F5496" w:themeColor="accent1" w:themeShade="BF"/>
      <w:kern w:val="0"/>
      <w:sz w:val="28"/>
      <w:szCs w:val="28"/>
      <w14:ligatures w14:val="none"/>
    </w:rPr>
  </w:style>
  <w:style w:type="table" w:styleId="Tablaconcuadrcula">
    <w:name w:val="Table Grid"/>
    <w:basedOn w:val="Tablanormal"/>
    <w:uiPriority w:val="59"/>
    <w:rsid w:val="00EF028D"/>
    <w:pPr>
      <w:spacing w:after="0" w:line="240" w:lineRule="auto"/>
    </w:pPr>
    <w:rPr>
      <w:rFonts w:eastAsiaTheme="minorEastAsia"/>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EF028D"/>
    <w:rPr>
      <w:rFonts w:asciiTheme="majorHAnsi" w:eastAsiaTheme="majorEastAsia" w:hAnsiTheme="majorHAnsi" w:cstheme="majorBidi"/>
      <w:color w:val="2F5496" w:themeColor="accent1" w:themeShade="BF"/>
      <w:sz w:val="26"/>
      <w:szCs w:val="26"/>
    </w:rPr>
  </w:style>
  <w:style w:type="table" w:customStyle="1" w:styleId="PlainTable1">
    <w:name w:val="Plain Table 1"/>
    <w:basedOn w:val="Tablanormal"/>
    <w:uiPriority w:val="41"/>
    <w:rsid w:val="006F01B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3Car">
    <w:name w:val="Título 3 Car"/>
    <w:basedOn w:val="Fuentedeprrafopredeter"/>
    <w:link w:val="Ttulo3"/>
    <w:uiPriority w:val="9"/>
    <w:semiHidden/>
    <w:rsid w:val="00C74B55"/>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C74B55"/>
    <w:rPr>
      <w:rFonts w:asciiTheme="majorHAnsi" w:eastAsiaTheme="majorEastAsia" w:hAnsiTheme="majorHAnsi" w:cstheme="majorBidi"/>
      <w:i/>
      <w:iCs/>
      <w:color w:val="2F5496" w:themeColor="accent1" w:themeShade="BF"/>
    </w:rPr>
  </w:style>
  <w:style w:type="character" w:customStyle="1" w:styleId="Ttulo5Car">
    <w:name w:val="Título 5 Car"/>
    <w:basedOn w:val="Fuentedeprrafopredeter"/>
    <w:link w:val="Ttulo5"/>
    <w:uiPriority w:val="9"/>
    <w:semiHidden/>
    <w:rsid w:val="00C74B55"/>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semiHidden/>
    <w:rsid w:val="00C74B55"/>
    <w:rPr>
      <w:rFonts w:asciiTheme="majorHAnsi" w:eastAsiaTheme="majorEastAsia" w:hAnsiTheme="majorHAnsi" w:cstheme="majorBidi"/>
      <w:color w:val="1F3763" w:themeColor="accent1" w:themeShade="7F"/>
    </w:rPr>
  </w:style>
  <w:style w:type="table" w:customStyle="1" w:styleId="PlainTable5">
    <w:name w:val="Plain Table 5"/>
    <w:basedOn w:val="Tablanormal"/>
    <w:uiPriority w:val="45"/>
    <w:rsid w:val="00A31B5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ipervnculo">
    <w:name w:val="Hyperlink"/>
    <w:basedOn w:val="Fuentedeprrafopredeter"/>
    <w:uiPriority w:val="99"/>
    <w:unhideWhenUsed/>
    <w:rsid w:val="0076619B"/>
    <w:rPr>
      <w:color w:val="0563C1" w:themeColor="hyperlink"/>
      <w:u w:val="single"/>
    </w:rPr>
  </w:style>
  <w:style w:type="character" w:customStyle="1" w:styleId="UnresolvedMention">
    <w:name w:val="Unresolved Mention"/>
    <w:basedOn w:val="Fuentedeprrafopredeter"/>
    <w:uiPriority w:val="99"/>
    <w:semiHidden/>
    <w:unhideWhenUsed/>
    <w:rsid w:val="0076619B"/>
    <w:rPr>
      <w:color w:val="605E5C"/>
      <w:shd w:val="clear" w:color="auto" w:fill="E1DFDD"/>
    </w:rPr>
  </w:style>
  <w:style w:type="paragraph" w:styleId="TtulodeTDC">
    <w:name w:val="TOC Heading"/>
    <w:basedOn w:val="Ttulo1"/>
    <w:next w:val="Normal"/>
    <w:uiPriority w:val="39"/>
    <w:unhideWhenUsed/>
    <w:qFormat/>
    <w:rsid w:val="00050C66"/>
    <w:pPr>
      <w:spacing w:before="240" w:line="259" w:lineRule="auto"/>
      <w:outlineLvl w:val="9"/>
    </w:pPr>
    <w:rPr>
      <w:b w:val="0"/>
      <w:bCs w:val="0"/>
      <w:sz w:val="32"/>
      <w:szCs w:val="32"/>
    </w:rPr>
  </w:style>
  <w:style w:type="paragraph" w:styleId="TDC1">
    <w:name w:val="toc 1"/>
    <w:basedOn w:val="Normal"/>
    <w:next w:val="Normal"/>
    <w:autoRedefine/>
    <w:uiPriority w:val="39"/>
    <w:unhideWhenUsed/>
    <w:rsid w:val="00050C66"/>
    <w:pPr>
      <w:spacing w:after="100"/>
    </w:pPr>
  </w:style>
  <w:style w:type="paragraph" w:customStyle="1" w:styleId="paragraph">
    <w:name w:val="paragraph"/>
    <w:basedOn w:val="Normal"/>
    <w:rsid w:val="00C21178"/>
    <w:pPr>
      <w:spacing w:before="100" w:beforeAutospacing="1" w:after="100" w:afterAutospacing="1" w:line="240" w:lineRule="auto"/>
    </w:pPr>
    <w:rPr>
      <w:rFonts w:ascii="Times New Roman" w:eastAsia="Times New Roman" w:hAnsi="Times New Roman" w:cs="Times New Roman"/>
      <w:kern w:val="0"/>
      <w:sz w:val="24"/>
      <w:szCs w:val="24"/>
      <w:lang w:val="es-AR" w:eastAsia="es-AR"/>
      <w14:ligatures w14:val="none"/>
    </w:rPr>
  </w:style>
  <w:style w:type="character" w:customStyle="1" w:styleId="scxw197454529">
    <w:name w:val="scxw197454529"/>
    <w:basedOn w:val="Fuentedeprrafopredeter"/>
    <w:rsid w:val="00C21178"/>
  </w:style>
  <w:style w:type="character" w:customStyle="1" w:styleId="eop">
    <w:name w:val="eop"/>
    <w:basedOn w:val="Fuentedeprrafopredeter"/>
    <w:rsid w:val="00C21178"/>
  </w:style>
  <w:style w:type="character" w:customStyle="1" w:styleId="normaltextrun">
    <w:name w:val="normaltextrun"/>
    <w:basedOn w:val="Fuentedeprrafopredeter"/>
    <w:rsid w:val="00C21178"/>
  </w:style>
  <w:style w:type="paragraph" w:styleId="TDC2">
    <w:name w:val="toc 2"/>
    <w:basedOn w:val="Normal"/>
    <w:next w:val="Normal"/>
    <w:autoRedefine/>
    <w:uiPriority w:val="39"/>
    <w:unhideWhenUsed/>
    <w:rsid w:val="00CF72FA"/>
    <w:pPr>
      <w:spacing w:after="100"/>
      <w:ind w:left="220"/>
    </w:pPr>
  </w:style>
  <w:style w:type="paragraph" w:styleId="Prrafodelista">
    <w:name w:val="List Paragraph"/>
    <w:basedOn w:val="Normal"/>
    <w:uiPriority w:val="34"/>
    <w:qFormat/>
    <w:rsid w:val="000B56B8"/>
    <w:pPr>
      <w:ind w:left="720"/>
      <w:contextualSpacing/>
    </w:pPr>
  </w:style>
  <w:style w:type="paragraph" w:styleId="TDC3">
    <w:name w:val="toc 3"/>
    <w:basedOn w:val="Normal"/>
    <w:next w:val="Normal"/>
    <w:autoRedefine/>
    <w:uiPriority w:val="39"/>
    <w:unhideWhenUsed/>
    <w:rsid w:val="00926D23"/>
    <w:pPr>
      <w:spacing w:after="100"/>
      <w:ind w:left="440"/>
    </w:pPr>
  </w:style>
  <w:style w:type="paragraph" w:styleId="NormalWeb">
    <w:name w:val="Normal (Web)"/>
    <w:basedOn w:val="Normal"/>
    <w:uiPriority w:val="99"/>
    <w:semiHidden/>
    <w:unhideWhenUsed/>
    <w:rsid w:val="0087793E"/>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58120F"/>
    <w:rPr>
      <w:color w:val="954F72" w:themeColor="followedHyperlink"/>
      <w:u w:val="single"/>
    </w:rPr>
  </w:style>
  <w:style w:type="table" w:customStyle="1" w:styleId="GridTable5DarkAccent5">
    <w:name w:val="Grid Table 5 Dark Accent 5"/>
    <w:basedOn w:val="Tablanormal"/>
    <w:uiPriority w:val="50"/>
    <w:rsid w:val="00FB784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1">
    <w:name w:val="Grid Table 5 Dark Accent 1"/>
    <w:basedOn w:val="Tablanormal"/>
    <w:uiPriority w:val="50"/>
    <w:rsid w:val="00E8208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
    <w:name w:val="Grid Table 4 Accent 1"/>
    <w:basedOn w:val="Tablanormal"/>
    <w:uiPriority w:val="49"/>
    <w:rsid w:val="00057842"/>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inespaciado">
    <w:name w:val="No Spacing"/>
    <w:uiPriority w:val="1"/>
    <w:qFormat/>
    <w:rsid w:val="000951FD"/>
    <w:pPr>
      <w:spacing w:after="0" w:line="240" w:lineRule="auto"/>
    </w:pPr>
  </w:style>
  <w:style w:type="paragraph" w:styleId="Textodeglobo">
    <w:name w:val="Balloon Text"/>
    <w:basedOn w:val="Normal"/>
    <w:link w:val="TextodegloboCar"/>
    <w:uiPriority w:val="99"/>
    <w:semiHidden/>
    <w:unhideWhenUsed/>
    <w:rsid w:val="00F761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61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F028D"/>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Ttulo2">
    <w:name w:val="heading 2"/>
    <w:basedOn w:val="Normal"/>
    <w:next w:val="Normal"/>
    <w:link w:val="Ttulo2Car"/>
    <w:uiPriority w:val="9"/>
    <w:unhideWhenUsed/>
    <w:qFormat/>
    <w:rsid w:val="00EF02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C74B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C74B5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C74B55"/>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C74B5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028D"/>
    <w:rPr>
      <w:rFonts w:asciiTheme="majorHAnsi" w:eastAsiaTheme="majorEastAsia" w:hAnsiTheme="majorHAnsi" w:cstheme="majorBidi"/>
      <w:b/>
      <w:bCs/>
      <w:color w:val="2F5496" w:themeColor="accent1" w:themeShade="BF"/>
      <w:kern w:val="0"/>
      <w:sz w:val="28"/>
      <w:szCs w:val="28"/>
      <w14:ligatures w14:val="none"/>
    </w:rPr>
  </w:style>
  <w:style w:type="table" w:styleId="Tablaconcuadrcula">
    <w:name w:val="Table Grid"/>
    <w:basedOn w:val="Tablanormal"/>
    <w:uiPriority w:val="59"/>
    <w:rsid w:val="00EF028D"/>
    <w:pPr>
      <w:spacing w:after="0" w:line="240" w:lineRule="auto"/>
    </w:pPr>
    <w:rPr>
      <w:rFonts w:eastAsiaTheme="minorEastAsia"/>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EF028D"/>
    <w:rPr>
      <w:rFonts w:asciiTheme="majorHAnsi" w:eastAsiaTheme="majorEastAsia" w:hAnsiTheme="majorHAnsi" w:cstheme="majorBidi"/>
      <w:color w:val="2F5496" w:themeColor="accent1" w:themeShade="BF"/>
      <w:sz w:val="26"/>
      <w:szCs w:val="26"/>
    </w:rPr>
  </w:style>
  <w:style w:type="table" w:customStyle="1" w:styleId="PlainTable1">
    <w:name w:val="Plain Table 1"/>
    <w:basedOn w:val="Tablanormal"/>
    <w:uiPriority w:val="41"/>
    <w:rsid w:val="006F01B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3Car">
    <w:name w:val="Título 3 Car"/>
    <w:basedOn w:val="Fuentedeprrafopredeter"/>
    <w:link w:val="Ttulo3"/>
    <w:uiPriority w:val="9"/>
    <w:semiHidden/>
    <w:rsid w:val="00C74B55"/>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C74B55"/>
    <w:rPr>
      <w:rFonts w:asciiTheme="majorHAnsi" w:eastAsiaTheme="majorEastAsia" w:hAnsiTheme="majorHAnsi" w:cstheme="majorBidi"/>
      <w:i/>
      <w:iCs/>
      <w:color w:val="2F5496" w:themeColor="accent1" w:themeShade="BF"/>
    </w:rPr>
  </w:style>
  <w:style w:type="character" w:customStyle="1" w:styleId="Ttulo5Car">
    <w:name w:val="Título 5 Car"/>
    <w:basedOn w:val="Fuentedeprrafopredeter"/>
    <w:link w:val="Ttulo5"/>
    <w:uiPriority w:val="9"/>
    <w:semiHidden/>
    <w:rsid w:val="00C74B55"/>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semiHidden/>
    <w:rsid w:val="00C74B55"/>
    <w:rPr>
      <w:rFonts w:asciiTheme="majorHAnsi" w:eastAsiaTheme="majorEastAsia" w:hAnsiTheme="majorHAnsi" w:cstheme="majorBidi"/>
      <w:color w:val="1F3763" w:themeColor="accent1" w:themeShade="7F"/>
    </w:rPr>
  </w:style>
  <w:style w:type="table" w:customStyle="1" w:styleId="PlainTable5">
    <w:name w:val="Plain Table 5"/>
    <w:basedOn w:val="Tablanormal"/>
    <w:uiPriority w:val="45"/>
    <w:rsid w:val="00A31B5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ipervnculo">
    <w:name w:val="Hyperlink"/>
    <w:basedOn w:val="Fuentedeprrafopredeter"/>
    <w:uiPriority w:val="99"/>
    <w:unhideWhenUsed/>
    <w:rsid w:val="0076619B"/>
    <w:rPr>
      <w:color w:val="0563C1" w:themeColor="hyperlink"/>
      <w:u w:val="single"/>
    </w:rPr>
  </w:style>
  <w:style w:type="character" w:customStyle="1" w:styleId="UnresolvedMention">
    <w:name w:val="Unresolved Mention"/>
    <w:basedOn w:val="Fuentedeprrafopredeter"/>
    <w:uiPriority w:val="99"/>
    <w:semiHidden/>
    <w:unhideWhenUsed/>
    <w:rsid w:val="0076619B"/>
    <w:rPr>
      <w:color w:val="605E5C"/>
      <w:shd w:val="clear" w:color="auto" w:fill="E1DFDD"/>
    </w:rPr>
  </w:style>
  <w:style w:type="paragraph" w:styleId="TtulodeTDC">
    <w:name w:val="TOC Heading"/>
    <w:basedOn w:val="Ttulo1"/>
    <w:next w:val="Normal"/>
    <w:uiPriority w:val="39"/>
    <w:unhideWhenUsed/>
    <w:qFormat/>
    <w:rsid w:val="00050C66"/>
    <w:pPr>
      <w:spacing w:before="240" w:line="259" w:lineRule="auto"/>
      <w:outlineLvl w:val="9"/>
    </w:pPr>
    <w:rPr>
      <w:b w:val="0"/>
      <w:bCs w:val="0"/>
      <w:sz w:val="32"/>
      <w:szCs w:val="32"/>
    </w:rPr>
  </w:style>
  <w:style w:type="paragraph" w:styleId="TDC1">
    <w:name w:val="toc 1"/>
    <w:basedOn w:val="Normal"/>
    <w:next w:val="Normal"/>
    <w:autoRedefine/>
    <w:uiPriority w:val="39"/>
    <w:unhideWhenUsed/>
    <w:rsid w:val="00050C66"/>
    <w:pPr>
      <w:spacing w:after="100"/>
    </w:pPr>
  </w:style>
  <w:style w:type="paragraph" w:customStyle="1" w:styleId="paragraph">
    <w:name w:val="paragraph"/>
    <w:basedOn w:val="Normal"/>
    <w:rsid w:val="00C21178"/>
    <w:pPr>
      <w:spacing w:before="100" w:beforeAutospacing="1" w:after="100" w:afterAutospacing="1" w:line="240" w:lineRule="auto"/>
    </w:pPr>
    <w:rPr>
      <w:rFonts w:ascii="Times New Roman" w:eastAsia="Times New Roman" w:hAnsi="Times New Roman" w:cs="Times New Roman"/>
      <w:kern w:val="0"/>
      <w:sz w:val="24"/>
      <w:szCs w:val="24"/>
      <w:lang w:val="es-AR" w:eastAsia="es-AR"/>
      <w14:ligatures w14:val="none"/>
    </w:rPr>
  </w:style>
  <w:style w:type="character" w:customStyle="1" w:styleId="scxw197454529">
    <w:name w:val="scxw197454529"/>
    <w:basedOn w:val="Fuentedeprrafopredeter"/>
    <w:rsid w:val="00C21178"/>
  </w:style>
  <w:style w:type="character" w:customStyle="1" w:styleId="eop">
    <w:name w:val="eop"/>
    <w:basedOn w:val="Fuentedeprrafopredeter"/>
    <w:rsid w:val="00C21178"/>
  </w:style>
  <w:style w:type="character" w:customStyle="1" w:styleId="normaltextrun">
    <w:name w:val="normaltextrun"/>
    <w:basedOn w:val="Fuentedeprrafopredeter"/>
    <w:rsid w:val="00C21178"/>
  </w:style>
  <w:style w:type="paragraph" w:styleId="TDC2">
    <w:name w:val="toc 2"/>
    <w:basedOn w:val="Normal"/>
    <w:next w:val="Normal"/>
    <w:autoRedefine/>
    <w:uiPriority w:val="39"/>
    <w:unhideWhenUsed/>
    <w:rsid w:val="00CF72FA"/>
    <w:pPr>
      <w:spacing w:after="100"/>
      <w:ind w:left="220"/>
    </w:pPr>
  </w:style>
  <w:style w:type="paragraph" w:styleId="Prrafodelista">
    <w:name w:val="List Paragraph"/>
    <w:basedOn w:val="Normal"/>
    <w:uiPriority w:val="34"/>
    <w:qFormat/>
    <w:rsid w:val="000B56B8"/>
    <w:pPr>
      <w:ind w:left="720"/>
      <w:contextualSpacing/>
    </w:pPr>
  </w:style>
  <w:style w:type="paragraph" w:styleId="TDC3">
    <w:name w:val="toc 3"/>
    <w:basedOn w:val="Normal"/>
    <w:next w:val="Normal"/>
    <w:autoRedefine/>
    <w:uiPriority w:val="39"/>
    <w:unhideWhenUsed/>
    <w:rsid w:val="00926D23"/>
    <w:pPr>
      <w:spacing w:after="100"/>
      <w:ind w:left="440"/>
    </w:pPr>
  </w:style>
  <w:style w:type="paragraph" w:styleId="NormalWeb">
    <w:name w:val="Normal (Web)"/>
    <w:basedOn w:val="Normal"/>
    <w:uiPriority w:val="99"/>
    <w:semiHidden/>
    <w:unhideWhenUsed/>
    <w:rsid w:val="0087793E"/>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58120F"/>
    <w:rPr>
      <w:color w:val="954F72" w:themeColor="followedHyperlink"/>
      <w:u w:val="single"/>
    </w:rPr>
  </w:style>
  <w:style w:type="table" w:customStyle="1" w:styleId="GridTable5DarkAccent5">
    <w:name w:val="Grid Table 5 Dark Accent 5"/>
    <w:basedOn w:val="Tablanormal"/>
    <w:uiPriority w:val="50"/>
    <w:rsid w:val="00FB784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1">
    <w:name w:val="Grid Table 5 Dark Accent 1"/>
    <w:basedOn w:val="Tablanormal"/>
    <w:uiPriority w:val="50"/>
    <w:rsid w:val="00E8208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
    <w:name w:val="Grid Table 4 Accent 1"/>
    <w:basedOn w:val="Tablanormal"/>
    <w:uiPriority w:val="49"/>
    <w:rsid w:val="00057842"/>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inespaciado">
    <w:name w:val="No Spacing"/>
    <w:uiPriority w:val="1"/>
    <w:qFormat/>
    <w:rsid w:val="000951FD"/>
    <w:pPr>
      <w:spacing w:after="0" w:line="240" w:lineRule="auto"/>
    </w:pPr>
  </w:style>
  <w:style w:type="paragraph" w:styleId="Textodeglobo">
    <w:name w:val="Balloon Text"/>
    <w:basedOn w:val="Normal"/>
    <w:link w:val="TextodegloboCar"/>
    <w:uiPriority w:val="99"/>
    <w:semiHidden/>
    <w:unhideWhenUsed/>
    <w:rsid w:val="00F761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61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3156">
      <w:bodyDiv w:val="1"/>
      <w:marLeft w:val="0"/>
      <w:marRight w:val="0"/>
      <w:marTop w:val="0"/>
      <w:marBottom w:val="0"/>
      <w:divBdr>
        <w:top w:val="none" w:sz="0" w:space="0" w:color="auto"/>
        <w:left w:val="none" w:sz="0" w:space="0" w:color="auto"/>
        <w:bottom w:val="none" w:sz="0" w:space="0" w:color="auto"/>
        <w:right w:val="none" w:sz="0" w:space="0" w:color="auto"/>
      </w:divBdr>
    </w:div>
    <w:div w:id="45420091">
      <w:bodyDiv w:val="1"/>
      <w:marLeft w:val="0"/>
      <w:marRight w:val="0"/>
      <w:marTop w:val="0"/>
      <w:marBottom w:val="0"/>
      <w:divBdr>
        <w:top w:val="none" w:sz="0" w:space="0" w:color="auto"/>
        <w:left w:val="none" w:sz="0" w:space="0" w:color="auto"/>
        <w:bottom w:val="none" w:sz="0" w:space="0" w:color="auto"/>
        <w:right w:val="none" w:sz="0" w:space="0" w:color="auto"/>
      </w:divBdr>
    </w:div>
    <w:div w:id="59601726">
      <w:bodyDiv w:val="1"/>
      <w:marLeft w:val="0"/>
      <w:marRight w:val="0"/>
      <w:marTop w:val="0"/>
      <w:marBottom w:val="0"/>
      <w:divBdr>
        <w:top w:val="none" w:sz="0" w:space="0" w:color="auto"/>
        <w:left w:val="none" w:sz="0" w:space="0" w:color="auto"/>
        <w:bottom w:val="none" w:sz="0" w:space="0" w:color="auto"/>
        <w:right w:val="none" w:sz="0" w:space="0" w:color="auto"/>
      </w:divBdr>
      <w:divsChild>
        <w:div w:id="525795445">
          <w:marLeft w:val="0"/>
          <w:marRight w:val="0"/>
          <w:marTop w:val="0"/>
          <w:marBottom w:val="0"/>
          <w:divBdr>
            <w:top w:val="none" w:sz="0" w:space="0" w:color="auto"/>
            <w:left w:val="none" w:sz="0" w:space="0" w:color="auto"/>
            <w:bottom w:val="none" w:sz="0" w:space="0" w:color="auto"/>
            <w:right w:val="none" w:sz="0" w:space="0" w:color="auto"/>
          </w:divBdr>
          <w:divsChild>
            <w:div w:id="1720399945">
              <w:marLeft w:val="0"/>
              <w:marRight w:val="0"/>
              <w:marTop w:val="0"/>
              <w:marBottom w:val="0"/>
              <w:divBdr>
                <w:top w:val="none" w:sz="0" w:space="0" w:color="auto"/>
                <w:left w:val="none" w:sz="0" w:space="0" w:color="auto"/>
                <w:bottom w:val="none" w:sz="0" w:space="0" w:color="auto"/>
                <w:right w:val="none" w:sz="0" w:space="0" w:color="auto"/>
              </w:divBdr>
              <w:divsChild>
                <w:div w:id="1759250031">
                  <w:marLeft w:val="0"/>
                  <w:marRight w:val="0"/>
                  <w:marTop w:val="0"/>
                  <w:marBottom w:val="0"/>
                  <w:divBdr>
                    <w:top w:val="none" w:sz="0" w:space="0" w:color="auto"/>
                    <w:left w:val="none" w:sz="0" w:space="0" w:color="auto"/>
                    <w:bottom w:val="none" w:sz="0" w:space="0" w:color="auto"/>
                    <w:right w:val="none" w:sz="0" w:space="0" w:color="auto"/>
                  </w:divBdr>
                  <w:divsChild>
                    <w:div w:id="1451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5169">
              <w:marLeft w:val="0"/>
              <w:marRight w:val="0"/>
              <w:marTop w:val="0"/>
              <w:marBottom w:val="0"/>
              <w:divBdr>
                <w:top w:val="none" w:sz="0" w:space="0" w:color="auto"/>
                <w:left w:val="none" w:sz="0" w:space="0" w:color="auto"/>
                <w:bottom w:val="none" w:sz="0" w:space="0" w:color="auto"/>
                <w:right w:val="none" w:sz="0" w:space="0" w:color="auto"/>
              </w:divBdr>
            </w:div>
            <w:div w:id="184832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546">
      <w:bodyDiv w:val="1"/>
      <w:marLeft w:val="0"/>
      <w:marRight w:val="0"/>
      <w:marTop w:val="0"/>
      <w:marBottom w:val="0"/>
      <w:divBdr>
        <w:top w:val="none" w:sz="0" w:space="0" w:color="auto"/>
        <w:left w:val="none" w:sz="0" w:space="0" w:color="auto"/>
        <w:bottom w:val="none" w:sz="0" w:space="0" w:color="auto"/>
        <w:right w:val="none" w:sz="0" w:space="0" w:color="auto"/>
      </w:divBdr>
    </w:div>
    <w:div w:id="62070582">
      <w:bodyDiv w:val="1"/>
      <w:marLeft w:val="0"/>
      <w:marRight w:val="0"/>
      <w:marTop w:val="0"/>
      <w:marBottom w:val="0"/>
      <w:divBdr>
        <w:top w:val="none" w:sz="0" w:space="0" w:color="auto"/>
        <w:left w:val="none" w:sz="0" w:space="0" w:color="auto"/>
        <w:bottom w:val="none" w:sz="0" w:space="0" w:color="auto"/>
        <w:right w:val="none" w:sz="0" w:space="0" w:color="auto"/>
      </w:divBdr>
    </w:div>
    <w:div w:id="100423156">
      <w:bodyDiv w:val="1"/>
      <w:marLeft w:val="0"/>
      <w:marRight w:val="0"/>
      <w:marTop w:val="0"/>
      <w:marBottom w:val="0"/>
      <w:divBdr>
        <w:top w:val="none" w:sz="0" w:space="0" w:color="auto"/>
        <w:left w:val="none" w:sz="0" w:space="0" w:color="auto"/>
        <w:bottom w:val="none" w:sz="0" w:space="0" w:color="auto"/>
        <w:right w:val="none" w:sz="0" w:space="0" w:color="auto"/>
      </w:divBdr>
    </w:div>
    <w:div w:id="128328205">
      <w:bodyDiv w:val="1"/>
      <w:marLeft w:val="0"/>
      <w:marRight w:val="0"/>
      <w:marTop w:val="0"/>
      <w:marBottom w:val="0"/>
      <w:divBdr>
        <w:top w:val="none" w:sz="0" w:space="0" w:color="auto"/>
        <w:left w:val="none" w:sz="0" w:space="0" w:color="auto"/>
        <w:bottom w:val="none" w:sz="0" w:space="0" w:color="auto"/>
        <w:right w:val="none" w:sz="0" w:space="0" w:color="auto"/>
      </w:divBdr>
    </w:div>
    <w:div w:id="145511754">
      <w:bodyDiv w:val="1"/>
      <w:marLeft w:val="0"/>
      <w:marRight w:val="0"/>
      <w:marTop w:val="0"/>
      <w:marBottom w:val="0"/>
      <w:divBdr>
        <w:top w:val="none" w:sz="0" w:space="0" w:color="auto"/>
        <w:left w:val="none" w:sz="0" w:space="0" w:color="auto"/>
        <w:bottom w:val="none" w:sz="0" w:space="0" w:color="auto"/>
        <w:right w:val="none" w:sz="0" w:space="0" w:color="auto"/>
      </w:divBdr>
      <w:divsChild>
        <w:div w:id="597755691">
          <w:marLeft w:val="0"/>
          <w:marRight w:val="0"/>
          <w:marTop w:val="0"/>
          <w:marBottom w:val="0"/>
          <w:divBdr>
            <w:top w:val="none" w:sz="0" w:space="0" w:color="auto"/>
            <w:left w:val="none" w:sz="0" w:space="0" w:color="auto"/>
            <w:bottom w:val="none" w:sz="0" w:space="0" w:color="auto"/>
            <w:right w:val="none" w:sz="0" w:space="0" w:color="auto"/>
          </w:divBdr>
          <w:divsChild>
            <w:div w:id="78226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5718">
      <w:bodyDiv w:val="1"/>
      <w:marLeft w:val="0"/>
      <w:marRight w:val="0"/>
      <w:marTop w:val="0"/>
      <w:marBottom w:val="0"/>
      <w:divBdr>
        <w:top w:val="none" w:sz="0" w:space="0" w:color="auto"/>
        <w:left w:val="none" w:sz="0" w:space="0" w:color="auto"/>
        <w:bottom w:val="none" w:sz="0" w:space="0" w:color="auto"/>
        <w:right w:val="none" w:sz="0" w:space="0" w:color="auto"/>
      </w:divBdr>
    </w:div>
    <w:div w:id="166597423">
      <w:bodyDiv w:val="1"/>
      <w:marLeft w:val="0"/>
      <w:marRight w:val="0"/>
      <w:marTop w:val="0"/>
      <w:marBottom w:val="0"/>
      <w:divBdr>
        <w:top w:val="none" w:sz="0" w:space="0" w:color="auto"/>
        <w:left w:val="none" w:sz="0" w:space="0" w:color="auto"/>
        <w:bottom w:val="none" w:sz="0" w:space="0" w:color="auto"/>
        <w:right w:val="none" w:sz="0" w:space="0" w:color="auto"/>
      </w:divBdr>
      <w:divsChild>
        <w:div w:id="163328247">
          <w:marLeft w:val="0"/>
          <w:marRight w:val="0"/>
          <w:marTop w:val="0"/>
          <w:marBottom w:val="0"/>
          <w:divBdr>
            <w:top w:val="none" w:sz="0" w:space="0" w:color="auto"/>
            <w:left w:val="none" w:sz="0" w:space="0" w:color="auto"/>
            <w:bottom w:val="none" w:sz="0" w:space="0" w:color="auto"/>
            <w:right w:val="none" w:sz="0" w:space="0" w:color="auto"/>
          </w:divBdr>
          <w:divsChild>
            <w:div w:id="827090074">
              <w:marLeft w:val="0"/>
              <w:marRight w:val="0"/>
              <w:marTop w:val="0"/>
              <w:marBottom w:val="0"/>
              <w:divBdr>
                <w:top w:val="none" w:sz="0" w:space="0" w:color="auto"/>
                <w:left w:val="none" w:sz="0" w:space="0" w:color="auto"/>
                <w:bottom w:val="none" w:sz="0" w:space="0" w:color="auto"/>
                <w:right w:val="none" w:sz="0" w:space="0" w:color="auto"/>
              </w:divBdr>
            </w:div>
          </w:divsChild>
        </w:div>
        <w:div w:id="595406921">
          <w:marLeft w:val="0"/>
          <w:marRight w:val="0"/>
          <w:marTop w:val="0"/>
          <w:marBottom w:val="0"/>
          <w:divBdr>
            <w:top w:val="none" w:sz="0" w:space="0" w:color="auto"/>
            <w:left w:val="none" w:sz="0" w:space="0" w:color="auto"/>
            <w:bottom w:val="none" w:sz="0" w:space="0" w:color="auto"/>
            <w:right w:val="none" w:sz="0" w:space="0" w:color="auto"/>
          </w:divBdr>
          <w:divsChild>
            <w:div w:id="19754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2344">
      <w:bodyDiv w:val="1"/>
      <w:marLeft w:val="0"/>
      <w:marRight w:val="0"/>
      <w:marTop w:val="0"/>
      <w:marBottom w:val="0"/>
      <w:divBdr>
        <w:top w:val="none" w:sz="0" w:space="0" w:color="auto"/>
        <w:left w:val="none" w:sz="0" w:space="0" w:color="auto"/>
        <w:bottom w:val="none" w:sz="0" w:space="0" w:color="auto"/>
        <w:right w:val="none" w:sz="0" w:space="0" w:color="auto"/>
      </w:divBdr>
    </w:div>
    <w:div w:id="212697067">
      <w:bodyDiv w:val="1"/>
      <w:marLeft w:val="0"/>
      <w:marRight w:val="0"/>
      <w:marTop w:val="0"/>
      <w:marBottom w:val="0"/>
      <w:divBdr>
        <w:top w:val="none" w:sz="0" w:space="0" w:color="auto"/>
        <w:left w:val="none" w:sz="0" w:space="0" w:color="auto"/>
        <w:bottom w:val="none" w:sz="0" w:space="0" w:color="auto"/>
        <w:right w:val="none" w:sz="0" w:space="0" w:color="auto"/>
      </w:divBdr>
    </w:div>
    <w:div w:id="214434987">
      <w:bodyDiv w:val="1"/>
      <w:marLeft w:val="0"/>
      <w:marRight w:val="0"/>
      <w:marTop w:val="0"/>
      <w:marBottom w:val="0"/>
      <w:divBdr>
        <w:top w:val="none" w:sz="0" w:space="0" w:color="auto"/>
        <w:left w:val="none" w:sz="0" w:space="0" w:color="auto"/>
        <w:bottom w:val="none" w:sz="0" w:space="0" w:color="auto"/>
        <w:right w:val="none" w:sz="0" w:space="0" w:color="auto"/>
      </w:divBdr>
      <w:divsChild>
        <w:div w:id="582301296">
          <w:marLeft w:val="0"/>
          <w:marRight w:val="0"/>
          <w:marTop w:val="0"/>
          <w:marBottom w:val="0"/>
          <w:divBdr>
            <w:top w:val="none" w:sz="0" w:space="0" w:color="auto"/>
            <w:left w:val="none" w:sz="0" w:space="0" w:color="auto"/>
            <w:bottom w:val="none" w:sz="0" w:space="0" w:color="auto"/>
            <w:right w:val="none" w:sz="0" w:space="0" w:color="auto"/>
          </w:divBdr>
          <w:divsChild>
            <w:div w:id="69589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25056">
      <w:bodyDiv w:val="1"/>
      <w:marLeft w:val="0"/>
      <w:marRight w:val="0"/>
      <w:marTop w:val="0"/>
      <w:marBottom w:val="0"/>
      <w:divBdr>
        <w:top w:val="none" w:sz="0" w:space="0" w:color="auto"/>
        <w:left w:val="none" w:sz="0" w:space="0" w:color="auto"/>
        <w:bottom w:val="none" w:sz="0" w:space="0" w:color="auto"/>
        <w:right w:val="none" w:sz="0" w:space="0" w:color="auto"/>
      </w:divBdr>
      <w:divsChild>
        <w:div w:id="2140806206">
          <w:marLeft w:val="0"/>
          <w:marRight w:val="0"/>
          <w:marTop w:val="0"/>
          <w:marBottom w:val="0"/>
          <w:divBdr>
            <w:top w:val="none" w:sz="0" w:space="0" w:color="auto"/>
            <w:left w:val="none" w:sz="0" w:space="0" w:color="auto"/>
            <w:bottom w:val="none" w:sz="0" w:space="0" w:color="auto"/>
            <w:right w:val="none" w:sz="0" w:space="0" w:color="auto"/>
          </w:divBdr>
          <w:divsChild>
            <w:div w:id="5599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693253">
      <w:bodyDiv w:val="1"/>
      <w:marLeft w:val="0"/>
      <w:marRight w:val="0"/>
      <w:marTop w:val="0"/>
      <w:marBottom w:val="0"/>
      <w:divBdr>
        <w:top w:val="none" w:sz="0" w:space="0" w:color="auto"/>
        <w:left w:val="none" w:sz="0" w:space="0" w:color="auto"/>
        <w:bottom w:val="none" w:sz="0" w:space="0" w:color="auto"/>
        <w:right w:val="none" w:sz="0" w:space="0" w:color="auto"/>
      </w:divBdr>
    </w:div>
    <w:div w:id="316762855">
      <w:bodyDiv w:val="1"/>
      <w:marLeft w:val="0"/>
      <w:marRight w:val="0"/>
      <w:marTop w:val="0"/>
      <w:marBottom w:val="0"/>
      <w:divBdr>
        <w:top w:val="none" w:sz="0" w:space="0" w:color="auto"/>
        <w:left w:val="none" w:sz="0" w:space="0" w:color="auto"/>
        <w:bottom w:val="none" w:sz="0" w:space="0" w:color="auto"/>
        <w:right w:val="none" w:sz="0" w:space="0" w:color="auto"/>
      </w:divBdr>
    </w:div>
    <w:div w:id="328992665">
      <w:bodyDiv w:val="1"/>
      <w:marLeft w:val="0"/>
      <w:marRight w:val="0"/>
      <w:marTop w:val="0"/>
      <w:marBottom w:val="0"/>
      <w:divBdr>
        <w:top w:val="none" w:sz="0" w:space="0" w:color="auto"/>
        <w:left w:val="none" w:sz="0" w:space="0" w:color="auto"/>
        <w:bottom w:val="none" w:sz="0" w:space="0" w:color="auto"/>
        <w:right w:val="none" w:sz="0" w:space="0" w:color="auto"/>
      </w:divBdr>
      <w:divsChild>
        <w:div w:id="614874163">
          <w:marLeft w:val="0"/>
          <w:marRight w:val="0"/>
          <w:marTop w:val="0"/>
          <w:marBottom w:val="0"/>
          <w:divBdr>
            <w:top w:val="none" w:sz="0" w:space="0" w:color="auto"/>
            <w:left w:val="none" w:sz="0" w:space="0" w:color="auto"/>
            <w:bottom w:val="none" w:sz="0" w:space="0" w:color="auto"/>
            <w:right w:val="none" w:sz="0" w:space="0" w:color="auto"/>
          </w:divBdr>
          <w:divsChild>
            <w:div w:id="15684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83370">
      <w:bodyDiv w:val="1"/>
      <w:marLeft w:val="0"/>
      <w:marRight w:val="0"/>
      <w:marTop w:val="0"/>
      <w:marBottom w:val="0"/>
      <w:divBdr>
        <w:top w:val="none" w:sz="0" w:space="0" w:color="auto"/>
        <w:left w:val="none" w:sz="0" w:space="0" w:color="auto"/>
        <w:bottom w:val="none" w:sz="0" w:space="0" w:color="auto"/>
        <w:right w:val="none" w:sz="0" w:space="0" w:color="auto"/>
      </w:divBdr>
    </w:div>
    <w:div w:id="357391318">
      <w:bodyDiv w:val="1"/>
      <w:marLeft w:val="0"/>
      <w:marRight w:val="0"/>
      <w:marTop w:val="0"/>
      <w:marBottom w:val="0"/>
      <w:divBdr>
        <w:top w:val="none" w:sz="0" w:space="0" w:color="auto"/>
        <w:left w:val="none" w:sz="0" w:space="0" w:color="auto"/>
        <w:bottom w:val="none" w:sz="0" w:space="0" w:color="auto"/>
        <w:right w:val="none" w:sz="0" w:space="0" w:color="auto"/>
      </w:divBdr>
      <w:divsChild>
        <w:div w:id="1735424072">
          <w:marLeft w:val="0"/>
          <w:marRight w:val="0"/>
          <w:marTop w:val="0"/>
          <w:marBottom w:val="0"/>
          <w:divBdr>
            <w:top w:val="none" w:sz="0" w:space="0" w:color="auto"/>
            <w:left w:val="none" w:sz="0" w:space="0" w:color="auto"/>
            <w:bottom w:val="none" w:sz="0" w:space="0" w:color="auto"/>
            <w:right w:val="none" w:sz="0" w:space="0" w:color="auto"/>
          </w:divBdr>
          <w:divsChild>
            <w:div w:id="138826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07577">
      <w:bodyDiv w:val="1"/>
      <w:marLeft w:val="0"/>
      <w:marRight w:val="0"/>
      <w:marTop w:val="0"/>
      <w:marBottom w:val="0"/>
      <w:divBdr>
        <w:top w:val="none" w:sz="0" w:space="0" w:color="auto"/>
        <w:left w:val="none" w:sz="0" w:space="0" w:color="auto"/>
        <w:bottom w:val="none" w:sz="0" w:space="0" w:color="auto"/>
        <w:right w:val="none" w:sz="0" w:space="0" w:color="auto"/>
      </w:divBdr>
    </w:div>
    <w:div w:id="431362661">
      <w:bodyDiv w:val="1"/>
      <w:marLeft w:val="0"/>
      <w:marRight w:val="0"/>
      <w:marTop w:val="0"/>
      <w:marBottom w:val="0"/>
      <w:divBdr>
        <w:top w:val="none" w:sz="0" w:space="0" w:color="auto"/>
        <w:left w:val="none" w:sz="0" w:space="0" w:color="auto"/>
        <w:bottom w:val="none" w:sz="0" w:space="0" w:color="auto"/>
        <w:right w:val="none" w:sz="0" w:space="0" w:color="auto"/>
      </w:divBdr>
    </w:div>
    <w:div w:id="459568896">
      <w:bodyDiv w:val="1"/>
      <w:marLeft w:val="0"/>
      <w:marRight w:val="0"/>
      <w:marTop w:val="0"/>
      <w:marBottom w:val="0"/>
      <w:divBdr>
        <w:top w:val="none" w:sz="0" w:space="0" w:color="auto"/>
        <w:left w:val="none" w:sz="0" w:space="0" w:color="auto"/>
        <w:bottom w:val="none" w:sz="0" w:space="0" w:color="auto"/>
        <w:right w:val="none" w:sz="0" w:space="0" w:color="auto"/>
      </w:divBdr>
    </w:div>
    <w:div w:id="463543466">
      <w:bodyDiv w:val="1"/>
      <w:marLeft w:val="0"/>
      <w:marRight w:val="0"/>
      <w:marTop w:val="0"/>
      <w:marBottom w:val="0"/>
      <w:divBdr>
        <w:top w:val="none" w:sz="0" w:space="0" w:color="auto"/>
        <w:left w:val="none" w:sz="0" w:space="0" w:color="auto"/>
        <w:bottom w:val="none" w:sz="0" w:space="0" w:color="auto"/>
        <w:right w:val="none" w:sz="0" w:space="0" w:color="auto"/>
      </w:divBdr>
      <w:divsChild>
        <w:div w:id="795294067">
          <w:marLeft w:val="0"/>
          <w:marRight w:val="0"/>
          <w:marTop w:val="0"/>
          <w:marBottom w:val="0"/>
          <w:divBdr>
            <w:top w:val="none" w:sz="0" w:space="0" w:color="auto"/>
            <w:left w:val="none" w:sz="0" w:space="0" w:color="auto"/>
            <w:bottom w:val="none" w:sz="0" w:space="0" w:color="auto"/>
            <w:right w:val="none" w:sz="0" w:space="0" w:color="auto"/>
          </w:divBdr>
          <w:divsChild>
            <w:div w:id="1877228846">
              <w:marLeft w:val="0"/>
              <w:marRight w:val="0"/>
              <w:marTop w:val="0"/>
              <w:marBottom w:val="0"/>
              <w:divBdr>
                <w:top w:val="none" w:sz="0" w:space="0" w:color="auto"/>
                <w:left w:val="none" w:sz="0" w:space="0" w:color="auto"/>
                <w:bottom w:val="none" w:sz="0" w:space="0" w:color="auto"/>
                <w:right w:val="none" w:sz="0" w:space="0" w:color="auto"/>
              </w:divBdr>
              <w:divsChild>
                <w:div w:id="747700684">
                  <w:marLeft w:val="0"/>
                  <w:marRight w:val="0"/>
                  <w:marTop w:val="0"/>
                  <w:marBottom w:val="0"/>
                  <w:divBdr>
                    <w:top w:val="none" w:sz="0" w:space="0" w:color="auto"/>
                    <w:left w:val="none" w:sz="0" w:space="0" w:color="auto"/>
                    <w:bottom w:val="none" w:sz="0" w:space="0" w:color="auto"/>
                    <w:right w:val="none" w:sz="0" w:space="0" w:color="auto"/>
                  </w:divBdr>
                  <w:divsChild>
                    <w:div w:id="1706446474">
                      <w:marLeft w:val="0"/>
                      <w:marRight w:val="0"/>
                      <w:marTop w:val="0"/>
                      <w:marBottom w:val="0"/>
                      <w:divBdr>
                        <w:top w:val="none" w:sz="0" w:space="0" w:color="auto"/>
                        <w:left w:val="none" w:sz="0" w:space="0" w:color="auto"/>
                        <w:bottom w:val="none" w:sz="0" w:space="0" w:color="auto"/>
                        <w:right w:val="none" w:sz="0" w:space="0" w:color="auto"/>
                      </w:divBdr>
                      <w:divsChild>
                        <w:div w:id="997343986">
                          <w:marLeft w:val="0"/>
                          <w:marRight w:val="0"/>
                          <w:marTop w:val="0"/>
                          <w:marBottom w:val="0"/>
                          <w:divBdr>
                            <w:top w:val="none" w:sz="0" w:space="0" w:color="auto"/>
                            <w:left w:val="none" w:sz="0" w:space="0" w:color="auto"/>
                            <w:bottom w:val="none" w:sz="0" w:space="0" w:color="auto"/>
                            <w:right w:val="none" w:sz="0" w:space="0" w:color="auto"/>
                          </w:divBdr>
                          <w:divsChild>
                            <w:div w:id="1748576824">
                              <w:marLeft w:val="0"/>
                              <w:marRight w:val="0"/>
                              <w:marTop w:val="0"/>
                              <w:marBottom w:val="0"/>
                              <w:divBdr>
                                <w:top w:val="none" w:sz="0" w:space="0" w:color="auto"/>
                                <w:left w:val="none" w:sz="0" w:space="0" w:color="auto"/>
                                <w:bottom w:val="none" w:sz="0" w:space="0" w:color="auto"/>
                                <w:right w:val="none" w:sz="0" w:space="0" w:color="auto"/>
                              </w:divBdr>
                              <w:divsChild>
                                <w:div w:id="276374910">
                                  <w:marLeft w:val="0"/>
                                  <w:marRight w:val="0"/>
                                  <w:marTop w:val="0"/>
                                  <w:marBottom w:val="0"/>
                                  <w:divBdr>
                                    <w:top w:val="none" w:sz="0" w:space="0" w:color="auto"/>
                                    <w:left w:val="none" w:sz="0" w:space="0" w:color="auto"/>
                                    <w:bottom w:val="none" w:sz="0" w:space="0" w:color="auto"/>
                                    <w:right w:val="none" w:sz="0" w:space="0" w:color="auto"/>
                                  </w:divBdr>
                                  <w:divsChild>
                                    <w:div w:id="15495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908509">
          <w:marLeft w:val="0"/>
          <w:marRight w:val="0"/>
          <w:marTop w:val="0"/>
          <w:marBottom w:val="0"/>
          <w:divBdr>
            <w:top w:val="none" w:sz="0" w:space="0" w:color="auto"/>
            <w:left w:val="none" w:sz="0" w:space="0" w:color="auto"/>
            <w:bottom w:val="none" w:sz="0" w:space="0" w:color="auto"/>
            <w:right w:val="none" w:sz="0" w:space="0" w:color="auto"/>
          </w:divBdr>
          <w:divsChild>
            <w:div w:id="507402021">
              <w:marLeft w:val="0"/>
              <w:marRight w:val="0"/>
              <w:marTop w:val="0"/>
              <w:marBottom w:val="0"/>
              <w:divBdr>
                <w:top w:val="none" w:sz="0" w:space="0" w:color="auto"/>
                <w:left w:val="none" w:sz="0" w:space="0" w:color="auto"/>
                <w:bottom w:val="none" w:sz="0" w:space="0" w:color="auto"/>
                <w:right w:val="none" w:sz="0" w:space="0" w:color="auto"/>
              </w:divBdr>
              <w:divsChild>
                <w:div w:id="970792980">
                  <w:marLeft w:val="0"/>
                  <w:marRight w:val="0"/>
                  <w:marTop w:val="0"/>
                  <w:marBottom w:val="0"/>
                  <w:divBdr>
                    <w:top w:val="none" w:sz="0" w:space="0" w:color="auto"/>
                    <w:left w:val="none" w:sz="0" w:space="0" w:color="auto"/>
                    <w:bottom w:val="none" w:sz="0" w:space="0" w:color="auto"/>
                    <w:right w:val="none" w:sz="0" w:space="0" w:color="auto"/>
                  </w:divBdr>
                  <w:divsChild>
                    <w:div w:id="1362779938">
                      <w:marLeft w:val="0"/>
                      <w:marRight w:val="0"/>
                      <w:marTop w:val="0"/>
                      <w:marBottom w:val="0"/>
                      <w:divBdr>
                        <w:top w:val="none" w:sz="0" w:space="0" w:color="auto"/>
                        <w:left w:val="none" w:sz="0" w:space="0" w:color="auto"/>
                        <w:bottom w:val="none" w:sz="0" w:space="0" w:color="auto"/>
                        <w:right w:val="none" w:sz="0" w:space="0" w:color="auto"/>
                      </w:divBdr>
                      <w:divsChild>
                        <w:div w:id="1606377337">
                          <w:marLeft w:val="0"/>
                          <w:marRight w:val="0"/>
                          <w:marTop w:val="0"/>
                          <w:marBottom w:val="0"/>
                          <w:divBdr>
                            <w:top w:val="none" w:sz="0" w:space="0" w:color="auto"/>
                            <w:left w:val="none" w:sz="0" w:space="0" w:color="auto"/>
                            <w:bottom w:val="none" w:sz="0" w:space="0" w:color="auto"/>
                            <w:right w:val="none" w:sz="0" w:space="0" w:color="auto"/>
                          </w:divBdr>
                          <w:divsChild>
                            <w:div w:id="1122335558">
                              <w:marLeft w:val="0"/>
                              <w:marRight w:val="0"/>
                              <w:marTop w:val="0"/>
                              <w:marBottom w:val="0"/>
                              <w:divBdr>
                                <w:top w:val="none" w:sz="0" w:space="0" w:color="auto"/>
                                <w:left w:val="none" w:sz="0" w:space="0" w:color="auto"/>
                                <w:bottom w:val="none" w:sz="0" w:space="0" w:color="auto"/>
                                <w:right w:val="none" w:sz="0" w:space="0" w:color="auto"/>
                              </w:divBdr>
                              <w:divsChild>
                                <w:div w:id="1870220315">
                                  <w:marLeft w:val="0"/>
                                  <w:marRight w:val="0"/>
                                  <w:marTop w:val="0"/>
                                  <w:marBottom w:val="0"/>
                                  <w:divBdr>
                                    <w:top w:val="none" w:sz="0" w:space="0" w:color="auto"/>
                                    <w:left w:val="none" w:sz="0" w:space="0" w:color="auto"/>
                                    <w:bottom w:val="none" w:sz="0" w:space="0" w:color="auto"/>
                                    <w:right w:val="none" w:sz="0" w:space="0" w:color="auto"/>
                                  </w:divBdr>
                                  <w:divsChild>
                                    <w:div w:id="429007677">
                                      <w:marLeft w:val="0"/>
                                      <w:marRight w:val="0"/>
                                      <w:marTop w:val="0"/>
                                      <w:marBottom w:val="0"/>
                                      <w:divBdr>
                                        <w:top w:val="none" w:sz="0" w:space="0" w:color="auto"/>
                                        <w:left w:val="none" w:sz="0" w:space="0" w:color="auto"/>
                                        <w:bottom w:val="none" w:sz="0" w:space="0" w:color="auto"/>
                                        <w:right w:val="none" w:sz="0" w:space="0" w:color="auto"/>
                                      </w:divBdr>
                                      <w:divsChild>
                                        <w:div w:id="128941022">
                                          <w:marLeft w:val="0"/>
                                          <w:marRight w:val="0"/>
                                          <w:marTop w:val="0"/>
                                          <w:marBottom w:val="0"/>
                                          <w:divBdr>
                                            <w:top w:val="none" w:sz="0" w:space="0" w:color="auto"/>
                                            <w:left w:val="none" w:sz="0" w:space="0" w:color="auto"/>
                                            <w:bottom w:val="none" w:sz="0" w:space="0" w:color="auto"/>
                                            <w:right w:val="none" w:sz="0" w:space="0" w:color="auto"/>
                                          </w:divBdr>
                                          <w:divsChild>
                                            <w:div w:id="452795944">
                                              <w:marLeft w:val="0"/>
                                              <w:marRight w:val="0"/>
                                              <w:marTop w:val="0"/>
                                              <w:marBottom w:val="0"/>
                                              <w:divBdr>
                                                <w:top w:val="none" w:sz="0" w:space="0" w:color="auto"/>
                                                <w:left w:val="none" w:sz="0" w:space="0" w:color="auto"/>
                                                <w:bottom w:val="none" w:sz="0" w:space="0" w:color="auto"/>
                                                <w:right w:val="none" w:sz="0" w:space="0" w:color="auto"/>
                                              </w:divBdr>
                                            </w:div>
                                          </w:divsChild>
                                        </w:div>
                                        <w:div w:id="686449951">
                                          <w:marLeft w:val="0"/>
                                          <w:marRight w:val="0"/>
                                          <w:marTop w:val="0"/>
                                          <w:marBottom w:val="0"/>
                                          <w:divBdr>
                                            <w:top w:val="none" w:sz="0" w:space="0" w:color="auto"/>
                                            <w:left w:val="none" w:sz="0" w:space="0" w:color="auto"/>
                                            <w:bottom w:val="none" w:sz="0" w:space="0" w:color="auto"/>
                                            <w:right w:val="none" w:sz="0" w:space="0" w:color="auto"/>
                                          </w:divBdr>
                                          <w:divsChild>
                                            <w:div w:id="841704036">
                                              <w:marLeft w:val="0"/>
                                              <w:marRight w:val="0"/>
                                              <w:marTop w:val="0"/>
                                              <w:marBottom w:val="0"/>
                                              <w:divBdr>
                                                <w:top w:val="none" w:sz="0" w:space="0" w:color="auto"/>
                                                <w:left w:val="none" w:sz="0" w:space="0" w:color="auto"/>
                                                <w:bottom w:val="none" w:sz="0" w:space="0" w:color="auto"/>
                                                <w:right w:val="none" w:sz="0" w:space="0" w:color="auto"/>
                                              </w:divBdr>
                                            </w:div>
                                          </w:divsChild>
                                        </w:div>
                                        <w:div w:id="1050501330">
                                          <w:marLeft w:val="0"/>
                                          <w:marRight w:val="0"/>
                                          <w:marTop w:val="0"/>
                                          <w:marBottom w:val="0"/>
                                          <w:divBdr>
                                            <w:top w:val="none" w:sz="0" w:space="0" w:color="auto"/>
                                            <w:left w:val="none" w:sz="0" w:space="0" w:color="auto"/>
                                            <w:bottom w:val="none" w:sz="0" w:space="0" w:color="auto"/>
                                            <w:right w:val="none" w:sz="0" w:space="0" w:color="auto"/>
                                          </w:divBdr>
                                          <w:divsChild>
                                            <w:div w:id="850876113">
                                              <w:marLeft w:val="0"/>
                                              <w:marRight w:val="0"/>
                                              <w:marTop w:val="0"/>
                                              <w:marBottom w:val="0"/>
                                              <w:divBdr>
                                                <w:top w:val="none" w:sz="0" w:space="0" w:color="auto"/>
                                                <w:left w:val="none" w:sz="0" w:space="0" w:color="auto"/>
                                                <w:bottom w:val="none" w:sz="0" w:space="0" w:color="auto"/>
                                                <w:right w:val="none" w:sz="0" w:space="0" w:color="auto"/>
                                              </w:divBdr>
                                            </w:div>
                                          </w:divsChild>
                                        </w:div>
                                        <w:div w:id="2002653299">
                                          <w:marLeft w:val="0"/>
                                          <w:marRight w:val="0"/>
                                          <w:marTop w:val="0"/>
                                          <w:marBottom w:val="0"/>
                                          <w:divBdr>
                                            <w:top w:val="none" w:sz="0" w:space="0" w:color="auto"/>
                                            <w:left w:val="none" w:sz="0" w:space="0" w:color="auto"/>
                                            <w:bottom w:val="none" w:sz="0" w:space="0" w:color="auto"/>
                                            <w:right w:val="none" w:sz="0" w:space="0" w:color="auto"/>
                                          </w:divBdr>
                                          <w:divsChild>
                                            <w:div w:id="167379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3025155">
          <w:marLeft w:val="0"/>
          <w:marRight w:val="0"/>
          <w:marTop w:val="0"/>
          <w:marBottom w:val="0"/>
          <w:divBdr>
            <w:top w:val="none" w:sz="0" w:space="0" w:color="auto"/>
            <w:left w:val="none" w:sz="0" w:space="0" w:color="auto"/>
            <w:bottom w:val="none" w:sz="0" w:space="0" w:color="auto"/>
            <w:right w:val="none" w:sz="0" w:space="0" w:color="auto"/>
          </w:divBdr>
          <w:divsChild>
            <w:div w:id="1512454925">
              <w:marLeft w:val="0"/>
              <w:marRight w:val="0"/>
              <w:marTop w:val="0"/>
              <w:marBottom w:val="0"/>
              <w:divBdr>
                <w:top w:val="none" w:sz="0" w:space="0" w:color="auto"/>
                <w:left w:val="none" w:sz="0" w:space="0" w:color="auto"/>
                <w:bottom w:val="none" w:sz="0" w:space="0" w:color="auto"/>
                <w:right w:val="none" w:sz="0" w:space="0" w:color="auto"/>
              </w:divBdr>
              <w:divsChild>
                <w:div w:id="1990397014">
                  <w:marLeft w:val="0"/>
                  <w:marRight w:val="0"/>
                  <w:marTop w:val="0"/>
                  <w:marBottom w:val="0"/>
                  <w:divBdr>
                    <w:top w:val="none" w:sz="0" w:space="0" w:color="auto"/>
                    <w:left w:val="none" w:sz="0" w:space="0" w:color="auto"/>
                    <w:bottom w:val="none" w:sz="0" w:space="0" w:color="auto"/>
                    <w:right w:val="none" w:sz="0" w:space="0" w:color="auto"/>
                  </w:divBdr>
                  <w:divsChild>
                    <w:div w:id="924727713">
                      <w:marLeft w:val="0"/>
                      <w:marRight w:val="0"/>
                      <w:marTop w:val="0"/>
                      <w:marBottom w:val="0"/>
                      <w:divBdr>
                        <w:top w:val="none" w:sz="0" w:space="0" w:color="auto"/>
                        <w:left w:val="none" w:sz="0" w:space="0" w:color="auto"/>
                        <w:bottom w:val="none" w:sz="0" w:space="0" w:color="auto"/>
                        <w:right w:val="none" w:sz="0" w:space="0" w:color="auto"/>
                      </w:divBdr>
                      <w:divsChild>
                        <w:div w:id="1512256564">
                          <w:marLeft w:val="0"/>
                          <w:marRight w:val="0"/>
                          <w:marTop w:val="0"/>
                          <w:marBottom w:val="0"/>
                          <w:divBdr>
                            <w:top w:val="none" w:sz="0" w:space="0" w:color="auto"/>
                            <w:left w:val="none" w:sz="0" w:space="0" w:color="auto"/>
                            <w:bottom w:val="none" w:sz="0" w:space="0" w:color="auto"/>
                            <w:right w:val="none" w:sz="0" w:space="0" w:color="auto"/>
                          </w:divBdr>
                          <w:divsChild>
                            <w:div w:id="1326980958">
                              <w:marLeft w:val="0"/>
                              <w:marRight w:val="0"/>
                              <w:marTop w:val="0"/>
                              <w:marBottom w:val="0"/>
                              <w:divBdr>
                                <w:top w:val="none" w:sz="0" w:space="0" w:color="auto"/>
                                <w:left w:val="none" w:sz="0" w:space="0" w:color="auto"/>
                                <w:bottom w:val="none" w:sz="0" w:space="0" w:color="auto"/>
                                <w:right w:val="none" w:sz="0" w:space="0" w:color="auto"/>
                              </w:divBdr>
                              <w:divsChild>
                                <w:div w:id="1275789868">
                                  <w:marLeft w:val="0"/>
                                  <w:marRight w:val="0"/>
                                  <w:marTop w:val="0"/>
                                  <w:marBottom w:val="0"/>
                                  <w:divBdr>
                                    <w:top w:val="none" w:sz="0" w:space="0" w:color="auto"/>
                                    <w:left w:val="none" w:sz="0" w:space="0" w:color="auto"/>
                                    <w:bottom w:val="none" w:sz="0" w:space="0" w:color="auto"/>
                                    <w:right w:val="none" w:sz="0" w:space="0" w:color="auto"/>
                                  </w:divBdr>
                                  <w:divsChild>
                                    <w:div w:id="181938885">
                                      <w:marLeft w:val="0"/>
                                      <w:marRight w:val="0"/>
                                      <w:marTop w:val="0"/>
                                      <w:marBottom w:val="0"/>
                                      <w:divBdr>
                                        <w:top w:val="none" w:sz="0" w:space="0" w:color="auto"/>
                                        <w:left w:val="none" w:sz="0" w:space="0" w:color="auto"/>
                                        <w:bottom w:val="none" w:sz="0" w:space="0" w:color="auto"/>
                                        <w:right w:val="none" w:sz="0" w:space="0" w:color="auto"/>
                                      </w:divBdr>
                                      <w:divsChild>
                                        <w:div w:id="180061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5856995">
      <w:bodyDiv w:val="1"/>
      <w:marLeft w:val="0"/>
      <w:marRight w:val="0"/>
      <w:marTop w:val="0"/>
      <w:marBottom w:val="0"/>
      <w:divBdr>
        <w:top w:val="none" w:sz="0" w:space="0" w:color="auto"/>
        <w:left w:val="none" w:sz="0" w:space="0" w:color="auto"/>
        <w:bottom w:val="none" w:sz="0" w:space="0" w:color="auto"/>
        <w:right w:val="none" w:sz="0" w:space="0" w:color="auto"/>
      </w:divBdr>
    </w:div>
    <w:div w:id="472481224">
      <w:bodyDiv w:val="1"/>
      <w:marLeft w:val="0"/>
      <w:marRight w:val="0"/>
      <w:marTop w:val="0"/>
      <w:marBottom w:val="0"/>
      <w:divBdr>
        <w:top w:val="none" w:sz="0" w:space="0" w:color="auto"/>
        <w:left w:val="none" w:sz="0" w:space="0" w:color="auto"/>
        <w:bottom w:val="none" w:sz="0" w:space="0" w:color="auto"/>
        <w:right w:val="none" w:sz="0" w:space="0" w:color="auto"/>
      </w:divBdr>
      <w:divsChild>
        <w:div w:id="83230997">
          <w:marLeft w:val="0"/>
          <w:marRight w:val="0"/>
          <w:marTop w:val="0"/>
          <w:marBottom w:val="0"/>
          <w:divBdr>
            <w:top w:val="none" w:sz="0" w:space="0" w:color="auto"/>
            <w:left w:val="none" w:sz="0" w:space="0" w:color="auto"/>
            <w:bottom w:val="none" w:sz="0" w:space="0" w:color="auto"/>
            <w:right w:val="none" w:sz="0" w:space="0" w:color="auto"/>
          </w:divBdr>
          <w:divsChild>
            <w:div w:id="862092463">
              <w:marLeft w:val="0"/>
              <w:marRight w:val="0"/>
              <w:marTop w:val="0"/>
              <w:marBottom w:val="0"/>
              <w:divBdr>
                <w:top w:val="none" w:sz="0" w:space="0" w:color="auto"/>
                <w:left w:val="none" w:sz="0" w:space="0" w:color="auto"/>
                <w:bottom w:val="none" w:sz="0" w:space="0" w:color="auto"/>
                <w:right w:val="none" w:sz="0" w:space="0" w:color="auto"/>
              </w:divBdr>
            </w:div>
          </w:divsChild>
        </w:div>
        <w:div w:id="401369291">
          <w:marLeft w:val="0"/>
          <w:marRight w:val="0"/>
          <w:marTop w:val="0"/>
          <w:marBottom w:val="0"/>
          <w:divBdr>
            <w:top w:val="none" w:sz="0" w:space="0" w:color="auto"/>
            <w:left w:val="none" w:sz="0" w:space="0" w:color="auto"/>
            <w:bottom w:val="none" w:sz="0" w:space="0" w:color="auto"/>
            <w:right w:val="none" w:sz="0" w:space="0" w:color="auto"/>
          </w:divBdr>
          <w:divsChild>
            <w:div w:id="500051908">
              <w:marLeft w:val="0"/>
              <w:marRight w:val="0"/>
              <w:marTop w:val="0"/>
              <w:marBottom w:val="0"/>
              <w:divBdr>
                <w:top w:val="none" w:sz="0" w:space="0" w:color="auto"/>
                <w:left w:val="none" w:sz="0" w:space="0" w:color="auto"/>
                <w:bottom w:val="none" w:sz="0" w:space="0" w:color="auto"/>
                <w:right w:val="none" w:sz="0" w:space="0" w:color="auto"/>
              </w:divBdr>
            </w:div>
          </w:divsChild>
        </w:div>
        <w:div w:id="1303727167">
          <w:marLeft w:val="0"/>
          <w:marRight w:val="0"/>
          <w:marTop w:val="0"/>
          <w:marBottom w:val="0"/>
          <w:divBdr>
            <w:top w:val="none" w:sz="0" w:space="0" w:color="auto"/>
            <w:left w:val="none" w:sz="0" w:space="0" w:color="auto"/>
            <w:bottom w:val="none" w:sz="0" w:space="0" w:color="auto"/>
            <w:right w:val="none" w:sz="0" w:space="0" w:color="auto"/>
          </w:divBdr>
          <w:divsChild>
            <w:div w:id="950668151">
              <w:marLeft w:val="0"/>
              <w:marRight w:val="0"/>
              <w:marTop w:val="0"/>
              <w:marBottom w:val="0"/>
              <w:divBdr>
                <w:top w:val="none" w:sz="0" w:space="0" w:color="auto"/>
                <w:left w:val="none" w:sz="0" w:space="0" w:color="auto"/>
                <w:bottom w:val="none" w:sz="0" w:space="0" w:color="auto"/>
                <w:right w:val="none" w:sz="0" w:space="0" w:color="auto"/>
              </w:divBdr>
            </w:div>
          </w:divsChild>
        </w:div>
        <w:div w:id="1546410274">
          <w:marLeft w:val="0"/>
          <w:marRight w:val="0"/>
          <w:marTop w:val="0"/>
          <w:marBottom w:val="0"/>
          <w:divBdr>
            <w:top w:val="none" w:sz="0" w:space="0" w:color="auto"/>
            <w:left w:val="none" w:sz="0" w:space="0" w:color="auto"/>
            <w:bottom w:val="none" w:sz="0" w:space="0" w:color="auto"/>
            <w:right w:val="none" w:sz="0" w:space="0" w:color="auto"/>
          </w:divBdr>
          <w:divsChild>
            <w:div w:id="2071346189">
              <w:marLeft w:val="0"/>
              <w:marRight w:val="0"/>
              <w:marTop w:val="0"/>
              <w:marBottom w:val="0"/>
              <w:divBdr>
                <w:top w:val="none" w:sz="0" w:space="0" w:color="auto"/>
                <w:left w:val="none" w:sz="0" w:space="0" w:color="auto"/>
                <w:bottom w:val="none" w:sz="0" w:space="0" w:color="auto"/>
                <w:right w:val="none" w:sz="0" w:space="0" w:color="auto"/>
              </w:divBdr>
            </w:div>
          </w:divsChild>
        </w:div>
        <w:div w:id="1570384312">
          <w:marLeft w:val="0"/>
          <w:marRight w:val="0"/>
          <w:marTop w:val="0"/>
          <w:marBottom w:val="0"/>
          <w:divBdr>
            <w:top w:val="none" w:sz="0" w:space="0" w:color="auto"/>
            <w:left w:val="none" w:sz="0" w:space="0" w:color="auto"/>
            <w:bottom w:val="none" w:sz="0" w:space="0" w:color="auto"/>
            <w:right w:val="none" w:sz="0" w:space="0" w:color="auto"/>
          </w:divBdr>
          <w:divsChild>
            <w:div w:id="83265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960436">
      <w:bodyDiv w:val="1"/>
      <w:marLeft w:val="0"/>
      <w:marRight w:val="0"/>
      <w:marTop w:val="0"/>
      <w:marBottom w:val="0"/>
      <w:divBdr>
        <w:top w:val="none" w:sz="0" w:space="0" w:color="auto"/>
        <w:left w:val="none" w:sz="0" w:space="0" w:color="auto"/>
        <w:bottom w:val="none" w:sz="0" w:space="0" w:color="auto"/>
        <w:right w:val="none" w:sz="0" w:space="0" w:color="auto"/>
      </w:divBdr>
    </w:div>
    <w:div w:id="509026098">
      <w:bodyDiv w:val="1"/>
      <w:marLeft w:val="0"/>
      <w:marRight w:val="0"/>
      <w:marTop w:val="0"/>
      <w:marBottom w:val="0"/>
      <w:divBdr>
        <w:top w:val="none" w:sz="0" w:space="0" w:color="auto"/>
        <w:left w:val="none" w:sz="0" w:space="0" w:color="auto"/>
        <w:bottom w:val="none" w:sz="0" w:space="0" w:color="auto"/>
        <w:right w:val="none" w:sz="0" w:space="0" w:color="auto"/>
      </w:divBdr>
    </w:div>
    <w:div w:id="514737009">
      <w:bodyDiv w:val="1"/>
      <w:marLeft w:val="0"/>
      <w:marRight w:val="0"/>
      <w:marTop w:val="0"/>
      <w:marBottom w:val="0"/>
      <w:divBdr>
        <w:top w:val="none" w:sz="0" w:space="0" w:color="auto"/>
        <w:left w:val="none" w:sz="0" w:space="0" w:color="auto"/>
        <w:bottom w:val="none" w:sz="0" w:space="0" w:color="auto"/>
        <w:right w:val="none" w:sz="0" w:space="0" w:color="auto"/>
      </w:divBdr>
      <w:divsChild>
        <w:div w:id="294603746">
          <w:marLeft w:val="0"/>
          <w:marRight w:val="0"/>
          <w:marTop w:val="0"/>
          <w:marBottom w:val="0"/>
          <w:divBdr>
            <w:top w:val="none" w:sz="0" w:space="0" w:color="auto"/>
            <w:left w:val="none" w:sz="0" w:space="0" w:color="auto"/>
            <w:bottom w:val="none" w:sz="0" w:space="0" w:color="auto"/>
            <w:right w:val="none" w:sz="0" w:space="0" w:color="auto"/>
          </w:divBdr>
          <w:divsChild>
            <w:div w:id="237713876">
              <w:marLeft w:val="0"/>
              <w:marRight w:val="0"/>
              <w:marTop w:val="0"/>
              <w:marBottom w:val="0"/>
              <w:divBdr>
                <w:top w:val="none" w:sz="0" w:space="0" w:color="auto"/>
                <w:left w:val="none" w:sz="0" w:space="0" w:color="auto"/>
                <w:bottom w:val="none" w:sz="0" w:space="0" w:color="auto"/>
                <w:right w:val="none" w:sz="0" w:space="0" w:color="auto"/>
              </w:divBdr>
            </w:div>
          </w:divsChild>
        </w:div>
        <w:div w:id="660742403">
          <w:marLeft w:val="0"/>
          <w:marRight w:val="0"/>
          <w:marTop w:val="0"/>
          <w:marBottom w:val="0"/>
          <w:divBdr>
            <w:top w:val="none" w:sz="0" w:space="0" w:color="auto"/>
            <w:left w:val="none" w:sz="0" w:space="0" w:color="auto"/>
            <w:bottom w:val="none" w:sz="0" w:space="0" w:color="auto"/>
            <w:right w:val="none" w:sz="0" w:space="0" w:color="auto"/>
          </w:divBdr>
          <w:divsChild>
            <w:div w:id="2020816674">
              <w:marLeft w:val="0"/>
              <w:marRight w:val="0"/>
              <w:marTop w:val="0"/>
              <w:marBottom w:val="0"/>
              <w:divBdr>
                <w:top w:val="none" w:sz="0" w:space="0" w:color="auto"/>
                <w:left w:val="none" w:sz="0" w:space="0" w:color="auto"/>
                <w:bottom w:val="none" w:sz="0" w:space="0" w:color="auto"/>
                <w:right w:val="none" w:sz="0" w:space="0" w:color="auto"/>
              </w:divBdr>
            </w:div>
          </w:divsChild>
        </w:div>
        <w:div w:id="2131893834">
          <w:marLeft w:val="0"/>
          <w:marRight w:val="0"/>
          <w:marTop w:val="0"/>
          <w:marBottom w:val="0"/>
          <w:divBdr>
            <w:top w:val="none" w:sz="0" w:space="0" w:color="auto"/>
            <w:left w:val="none" w:sz="0" w:space="0" w:color="auto"/>
            <w:bottom w:val="none" w:sz="0" w:space="0" w:color="auto"/>
            <w:right w:val="none" w:sz="0" w:space="0" w:color="auto"/>
          </w:divBdr>
          <w:divsChild>
            <w:div w:id="8844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463673">
      <w:bodyDiv w:val="1"/>
      <w:marLeft w:val="0"/>
      <w:marRight w:val="0"/>
      <w:marTop w:val="0"/>
      <w:marBottom w:val="0"/>
      <w:divBdr>
        <w:top w:val="none" w:sz="0" w:space="0" w:color="auto"/>
        <w:left w:val="none" w:sz="0" w:space="0" w:color="auto"/>
        <w:bottom w:val="none" w:sz="0" w:space="0" w:color="auto"/>
        <w:right w:val="none" w:sz="0" w:space="0" w:color="auto"/>
      </w:divBdr>
    </w:div>
    <w:div w:id="525019318">
      <w:bodyDiv w:val="1"/>
      <w:marLeft w:val="0"/>
      <w:marRight w:val="0"/>
      <w:marTop w:val="0"/>
      <w:marBottom w:val="0"/>
      <w:divBdr>
        <w:top w:val="none" w:sz="0" w:space="0" w:color="auto"/>
        <w:left w:val="none" w:sz="0" w:space="0" w:color="auto"/>
        <w:bottom w:val="none" w:sz="0" w:space="0" w:color="auto"/>
        <w:right w:val="none" w:sz="0" w:space="0" w:color="auto"/>
      </w:divBdr>
      <w:divsChild>
        <w:div w:id="144587481">
          <w:marLeft w:val="0"/>
          <w:marRight w:val="0"/>
          <w:marTop w:val="0"/>
          <w:marBottom w:val="0"/>
          <w:divBdr>
            <w:top w:val="none" w:sz="0" w:space="0" w:color="auto"/>
            <w:left w:val="none" w:sz="0" w:space="0" w:color="auto"/>
            <w:bottom w:val="none" w:sz="0" w:space="0" w:color="auto"/>
            <w:right w:val="none" w:sz="0" w:space="0" w:color="auto"/>
          </w:divBdr>
          <w:divsChild>
            <w:div w:id="10984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348768">
      <w:bodyDiv w:val="1"/>
      <w:marLeft w:val="0"/>
      <w:marRight w:val="0"/>
      <w:marTop w:val="0"/>
      <w:marBottom w:val="0"/>
      <w:divBdr>
        <w:top w:val="none" w:sz="0" w:space="0" w:color="auto"/>
        <w:left w:val="none" w:sz="0" w:space="0" w:color="auto"/>
        <w:bottom w:val="none" w:sz="0" w:space="0" w:color="auto"/>
        <w:right w:val="none" w:sz="0" w:space="0" w:color="auto"/>
      </w:divBdr>
      <w:divsChild>
        <w:div w:id="1468819055">
          <w:marLeft w:val="0"/>
          <w:marRight w:val="0"/>
          <w:marTop w:val="0"/>
          <w:marBottom w:val="0"/>
          <w:divBdr>
            <w:top w:val="none" w:sz="0" w:space="0" w:color="auto"/>
            <w:left w:val="none" w:sz="0" w:space="0" w:color="auto"/>
            <w:bottom w:val="none" w:sz="0" w:space="0" w:color="auto"/>
            <w:right w:val="none" w:sz="0" w:space="0" w:color="auto"/>
          </w:divBdr>
          <w:divsChild>
            <w:div w:id="587496272">
              <w:marLeft w:val="0"/>
              <w:marRight w:val="0"/>
              <w:marTop w:val="0"/>
              <w:marBottom w:val="0"/>
              <w:divBdr>
                <w:top w:val="none" w:sz="0" w:space="0" w:color="auto"/>
                <w:left w:val="none" w:sz="0" w:space="0" w:color="auto"/>
                <w:bottom w:val="none" w:sz="0" w:space="0" w:color="auto"/>
                <w:right w:val="none" w:sz="0" w:space="0" w:color="auto"/>
              </w:divBdr>
            </w:div>
          </w:divsChild>
        </w:div>
        <w:div w:id="1875069411">
          <w:marLeft w:val="0"/>
          <w:marRight w:val="0"/>
          <w:marTop w:val="0"/>
          <w:marBottom w:val="0"/>
          <w:divBdr>
            <w:top w:val="none" w:sz="0" w:space="0" w:color="auto"/>
            <w:left w:val="none" w:sz="0" w:space="0" w:color="auto"/>
            <w:bottom w:val="none" w:sz="0" w:space="0" w:color="auto"/>
            <w:right w:val="none" w:sz="0" w:space="0" w:color="auto"/>
          </w:divBdr>
          <w:divsChild>
            <w:div w:id="197972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245703">
      <w:bodyDiv w:val="1"/>
      <w:marLeft w:val="0"/>
      <w:marRight w:val="0"/>
      <w:marTop w:val="0"/>
      <w:marBottom w:val="0"/>
      <w:divBdr>
        <w:top w:val="none" w:sz="0" w:space="0" w:color="auto"/>
        <w:left w:val="none" w:sz="0" w:space="0" w:color="auto"/>
        <w:bottom w:val="none" w:sz="0" w:space="0" w:color="auto"/>
        <w:right w:val="none" w:sz="0" w:space="0" w:color="auto"/>
      </w:divBdr>
      <w:divsChild>
        <w:div w:id="1483815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066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838564">
      <w:bodyDiv w:val="1"/>
      <w:marLeft w:val="0"/>
      <w:marRight w:val="0"/>
      <w:marTop w:val="0"/>
      <w:marBottom w:val="0"/>
      <w:divBdr>
        <w:top w:val="none" w:sz="0" w:space="0" w:color="auto"/>
        <w:left w:val="none" w:sz="0" w:space="0" w:color="auto"/>
        <w:bottom w:val="none" w:sz="0" w:space="0" w:color="auto"/>
        <w:right w:val="none" w:sz="0" w:space="0" w:color="auto"/>
      </w:divBdr>
    </w:div>
    <w:div w:id="569923937">
      <w:bodyDiv w:val="1"/>
      <w:marLeft w:val="0"/>
      <w:marRight w:val="0"/>
      <w:marTop w:val="0"/>
      <w:marBottom w:val="0"/>
      <w:divBdr>
        <w:top w:val="none" w:sz="0" w:space="0" w:color="auto"/>
        <w:left w:val="none" w:sz="0" w:space="0" w:color="auto"/>
        <w:bottom w:val="none" w:sz="0" w:space="0" w:color="auto"/>
        <w:right w:val="none" w:sz="0" w:space="0" w:color="auto"/>
      </w:divBdr>
      <w:divsChild>
        <w:div w:id="378627958">
          <w:blockQuote w:val="1"/>
          <w:marLeft w:val="720"/>
          <w:marRight w:val="720"/>
          <w:marTop w:val="100"/>
          <w:marBottom w:val="100"/>
          <w:divBdr>
            <w:top w:val="none" w:sz="0" w:space="0" w:color="auto"/>
            <w:left w:val="none" w:sz="0" w:space="0" w:color="auto"/>
            <w:bottom w:val="none" w:sz="0" w:space="0" w:color="auto"/>
            <w:right w:val="none" w:sz="0" w:space="0" w:color="auto"/>
          </w:divBdr>
        </w:div>
        <w:div w:id="861549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4363453">
      <w:bodyDiv w:val="1"/>
      <w:marLeft w:val="0"/>
      <w:marRight w:val="0"/>
      <w:marTop w:val="0"/>
      <w:marBottom w:val="0"/>
      <w:divBdr>
        <w:top w:val="none" w:sz="0" w:space="0" w:color="auto"/>
        <w:left w:val="none" w:sz="0" w:space="0" w:color="auto"/>
        <w:bottom w:val="none" w:sz="0" w:space="0" w:color="auto"/>
        <w:right w:val="none" w:sz="0" w:space="0" w:color="auto"/>
      </w:divBdr>
      <w:divsChild>
        <w:div w:id="224798777">
          <w:marLeft w:val="0"/>
          <w:marRight w:val="0"/>
          <w:marTop w:val="0"/>
          <w:marBottom w:val="0"/>
          <w:divBdr>
            <w:top w:val="none" w:sz="0" w:space="0" w:color="auto"/>
            <w:left w:val="none" w:sz="0" w:space="0" w:color="auto"/>
            <w:bottom w:val="none" w:sz="0" w:space="0" w:color="auto"/>
            <w:right w:val="none" w:sz="0" w:space="0" w:color="auto"/>
          </w:divBdr>
          <w:divsChild>
            <w:div w:id="1185250653">
              <w:marLeft w:val="0"/>
              <w:marRight w:val="0"/>
              <w:marTop w:val="0"/>
              <w:marBottom w:val="0"/>
              <w:divBdr>
                <w:top w:val="none" w:sz="0" w:space="0" w:color="auto"/>
                <w:left w:val="none" w:sz="0" w:space="0" w:color="auto"/>
                <w:bottom w:val="none" w:sz="0" w:space="0" w:color="auto"/>
                <w:right w:val="none" w:sz="0" w:space="0" w:color="auto"/>
              </w:divBdr>
            </w:div>
          </w:divsChild>
        </w:div>
        <w:div w:id="615020725">
          <w:marLeft w:val="0"/>
          <w:marRight w:val="0"/>
          <w:marTop w:val="0"/>
          <w:marBottom w:val="0"/>
          <w:divBdr>
            <w:top w:val="none" w:sz="0" w:space="0" w:color="auto"/>
            <w:left w:val="none" w:sz="0" w:space="0" w:color="auto"/>
            <w:bottom w:val="none" w:sz="0" w:space="0" w:color="auto"/>
            <w:right w:val="none" w:sz="0" w:space="0" w:color="auto"/>
          </w:divBdr>
          <w:divsChild>
            <w:div w:id="416290942">
              <w:marLeft w:val="0"/>
              <w:marRight w:val="0"/>
              <w:marTop w:val="0"/>
              <w:marBottom w:val="0"/>
              <w:divBdr>
                <w:top w:val="none" w:sz="0" w:space="0" w:color="auto"/>
                <w:left w:val="none" w:sz="0" w:space="0" w:color="auto"/>
                <w:bottom w:val="none" w:sz="0" w:space="0" w:color="auto"/>
                <w:right w:val="none" w:sz="0" w:space="0" w:color="auto"/>
              </w:divBdr>
            </w:div>
          </w:divsChild>
        </w:div>
        <w:div w:id="1987397256">
          <w:marLeft w:val="0"/>
          <w:marRight w:val="0"/>
          <w:marTop w:val="0"/>
          <w:marBottom w:val="0"/>
          <w:divBdr>
            <w:top w:val="none" w:sz="0" w:space="0" w:color="auto"/>
            <w:left w:val="none" w:sz="0" w:space="0" w:color="auto"/>
            <w:bottom w:val="none" w:sz="0" w:space="0" w:color="auto"/>
            <w:right w:val="none" w:sz="0" w:space="0" w:color="auto"/>
          </w:divBdr>
          <w:divsChild>
            <w:div w:id="11013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21022">
      <w:bodyDiv w:val="1"/>
      <w:marLeft w:val="0"/>
      <w:marRight w:val="0"/>
      <w:marTop w:val="0"/>
      <w:marBottom w:val="0"/>
      <w:divBdr>
        <w:top w:val="none" w:sz="0" w:space="0" w:color="auto"/>
        <w:left w:val="none" w:sz="0" w:space="0" w:color="auto"/>
        <w:bottom w:val="none" w:sz="0" w:space="0" w:color="auto"/>
        <w:right w:val="none" w:sz="0" w:space="0" w:color="auto"/>
      </w:divBdr>
    </w:div>
    <w:div w:id="586043232">
      <w:bodyDiv w:val="1"/>
      <w:marLeft w:val="0"/>
      <w:marRight w:val="0"/>
      <w:marTop w:val="0"/>
      <w:marBottom w:val="0"/>
      <w:divBdr>
        <w:top w:val="none" w:sz="0" w:space="0" w:color="auto"/>
        <w:left w:val="none" w:sz="0" w:space="0" w:color="auto"/>
        <w:bottom w:val="none" w:sz="0" w:space="0" w:color="auto"/>
        <w:right w:val="none" w:sz="0" w:space="0" w:color="auto"/>
      </w:divBdr>
    </w:div>
    <w:div w:id="589125306">
      <w:bodyDiv w:val="1"/>
      <w:marLeft w:val="0"/>
      <w:marRight w:val="0"/>
      <w:marTop w:val="0"/>
      <w:marBottom w:val="0"/>
      <w:divBdr>
        <w:top w:val="none" w:sz="0" w:space="0" w:color="auto"/>
        <w:left w:val="none" w:sz="0" w:space="0" w:color="auto"/>
        <w:bottom w:val="none" w:sz="0" w:space="0" w:color="auto"/>
        <w:right w:val="none" w:sz="0" w:space="0" w:color="auto"/>
      </w:divBdr>
      <w:divsChild>
        <w:div w:id="670572117">
          <w:marLeft w:val="0"/>
          <w:marRight w:val="0"/>
          <w:marTop w:val="0"/>
          <w:marBottom w:val="0"/>
          <w:divBdr>
            <w:top w:val="none" w:sz="0" w:space="0" w:color="auto"/>
            <w:left w:val="none" w:sz="0" w:space="0" w:color="auto"/>
            <w:bottom w:val="none" w:sz="0" w:space="0" w:color="auto"/>
            <w:right w:val="none" w:sz="0" w:space="0" w:color="auto"/>
          </w:divBdr>
          <w:divsChild>
            <w:div w:id="145687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58503">
      <w:bodyDiv w:val="1"/>
      <w:marLeft w:val="0"/>
      <w:marRight w:val="0"/>
      <w:marTop w:val="0"/>
      <w:marBottom w:val="0"/>
      <w:divBdr>
        <w:top w:val="none" w:sz="0" w:space="0" w:color="auto"/>
        <w:left w:val="none" w:sz="0" w:space="0" w:color="auto"/>
        <w:bottom w:val="none" w:sz="0" w:space="0" w:color="auto"/>
        <w:right w:val="none" w:sz="0" w:space="0" w:color="auto"/>
      </w:divBdr>
    </w:div>
    <w:div w:id="667252800">
      <w:bodyDiv w:val="1"/>
      <w:marLeft w:val="0"/>
      <w:marRight w:val="0"/>
      <w:marTop w:val="0"/>
      <w:marBottom w:val="0"/>
      <w:divBdr>
        <w:top w:val="none" w:sz="0" w:space="0" w:color="auto"/>
        <w:left w:val="none" w:sz="0" w:space="0" w:color="auto"/>
        <w:bottom w:val="none" w:sz="0" w:space="0" w:color="auto"/>
        <w:right w:val="none" w:sz="0" w:space="0" w:color="auto"/>
      </w:divBdr>
    </w:div>
    <w:div w:id="685181138">
      <w:bodyDiv w:val="1"/>
      <w:marLeft w:val="0"/>
      <w:marRight w:val="0"/>
      <w:marTop w:val="0"/>
      <w:marBottom w:val="0"/>
      <w:divBdr>
        <w:top w:val="none" w:sz="0" w:space="0" w:color="auto"/>
        <w:left w:val="none" w:sz="0" w:space="0" w:color="auto"/>
        <w:bottom w:val="none" w:sz="0" w:space="0" w:color="auto"/>
        <w:right w:val="none" w:sz="0" w:space="0" w:color="auto"/>
      </w:divBdr>
    </w:div>
    <w:div w:id="691761801">
      <w:bodyDiv w:val="1"/>
      <w:marLeft w:val="0"/>
      <w:marRight w:val="0"/>
      <w:marTop w:val="0"/>
      <w:marBottom w:val="0"/>
      <w:divBdr>
        <w:top w:val="none" w:sz="0" w:space="0" w:color="auto"/>
        <w:left w:val="none" w:sz="0" w:space="0" w:color="auto"/>
        <w:bottom w:val="none" w:sz="0" w:space="0" w:color="auto"/>
        <w:right w:val="none" w:sz="0" w:space="0" w:color="auto"/>
      </w:divBdr>
      <w:divsChild>
        <w:div w:id="1256094750">
          <w:marLeft w:val="0"/>
          <w:marRight w:val="0"/>
          <w:marTop w:val="0"/>
          <w:marBottom w:val="0"/>
          <w:divBdr>
            <w:top w:val="none" w:sz="0" w:space="0" w:color="auto"/>
            <w:left w:val="none" w:sz="0" w:space="0" w:color="auto"/>
            <w:bottom w:val="none" w:sz="0" w:space="0" w:color="auto"/>
            <w:right w:val="none" w:sz="0" w:space="0" w:color="auto"/>
          </w:divBdr>
          <w:divsChild>
            <w:div w:id="2398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44537">
      <w:bodyDiv w:val="1"/>
      <w:marLeft w:val="0"/>
      <w:marRight w:val="0"/>
      <w:marTop w:val="0"/>
      <w:marBottom w:val="0"/>
      <w:divBdr>
        <w:top w:val="none" w:sz="0" w:space="0" w:color="auto"/>
        <w:left w:val="none" w:sz="0" w:space="0" w:color="auto"/>
        <w:bottom w:val="none" w:sz="0" w:space="0" w:color="auto"/>
        <w:right w:val="none" w:sz="0" w:space="0" w:color="auto"/>
      </w:divBdr>
    </w:div>
    <w:div w:id="699091988">
      <w:bodyDiv w:val="1"/>
      <w:marLeft w:val="0"/>
      <w:marRight w:val="0"/>
      <w:marTop w:val="0"/>
      <w:marBottom w:val="0"/>
      <w:divBdr>
        <w:top w:val="none" w:sz="0" w:space="0" w:color="auto"/>
        <w:left w:val="none" w:sz="0" w:space="0" w:color="auto"/>
        <w:bottom w:val="none" w:sz="0" w:space="0" w:color="auto"/>
        <w:right w:val="none" w:sz="0" w:space="0" w:color="auto"/>
      </w:divBdr>
    </w:div>
    <w:div w:id="716467113">
      <w:bodyDiv w:val="1"/>
      <w:marLeft w:val="0"/>
      <w:marRight w:val="0"/>
      <w:marTop w:val="0"/>
      <w:marBottom w:val="0"/>
      <w:divBdr>
        <w:top w:val="none" w:sz="0" w:space="0" w:color="auto"/>
        <w:left w:val="none" w:sz="0" w:space="0" w:color="auto"/>
        <w:bottom w:val="none" w:sz="0" w:space="0" w:color="auto"/>
        <w:right w:val="none" w:sz="0" w:space="0" w:color="auto"/>
      </w:divBdr>
      <w:divsChild>
        <w:div w:id="1876888911">
          <w:marLeft w:val="0"/>
          <w:marRight w:val="0"/>
          <w:marTop w:val="0"/>
          <w:marBottom w:val="0"/>
          <w:divBdr>
            <w:top w:val="none" w:sz="0" w:space="0" w:color="auto"/>
            <w:left w:val="none" w:sz="0" w:space="0" w:color="auto"/>
            <w:bottom w:val="none" w:sz="0" w:space="0" w:color="auto"/>
            <w:right w:val="none" w:sz="0" w:space="0" w:color="auto"/>
          </w:divBdr>
          <w:divsChild>
            <w:div w:id="202751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661935">
      <w:bodyDiv w:val="1"/>
      <w:marLeft w:val="0"/>
      <w:marRight w:val="0"/>
      <w:marTop w:val="0"/>
      <w:marBottom w:val="0"/>
      <w:divBdr>
        <w:top w:val="none" w:sz="0" w:space="0" w:color="auto"/>
        <w:left w:val="none" w:sz="0" w:space="0" w:color="auto"/>
        <w:bottom w:val="none" w:sz="0" w:space="0" w:color="auto"/>
        <w:right w:val="none" w:sz="0" w:space="0" w:color="auto"/>
      </w:divBdr>
    </w:div>
    <w:div w:id="717972666">
      <w:bodyDiv w:val="1"/>
      <w:marLeft w:val="0"/>
      <w:marRight w:val="0"/>
      <w:marTop w:val="0"/>
      <w:marBottom w:val="0"/>
      <w:divBdr>
        <w:top w:val="none" w:sz="0" w:space="0" w:color="auto"/>
        <w:left w:val="none" w:sz="0" w:space="0" w:color="auto"/>
        <w:bottom w:val="none" w:sz="0" w:space="0" w:color="auto"/>
        <w:right w:val="none" w:sz="0" w:space="0" w:color="auto"/>
      </w:divBdr>
      <w:divsChild>
        <w:div w:id="920679670">
          <w:marLeft w:val="0"/>
          <w:marRight w:val="0"/>
          <w:marTop w:val="0"/>
          <w:marBottom w:val="0"/>
          <w:divBdr>
            <w:top w:val="none" w:sz="0" w:space="0" w:color="auto"/>
            <w:left w:val="none" w:sz="0" w:space="0" w:color="auto"/>
            <w:bottom w:val="none" w:sz="0" w:space="0" w:color="auto"/>
            <w:right w:val="none" w:sz="0" w:space="0" w:color="auto"/>
          </w:divBdr>
          <w:divsChild>
            <w:div w:id="1911041195">
              <w:marLeft w:val="0"/>
              <w:marRight w:val="0"/>
              <w:marTop w:val="0"/>
              <w:marBottom w:val="0"/>
              <w:divBdr>
                <w:top w:val="none" w:sz="0" w:space="0" w:color="auto"/>
                <w:left w:val="none" w:sz="0" w:space="0" w:color="auto"/>
                <w:bottom w:val="none" w:sz="0" w:space="0" w:color="auto"/>
                <w:right w:val="none" w:sz="0" w:space="0" w:color="auto"/>
              </w:divBdr>
            </w:div>
          </w:divsChild>
        </w:div>
        <w:div w:id="1922447664">
          <w:marLeft w:val="0"/>
          <w:marRight w:val="0"/>
          <w:marTop w:val="0"/>
          <w:marBottom w:val="0"/>
          <w:divBdr>
            <w:top w:val="none" w:sz="0" w:space="0" w:color="auto"/>
            <w:left w:val="none" w:sz="0" w:space="0" w:color="auto"/>
            <w:bottom w:val="none" w:sz="0" w:space="0" w:color="auto"/>
            <w:right w:val="none" w:sz="0" w:space="0" w:color="auto"/>
          </w:divBdr>
          <w:divsChild>
            <w:div w:id="82092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78815">
      <w:bodyDiv w:val="1"/>
      <w:marLeft w:val="0"/>
      <w:marRight w:val="0"/>
      <w:marTop w:val="0"/>
      <w:marBottom w:val="0"/>
      <w:divBdr>
        <w:top w:val="none" w:sz="0" w:space="0" w:color="auto"/>
        <w:left w:val="none" w:sz="0" w:space="0" w:color="auto"/>
        <w:bottom w:val="none" w:sz="0" w:space="0" w:color="auto"/>
        <w:right w:val="none" w:sz="0" w:space="0" w:color="auto"/>
      </w:divBdr>
    </w:div>
    <w:div w:id="765854142">
      <w:bodyDiv w:val="1"/>
      <w:marLeft w:val="0"/>
      <w:marRight w:val="0"/>
      <w:marTop w:val="0"/>
      <w:marBottom w:val="0"/>
      <w:divBdr>
        <w:top w:val="none" w:sz="0" w:space="0" w:color="auto"/>
        <w:left w:val="none" w:sz="0" w:space="0" w:color="auto"/>
        <w:bottom w:val="none" w:sz="0" w:space="0" w:color="auto"/>
        <w:right w:val="none" w:sz="0" w:space="0" w:color="auto"/>
      </w:divBdr>
    </w:div>
    <w:div w:id="796024016">
      <w:bodyDiv w:val="1"/>
      <w:marLeft w:val="0"/>
      <w:marRight w:val="0"/>
      <w:marTop w:val="0"/>
      <w:marBottom w:val="0"/>
      <w:divBdr>
        <w:top w:val="none" w:sz="0" w:space="0" w:color="auto"/>
        <w:left w:val="none" w:sz="0" w:space="0" w:color="auto"/>
        <w:bottom w:val="none" w:sz="0" w:space="0" w:color="auto"/>
        <w:right w:val="none" w:sz="0" w:space="0" w:color="auto"/>
      </w:divBdr>
      <w:divsChild>
        <w:div w:id="383337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2598723">
      <w:bodyDiv w:val="1"/>
      <w:marLeft w:val="0"/>
      <w:marRight w:val="0"/>
      <w:marTop w:val="0"/>
      <w:marBottom w:val="0"/>
      <w:divBdr>
        <w:top w:val="none" w:sz="0" w:space="0" w:color="auto"/>
        <w:left w:val="none" w:sz="0" w:space="0" w:color="auto"/>
        <w:bottom w:val="none" w:sz="0" w:space="0" w:color="auto"/>
        <w:right w:val="none" w:sz="0" w:space="0" w:color="auto"/>
      </w:divBdr>
      <w:divsChild>
        <w:div w:id="208229279">
          <w:marLeft w:val="0"/>
          <w:marRight w:val="0"/>
          <w:marTop w:val="0"/>
          <w:marBottom w:val="0"/>
          <w:divBdr>
            <w:top w:val="none" w:sz="0" w:space="0" w:color="auto"/>
            <w:left w:val="none" w:sz="0" w:space="0" w:color="auto"/>
            <w:bottom w:val="none" w:sz="0" w:space="0" w:color="auto"/>
            <w:right w:val="none" w:sz="0" w:space="0" w:color="auto"/>
          </w:divBdr>
          <w:divsChild>
            <w:div w:id="973295285">
              <w:marLeft w:val="0"/>
              <w:marRight w:val="0"/>
              <w:marTop w:val="0"/>
              <w:marBottom w:val="0"/>
              <w:divBdr>
                <w:top w:val="none" w:sz="0" w:space="0" w:color="auto"/>
                <w:left w:val="none" w:sz="0" w:space="0" w:color="auto"/>
                <w:bottom w:val="none" w:sz="0" w:space="0" w:color="auto"/>
                <w:right w:val="none" w:sz="0" w:space="0" w:color="auto"/>
              </w:divBdr>
            </w:div>
          </w:divsChild>
        </w:div>
        <w:div w:id="209266506">
          <w:marLeft w:val="0"/>
          <w:marRight w:val="0"/>
          <w:marTop w:val="0"/>
          <w:marBottom w:val="0"/>
          <w:divBdr>
            <w:top w:val="none" w:sz="0" w:space="0" w:color="auto"/>
            <w:left w:val="none" w:sz="0" w:space="0" w:color="auto"/>
            <w:bottom w:val="none" w:sz="0" w:space="0" w:color="auto"/>
            <w:right w:val="none" w:sz="0" w:space="0" w:color="auto"/>
          </w:divBdr>
          <w:divsChild>
            <w:div w:id="951133327">
              <w:marLeft w:val="0"/>
              <w:marRight w:val="0"/>
              <w:marTop w:val="0"/>
              <w:marBottom w:val="0"/>
              <w:divBdr>
                <w:top w:val="none" w:sz="0" w:space="0" w:color="auto"/>
                <w:left w:val="none" w:sz="0" w:space="0" w:color="auto"/>
                <w:bottom w:val="none" w:sz="0" w:space="0" w:color="auto"/>
                <w:right w:val="none" w:sz="0" w:space="0" w:color="auto"/>
              </w:divBdr>
            </w:div>
          </w:divsChild>
        </w:div>
        <w:div w:id="393549814">
          <w:marLeft w:val="0"/>
          <w:marRight w:val="0"/>
          <w:marTop w:val="0"/>
          <w:marBottom w:val="0"/>
          <w:divBdr>
            <w:top w:val="none" w:sz="0" w:space="0" w:color="auto"/>
            <w:left w:val="none" w:sz="0" w:space="0" w:color="auto"/>
            <w:bottom w:val="none" w:sz="0" w:space="0" w:color="auto"/>
            <w:right w:val="none" w:sz="0" w:space="0" w:color="auto"/>
          </w:divBdr>
          <w:divsChild>
            <w:div w:id="628390347">
              <w:marLeft w:val="0"/>
              <w:marRight w:val="0"/>
              <w:marTop w:val="0"/>
              <w:marBottom w:val="0"/>
              <w:divBdr>
                <w:top w:val="none" w:sz="0" w:space="0" w:color="auto"/>
                <w:left w:val="none" w:sz="0" w:space="0" w:color="auto"/>
                <w:bottom w:val="none" w:sz="0" w:space="0" w:color="auto"/>
                <w:right w:val="none" w:sz="0" w:space="0" w:color="auto"/>
              </w:divBdr>
            </w:div>
          </w:divsChild>
        </w:div>
        <w:div w:id="921792191">
          <w:marLeft w:val="0"/>
          <w:marRight w:val="0"/>
          <w:marTop w:val="0"/>
          <w:marBottom w:val="0"/>
          <w:divBdr>
            <w:top w:val="none" w:sz="0" w:space="0" w:color="auto"/>
            <w:left w:val="none" w:sz="0" w:space="0" w:color="auto"/>
            <w:bottom w:val="none" w:sz="0" w:space="0" w:color="auto"/>
            <w:right w:val="none" w:sz="0" w:space="0" w:color="auto"/>
          </w:divBdr>
          <w:divsChild>
            <w:div w:id="243686658">
              <w:marLeft w:val="0"/>
              <w:marRight w:val="0"/>
              <w:marTop w:val="0"/>
              <w:marBottom w:val="0"/>
              <w:divBdr>
                <w:top w:val="none" w:sz="0" w:space="0" w:color="auto"/>
                <w:left w:val="none" w:sz="0" w:space="0" w:color="auto"/>
                <w:bottom w:val="none" w:sz="0" w:space="0" w:color="auto"/>
                <w:right w:val="none" w:sz="0" w:space="0" w:color="auto"/>
              </w:divBdr>
            </w:div>
            <w:div w:id="1257637832">
              <w:marLeft w:val="0"/>
              <w:marRight w:val="0"/>
              <w:marTop w:val="0"/>
              <w:marBottom w:val="0"/>
              <w:divBdr>
                <w:top w:val="none" w:sz="0" w:space="0" w:color="auto"/>
                <w:left w:val="none" w:sz="0" w:space="0" w:color="auto"/>
                <w:bottom w:val="none" w:sz="0" w:space="0" w:color="auto"/>
                <w:right w:val="none" w:sz="0" w:space="0" w:color="auto"/>
              </w:divBdr>
            </w:div>
            <w:div w:id="2077851250">
              <w:marLeft w:val="0"/>
              <w:marRight w:val="0"/>
              <w:marTop w:val="0"/>
              <w:marBottom w:val="0"/>
              <w:divBdr>
                <w:top w:val="none" w:sz="0" w:space="0" w:color="auto"/>
                <w:left w:val="none" w:sz="0" w:space="0" w:color="auto"/>
                <w:bottom w:val="none" w:sz="0" w:space="0" w:color="auto"/>
                <w:right w:val="none" w:sz="0" w:space="0" w:color="auto"/>
              </w:divBdr>
              <w:divsChild>
                <w:div w:id="985399599">
                  <w:marLeft w:val="0"/>
                  <w:marRight w:val="0"/>
                  <w:marTop w:val="0"/>
                  <w:marBottom w:val="0"/>
                  <w:divBdr>
                    <w:top w:val="none" w:sz="0" w:space="0" w:color="auto"/>
                    <w:left w:val="none" w:sz="0" w:space="0" w:color="auto"/>
                    <w:bottom w:val="none" w:sz="0" w:space="0" w:color="auto"/>
                    <w:right w:val="none" w:sz="0" w:space="0" w:color="auto"/>
                  </w:divBdr>
                  <w:divsChild>
                    <w:div w:id="19434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55761">
          <w:marLeft w:val="0"/>
          <w:marRight w:val="0"/>
          <w:marTop w:val="0"/>
          <w:marBottom w:val="0"/>
          <w:divBdr>
            <w:top w:val="none" w:sz="0" w:space="0" w:color="auto"/>
            <w:left w:val="none" w:sz="0" w:space="0" w:color="auto"/>
            <w:bottom w:val="none" w:sz="0" w:space="0" w:color="auto"/>
            <w:right w:val="none" w:sz="0" w:space="0" w:color="auto"/>
          </w:divBdr>
          <w:divsChild>
            <w:div w:id="156371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93256">
      <w:bodyDiv w:val="1"/>
      <w:marLeft w:val="0"/>
      <w:marRight w:val="0"/>
      <w:marTop w:val="0"/>
      <w:marBottom w:val="0"/>
      <w:divBdr>
        <w:top w:val="none" w:sz="0" w:space="0" w:color="auto"/>
        <w:left w:val="none" w:sz="0" w:space="0" w:color="auto"/>
        <w:bottom w:val="none" w:sz="0" w:space="0" w:color="auto"/>
        <w:right w:val="none" w:sz="0" w:space="0" w:color="auto"/>
      </w:divBdr>
    </w:div>
    <w:div w:id="859440329">
      <w:bodyDiv w:val="1"/>
      <w:marLeft w:val="0"/>
      <w:marRight w:val="0"/>
      <w:marTop w:val="0"/>
      <w:marBottom w:val="0"/>
      <w:divBdr>
        <w:top w:val="none" w:sz="0" w:space="0" w:color="auto"/>
        <w:left w:val="none" w:sz="0" w:space="0" w:color="auto"/>
        <w:bottom w:val="none" w:sz="0" w:space="0" w:color="auto"/>
        <w:right w:val="none" w:sz="0" w:space="0" w:color="auto"/>
      </w:divBdr>
    </w:div>
    <w:div w:id="895706737">
      <w:bodyDiv w:val="1"/>
      <w:marLeft w:val="0"/>
      <w:marRight w:val="0"/>
      <w:marTop w:val="0"/>
      <w:marBottom w:val="0"/>
      <w:divBdr>
        <w:top w:val="none" w:sz="0" w:space="0" w:color="auto"/>
        <w:left w:val="none" w:sz="0" w:space="0" w:color="auto"/>
        <w:bottom w:val="none" w:sz="0" w:space="0" w:color="auto"/>
        <w:right w:val="none" w:sz="0" w:space="0" w:color="auto"/>
      </w:divBdr>
      <w:divsChild>
        <w:div w:id="40442262">
          <w:marLeft w:val="0"/>
          <w:marRight w:val="0"/>
          <w:marTop w:val="0"/>
          <w:marBottom w:val="0"/>
          <w:divBdr>
            <w:top w:val="none" w:sz="0" w:space="0" w:color="auto"/>
            <w:left w:val="none" w:sz="0" w:space="0" w:color="auto"/>
            <w:bottom w:val="none" w:sz="0" w:space="0" w:color="auto"/>
            <w:right w:val="none" w:sz="0" w:space="0" w:color="auto"/>
          </w:divBdr>
          <w:divsChild>
            <w:div w:id="123542663">
              <w:marLeft w:val="0"/>
              <w:marRight w:val="0"/>
              <w:marTop w:val="0"/>
              <w:marBottom w:val="0"/>
              <w:divBdr>
                <w:top w:val="none" w:sz="0" w:space="0" w:color="auto"/>
                <w:left w:val="none" w:sz="0" w:space="0" w:color="auto"/>
                <w:bottom w:val="none" w:sz="0" w:space="0" w:color="auto"/>
                <w:right w:val="none" w:sz="0" w:space="0" w:color="auto"/>
              </w:divBdr>
            </w:div>
          </w:divsChild>
        </w:div>
        <w:div w:id="369500339">
          <w:marLeft w:val="0"/>
          <w:marRight w:val="0"/>
          <w:marTop w:val="0"/>
          <w:marBottom w:val="0"/>
          <w:divBdr>
            <w:top w:val="none" w:sz="0" w:space="0" w:color="auto"/>
            <w:left w:val="none" w:sz="0" w:space="0" w:color="auto"/>
            <w:bottom w:val="none" w:sz="0" w:space="0" w:color="auto"/>
            <w:right w:val="none" w:sz="0" w:space="0" w:color="auto"/>
          </w:divBdr>
          <w:divsChild>
            <w:div w:id="1157845865">
              <w:marLeft w:val="0"/>
              <w:marRight w:val="0"/>
              <w:marTop w:val="0"/>
              <w:marBottom w:val="0"/>
              <w:divBdr>
                <w:top w:val="none" w:sz="0" w:space="0" w:color="auto"/>
                <w:left w:val="none" w:sz="0" w:space="0" w:color="auto"/>
                <w:bottom w:val="none" w:sz="0" w:space="0" w:color="auto"/>
                <w:right w:val="none" w:sz="0" w:space="0" w:color="auto"/>
              </w:divBdr>
            </w:div>
          </w:divsChild>
        </w:div>
        <w:div w:id="1059324845">
          <w:marLeft w:val="0"/>
          <w:marRight w:val="0"/>
          <w:marTop w:val="0"/>
          <w:marBottom w:val="0"/>
          <w:divBdr>
            <w:top w:val="none" w:sz="0" w:space="0" w:color="auto"/>
            <w:left w:val="none" w:sz="0" w:space="0" w:color="auto"/>
            <w:bottom w:val="none" w:sz="0" w:space="0" w:color="auto"/>
            <w:right w:val="none" w:sz="0" w:space="0" w:color="auto"/>
          </w:divBdr>
          <w:divsChild>
            <w:div w:id="1285506108">
              <w:marLeft w:val="0"/>
              <w:marRight w:val="0"/>
              <w:marTop w:val="0"/>
              <w:marBottom w:val="0"/>
              <w:divBdr>
                <w:top w:val="none" w:sz="0" w:space="0" w:color="auto"/>
                <w:left w:val="none" w:sz="0" w:space="0" w:color="auto"/>
                <w:bottom w:val="none" w:sz="0" w:space="0" w:color="auto"/>
                <w:right w:val="none" w:sz="0" w:space="0" w:color="auto"/>
              </w:divBdr>
            </w:div>
          </w:divsChild>
        </w:div>
        <w:div w:id="1446849523">
          <w:marLeft w:val="0"/>
          <w:marRight w:val="0"/>
          <w:marTop w:val="0"/>
          <w:marBottom w:val="0"/>
          <w:divBdr>
            <w:top w:val="none" w:sz="0" w:space="0" w:color="auto"/>
            <w:left w:val="none" w:sz="0" w:space="0" w:color="auto"/>
            <w:bottom w:val="none" w:sz="0" w:space="0" w:color="auto"/>
            <w:right w:val="none" w:sz="0" w:space="0" w:color="auto"/>
          </w:divBdr>
          <w:divsChild>
            <w:div w:id="1020623109">
              <w:marLeft w:val="0"/>
              <w:marRight w:val="0"/>
              <w:marTop w:val="0"/>
              <w:marBottom w:val="0"/>
              <w:divBdr>
                <w:top w:val="none" w:sz="0" w:space="0" w:color="auto"/>
                <w:left w:val="none" w:sz="0" w:space="0" w:color="auto"/>
                <w:bottom w:val="none" w:sz="0" w:space="0" w:color="auto"/>
                <w:right w:val="none" w:sz="0" w:space="0" w:color="auto"/>
              </w:divBdr>
            </w:div>
          </w:divsChild>
        </w:div>
        <w:div w:id="2142990035">
          <w:marLeft w:val="0"/>
          <w:marRight w:val="0"/>
          <w:marTop w:val="0"/>
          <w:marBottom w:val="0"/>
          <w:divBdr>
            <w:top w:val="none" w:sz="0" w:space="0" w:color="auto"/>
            <w:left w:val="none" w:sz="0" w:space="0" w:color="auto"/>
            <w:bottom w:val="none" w:sz="0" w:space="0" w:color="auto"/>
            <w:right w:val="none" w:sz="0" w:space="0" w:color="auto"/>
          </w:divBdr>
          <w:divsChild>
            <w:div w:id="266350029">
              <w:marLeft w:val="0"/>
              <w:marRight w:val="0"/>
              <w:marTop w:val="0"/>
              <w:marBottom w:val="0"/>
              <w:divBdr>
                <w:top w:val="none" w:sz="0" w:space="0" w:color="auto"/>
                <w:left w:val="none" w:sz="0" w:space="0" w:color="auto"/>
                <w:bottom w:val="none" w:sz="0" w:space="0" w:color="auto"/>
                <w:right w:val="none" w:sz="0" w:space="0" w:color="auto"/>
              </w:divBdr>
            </w:div>
            <w:div w:id="530605830">
              <w:marLeft w:val="0"/>
              <w:marRight w:val="0"/>
              <w:marTop w:val="0"/>
              <w:marBottom w:val="0"/>
              <w:divBdr>
                <w:top w:val="none" w:sz="0" w:space="0" w:color="auto"/>
                <w:left w:val="none" w:sz="0" w:space="0" w:color="auto"/>
                <w:bottom w:val="none" w:sz="0" w:space="0" w:color="auto"/>
                <w:right w:val="none" w:sz="0" w:space="0" w:color="auto"/>
              </w:divBdr>
              <w:divsChild>
                <w:div w:id="122505512">
                  <w:marLeft w:val="0"/>
                  <w:marRight w:val="0"/>
                  <w:marTop w:val="0"/>
                  <w:marBottom w:val="0"/>
                  <w:divBdr>
                    <w:top w:val="none" w:sz="0" w:space="0" w:color="auto"/>
                    <w:left w:val="none" w:sz="0" w:space="0" w:color="auto"/>
                    <w:bottom w:val="none" w:sz="0" w:space="0" w:color="auto"/>
                    <w:right w:val="none" w:sz="0" w:space="0" w:color="auto"/>
                  </w:divBdr>
                  <w:divsChild>
                    <w:div w:id="77976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6290">
      <w:bodyDiv w:val="1"/>
      <w:marLeft w:val="0"/>
      <w:marRight w:val="0"/>
      <w:marTop w:val="0"/>
      <w:marBottom w:val="0"/>
      <w:divBdr>
        <w:top w:val="none" w:sz="0" w:space="0" w:color="auto"/>
        <w:left w:val="none" w:sz="0" w:space="0" w:color="auto"/>
        <w:bottom w:val="none" w:sz="0" w:space="0" w:color="auto"/>
        <w:right w:val="none" w:sz="0" w:space="0" w:color="auto"/>
      </w:divBdr>
    </w:div>
    <w:div w:id="989361114">
      <w:bodyDiv w:val="1"/>
      <w:marLeft w:val="0"/>
      <w:marRight w:val="0"/>
      <w:marTop w:val="0"/>
      <w:marBottom w:val="0"/>
      <w:divBdr>
        <w:top w:val="none" w:sz="0" w:space="0" w:color="auto"/>
        <w:left w:val="none" w:sz="0" w:space="0" w:color="auto"/>
        <w:bottom w:val="none" w:sz="0" w:space="0" w:color="auto"/>
        <w:right w:val="none" w:sz="0" w:space="0" w:color="auto"/>
      </w:divBdr>
      <w:divsChild>
        <w:div w:id="42168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8339995">
      <w:bodyDiv w:val="1"/>
      <w:marLeft w:val="0"/>
      <w:marRight w:val="0"/>
      <w:marTop w:val="0"/>
      <w:marBottom w:val="0"/>
      <w:divBdr>
        <w:top w:val="none" w:sz="0" w:space="0" w:color="auto"/>
        <w:left w:val="none" w:sz="0" w:space="0" w:color="auto"/>
        <w:bottom w:val="none" w:sz="0" w:space="0" w:color="auto"/>
        <w:right w:val="none" w:sz="0" w:space="0" w:color="auto"/>
      </w:divBdr>
    </w:div>
    <w:div w:id="1042286507">
      <w:bodyDiv w:val="1"/>
      <w:marLeft w:val="0"/>
      <w:marRight w:val="0"/>
      <w:marTop w:val="0"/>
      <w:marBottom w:val="0"/>
      <w:divBdr>
        <w:top w:val="none" w:sz="0" w:space="0" w:color="auto"/>
        <w:left w:val="none" w:sz="0" w:space="0" w:color="auto"/>
        <w:bottom w:val="none" w:sz="0" w:space="0" w:color="auto"/>
        <w:right w:val="none" w:sz="0" w:space="0" w:color="auto"/>
      </w:divBdr>
    </w:div>
    <w:div w:id="1052582499">
      <w:bodyDiv w:val="1"/>
      <w:marLeft w:val="0"/>
      <w:marRight w:val="0"/>
      <w:marTop w:val="0"/>
      <w:marBottom w:val="0"/>
      <w:divBdr>
        <w:top w:val="none" w:sz="0" w:space="0" w:color="auto"/>
        <w:left w:val="none" w:sz="0" w:space="0" w:color="auto"/>
        <w:bottom w:val="none" w:sz="0" w:space="0" w:color="auto"/>
        <w:right w:val="none" w:sz="0" w:space="0" w:color="auto"/>
      </w:divBdr>
      <w:divsChild>
        <w:div w:id="330331983">
          <w:marLeft w:val="0"/>
          <w:marRight w:val="0"/>
          <w:marTop w:val="0"/>
          <w:marBottom w:val="0"/>
          <w:divBdr>
            <w:top w:val="none" w:sz="0" w:space="0" w:color="auto"/>
            <w:left w:val="none" w:sz="0" w:space="0" w:color="auto"/>
            <w:bottom w:val="none" w:sz="0" w:space="0" w:color="auto"/>
            <w:right w:val="none" w:sz="0" w:space="0" w:color="auto"/>
          </w:divBdr>
          <w:divsChild>
            <w:div w:id="17326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36043">
      <w:bodyDiv w:val="1"/>
      <w:marLeft w:val="0"/>
      <w:marRight w:val="0"/>
      <w:marTop w:val="0"/>
      <w:marBottom w:val="0"/>
      <w:divBdr>
        <w:top w:val="none" w:sz="0" w:space="0" w:color="auto"/>
        <w:left w:val="none" w:sz="0" w:space="0" w:color="auto"/>
        <w:bottom w:val="none" w:sz="0" w:space="0" w:color="auto"/>
        <w:right w:val="none" w:sz="0" w:space="0" w:color="auto"/>
      </w:divBdr>
    </w:div>
    <w:div w:id="1086606815">
      <w:bodyDiv w:val="1"/>
      <w:marLeft w:val="0"/>
      <w:marRight w:val="0"/>
      <w:marTop w:val="0"/>
      <w:marBottom w:val="0"/>
      <w:divBdr>
        <w:top w:val="none" w:sz="0" w:space="0" w:color="auto"/>
        <w:left w:val="none" w:sz="0" w:space="0" w:color="auto"/>
        <w:bottom w:val="none" w:sz="0" w:space="0" w:color="auto"/>
        <w:right w:val="none" w:sz="0" w:space="0" w:color="auto"/>
      </w:divBdr>
    </w:div>
    <w:div w:id="1097411230">
      <w:bodyDiv w:val="1"/>
      <w:marLeft w:val="0"/>
      <w:marRight w:val="0"/>
      <w:marTop w:val="0"/>
      <w:marBottom w:val="0"/>
      <w:divBdr>
        <w:top w:val="none" w:sz="0" w:space="0" w:color="auto"/>
        <w:left w:val="none" w:sz="0" w:space="0" w:color="auto"/>
        <w:bottom w:val="none" w:sz="0" w:space="0" w:color="auto"/>
        <w:right w:val="none" w:sz="0" w:space="0" w:color="auto"/>
      </w:divBdr>
      <w:divsChild>
        <w:div w:id="1237857985">
          <w:marLeft w:val="0"/>
          <w:marRight w:val="0"/>
          <w:marTop w:val="0"/>
          <w:marBottom w:val="0"/>
          <w:divBdr>
            <w:top w:val="none" w:sz="0" w:space="0" w:color="auto"/>
            <w:left w:val="none" w:sz="0" w:space="0" w:color="auto"/>
            <w:bottom w:val="none" w:sz="0" w:space="0" w:color="auto"/>
            <w:right w:val="none" w:sz="0" w:space="0" w:color="auto"/>
          </w:divBdr>
          <w:divsChild>
            <w:div w:id="310986252">
              <w:marLeft w:val="0"/>
              <w:marRight w:val="0"/>
              <w:marTop w:val="0"/>
              <w:marBottom w:val="0"/>
              <w:divBdr>
                <w:top w:val="none" w:sz="0" w:space="0" w:color="auto"/>
                <w:left w:val="none" w:sz="0" w:space="0" w:color="auto"/>
                <w:bottom w:val="none" w:sz="0" w:space="0" w:color="auto"/>
                <w:right w:val="none" w:sz="0" w:space="0" w:color="auto"/>
              </w:divBdr>
            </w:div>
          </w:divsChild>
        </w:div>
        <w:div w:id="1841965431">
          <w:marLeft w:val="0"/>
          <w:marRight w:val="0"/>
          <w:marTop w:val="0"/>
          <w:marBottom w:val="0"/>
          <w:divBdr>
            <w:top w:val="none" w:sz="0" w:space="0" w:color="auto"/>
            <w:left w:val="none" w:sz="0" w:space="0" w:color="auto"/>
            <w:bottom w:val="none" w:sz="0" w:space="0" w:color="auto"/>
            <w:right w:val="none" w:sz="0" w:space="0" w:color="auto"/>
          </w:divBdr>
          <w:divsChild>
            <w:div w:id="485440249">
              <w:marLeft w:val="0"/>
              <w:marRight w:val="0"/>
              <w:marTop w:val="0"/>
              <w:marBottom w:val="0"/>
              <w:divBdr>
                <w:top w:val="none" w:sz="0" w:space="0" w:color="auto"/>
                <w:left w:val="none" w:sz="0" w:space="0" w:color="auto"/>
                <w:bottom w:val="none" w:sz="0" w:space="0" w:color="auto"/>
                <w:right w:val="none" w:sz="0" w:space="0" w:color="auto"/>
              </w:divBdr>
            </w:div>
          </w:divsChild>
        </w:div>
        <w:div w:id="1861506141">
          <w:marLeft w:val="0"/>
          <w:marRight w:val="0"/>
          <w:marTop w:val="0"/>
          <w:marBottom w:val="0"/>
          <w:divBdr>
            <w:top w:val="none" w:sz="0" w:space="0" w:color="auto"/>
            <w:left w:val="none" w:sz="0" w:space="0" w:color="auto"/>
            <w:bottom w:val="none" w:sz="0" w:space="0" w:color="auto"/>
            <w:right w:val="none" w:sz="0" w:space="0" w:color="auto"/>
          </w:divBdr>
          <w:divsChild>
            <w:div w:id="159327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3112">
      <w:bodyDiv w:val="1"/>
      <w:marLeft w:val="0"/>
      <w:marRight w:val="0"/>
      <w:marTop w:val="0"/>
      <w:marBottom w:val="0"/>
      <w:divBdr>
        <w:top w:val="none" w:sz="0" w:space="0" w:color="auto"/>
        <w:left w:val="none" w:sz="0" w:space="0" w:color="auto"/>
        <w:bottom w:val="none" w:sz="0" w:space="0" w:color="auto"/>
        <w:right w:val="none" w:sz="0" w:space="0" w:color="auto"/>
      </w:divBdr>
      <w:divsChild>
        <w:div w:id="308678849">
          <w:marLeft w:val="0"/>
          <w:marRight w:val="0"/>
          <w:marTop w:val="0"/>
          <w:marBottom w:val="0"/>
          <w:divBdr>
            <w:top w:val="none" w:sz="0" w:space="0" w:color="auto"/>
            <w:left w:val="none" w:sz="0" w:space="0" w:color="auto"/>
            <w:bottom w:val="none" w:sz="0" w:space="0" w:color="auto"/>
            <w:right w:val="none" w:sz="0" w:space="0" w:color="auto"/>
          </w:divBdr>
          <w:divsChild>
            <w:div w:id="1940285077">
              <w:marLeft w:val="0"/>
              <w:marRight w:val="0"/>
              <w:marTop w:val="0"/>
              <w:marBottom w:val="0"/>
              <w:divBdr>
                <w:top w:val="none" w:sz="0" w:space="0" w:color="auto"/>
                <w:left w:val="none" w:sz="0" w:space="0" w:color="auto"/>
                <w:bottom w:val="none" w:sz="0" w:space="0" w:color="auto"/>
                <w:right w:val="none" w:sz="0" w:space="0" w:color="auto"/>
              </w:divBdr>
            </w:div>
          </w:divsChild>
        </w:div>
        <w:div w:id="1751199265">
          <w:marLeft w:val="0"/>
          <w:marRight w:val="0"/>
          <w:marTop w:val="0"/>
          <w:marBottom w:val="0"/>
          <w:divBdr>
            <w:top w:val="none" w:sz="0" w:space="0" w:color="auto"/>
            <w:left w:val="none" w:sz="0" w:space="0" w:color="auto"/>
            <w:bottom w:val="none" w:sz="0" w:space="0" w:color="auto"/>
            <w:right w:val="none" w:sz="0" w:space="0" w:color="auto"/>
          </w:divBdr>
          <w:divsChild>
            <w:div w:id="177459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4459">
      <w:bodyDiv w:val="1"/>
      <w:marLeft w:val="0"/>
      <w:marRight w:val="0"/>
      <w:marTop w:val="0"/>
      <w:marBottom w:val="0"/>
      <w:divBdr>
        <w:top w:val="none" w:sz="0" w:space="0" w:color="auto"/>
        <w:left w:val="none" w:sz="0" w:space="0" w:color="auto"/>
        <w:bottom w:val="none" w:sz="0" w:space="0" w:color="auto"/>
        <w:right w:val="none" w:sz="0" w:space="0" w:color="auto"/>
      </w:divBdr>
    </w:div>
    <w:div w:id="1141969203">
      <w:bodyDiv w:val="1"/>
      <w:marLeft w:val="0"/>
      <w:marRight w:val="0"/>
      <w:marTop w:val="0"/>
      <w:marBottom w:val="0"/>
      <w:divBdr>
        <w:top w:val="none" w:sz="0" w:space="0" w:color="auto"/>
        <w:left w:val="none" w:sz="0" w:space="0" w:color="auto"/>
        <w:bottom w:val="none" w:sz="0" w:space="0" w:color="auto"/>
        <w:right w:val="none" w:sz="0" w:space="0" w:color="auto"/>
      </w:divBdr>
    </w:div>
    <w:div w:id="1150487481">
      <w:bodyDiv w:val="1"/>
      <w:marLeft w:val="0"/>
      <w:marRight w:val="0"/>
      <w:marTop w:val="0"/>
      <w:marBottom w:val="0"/>
      <w:divBdr>
        <w:top w:val="none" w:sz="0" w:space="0" w:color="auto"/>
        <w:left w:val="none" w:sz="0" w:space="0" w:color="auto"/>
        <w:bottom w:val="none" w:sz="0" w:space="0" w:color="auto"/>
        <w:right w:val="none" w:sz="0" w:space="0" w:color="auto"/>
      </w:divBdr>
      <w:divsChild>
        <w:div w:id="1858497819">
          <w:marLeft w:val="0"/>
          <w:marRight w:val="0"/>
          <w:marTop w:val="0"/>
          <w:marBottom w:val="0"/>
          <w:divBdr>
            <w:top w:val="none" w:sz="0" w:space="0" w:color="auto"/>
            <w:left w:val="none" w:sz="0" w:space="0" w:color="auto"/>
            <w:bottom w:val="none" w:sz="0" w:space="0" w:color="auto"/>
            <w:right w:val="none" w:sz="0" w:space="0" w:color="auto"/>
          </w:divBdr>
          <w:divsChild>
            <w:div w:id="17254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775957">
      <w:bodyDiv w:val="1"/>
      <w:marLeft w:val="0"/>
      <w:marRight w:val="0"/>
      <w:marTop w:val="0"/>
      <w:marBottom w:val="0"/>
      <w:divBdr>
        <w:top w:val="none" w:sz="0" w:space="0" w:color="auto"/>
        <w:left w:val="none" w:sz="0" w:space="0" w:color="auto"/>
        <w:bottom w:val="none" w:sz="0" w:space="0" w:color="auto"/>
        <w:right w:val="none" w:sz="0" w:space="0" w:color="auto"/>
      </w:divBdr>
      <w:divsChild>
        <w:div w:id="335770093">
          <w:marLeft w:val="0"/>
          <w:marRight w:val="0"/>
          <w:marTop w:val="0"/>
          <w:marBottom w:val="0"/>
          <w:divBdr>
            <w:top w:val="none" w:sz="0" w:space="0" w:color="auto"/>
            <w:left w:val="none" w:sz="0" w:space="0" w:color="auto"/>
            <w:bottom w:val="none" w:sz="0" w:space="0" w:color="auto"/>
            <w:right w:val="none" w:sz="0" w:space="0" w:color="auto"/>
          </w:divBdr>
          <w:divsChild>
            <w:div w:id="109933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67100">
      <w:bodyDiv w:val="1"/>
      <w:marLeft w:val="0"/>
      <w:marRight w:val="0"/>
      <w:marTop w:val="0"/>
      <w:marBottom w:val="0"/>
      <w:divBdr>
        <w:top w:val="none" w:sz="0" w:space="0" w:color="auto"/>
        <w:left w:val="none" w:sz="0" w:space="0" w:color="auto"/>
        <w:bottom w:val="none" w:sz="0" w:space="0" w:color="auto"/>
        <w:right w:val="none" w:sz="0" w:space="0" w:color="auto"/>
      </w:divBdr>
    </w:div>
    <w:div w:id="1218856796">
      <w:bodyDiv w:val="1"/>
      <w:marLeft w:val="0"/>
      <w:marRight w:val="0"/>
      <w:marTop w:val="0"/>
      <w:marBottom w:val="0"/>
      <w:divBdr>
        <w:top w:val="none" w:sz="0" w:space="0" w:color="auto"/>
        <w:left w:val="none" w:sz="0" w:space="0" w:color="auto"/>
        <w:bottom w:val="none" w:sz="0" w:space="0" w:color="auto"/>
        <w:right w:val="none" w:sz="0" w:space="0" w:color="auto"/>
      </w:divBdr>
    </w:div>
    <w:div w:id="1226406094">
      <w:bodyDiv w:val="1"/>
      <w:marLeft w:val="0"/>
      <w:marRight w:val="0"/>
      <w:marTop w:val="0"/>
      <w:marBottom w:val="0"/>
      <w:divBdr>
        <w:top w:val="none" w:sz="0" w:space="0" w:color="auto"/>
        <w:left w:val="none" w:sz="0" w:space="0" w:color="auto"/>
        <w:bottom w:val="none" w:sz="0" w:space="0" w:color="auto"/>
        <w:right w:val="none" w:sz="0" w:space="0" w:color="auto"/>
      </w:divBdr>
    </w:div>
    <w:div w:id="1227961097">
      <w:bodyDiv w:val="1"/>
      <w:marLeft w:val="0"/>
      <w:marRight w:val="0"/>
      <w:marTop w:val="0"/>
      <w:marBottom w:val="0"/>
      <w:divBdr>
        <w:top w:val="none" w:sz="0" w:space="0" w:color="auto"/>
        <w:left w:val="none" w:sz="0" w:space="0" w:color="auto"/>
        <w:bottom w:val="none" w:sz="0" w:space="0" w:color="auto"/>
        <w:right w:val="none" w:sz="0" w:space="0" w:color="auto"/>
      </w:divBdr>
    </w:div>
    <w:div w:id="1228957941">
      <w:bodyDiv w:val="1"/>
      <w:marLeft w:val="0"/>
      <w:marRight w:val="0"/>
      <w:marTop w:val="0"/>
      <w:marBottom w:val="0"/>
      <w:divBdr>
        <w:top w:val="none" w:sz="0" w:space="0" w:color="auto"/>
        <w:left w:val="none" w:sz="0" w:space="0" w:color="auto"/>
        <w:bottom w:val="none" w:sz="0" w:space="0" w:color="auto"/>
        <w:right w:val="none" w:sz="0" w:space="0" w:color="auto"/>
      </w:divBdr>
      <w:divsChild>
        <w:div w:id="858814915">
          <w:marLeft w:val="0"/>
          <w:marRight w:val="0"/>
          <w:marTop w:val="0"/>
          <w:marBottom w:val="0"/>
          <w:divBdr>
            <w:top w:val="none" w:sz="0" w:space="0" w:color="auto"/>
            <w:left w:val="none" w:sz="0" w:space="0" w:color="auto"/>
            <w:bottom w:val="none" w:sz="0" w:space="0" w:color="auto"/>
            <w:right w:val="none" w:sz="0" w:space="0" w:color="auto"/>
          </w:divBdr>
          <w:divsChild>
            <w:div w:id="330716976">
              <w:marLeft w:val="0"/>
              <w:marRight w:val="0"/>
              <w:marTop w:val="0"/>
              <w:marBottom w:val="0"/>
              <w:divBdr>
                <w:top w:val="none" w:sz="0" w:space="0" w:color="auto"/>
                <w:left w:val="none" w:sz="0" w:space="0" w:color="auto"/>
                <w:bottom w:val="none" w:sz="0" w:space="0" w:color="auto"/>
                <w:right w:val="none" w:sz="0" w:space="0" w:color="auto"/>
              </w:divBdr>
              <w:divsChild>
                <w:div w:id="729157750">
                  <w:marLeft w:val="0"/>
                  <w:marRight w:val="0"/>
                  <w:marTop w:val="0"/>
                  <w:marBottom w:val="0"/>
                  <w:divBdr>
                    <w:top w:val="none" w:sz="0" w:space="0" w:color="auto"/>
                    <w:left w:val="none" w:sz="0" w:space="0" w:color="auto"/>
                    <w:bottom w:val="none" w:sz="0" w:space="0" w:color="auto"/>
                    <w:right w:val="none" w:sz="0" w:space="0" w:color="auto"/>
                  </w:divBdr>
                  <w:divsChild>
                    <w:div w:id="136486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34278">
              <w:marLeft w:val="0"/>
              <w:marRight w:val="0"/>
              <w:marTop w:val="0"/>
              <w:marBottom w:val="0"/>
              <w:divBdr>
                <w:top w:val="none" w:sz="0" w:space="0" w:color="auto"/>
                <w:left w:val="none" w:sz="0" w:space="0" w:color="auto"/>
                <w:bottom w:val="none" w:sz="0" w:space="0" w:color="auto"/>
                <w:right w:val="none" w:sz="0" w:space="0" w:color="auto"/>
              </w:divBdr>
            </w:div>
            <w:div w:id="16838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66207">
      <w:bodyDiv w:val="1"/>
      <w:marLeft w:val="0"/>
      <w:marRight w:val="0"/>
      <w:marTop w:val="0"/>
      <w:marBottom w:val="0"/>
      <w:divBdr>
        <w:top w:val="none" w:sz="0" w:space="0" w:color="auto"/>
        <w:left w:val="none" w:sz="0" w:space="0" w:color="auto"/>
        <w:bottom w:val="none" w:sz="0" w:space="0" w:color="auto"/>
        <w:right w:val="none" w:sz="0" w:space="0" w:color="auto"/>
      </w:divBdr>
    </w:div>
    <w:div w:id="1245459818">
      <w:bodyDiv w:val="1"/>
      <w:marLeft w:val="0"/>
      <w:marRight w:val="0"/>
      <w:marTop w:val="0"/>
      <w:marBottom w:val="0"/>
      <w:divBdr>
        <w:top w:val="none" w:sz="0" w:space="0" w:color="auto"/>
        <w:left w:val="none" w:sz="0" w:space="0" w:color="auto"/>
        <w:bottom w:val="none" w:sz="0" w:space="0" w:color="auto"/>
        <w:right w:val="none" w:sz="0" w:space="0" w:color="auto"/>
      </w:divBdr>
    </w:div>
    <w:div w:id="1277104858">
      <w:bodyDiv w:val="1"/>
      <w:marLeft w:val="0"/>
      <w:marRight w:val="0"/>
      <w:marTop w:val="0"/>
      <w:marBottom w:val="0"/>
      <w:divBdr>
        <w:top w:val="none" w:sz="0" w:space="0" w:color="auto"/>
        <w:left w:val="none" w:sz="0" w:space="0" w:color="auto"/>
        <w:bottom w:val="none" w:sz="0" w:space="0" w:color="auto"/>
        <w:right w:val="none" w:sz="0" w:space="0" w:color="auto"/>
      </w:divBdr>
      <w:divsChild>
        <w:div w:id="1263799232">
          <w:marLeft w:val="0"/>
          <w:marRight w:val="0"/>
          <w:marTop w:val="0"/>
          <w:marBottom w:val="0"/>
          <w:divBdr>
            <w:top w:val="none" w:sz="0" w:space="0" w:color="auto"/>
            <w:left w:val="none" w:sz="0" w:space="0" w:color="auto"/>
            <w:bottom w:val="none" w:sz="0" w:space="0" w:color="auto"/>
            <w:right w:val="none" w:sz="0" w:space="0" w:color="auto"/>
          </w:divBdr>
          <w:divsChild>
            <w:div w:id="19014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319901">
      <w:bodyDiv w:val="1"/>
      <w:marLeft w:val="0"/>
      <w:marRight w:val="0"/>
      <w:marTop w:val="0"/>
      <w:marBottom w:val="0"/>
      <w:divBdr>
        <w:top w:val="none" w:sz="0" w:space="0" w:color="auto"/>
        <w:left w:val="none" w:sz="0" w:space="0" w:color="auto"/>
        <w:bottom w:val="none" w:sz="0" w:space="0" w:color="auto"/>
        <w:right w:val="none" w:sz="0" w:space="0" w:color="auto"/>
      </w:divBdr>
      <w:divsChild>
        <w:div w:id="532112456">
          <w:marLeft w:val="0"/>
          <w:marRight w:val="0"/>
          <w:marTop w:val="0"/>
          <w:marBottom w:val="0"/>
          <w:divBdr>
            <w:top w:val="none" w:sz="0" w:space="0" w:color="auto"/>
            <w:left w:val="none" w:sz="0" w:space="0" w:color="auto"/>
            <w:bottom w:val="none" w:sz="0" w:space="0" w:color="auto"/>
            <w:right w:val="none" w:sz="0" w:space="0" w:color="auto"/>
          </w:divBdr>
          <w:divsChild>
            <w:div w:id="825436530">
              <w:marLeft w:val="0"/>
              <w:marRight w:val="0"/>
              <w:marTop w:val="0"/>
              <w:marBottom w:val="0"/>
              <w:divBdr>
                <w:top w:val="none" w:sz="0" w:space="0" w:color="auto"/>
                <w:left w:val="none" w:sz="0" w:space="0" w:color="auto"/>
                <w:bottom w:val="none" w:sz="0" w:space="0" w:color="auto"/>
                <w:right w:val="none" w:sz="0" w:space="0" w:color="auto"/>
              </w:divBdr>
            </w:div>
          </w:divsChild>
        </w:div>
        <w:div w:id="580262245">
          <w:marLeft w:val="0"/>
          <w:marRight w:val="0"/>
          <w:marTop w:val="0"/>
          <w:marBottom w:val="0"/>
          <w:divBdr>
            <w:top w:val="none" w:sz="0" w:space="0" w:color="auto"/>
            <w:left w:val="none" w:sz="0" w:space="0" w:color="auto"/>
            <w:bottom w:val="none" w:sz="0" w:space="0" w:color="auto"/>
            <w:right w:val="none" w:sz="0" w:space="0" w:color="auto"/>
          </w:divBdr>
          <w:divsChild>
            <w:div w:id="466902077">
              <w:marLeft w:val="0"/>
              <w:marRight w:val="0"/>
              <w:marTop w:val="0"/>
              <w:marBottom w:val="0"/>
              <w:divBdr>
                <w:top w:val="none" w:sz="0" w:space="0" w:color="auto"/>
                <w:left w:val="none" w:sz="0" w:space="0" w:color="auto"/>
                <w:bottom w:val="none" w:sz="0" w:space="0" w:color="auto"/>
                <w:right w:val="none" w:sz="0" w:space="0" w:color="auto"/>
              </w:divBdr>
            </w:div>
          </w:divsChild>
        </w:div>
        <w:div w:id="664283650">
          <w:marLeft w:val="0"/>
          <w:marRight w:val="0"/>
          <w:marTop w:val="0"/>
          <w:marBottom w:val="0"/>
          <w:divBdr>
            <w:top w:val="none" w:sz="0" w:space="0" w:color="auto"/>
            <w:left w:val="none" w:sz="0" w:space="0" w:color="auto"/>
            <w:bottom w:val="none" w:sz="0" w:space="0" w:color="auto"/>
            <w:right w:val="none" w:sz="0" w:space="0" w:color="auto"/>
          </w:divBdr>
          <w:divsChild>
            <w:div w:id="748620565">
              <w:marLeft w:val="0"/>
              <w:marRight w:val="0"/>
              <w:marTop w:val="0"/>
              <w:marBottom w:val="0"/>
              <w:divBdr>
                <w:top w:val="none" w:sz="0" w:space="0" w:color="auto"/>
                <w:left w:val="none" w:sz="0" w:space="0" w:color="auto"/>
                <w:bottom w:val="none" w:sz="0" w:space="0" w:color="auto"/>
                <w:right w:val="none" w:sz="0" w:space="0" w:color="auto"/>
              </w:divBdr>
            </w:div>
          </w:divsChild>
        </w:div>
        <w:div w:id="828598897">
          <w:marLeft w:val="0"/>
          <w:marRight w:val="0"/>
          <w:marTop w:val="0"/>
          <w:marBottom w:val="0"/>
          <w:divBdr>
            <w:top w:val="none" w:sz="0" w:space="0" w:color="auto"/>
            <w:left w:val="none" w:sz="0" w:space="0" w:color="auto"/>
            <w:bottom w:val="none" w:sz="0" w:space="0" w:color="auto"/>
            <w:right w:val="none" w:sz="0" w:space="0" w:color="auto"/>
          </w:divBdr>
          <w:divsChild>
            <w:div w:id="129130270">
              <w:marLeft w:val="0"/>
              <w:marRight w:val="0"/>
              <w:marTop w:val="0"/>
              <w:marBottom w:val="0"/>
              <w:divBdr>
                <w:top w:val="none" w:sz="0" w:space="0" w:color="auto"/>
                <w:left w:val="none" w:sz="0" w:space="0" w:color="auto"/>
                <w:bottom w:val="none" w:sz="0" w:space="0" w:color="auto"/>
                <w:right w:val="none" w:sz="0" w:space="0" w:color="auto"/>
              </w:divBdr>
            </w:div>
          </w:divsChild>
        </w:div>
        <w:div w:id="1793744134">
          <w:marLeft w:val="0"/>
          <w:marRight w:val="0"/>
          <w:marTop w:val="0"/>
          <w:marBottom w:val="0"/>
          <w:divBdr>
            <w:top w:val="none" w:sz="0" w:space="0" w:color="auto"/>
            <w:left w:val="none" w:sz="0" w:space="0" w:color="auto"/>
            <w:bottom w:val="none" w:sz="0" w:space="0" w:color="auto"/>
            <w:right w:val="none" w:sz="0" w:space="0" w:color="auto"/>
          </w:divBdr>
          <w:divsChild>
            <w:div w:id="22283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085664">
      <w:bodyDiv w:val="1"/>
      <w:marLeft w:val="0"/>
      <w:marRight w:val="0"/>
      <w:marTop w:val="0"/>
      <w:marBottom w:val="0"/>
      <w:divBdr>
        <w:top w:val="none" w:sz="0" w:space="0" w:color="auto"/>
        <w:left w:val="none" w:sz="0" w:space="0" w:color="auto"/>
        <w:bottom w:val="none" w:sz="0" w:space="0" w:color="auto"/>
        <w:right w:val="none" w:sz="0" w:space="0" w:color="auto"/>
      </w:divBdr>
    </w:div>
    <w:div w:id="1335886102">
      <w:bodyDiv w:val="1"/>
      <w:marLeft w:val="0"/>
      <w:marRight w:val="0"/>
      <w:marTop w:val="0"/>
      <w:marBottom w:val="0"/>
      <w:divBdr>
        <w:top w:val="none" w:sz="0" w:space="0" w:color="auto"/>
        <w:left w:val="none" w:sz="0" w:space="0" w:color="auto"/>
        <w:bottom w:val="none" w:sz="0" w:space="0" w:color="auto"/>
        <w:right w:val="none" w:sz="0" w:space="0" w:color="auto"/>
      </w:divBdr>
      <w:divsChild>
        <w:div w:id="1536771402">
          <w:marLeft w:val="0"/>
          <w:marRight w:val="0"/>
          <w:marTop w:val="0"/>
          <w:marBottom w:val="0"/>
          <w:divBdr>
            <w:top w:val="none" w:sz="0" w:space="0" w:color="auto"/>
            <w:left w:val="none" w:sz="0" w:space="0" w:color="auto"/>
            <w:bottom w:val="none" w:sz="0" w:space="0" w:color="auto"/>
            <w:right w:val="none" w:sz="0" w:space="0" w:color="auto"/>
          </w:divBdr>
          <w:divsChild>
            <w:div w:id="166848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6216">
      <w:bodyDiv w:val="1"/>
      <w:marLeft w:val="0"/>
      <w:marRight w:val="0"/>
      <w:marTop w:val="0"/>
      <w:marBottom w:val="0"/>
      <w:divBdr>
        <w:top w:val="none" w:sz="0" w:space="0" w:color="auto"/>
        <w:left w:val="none" w:sz="0" w:space="0" w:color="auto"/>
        <w:bottom w:val="none" w:sz="0" w:space="0" w:color="auto"/>
        <w:right w:val="none" w:sz="0" w:space="0" w:color="auto"/>
      </w:divBdr>
      <w:divsChild>
        <w:div w:id="1498691546">
          <w:marLeft w:val="0"/>
          <w:marRight w:val="0"/>
          <w:marTop w:val="0"/>
          <w:marBottom w:val="0"/>
          <w:divBdr>
            <w:top w:val="none" w:sz="0" w:space="0" w:color="auto"/>
            <w:left w:val="none" w:sz="0" w:space="0" w:color="auto"/>
            <w:bottom w:val="none" w:sz="0" w:space="0" w:color="auto"/>
            <w:right w:val="none" w:sz="0" w:space="0" w:color="auto"/>
          </w:divBdr>
          <w:divsChild>
            <w:div w:id="58276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3185">
      <w:bodyDiv w:val="1"/>
      <w:marLeft w:val="0"/>
      <w:marRight w:val="0"/>
      <w:marTop w:val="0"/>
      <w:marBottom w:val="0"/>
      <w:divBdr>
        <w:top w:val="none" w:sz="0" w:space="0" w:color="auto"/>
        <w:left w:val="none" w:sz="0" w:space="0" w:color="auto"/>
        <w:bottom w:val="none" w:sz="0" w:space="0" w:color="auto"/>
        <w:right w:val="none" w:sz="0" w:space="0" w:color="auto"/>
      </w:divBdr>
    </w:div>
    <w:div w:id="1368874014">
      <w:bodyDiv w:val="1"/>
      <w:marLeft w:val="0"/>
      <w:marRight w:val="0"/>
      <w:marTop w:val="0"/>
      <w:marBottom w:val="0"/>
      <w:divBdr>
        <w:top w:val="none" w:sz="0" w:space="0" w:color="auto"/>
        <w:left w:val="none" w:sz="0" w:space="0" w:color="auto"/>
        <w:bottom w:val="none" w:sz="0" w:space="0" w:color="auto"/>
        <w:right w:val="none" w:sz="0" w:space="0" w:color="auto"/>
      </w:divBdr>
    </w:div>
    <w:div w:id="1410613128">
      <w:bodyDiv w:val="1"/>
      <w:marLeft w:val="0"/>
      <w:marRight w:val="0"/>
      <w:marTop w:val="0"/>
      <w:marBottom w:val="0"/>
      <w:divBdr>
        <w:top w:val="none" w:sz="0" w:space="0" w:color="auto"/>
        <w:left w:val="none" w:sz="0" w:space="0" w:color="auto"/>
        <w:bottom w:val="none" w:sz="0" w:space="0" w:color="auto"/>
        <w:right w:val="none" w:sz="0" w:space="0" w:color="auto"/>
      </w:divBdr>
      <w:divsChild>
        <w:div w:id="472410485">
          <w:marLeft w:val="0"/>
          <w:marRight w:val="0"/>
          <w:marTop w:val="0"/>
          <w:marBottom w:val="0"/>
          <w:divBdr>
            <w:top w:val="none" w:sz="0" w:space="0" w:color="auto"/>
            <w:left w:val="none" w:sz="0" w:space="0" w:color="auto"/>
            <w:bottom w:val="none" w:sz="0" w:space="0" w:color="auto"/>
            <w:right w:val="none" w:sz="0" w:space="0" w:color="auto"/>
          </w:divBdr>
          <w:divsChild>
            <w:div w:id="976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10295">
      <w:bodyDiv w:val="1"/>
      <w:marLeft w:val="0"/>
      <w:marRight w:val="0"/>
      <w:marTop w:val="0"/>
      <w:marBottom w:val="0"/>
      <w:divBdr>
        <w:top w:val="none" w:sz="0" w:space="0" w:color="auto"/>
        <w:left w:val="none" w:sz="0" w:space="0" w:color="auto"/>
        <w:bottom w:val="none" w:sz="0" w:space="0" w:color="auto"/>
        <w:right w:val="none" w:sz="0" w:space="0" w:color="auto"/>
      </w:divBdr>
    </w:div>
    <w:div w:id="1461264291">
      <w:bodyDiv w:val="1"/>
      <w:marLeft w:val="0"/>
      <w:marRight w:val="0"/>
      <w:marTop w:val="0"/>
      <w:marBottom w:val="0"/>
      <w:divBdr>
        <w:top w:val="none" w:sz="0" w:space="0" w:color="auto"/>
        <w:left w:val="none" w:sz="0" w:space="0" w:color="auto"/>
        <w:bottom w:val="none" w:sz="0" w:space="0" w:color="auto"/>
        <w:right w:val="none" w:sz="0" w:space="0" w:color="auto"/>
      </w:divBdr>
      <w:divsChild>
        <w:div w:id="795373288">
          <w:marLeft w:val="0"/>
          <w:marRight w:val="0"/>
          <w:marTop w:val="0"/>
          <w:marBottom w:val="0"/>
          <w:divBdr>
            <w:top w:val="none" w:sz="0" w:space="0" w:color="auto"/>
            <w:left w:val="none" w:sz="0" w:space="0" w:color="auto"/>
            <w:bottom w:val="none" w:sz="0" w:space="0" w:color="auto"/>
            <w:right w:val="none" w:sz="0" w:space="0" w:color="auto"/>
          </w:divBdr>
          <w:divsChild>
            <w:div w:id="189222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25057">
      <w:bodyDiv w:val="1"/>
      <w:marLeft w:val="0"/>
      <w:marRight w:val="0"/>
      <w:marTop w:val="0"/>
      <w:marBottom w:val="0"/>
      <w:divBdr>
        <w:top w:val="none" w:sz="0" w:space="0" w:color="auto"/>
        <w:left w:val="none" w:sz="0" w:space="0" w:color="auto"/>
        <w:bottom w:val="none" w:sz="0" w:space="0" w:color="auto"/>
        <w:right w:val="none" w:sz="0" w:space="0" w:color="auto"/>
      </w:divBdr>
    </w:div>
    <w:div w:id="1506746565">
      <w:bodyDiv w:val="1"/>
      <w:marLeft w:val="0"/>
      <w:marRight w:val="0"/>
      <w:marTop w:val="0"/>
      <w:marBottom w:val="0"/>
      <w:divBdr>
        <w:top w:val="none" w:sz="0" w:space="0" w:color="auto"/>
        <w:left w:val="none" w:sz="0" w:space="0" w:color="auto"/>
        <w:bottom w:val="none" w:sz="0" w:space="0" w:color="auto"/>
        <w:right w:val="none" w:sz="0" w:space="0" w:color="auto"/>
      </w:divBdr>
      <w:divsChild>
        <w:div w:id="1433010522">
          <w:marLeft w:val="0"/>
          <w:marRight w:val="0"/>
          <w:marTop w:val="0"/>
          <w:marBottom w:val="0"/>
          <w:divBdr>
            <w:top w:val="none" w:sz="0" w:space="0" w:color="auto"/>
            <w:left w:val="none" w:sz="0" w:space="0" w:color="auto"/>
            <w:bottom w:val="none" w:sz="0" w:space="0" w:color="auto"/>
            <w:right w:val="none" w:sz="0" w:space="0" w:color="auto"/>
          </w:divBdr>
          <w:divsChild>
            <w:div w:id="106845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08880">
      <w:bodyDiv w:val="1"/>
      <w:marLeft w:val="0"/>
      <w:marRight w:val="0"/>
      <w:marTop w:val="0"/>
      <w:marBottom w:val="0"/>
      <w:divBdr>
        <w:top w:val="none" w:sz="0" w:space="0" w:color="auto"/>
        <w:left w:val="none" w:sz="0" w:space="0" w:color="auto"/>
        <w:bottom w:val="none" w:sz="0" w:space="0" w:color="auto"/>
        <w:right w:val="none" w:sz="0" w:space="0" w:color="auto"/>
      </w:divBdr>
      <w:divsChild>
        <w:div w:id="1587304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95128">
      <w:bodyDiv w:val="1"/>
      <w:marLeft w:val="0"/>
      <w:marRight w:val="0"/>
      <w:marTop w:val="0"/>
      <w:marBottom w:val="0"/>
      <w:divBdr>
        <w:top w:val="none" w:sz="0" w:space="0" w:color="auto"/>
        <w:left w:val="none" w:sz="0" w:space="0" w:color="auto"/>
        <w:bottom w:val="none" w:sz="0" w:space="0" w:color="auto"/>
        <w:right w:val="none" w:sz="0" w:space="0" w:color="auto"/>
      </w:divBdr>
      <w:divsChild>
        <w:div w:id="63913183">
          <w:marLeft w:val="0"/>
          <w:marRight w:val="0"/>
          <w:marTop w:val="0"/>
          <w:marBottom w:val="0"/>
          <w:divBdr>
            <w:top w:val="none" w:sz="0" w:space="0" w:color="auto"/>
            <w:left w:val="none" w:sz="0" w:space="0" w:color="auto"/>
            <w:bottom w:val="none" w:sz="0" w:space="0" w:color="auto"/>
            <w:right w:val="none" w:sz="0" w:space="0" w:color="auto"/>
          </w:divBdr>
          <w:divsChild>
            <w:div w:id="8216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65497">
      <w:bodyDiv w:val="1"/>
      <w:marLeft w:val="0"/>
      <w:marRight w:val="0"/>
      <w:marTop w:val="0"/>
      <w:marBottom w:val="0"/>
      <w:divBdr>
        <w:top w:val="none" w:sz="0" w:space="0" w:color="auto"/>
        <w:left w:val="none" w:sz="0" w:space="0" w:color="auto"/>
        <w:bottom w:val="none" w:sz="0" w:space="0" w:color="auto"/>
        <w:right w:val="none" w:sz="0" w:space="0" w:color="auto"/>
      </w:divBdr>
    </w:div>
    <w:div w:id="1559826284">
      <w:bodyDiv w:val="1"/>
      <w:marLeft w:val="0"/>
      <w:marRight w:val="0"/>
      <w:marTop w:val="0"/>
      <w:marBottom w:val="0"/>
      <w:divBdr>
        <w:top w:val="none" w:sz="0" w:space="0" w:color="auto"/>
        <w:left w:val="none" w:sz="0" w:space="0" w:color="auto"/>
        <w:bottom w:val="none" w:sz="0" w:space="0" w:color="auto"/>
        <w:right w:val="none" w:sz="0" w:space="0" w:color="auto"/>
      </w:divBdr>
      <w:divsChild>
        <w:div w:id="542711224">
          <w:marLeft w:val="0"/>
          <w:marRight w:val="0"/>
          <w:marTop w:val="0"/>
          <w:marBottom w:val="0"/>
          <w:divBdr>
            <w:top w:val="none" w:sz="0" w:space="0" w:color="auto"/>
            <w:left w:val="none" w:sz="0" w:space="0" w:color="auto"/>
            <w:bottom w:val="none" w:sz="0" w:space="0" w:color="auto"/>
            <w:right w:val="none" w:sz="0" w:space="0" w:color="auto"/>
          </w:divBdr>
          <w:divsChild>
            <w:div w:id="946500603">
              <w:marLeft w:val="0"/>
              <w:marRight w:val="0"/>
              <w:marTop w:val="0"/>
              <w:marBottom w:val="0"/>
              <w:divBdr>
                <w:top w:val="none" w:sz="0" w:space="0" w:color="auto"/>
                <w:left w:val="none" w:sz="0" w:space="0" w:color="auto"/>
                <w:bottom w:val="none" w:sz="0" w:space="0" w:color="auto"/>
                <w:right w:val="none" w:sz="0" w:space="0" w:color="auto"/>
              </w:divBdr>
            </w:div>
          </w:divsChild>
        </w:div>
        <w:div w:id="735860839">
          <w:marLeft w:val="0"/>
          <w:marRight w:val="0"/>
          <w:marTop w:val="0"/>
          <w:marBottom w:val="0"/>
          <w:divBdr>
            <w:top w:val="none" w:sz="0" w:space="0" w:color="auto"/>
            <w:left w:val="none" w:sz="0" w:space="0" w:color="auto"/>
            <w:bottom w:val="none" w:sz="0" w:space="0" w:color="auto"/>
            <w:right w:val="none" w:sz="0" w:space="0" w:color="auto"/>
          </w:divBdr>
          <w:divsChild>
            <w:div w:id="757866489">
              <w:marLeft w:val="0"/>
              <w:marRight w:val="0"/>
              <w:marTop w:val="0"/>
              <w:marBottom w:val="0"/>
              <w:divBdr>
                <w:top w:val="none" w:sz="0" w:space="0" w:color="auto"/>
                <w:left w:val="none" w:sz="0" w:space="0" w:color="auto"/>
                <w:bottom w:val="none" w:sz="0" w:space="0" w:color="auto"/>
                <w:right w:val="none" w:sz="0" w:space="0" w:color="auto"/>
              </w:divBdr>
            </w:div>
          </w:divsChild>
        </w:div>
        <w:div w:id="1989506566">
          <w:marLeft w:val="0"/>
          <w:marRight w:val="0"/>
          <w:marTop w:val="0"/>
          <w:marBottom w:val="0"/>
          <w:divBdr>
            <w:top w:val="none" w:sz="0" w:space="0" w:color="auto"/>
            <w:left w:val="none" w:sz="0" w:space="0" w:color="auto"/>
            <w:bottom w:val="none" w:sz="0" w:space="0" w:color="auto"/>
            <w:right w:val="none" w:sz="0" w:space="0" w:color="auto"/>
          </w:divBdr>
          <w:divsChild>
            <w:div w:id="202863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56519">
      <w:bodyDiv w:val="1"/>
      <w:marLeft w:val="0"/>
      <w:marRight w:val="0"/>
      <w:marTop w:val="0"/>
      <w:marBottom w:val="0"/>
      <w:divBdr>
        <w:top w:val="none" w:sz="0" w:space="0" w:color="auto"/>
        <w:left w:val="none" w:sz="0" w:space="0" w:color="auto"/>
        <w:bottom w:val="none" w:sz="0" w:space="0" w:color="auto"/>
        <w:right w:val="none" w:sz="0" w:space="0" w:color="auto"/>
      </w:divBdr>
      <w:divsChild>
        <w:div w:id="683868870">
          <w:marLeft w:val="0"/>
          <w:marRight w:val="0"/>
          <w:marTop w:val="0"/>
          <w:marBottom w:val="0"/>
          <w:divBdr>
            <w:top w:val="none" w:sz="0" w:space="0" w:color="auto"/>
            <w:left w:val="none" w:sz="0" w:space="0" w:color="auto"/>
            <w:bottom w:val="none" w:sz="0" w:space="0" w:color="auto"/>
            <w:right w:val="none" w:sz="0" w:space="0" w:color="auto"/>
          </w:divBdr>
          <w:divsChild>
            <w:div w:id="63995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41176">
      <w:bodyDiv w:val="1"/>
      <w:marLeft w:val="0"/>
      <w:marRight w:val="0"/>
      <w:marTop w:val="0"/>
      <w:marBottom w:val="0"/>
      <w:divBdr>
        <w:top w:val="none" w:sz="0" w:space="0" w:color="auto"/>
        <w:left w:val="none" w:sz="0" w:space="0" w:color="auto"/>
        <w:bottom w:val="none" w:sz="0" w:space="0" w:color="auto"/>
        <w:right w:val="none" w:sz="0" w:space="0" w:color="auto"/>
      </w:divBdr>
    </w:div>
    <w:div w:id="1636565367">
      <w:bodyDiv w:val="1"/>
      <w:marLeft w:val="0"/>
      <w:marRight w:val="0"/>
      <w:marTop w:val="0"/>
      <w:marBottom w:val="0"/>
      <w:divBdr>
        <w:top w:val="none" w:sz="0" w:space="0" w:color="auto"/>
        <w:left w:val="none" w:sz="0" w:space="0" w:color="auto"/>
        <w:bottom w:val="none" w:sz="0" w:space="0" w:color="auto"/>
        <w:right w:val="none" w:sz="0" w:space="0" w:color="auto"/>
      </w:divBdr>
      <w:divsChild>
        <w:div w:id="909463163">
          <w:marLeft w:val="0"/>
          <w:marRight w:val="0"/>
          <w:marTop w:val="0"/>
          <w:marBottom w:val="0"/>
          <w:divBdr>
            <w:top w:val="none" w:sz="0" w:space="0" w:color="auto"/>
            <w:left w:val="none" w:sz="0" w:space="0" w:color="auto"/>
            <w:bottom w:val="none" w:sz="0" w:space="0" w:color="auto"/>
            <w:right w:val="none" w:sz="0" w:space="0" w:color="auto"/>
          </w:divBdr>
          <w:divsChild>
            <w:div w:id="10954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496422">
      <w:bodyDiv w:val="1"/>
      <w:marLeft w:val="0"/>
      <w:marRight w:val="0"/>
      <w:marTop w:val="0"/>
      <w:marBottom w:val="0"/>
      <w:divBdr>
        <w:top w:val="none" w:sz="0" w:space="0" w:color="auto"/>
        <w:left w:val="none" w:sz="0" w:space="0" w:color="auto"/>
        <w:bottom w:val="none" w:sz="0" w:space="0" w:color="auto"/>
        <w:right w:val="none" w:sz="0" w:space="0" w:color="auto"/>
      </w:divBdr>
      <w:divsChild>
        <w:div w:id="264002032">
          <w:marLeft w:val="0"/>
          <w:marRight w:val="0"/>
          <w:marTop w:val="0"/>
          <w:marBottom w:val="0"/>
          <w:divBdr>
            <w:top w:val="none" w:sz="0" w:space="0" w:color="auto"/>
            <w:left w:val="none" w:sz="0" w:space="0" w:color="auto"/>
            <w:bottom w:val="none" w:sz="0" w:space="0" w:color="auto"/>
            <w:right w:val="none" w:sz="0" w:space="0" w:color="auto"/>
          </w:divBdr>
          <w:divsChild>
            <w:div w:id="92334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2796">
      <w:bodyDiv w:val="1"/>
      <w:marLeft w:val="0"/>
      <w:marRight w:val="0"/>
      <w:marTop w:val="0"/>
      <w:marBottom w:val="0"/>
      <w:divBdr>
        <w:top w:val="none" w:sz="0" w:space="0" w:color="auto"/>
        <w:left w:val="none" w:sz="0" w:space="0" w:color="auto"/>
        <w:bottom w:val="none" w:sz="0" w:space="0" w:color="auto"/>
        <w:right w:val="none" w:sz="0" w:space="0" w:color="auto"/>
      </w:divBdr>
    </w:div>
    <w:div w:id="1666322784">
      <w:bodyDiv w:val="1"/>
      <w:marLeft w:val="0"/>
      <w:marRight w:val="0"/>
      <w:marTop w:val="0"/>
      <w:marBottom w:val="0"/>
      <w:divBdr>
        <w:top w:val="none" w:sz="0" w:space="0" w:color="auto"/>
        <w:left w:val="none" w:sz="0" w:space="0" w:color="auto"/>
        <w:bottom w:val="none" w:sz="0" w:space="0" w:color="auto"/>
        <w:right w:val="none" w:sz="0" w:space="0" w:color="auto"/>
      </w:divBdr>
    </w:div>
    <w:div w:id="1696928967">
      <w:bodyDiv w:val="1"/>
      <w:marLeft w:val="0"/>
      <w:marRight w:val="0"/>
      <w:marTop w:val="0"/>
      <w:marBottom w:val="0"/>
      <w:divBdr>
        <w:top w:val="none" w:sz="0" w:space="0" w:color="auto"/>
        <w:left w:val="none" w:sz="0" w:space="0" w:color="auto"/>
        <w:bottom w:val="none" w:sz="0" w:space="0" w:color="auto"/>
        <w:right w:val="none" w:sz="0" w:space="0" w:color="auto"/>
      </w:divBdr>
      <w:divsChild>
        <w:div w:id="1296790264">
          <w:marLeft w:val="0"/>
          <w:marRight w:val="0"/>
          <w:marTop w:val="0"/>
          <w:marBottom w:val="0"/>
          <w:divBdr>
            <w:top w:val="none" w:sz="0" w:space="0" w:color="auto"/>
            <w:left w:val="none" w:sz="0" w:space="0" w:color="auto"/>
            <w:bottom w:val="none" w:sz="0" w:space="0" w:color="auto"/>
            <w:right w:val="none" w:sz="0" w:space="0" w:color="auto"/>
          </w:divBdr>
          <w:divsChild>
            <w:div w:id="84975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14241">
      <w:bodyDiv w:val="1"/>
      <w:marLeft w:val="0"/>
      <w:marRight w:val="0"/>
      <w:marTop w:val="0"/>
      <w:marBottom w:val="0"/>
      <w:divBdr>
        <w:top w:val="none" w:sz="0" w:space="0" w:color="auto"/>
        <w:left w:val="none" w:sz="0" w:space="0" w:color="auto"/>
        <w:bottom w:val="none" w:sz="0" w:space="0" w:color="auto"/>
        <w:right w:val="none" w:sz="0" w:space="0" w:color="auto"/>
      </w:divBdr>
      <w:divsChild>
        <w:div w:id="45228430">
          <w:marLeft w:val="0"/>
          <w:marRight w:val="0"/>
          <w:marTop w:val="0"/>
          <w:marBottom w:val="0"/>
          <w:divBdr>
            <w:top w:val="none" w:sz="0" w:space="0" w:color="auto"/>
            <w:left w:val="none" w:sz="0" w:space="0" w:color="auto"/>
            <w:bottom w:val="none" w:sz="0" w:space="0" w:color="auto"/>
            <w:right w:val="none" w:sz="0" w:space="0" w:color="auto"/>
          </w:divBdr>
          <w:divsChild>
            <w:div w:id="366030040">
              <w:marLeft w:val="0"/>
              <w:marRight w:val="0"/>
              <w:marTop w:val="0"/>
              <w:marBottom w:val="0"/>
              <w:divBdr>
                <w:top w:val="none" w:sz="0" w:space="0" w:color="auto"/>
                <w:left w:val="none" w:sz="0" w:space="0" w:color="auto"/>
                <w:bottom w:val="none" w:sz="0" w:space="0" w:color="auto"/>
                <w:right w:val="none" w:sz="0" w:space="0" w:color="auto"/>
              </w:divBdr>
              <w:divsChild>
                <w:div w:id="1908883965">
                  <w:marLeft w:val="0"/>
                  <w:marRight w:val="0"/>
                  <w:marTop w:val="0"/>
                  <w:marBottom w:val="0"/>
                  <w:divBdr>
                    <w:top w:val="none" w:sz="0" w:space="0" w:color="auto"/>
                    <w:left w:val="none" w:sz="0" w:space="0" w:color="auto"/>
                    <w:bottom w:val="none" w:sz="0" w:space="0" w:color="auto"/>
                    <w:right w:val="none" w:sz="0" w:space="0" w:color="auto"/>
                  </w:divBdr>
                  <w:divsChild>
                    <w:div w:id="1096945858">
                      <w:marLeft w:val="0"/>
                      <w:marRight w:val="0"/>
                      <w:marTop w:val="0"/>
                      <w:marBottom w:val="0"/>
                      <w:divBdr>
                        <w:top w:val="none" w:sz="0" w:space="0" w:color="auto"/>
                        <w:left w:val="none" w:sz="0" w:space="0" w:color="auto"/>
                        <w:bottom w:val="none" w:sz="0" w:space="0" w:color="auto"/>
                        <w:right w:val="none" w:sz="0" w:space="0" w:color="auto"/>
                      </w:divBdr>
                      <w:divsChild>
                        <w:div w:id="1164979525">
                          <w:marLeft w:val="0"/>
                          <w:marRight w:val="0"/>
                          <w:marTop w:val="0"/>
                          <w:marBottom w:val="0"/>
                          <w:divBdr>
                            <w:top w:val="none" w:sz="0" w:space="0" w:color="auto"/>
                            <w:left w:val="none" w:sz="0" w:space="0" w:color="auto"/>
                            <w:bottom w:val="none" w:sz="0" w:space="0" w:color="auto"/>
                            <w:right w:val="none" w:sz="0" w:space="0" w:color="auto"/>
                          </w:divBdr>
                          <w:divsChild>
                            <w:div w:id="1984652000">
                              <w:marLeft w:val="0"/>
                              <w:marRight w:val="0"/>
                              <w:marTop w:val="0"/>
                              <w:marBottom w:val="0"/>
                              <w:divBdr>
                                <w:top w:val="none" w:sz="0" w:space="0" w:color="auto"/>
                                <w:left w:val="none" w:sz="0" w:space="0" w:color="auto"/>
                                <w:bottom w:val="none" w:sz="0" w:space="0" w:color="auto"/>
                                <w:right w:val="none" w:sz="0" w:space="0" w:color="auto"/>
                              </w:divBdr>
                              <w:divsChild>
                                <w:div w:id="1683630202">
                                  <w:marLeft w:val="0"/>
                                  <w:marRight w:val="0"/>
                                  <w:marTop w:val="0"/>
                                  <w:marBottom w:val="0"/>
                                  <w:divBdr>
                                    <w:top w:val="none" w:sz="0" w:space="0" w:color="auto"/>
                                    <w:left w:val="none" w:sz="0" w:space="0" w:color="auto"/>
                                    <w:bottom w:val="none" w:sz="0" w:space="0" w:color="auto"/>
                                    <w:right w:val="none" w:sz="0" w:space="0" w:color="auto"/>
                                  </w:divBdr>
                                  <w:divsChild>
                                    <w:div w:id="20853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5458182">
          <w:marLeft w:val="0"/>
          <w:marRight w:val="0"/>
          <w:marTop w:val="0"/>
          <w:marBottom w:val="0"/>
          <w:divBdr>
            <w:top w:val="none" w:sz="0" w:space="0" w:color="auto"/>
            <w:left w:val="none" w:sz="0" w:space="0" w:color="auto"/>
            <w:bottom w:val="none" w:sz="0" w:space="0" w:color="auto"/>
            <w:right w:val="none" w:sz="0" w:space="0" w:color="auto"/>
          </w:divBdr>
          <w:divsChild>
            <w:div w:id="925460511">
              <w:marLeft w:val="0"/>
              <w:marRight w:val="0"/>
              <w:marTop w:val="0"/>
              <w:marBottom w:val="0"/>
              <w:divBdr>
                <w:top w:val="none" w:sz="0" w:space="0" w:color="auto"/>
                <w:left w:val="none" w:sz="0" w:space="0" w:color="auto"/>
                <w:bottom w:val="none" w:sz="0" w:space="0" w:color="auto"/>
                <w:right w:val="none" w:sz="0" w:space="0" w:color="auto"/>
              </w:divBdr>
              <w:divsChild>
                <w:div w:id="634913260">
                  <w:marLeft w:val="0"/>
                  <w:marRight w:val="0"/>
                  <w:marTop w:val="0"/>
                  <w:marBottom w:val="0"/>
                  <w:divBdr>
                    <w:top w:val="none" w:sz="0" w:space="0" w:color="auto"/>
                    <w:left w:val="none" w:sz="0" w:space="0" w:color="auto"/>
                    <w:bottom w:val="none" w:sz="0" w:space="0" w:color="auto"/>
                    <w:right w:val="none" w:sz="0" w:space="0" w:color="auto"/>
                  </w:divBdr>
                  <w:divsChild>
                    <w:div w:id="2020692315">
                      <w:marLeft w:val="0"/>
                      <w:marRight w:val="0"/>
                      <w:marTop w:val="0"/>
                      <w:marBottom w:val="0"/>
                      <w:divBdr>
                        <w:top w:val="none" w:sz="0" w:space="0" w:color="auto"/>
                        <w:left w:val="none" w:sz="0" w:space="0" w:color="auto"/>
                        <w:bottom w:val="none" w:sz="0" w:space="0" w:color="auto"/>
                        <w:right w:val="none" w:sz="0" w:space="0" w:color="auto"/>
                      </w:divBdr>
                      <w:divsChild>
                        <w:div w:id="1983843712">
                          <w:marLeft w:val="0"/>
                          <w:marRight w:val="0"/>
                          <w:marTop w:val="0"/>
                          <w:marBottom w:val="0"/>
                          <w:divBdr>
                            <w:top w:val="none" w:sz="0" w:space="0" w:color="auto"/>
                            <w:left w:val="none" w:sz="0" w:space="0" w:color="auto"/>
                            <w:bottom w:val="none" w:sz="0" w:space="0" w:color="auto"/>
                            <w:right w:val="none" w:sz="0" w:space="0" w:color="auto"/>
                          </w:divBdr>
                          <w:divsChild>
                            <w:div w:id="753670572">
                              <w:marLeft w:val="0"/>
                              <w:marRight w:val="0"/>
                              <w:marTop w:val="0"/>
                              <w:marBottom w:val="0"/>
                              <w:divBdr>
                                <w:top w:val="none" w:sz="0" w:space="0" w:color="auto"/>
                                <w:left w:val="none" w:sz="0" w:space="0" w:color="auto"/>
                                <w:bottom w:val="none" w:sz="0" w:space="0" w:color="auto"/>
                                <w:right w:val="none" w:sz="0" w:space="0" w:color="auto"/>
                              </w:divBdr>
                              <w:divsChild>
                                <w:div w:id="220334832">
                                  <w:marLeft w:val="0"/>
                                  <w:marRight w:val="0"/>
                                  <w:marTop w:val="0"/>
                                  <w:marBottom w:val="0"/>
                                  <w:divBdr>
                                    <w:top w:val="none" w:sz="0" w:space="0" w:color="auto"/>
                                    <w:left w:val="none" w:sz="0" w:space="0" w:color="auto"/>
                                    <w:bottom w:val="none" w:sz="0" w:space="0" w:color="auto"/>
                                    <w:right w:val="none" w:sz="0" w:space="0" w:color="auto"/>
                                  </w:divBdr>
                                  <w:divsChild>
                                    <w:div w:id="1998534073">
                                      <w:marLeft w:val="0"/>
                                      <w:marRight w:val="0"/>
                                      <w:marTop w:val="0"/>
                                      <w:marBottom w:val="0"/>
                                      <w:divBdr>
                                        <w:top w:val="none" w:sz="0" w:space="0" w:color="auto"/>
                                        <w:left w:val="none" w:sz="0" w:space="0" w:color="auto"/>
                                        <w:bottom w:val="none" w:sz="0" w:space="0" w:color="auto"/>
                                        <w:right w:val="none" w:sz="0" w:space="0" w:color="auto"/>
                                      </w:divBdr>
                                      <w:divsChild>
                                        <w:div w:id="246960135">
                                          <w:marLeft w:val="0"/>
                                          <w:marRight w:val="0"/>
                                          <w:marTop w:val="0"/>
                                          <w:marBottom w:val="0"/>
                                          <w:divBdr>
                                            <w:top w:val="none" w:sz="0" w:space="0" w:color="auto"/>
                                            <w:left w:val="none" w:sz="0" w:space="0" w:color="auto"/>
                                            <w:bottom w:val="none" w:sz="0" w:space="0" w:color="auto"/>
                                            <w:right w:val="none" w:sz="0" w:space="0" w:color="auto"/>
                                          </w:divBdr>
                                          <w:divsChild>
                                            <w:div w:id="864178042">
                                              <w:marLeft w:val="0"/>
                                              <w:marRight w:val="0"/>
                                              <w:marTop w:val="0"/>
                                              <w:marBottom w:val="0"/>
                                              <w:divBdr>
                                                <w:top w:val="none" w:sz="0" w:space="0" w:color="auto"/>
                                                <w:left w:val="none" w:sz="0" w:space="0" w:color="auto"/>
                                                <w:bottom w:val="none" w:sz="0" w:space="0" w:color="auto"/>
                                                <w:right w:val="none" w:sz="0" w:space="0" w:color="auto"/>
                                              </w:divBdr>
                                            </w:div>
                                          </w:divsChild>
                                        </w:div>
                                        <w:div w:id="548956627">
                                          <w:marLeft w:val="0"/>
                                          <w:marRight w:val="0"/>
                                          <w:marTop w:val="0"/>
                                          <w:marBottom w:val="0"/>
                                          <w:divBdr>
                                            <w:top w:val="none" w:sz="0" w:space="0" w:color="auto"/>
                                            <w:left w:val="none" w:sz="0" w:space="0" w:color="auto"/>
                                            <w:bottom w:val="none" w:sz="0" w:space="0" w:color="auto"/>
                                            <w:right w:val="none" w:sz="0" w:space="0" w:color="auto"/>
                                          </w:divBdr>
                                          <w:divsChild>
                                            <w:div w:id="146943420">
                                              <w:marLeft w:val="0"/>
                                              <w:marRight w:val="0"/>
                                              <w:marTop w:val="0"/>
                                              <w:marBottom w:val="0"/>
                                              <w:divBdr>
                                                <w:top w:val="none" w:sz="0" w:space="0" w:color="auto"/>
                                                <w:left w:val="none" w:sz="0" w:space="0" w:color="auto"/>
                                                <w:bottom w:val="none" w:sz="0" w:space="0" w:color="auto"/>
                                                <w:right w:val="none" w:sz="0" w:space="0" w:color="auto"/>
                                              </w:divBdr>
                                            </w:div>
                                          </w:divsChild>
                                        </w:div>
                                        <w:div w:id="989401419">
                                          <w:marLeft w:val="0"/>
                                          <w:marRight w:val="0"/>
                                          <w:marTop w:val="0"/>
                                          <w:marBottom w:val="0"/>
                                          <w:divBdr>
                                            <w:top w:val="none" w:sz="0" w:space="0" w:color="auto"/>
                                            <w:left w:val="none" w:sz="0" w:space="0" w:color="auto"/>
                                            <w:bottom w:val="none" w:sz="0" w:space="0" w:color="auto"/>
                                            <w:right w:val="none" w:sz="0" w:space="0" w:color="auto"/>
                                          </w:divBdr>
                                          <w:divsChild>
                                            <w:div w:id="699553703">
                                              <w:marLeft w:val="0"/>
                                              <w:marRight w:val="0"/>
                                              <w:marTop w:val="0"/>
                                              <w:marBottom w:val="0"/>
                                              <w:divBdr>
                                                <w:top w:val="none" w:sz="0" w:space="0" w:color="auto"/>
                                                <w:left w:val="none" w:sz="0" w:space="0" w:color="auto"/>
                                                <w:bottom w:val="none" w:sz="0" w:space="0" w:color="auto"/>
                                                <w:right w:val="none" w:sz="0" w:space="0" w:color="auto"/>
                                              </w:divBdr>
                                            </w:div>
                                          </w:divsChild>
                                        </w:div>
                                        <w:div w:id="1324894741">
                                          <w:marLeft w:val="0"/>
                                          <w:marRight w:val="0"/>
                                          <w:marTop w:val="0"/>
                                          <w:marBottom w:val="0"/>
                                          <w:divBdr>
                                            <w:top w:val="none" w:sz="0" w:space="0" w:color="auto"/>
                                            <w:left w:val="none" w:sz="0" w:space="0" w:color="auto"/>
                                            <w:bottom w:val="none" w:sz="0" w:space="0" w:color="auto"/>
                                            <w:right w:val="none" w:sz="0" w:space="0" w:color="auto"/>
                                          </w:divBdr>
                                          <w:divsChild>
                                            <w:div w:id="15943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8947252">
          <w:marLeft w:val="0"/>
          <w:marRight w:val="0"/>
          <w:marTop w:val="0"/>
          <w:marBottom w:val="0"/>
          <w:divBdr>
            <w:top w:val="none" w:sz="0" w:space="0" w:color="auto"/>
            <w:left w:val="none" w:sz="0" w:space="0" w:color="auto"/>
            <w:bottom w:val="none" w:sz="0" w:space="0" w:color="auto"/>
            <w:right w:val="none" w:sz="0" w:space="0" w:color="auto"/>
          </w:divBdr>
          <w:divsChild>
            <w:div w:id="1909532550">
              <w:marLeft w:val="0"/>
              <w:marRight w:val="0"/>
              <w:marTop w:val="0"/>
              <w:marBottom w:val="0"/>
              <w:divBdr>
                <w:top w:val="none" w:sz="0" w:space="0" w:color="auto"/>
                <w:left w:val="none" w:sz="0" w:space="0" w:color="auto"/>
                <w:bottom w:val="none" w:sz="0" w:space="0" w:color="auto"/>
                <w:right w:val="none" w:sz="0" w:space="0" w:color="auto"/>
              </w:divBdr>
              <w:divsChild>
                <w:div w:id="864950066">
                  <w:marLeft w:val="0"/>
                  <w:marRight w:val="0"/>
                  <w:marTop w:val="0"/>
                  <w:marBottom w:val="0"/>
                  <w:divBdr>
                    <w:top w:val="none" w:sz="0" w:space="0" w:color="auto"/>
                    <w:left w:val="none" w:sz="0" w:space="0" w:color="auto"/>
                    <w:bottom w:val="none" w:sz="0" w:space="0" w:color="auto"/>
                    <w:right w:val="none" w:sz="0" w:space="0" w:color="auto"/>
                  </w:divBdr>
                  <w:divsChild>
                    <w:div w:id="1195539769">
                      <w:marLeft w:val="0"/>
                      <w:marRight w:val="0"/>
                      <w:marTop w:val="0"/>
                      <w:marBottom w:val="0"/>
                      <w:divBdr>
                        <w:top w:val="none" w:sz="0" w:space="0" w:color="auto"/>
                        <w:left w:val="none" w:sz="0" w:space="0" w:color="auto"/>
                        <w:bottom w:val="none" w:sz="0" w:space="0" w:color="auto"/>
                        <w:right w:val="none" w:sz="0" w:space="0" w:color="auto"/>
                      </w:divBdr>
                      <w:divsChild>
                        <w:div w:id="1312098960">
                          <w:marLeft w:val="0"/>
                          <w:marRight w:val="0"/>
                          <w:marTop w:val="0"/>
                          <w:marBottom w:val="0"/>
                          <w:divBdr>
                            <w:top w:val="none" w:sz="0" w:space="0" w:color="auto"/>
                            <w:left w:val="none" w:sz="0" w:space="0" w:color="auto"/>
                            <w:bottom w:val="none" w:sz="0" w:space="0" w:color="auto"/>
                            <w:right w:val="none" w:sz="0" w:space="0" w:color="auto"/>
                          </w:divBdr>
                          <w:divsChild>
                            <w:div w:id="1952587853">
                              <w:marLeft w:val="0"/>
                              <w:marRight w:val="0"/>
                              <w:marTop w:val="0"/>
                              <w:marBottom w:val="0"/>
                              <w:divBdr>
                                <w:top w:val="none" w:sz="0" w:space="0" w:color="auto"/>
                                <w:left w:val="none" w:sz="0" w:space="0" w:color="auto"/>
                                <w:bottom w:val="none" w:sz="0" w:space="0" w:color="auto"/>
                                <w:right w:val="none" w:sz="0" w:space="0" w:color="auto"/>
                              </w:divBdr>
                              <w:divsChild>
                                <w:div w:id="1362710290">
                                  <w:marLeft w:val="0"/>
                                  <w:marRight w:val="0"/>
                                  <w:marTop w:val="0"/>
                                  <w:marBottom w:val="0"/>
                                  <w:divBdr>
                                    <w:top w:val="none" w:sz="0" w:space="0" w:color="auto"/>
                                    <w:left w:val="none" w:sz="0" w:space="0" w:color="auto"/>
                                    <w:bottom w:val="none" w:sz="0" w:space="0" w:color="auto"/>
                                    <w:right w:val="none" w:sz="0" w:space="0" w:color="auto"/>
                                  </w:divBdr>
                                  <w:divsChild>
                                    <w:div w:id="1082799280">
                                      <w:marLeft w:val="0"/>
                                      <w:marRight w:val="0"/>
                                      <w:marTop w:val="0"/>
                                      <w:marBottom w:val="0"/>
                                      <w:divBdr>
                                        <w:top w:val="none" w:sz="0" w:space="0" w:color="auto"/>
                                        <w:left w:val="none" w:sz="0" w:space="0" w:color="auto"/>
                                        <w:bottom w:val="none" w:sz="0" w:space="0" w:color="auto"/>
                                        <w:right w:val="none" w:sz="0" w:space="0" w:color="auto"/>
                                      </w:divBdr>
                                      <w:divsChild>
                                        <w:div w:id="14998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2145246">
      <w:bodyDiv w:val="1"/>
      <w:marLeft w:val="0"/>
      <w:marRight w:val="0"/>
      <w:marTop w:val="0"/>
      <w:marBottom w:val="0"/>
      <w:divBdr>
        <w:top w:val="none" w:sz="0" w:space="0" w:color="auto"/>
        <w:left w:val="none" w:sz="0" w:space="0" w:color="auto"/>
        <w:bottom w:val="none" w:sz="0" w:space="0" w:color="auto"/>
        <w:right w:val="none" w:sz="0" w:space="0" w:color="auto"/>
      </w:divBdr>
      <w:divsChild>
        <w:div w:id="351690674">
          <w:marLeft w:val="0"/>
          <w:marRight w:val="0"/>
          <w:marTop w:val="0"/>
          <w:marBottom w:val="0"/>
          <w:divBdr>
            <w:top w:val="none" w:sz="0" w:space="0" w:color="auto"/>
            <w:left w:val="none" w:sz="0" w:space="0" w:color="auto"/>
            <w:bottom w:val="none" w:sz="0" w:space="0" w:color="auto"/>
            <w:right w:val="none" w:sz="0" w:space="0" w:color="auto"/>
          </w:divBdr>
          <w:divsChild>
            <w:div w:id="669794579">
              <w:marLeft w:val="0"/>
              <w:marRight w:val="0"/>
              <w:marTop w:val="0"/>
              <w:marBottom w:val="0"/>
              <w:divBdr>
                <w:top w:val="none" w:sz="0" w:space="0" w:color="auto"/>
                <w:left w:val="none" w:sz="0" w:space="0" w:color="auto"/>
                <w:bottom w:val="none" w:sz="0" w:space="0" w:color="auto"/>
                <w:right w:val="none" w:sz="0" w:space="0" w:color="auto"/>
              </w:divBdr>
            </w:div>
          </w:divsChild>
        </w:div>
        <w:div w:id="1362902840">
          <w:marLeft w:val="0"/>
          <w:marRight w:val="0"/>
          <w:marTop w:val="0"/>
          <w:marBottom w:val="0"/>
          <w:divBdr>
            <w:top w:val="none" w:sz="0" w:space="0" w:color="auto"/>
            <w:left w:val="none" w:sz="0" w:space="0" w:color="auto"/>
            <w:bottom w:val="none" w:sz="0" w:space="0" w:color="auto"/>
            <w:right w:val="none" w:sz="0" w:space="0" w:color="auto"/>
          </w:divBdr>
          <w:divsChild>
            <w:div w:id="662389223">
              <w:marLeft w:val="0"/>
              <w:marRight w:val="0"/>
              <w:marTop w:val="0"/>
              <w:marBottom w:val="0"/>
              <w:divBdr>
                <w:top w:val="none" w:sz="0" w:space="0" w:color="auto"/>
                <w:left w:val="none" w:sz="0" w:space="0" w:color="auto"/>
                <w:bottom w:val="none" w:sz="0" w:space="0" w:color="auto"/>
                <w:right w:val="none" w:sz="0" w:space="0" w:color="auto"/>
              </w:divBdr>
            </w:div>
          </w:divsChild>
        </w:div>
        <w:div w:id="1462918447">
          <w:marLeft w:val="0"/>
          <w:marRight w:val="0"/>
          <w:marTop w:val="0"/>
          <w:marBottom w:val="0"/>
          <w:divBdr>
            <w:top w:val="none" w:sz="0" w:space="0" w:color="auto"/>
            <w:left w:val="none" w:sz="0" w:space="0" w:color="auto"/>
            <w:bottom w:val="none" w:sz="0" w:space="0" w:color="auto"/>
            <w:right w:val="none" w:sz="0" w:space="0" w:color="auto"/>
          </w:divBdr>
          <w:divsChild>
            <w:div w:id="461308892">
              <w:marLeft w:val="0"/>
              <w:marRight w:val="0"/>
              <w:marTop w:val="0"/>
              <w:marBottom w:val="0"/>
              <w:divBdr>
                <w:top w:val="none" w:sz="0" w:space="0" w:color="auto"/>
                <w:left w:val="none" w:sz="0" w:space="0" w:color="auto"/>
                <w:bottom w:val="none" w:sz="0" w:space="0" w:color="auto"/>
                <w:right w:val="none" w:sz="0" w:space="0" w:color="auto"/>
              </w:divBdr>
              <w:divsChild>
                <w:div w:id="812722383">
                  <w:marLeft w:val="0"/>
                  <w:marRight w:val="0"/>
                  <w:marTop w:val="0"/>
                  <w:marBottom w:val="0"/>
                  <w:divBdr>
                    <w:top w:val="none" w:sz="0" w:space="0" w:color="auto"/>
                    <w:left w:val="none" w:sz="0" w:space="0" w:color="auto"/>
                    <w:bottom w:val="none" w:sz="0" w:space="0" w:color="auto"/>
                    <w:right w:val="none" w:sz="0" w:space="0" w:color="auto"/>
                  </w:divBdr>
                  <w:divsChild>
                    <w:div w:id="80288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64302">
              <w:marLeft w:val="0"/>
              <w:marRight w:val="0"/>
              <w:marTop w:val="0"/>
              <w:marBottom w:val="0"/>
              <w:divBdr>
                <w:top w:val="none" w:sz="0" w:space="0" w:color="auto"/>
                <w:left w:val="none" w:sz="0" w:space="0" w:color="auto"/>
                <w:bottom w:val="none" w:sz="0" w:space="0" w:color="auto"/>
                <w:right w:val="none" w:sz="0" w:space="0" w:color="auto"/>
              </w:divBdr>
            </w:div>
            <w:div w:id="1369530152">
              <w:marLeft w:val="0"/>
              <w:marRight w:val="0"/>
              <w:marTop w:val="0"/>
              <w:marBottom w:val="0"/>
              <w:divBdr>
                <w:top w:val="none" w:sz="0" w:space="0" w:color="auto"/>
                <w:left w:val="none" w:sz="0" w:space="0" w:color="auto"/>
                <w:bottom w:val="none" w:sz="0" w:space="0" w:color="auto"/>
                <w:right w:val="none" w:sz="0" w:space="0" w:color="auto"/>
              </w:divBdr>
            </w:div>
          </w:divsChild>
        </w:div>
        <w:div w:id="1722170645">
          <w:marLeft w:val="0"/>
          <w:marRight w:val="0"/>
          <w:marTop w:val="0"/>
          <w:marBottom w:val="0"/>
          <w:divBdr>
            <w:top w:val="none" w:sz="0" w:space="0" w:color="auto"/>
            <w:left w:val="none" w:sz="0" w:space="0" w:color="auto"/>
            <w:bottom w:val="none" w:sz="0" w:space="0" w:color="auto"/>
            <w:right w:val="none" w:sz="0" w:space="0" w:color="auto"/>
          </w:divBdr>
          <w:divsChild>
            <w:div w:id="64378855">
              <w:marLeft w:val="0"/>
              <w:marRight w:val="0"/>
              <w:marTop w:val="0"/>
              <w:marBottom w:val="0"/>
              <w:divBdr>
                <w:top w:val="none" w:sz="0" w:space="0" w:color="auto"/>
                <w:left w:val="none" w:sz="0" w:space="0" w:color="auto"/>
                <w:bottom w:val="none" w:sz="0" w:space="0" w:color="auto"/>
                <w:right w:val="none" w:sz="0" w:space="0" w:color="auto"/>
              </w:divBdr>
            </w:div>
          </w:divsChild>
        </w:div>
        <w:div w:id="1724987871">
          <w:marLeft w:val="0"/>
          <w:marRight w:val="0"/>
          <w:marTop w:val="0"/>
          <w:marBottom w:val="0"/>
          <w:divBdr>
            <w:top w:val="none" w:sz="0" w:space="0" w:color="auto"/>
            <w:left w:val="none" w:sz="0" w:space="0" w:color="auto"/>
            <w:bottom w:val="none" w:sz="0" w:space="0" w:color="auto"/>
            <w:right w:val="none" w:sz="0" w:space="0" w:color="auto"/>
          </w:divBdr>
          <w:divsChild>
            <w:div w:id="94916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22508">
      <w:bodyDiv w:val="1"/>
      <w:marLeft w:val="0"/>
      <w:marRight w:val="0"/>
      <w:marTop w:val="0"/>
      <w:marBottom w:val="0"/>
      <w:divBdr>
        <w:top w:val="none" w:sz="0" w:space="0" w:color="auto"/>
        <w:left w:val="none" w:sz="0" w:space="0" w:color="auto"/>
        <w:bottom w:val="none" w:sz="0" w:space="0" w:color="auto"/>
        <w:right w:val="none" w:sz="0" w:space="0" w:color="auto"/>
      </w:divBdr>
    </w:div>
    <w:div w:id="1756173486">
      <w:bodyDiv w:val="1"/>
      <w:marLeft w:val="0"/>
      <w:marRight w:val="0"/>
      <w:marTop w:val="0"/>
      <w:marBottom w:val="0"/>
      <w:divBdr>
        <w:top w:val="none" w:sz="0" w:space="0" w:color="auto"/>
        <w:left w:val="none" w:sz="0" w:space="0" w:color="auto"/>
        <w:bottom w:val="none" w:sz="0" w:space="0" w:color="auto"/>
        <w:right w:val="none" w:sz="0" w:space="0" w:color="auto"/>
      </w:divBdr>
    </w:div>
    <w:div w:id="1757553198">
      <w:bodyDiv w:val="1"/>
      <w:marLeft w:val="0"/>
      <w:marRight w:val="0"/>
      <w:marTop w:val="0"/>
      <w:marBottom w:val="0"/>
      <w:divBdr>
        <w:top w:val="none" w:sz="0" w:space="0" w:color="auto"/>
        <w:left w:val="none" w:sz="0" w:space="0" w:color="auto"/>
        <w:bottom w:val="none" w:sz="0" w:space="0" w:color="auto"/>
        <w:right w:val="none" w:sz="0" w:space="0" w:color="auto"/>
      </w:divBdr>
    </w:div>
    <w:div w:id="1792363572">
      <w:bodyDiv w:val="1"/>
      <w:marLeft w:val="0"/>
      <w:marRight w:val="0"/>
      <w:marTop w:val="0"/>
      <w:marBottom w:val="0"/>
      <w:divBdr>
        <w:top w:val="none" w:sz="0" w:space="0" w:color="auto"/>
        <w:left w:val="none" w:sz="0" w:space="0" w:color="auto"/>
        <w:bottom w:val="none" w:sz="0" w:space="0" w:color="auto"/>
        <w:right w:val="none" w:sz="0" w:space="0" w:color="auto"/>
      </w:divBdr>
    </w:div>
    <w:div w:id="1811828551">
      <w:bodyDiv w:val="1"/>
      <w:marLeft w:val="0"/>
      <w:marRight w:val="0"/>
      <w:marTop w:val="0"/>
      <w:marBottom w:val="0"/>
      <w:divBdr>
        <w:top w:val="none" w:sz="0" w:space="0" w:color="auto"/>
        <w:left w:val="none" w:sz="0" w:space="0" w:color="auto"/>
        <w:bottom w:val="none" w:sz="0" w:space="0" w:color="auto"/>
        <w:right w:val="none" w:sz="0" w:space="0" w:color="auto"/>
      </w:divBdr>
      <w:divsChild>
        <w:div w:id="6832769">
          <w:marLeft w:val="0"/>
          <w:marRight w:val="0"/>
          <w:marTop w:val="0"/>
          <w:marBottom w:val="0"/>
          <w:divBdr>
            <w:top w:val="none" w:sz="0" w:space="0" w:color="auto"/>
            <w:left w:val="none" w:sz="0" w:space="0" w:color="auto"/>
            <w:bottom w:val="none" w:sz="0" w:space="0" w:color="auto"/>
            <w:right w:val="none" w:sz="0" w:space="0" w:color="auto"/>
          </w:divBdr>
          <w:divsChild>
            <w:div w:id="206097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80699">
      <w:bodyDiv w:val="1"/>
      <w:marLeft w:val="0"/>
      <w:marRight w:val="0"/>
      <w:marTop w:val="0"/>
      <w:marBottom w:val="0"/>
      <w:divBdr>
        <w:top w:val="none" w:sz="0" w:space="0" w:color="auto"/>
        <w:left w:val="none" w:sz="0" w:space="0" w:color="auto"/>
        <w:bottom w:val="none" w:sz="0" w:space="0" w:color="auto"/>
        <w:right w:val="none" w:sz="0" w:space="0" w:color="auto"/>
      </w:divBdr>
      <w:divsChild>
        <w:div w:id="11746079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372417">
      <w:bodyDiv w:val="1"/>
      <w:marLeft w:val="0"/>
      <w:marRight w:val="0"/>
      <w:marTop w:val="0"/>
      <w:marBottom w:val="0"/>
      <w:divBdr>
        <w:top w:val="none" w:sz="0" w:space="0" w:color="auto"/>
        <w:left w:val="none" w:sz="0" w:space="0" w:color="auto"/>
        <w:bottom w:val="none" w:sz="0" w:space="0" w:color="auto"/>
        <w:right w:val="none" w:sz="0" w:space="0" w:color="auto"/>
      </w:divBdr>
    </w:div>
    <w:div w:id="1861159359">
      <w:bodyDiv w:val="1"/>
      <w:marLeft w:val="0"/>
      <w:marRight w:val="0"/>
      <w:marTop w:val="0"/>
      <w:marBottom w:val="0"/>
      <w:divBdr>
        <w:top w:val="none" w:sz="0" w:space="0" w:color="auto"/>
        <w:left w:val="none" w:sz="0" w:space="0" w:color="auto"/>
        <w:bottom w:val="none" w:sz="0" w:space="0" w:color="auto"/>
        <w:right w:val="none" w:sz="0" w:space="0" w:color="auto"/>
      </w:divBdr>
      <w:divsChild>
        <w:div w:id="993263903">
          <w:marLeft w:val="0"/>
          <w:marRight w:val="0"/>
          <w:marTop w:val="0"/>
          <w:marBottom w:val="0"/>
          <w:divBdr>
            <w:top w:val="none" w:sz="0" w:space="0" w:color="auto"/>
            <w:left w:val="none" w:sz="0" w:space="0" w:color="auto"/>
            <w:bottom w:val="none" w:sz="0" w:space="0" w:color="auto"/>
            <w:right w:val="none" w:sz="0" w:space="0" w:color="auto"/>
          </w:divBdr>
          <w:divsChild>
            <w:div w:id="2453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5212">
      <w:bodyDiv w:val="1"/>
      <w:marLeft w:val="0"/>
      <w:marRight w:val="0"/>
      <w:marTop w:val="0"/>
      <w:marBottom w:val="0"/>
      <w:divBdr>
        <w:top w:val="none" w:sz="0" w:space="0" w:color="auto"/>
        <w:left w:val="none" w:sz="0" w:space="0" w:color="auto"/>
        <w:bottom w:val="none" w:sz="0" w:space="0" w:color="auto"/>
        <w:right w:val="none" w:sz="0" w:space="0" w:color="auto"/>
      </w:divBdr>
    </w:div>
    <w:div w:id="1867982490">
      <w:bodyDiv w:val="1"/>
      <w:marLeft w:val="0"/>
      <w:marRight w:val="0"/>
      <w:marTop w:val="0"/>
      <w:marBottom w:val="0"/>
      <w:divBdr>
        <w:top w:val="none" w:sz="0" w:space="0" w:color="auto"/>
        <w:left w:val="none" w:sz="0" w:space="0" w:color="auto"/>
        <w:bottom w:val="none" w:sz="0" w:space="0" w:color="auto"/>
        <w:right w:val="none" w:sz="0" w:space="0" w:color="auto"/>
      </w:divBdr>
      <w:divsChild>
        <w:div w:id="425425985">
          <w:marLeft w:val="0"/>
          <w:marRight w:val="0"/>
          <w:marTop w:val="0"/>
          <w:marBottom w:val="0"/>
          <w:divBdr>
            <w:top w:val="none" w:sz="0" w:space="0" w:color="auto"/>
            <w:left w:val="none" w:sz="0" w:space="0" w:color="auto"/>
            <w:bottom w:val="none" w:sz="0" w:space="0" w:color="auto"/>
            <w:right w:val="none" w:sz="0" w:space="0" w:color="auto"/>
          </w:divBdr>
          <w:divsChild>
            <w:div w:id="48825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28402">
      <w:bodyDiv w:val="1"/>
      <w:marLeft w:val="0"/>
      <w:marRight w:val="0"/>
      <w:marTop w:val="0"/>
      <w:marBottom w:val="0"/>
      <w:divBdr>
        <w:top w:val="none" w:sz="0" w:space="0" w:color="auto"/>
        <w:left w:val="none" w:sz="0" w:space="0" w:color="auto"/>
        <w:bottom w:val="none" w:sz="0" w:space="0" w:color="auto"/>
        <w:right w:val="none" w:sz="0" w:space="0" w:color="auto"/>
      </w:divBdr>
    </w:div>
    <w:div w:id="1905948146">
      <w:bodyDiv w:val="1"/>
      <w:marLeft w:val="0"/>
      <w:marRight w:val="0"/>
      <w:marTop w:val="0"/>
      <w:marBottom w:val="0"/>
      <w:divBdr>
        <w:top w:val="none" w:sz="0" w:space="0" w:color="auto"/>
        <w:left w:val="none" w:sz="0" w:space="0" w:color="auto"/>
        <w:bottom w:val="none" w:sz="0" w:space="0" w:color="auto"/>
        <w:right w:val="none" w:sz="0" w:space="0" w:color="auto"/>
      </w:divBdr>
      <w:divsChild>
        <w:div w:id="1331372147">
          <w:marLeft w:val="0"/>
          <w:marRight w:val="0"/>
          <w:marTop w:val="0"/>
          <w:marBottom w:val="0"/>
          <w:divBdr>
            <w:top w:val="none" w:sz="0" w:space="0" w:color="auto"/>
            <w:left w:val="none" w:sz="0" w:space="0" w:color="auto"/>
            <w:bottom w:val="none" w:sz="0" w:space="0" w:color="auto"/>
            <w:right w:val="none" w:sz="0" w:space="0" w:color="auto"/>
          </w:divBdr>
          <w:divsChild>
            <w:div w:id="135380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495459">
      <w:bodyDiv w:val="1"/>
      <w:marLeft w:val="0"/>
      <w:marRight w:val="0"/>
      <w:marTop w:val="0"/>
      <w:marBottom w:val="0"/>
      <w:divBdr>
        <w:top w:val="none" w:sz="0" w:space="0" w:color="auto"/>
        <w:left w:val="none" w:sz="0" w:space="0" w:color="auto"/>
        <w:bottom w:val="none" w:sz="0" w:space="0" w:color="auto"/>
        <w:right w:val="none" w:sz="0" w:space="0" w:color="auto"/>
      </w:divBdr>
    </w:div>
    <w:div w:id="1974479893">
      <w:bodyDiv w:val="1"/>
      <w:marLeft w:val="0"/>
      <w:marRight w:val="0"/>
      <w:marTop w:val="0"/>
      <w:marBottom w:val="0"/>
      <w:divBdr>
        <w:top w:val="none" w:sz="0" w:space="0" w:color="auto"/>
        <w:left w:val="none" w:sz="0" w:space="0" w:color="auto"/>
        <w:bottom w:val="none" w:sz="0" w:space="0" w:color="auto"/>
        <w:right w:val="none" w:sz="0" w:space="0" w:color="auto"/>
      </w:divBdr>
      <w:divsChild>
        <w:div w:id="372848406">
          <w:marLeft w:val="0"/>
          <w:marRight w:val="0"/>
          <w:marTop w:val="0"/>
          <w:marBottom w:val="0"/>
          <w:divBdr>
            <w:top w:val="none" w:sz="0" w:space="0" w:color="auto"/>
            <w:left w:val="none" w:sz="0" w:space="0" w:color="auto"/>
            <w:bottom w:val="none" w:sz="0" w:space="0" w:color="auto"/>
            <w:right w:val="none" w:sz="0" w:space="0" w:color="auto"/>
          </w:divBdr>
          <w:divsChild>
            <w:div w:id="31518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535">
      <w:bodyDiv w:val="1"/>
      <w:marLeft w:val="0"/>
      <w:marRight w:val="0"/>
      <w:marTop w:val="0"/>
      <w:marBottom w:val="0"/>
      <w:divBdr>
        <w:top w:val="none" w:sz="0" w:space="0" w:color="auto"/>
        <w:left w:val="none" w:sz="0" w:space="0" w:color="auto"/>
        <w:bottom w:val="none" w:sz="0" w:space="0" w:color="auto"/>
        <w:right w:val="none" w:sz="0" w:space="0" w:color="auto"/>
      </w:divBdr>
    </w:div>
    <w:div w:id="2002922136">
      <w:bodyDiv w:val="1"/>
      <w:marLeft w:val="0"/>
      <w:marRight w:val="0"/>
      <w:marTop w:val="0"/>
      <w:marBottom w:val="0"/>
      <w:divBdr>
        <w:top w:val="none" w:sz="0" w:space="0" w:color="auto"/>
        <w:left w:val="none" w:sz="0" w:space="0" w:color="auto"/>
        <w:bottom w:val="none" w:sz="0" w:space="0" w:color="auto"/>
        <w:right w:val="none" w:sz="0" w:space="0" w:color="auto"/>
      </w:divBdr>
    </w:div>
    <w:div w:id="2021929850">
      <w:bodyDiv w:val="1"/>
      <w:marLeft w:val="0"/>
      <w:marRight w:val="0"/>
      <w:marTop w:val="0"/>
      <w:marBottom w:val="0"/>
      <w:divBdr>
        <w:top w:val="none" w:sz="0" w:space="0" w:color="auto"/>
        <w:left w:val="none" w:sz="0" w:space="0" w:color="auto"/>
        <w:bottom w:val="none" w:sz="0" w:space="0" w:color="auto"/>
        <w:right w:val="none" w:sz="0" w:space="0" w:color="auto"/>
      </w:divBdr>
      <w:divsChild>
        <w:div w:id="89933392">
          <w:marLeft w:val="0"/>
          <w:marRight w:val="0"/>
          <w:marTop w:val="0"/>
          <w:marBottom w:val="0"/>
          <w:divBdr>
            <w:top w:val="none" w:sz="0" w:space="0" w:color="auto"/>
            <w:left w:val="none" w:sz="0" w:space="0" w:color="auto"/>
            <w:bottom w:val="none" w:sz="0" w:space="0" w:color="auto"/>
            <w:right w:val="none" w:sz="0" w:space="0" w:color="auto"/>
          </w:divBdr>
          <w:divsChild>
            <w:div w:id="1261252832">
              <w:marLeft w:val="0"/>
              <w:marRight w:val="0"/>
              <w:marTop w:val="0"/>
              <w:marBottom w:val="0"/>
              <w:divBdr>
                <w:top w:val="none" w:sz="0" w:space="0" w:color="auto"/>
                <w:left w:val="none" w:sz="0" w:space="0" w:color="auto"/>
                <w:bottom w:val="none" w:sz="0" w:space="0" w:color="auto"/>
                <w:right w:val="none" w:sz="0" w:space="0" w:color="auto"/>
              </w:divBdr>
            </w:div>
          </w:divsChild>
        </w:div>
        <w:div w:id="170070266">
          <w:marLeft w:val="0"/>
          <w:marRight w:val="0"/>
          <w:marTop w:val="0"/>
          <w:marBottom w:val="0"/>
          <w:divBdr>
            <w:top w:val="none" w:sz="0" w:space="0" w:color="auto"/>
            <w:left w:val="none" w:sz="0" w:space="0" w:color="auto"/>
            <w:bottom w:val="none" w:sz="0" w:space="0" w:color="auto"/>
            <w:right w:val="none" w:sz="0" w:space="0" w:color="auto"/>
          </w:divBdr>
          <w:divsChild>
            <w:div w:id="1120026325">
              <w:marLeft w:val="0"/>
              <w:marRight w:val="0"/>
              <w:marTop w:val="0"/>
              <w:marBottom w:val="0"/>
              <w:divBdr>
                <w:top w:val="none" w:sz="0" w:space="0" w:color="auto"/>
                <w:left w:val="none" w:sz="0" w:space="0" w:color="auto"/>
                <w:bottom w:val="none" w:sz="0" w:space="0" w:color="auto"/>
                <w:right w:val="none" w:sz="0" w:space="0" w:color="auto"/>
              </w:divBdr>
            </w:div>
          </w:divsChild>
        </w:div>
        <w:div w:id="918514507">
          <w:marLeft w:val="0"/>
          <w:marRight w:val="0"/>
          <w:marTop w:val="0"/>
          <w:marBottom w:val="0"/>
          <w:divBdr>
            <w:top w:val="none" w:sz="0" w:space="0" w:color="auto"/>
            <w:left w:val="none" w:sz="0" w:space="0" w:color="auto"/>
            <w:bottom w:val="none" w:sz="0" w:space="0" w:color="auto"/>
            <w:right w:val="none" w:sz="0" w:space="0" w:color="auto"/>
          </w:divBdr>
          <w:divsChild>
            <w:div w:id="1613980243">
              <w:marLeft w:val="0"/>
              <w:marRight w:val="0"/>
              <w:marTop w:val="0"/>
              <w:marBottom w:val="0"/>
              <w:divBdr>
                <w:top w:val="none" w:sz="0" w:space="0" w:color="auto"/>
                <w:left w:val="none" w:sz="0" w:space="0" w:color="auto"/>
                <w:bottom w:val="none" w:sz="0" w:space="0" w:color="auto"/>
                <w:right w:val="none" w:sz="0" w:space="0" w:color="auto"/>
              </w:divBdr>
            </w:div>
          </w:divsChild>
        </w:div>
        <w:div w:id="946041083">
          <w:marLeft w:val="0"/>
          <w:marRight w:val="0"/>
          <w:marTop w:val="0"/>
          <w:marBottom w:val="0"/>
          <w:divBdr>
            <w:top w:val="none" w:sz="0" w:space="0" w:color="auto"/>
            <w:left w:val="none" w:sz="0" w:space="0" w:color="auto"/>
            <w:bottom w:val="none" w:sz="0" w:space="0" w:color="auto"/>
            <w:right w:val="none" w:sz="0" w:space="0" w:color="auto"/>
          </w:divBdr>
          <w:divsChild>
            <w:div w:id="1374622658">
              <w:marLeft w:val="0"/>
              <w:marRight w:val="0"/>
              <w:marTop w:val="0"/>
              <w:marBottom w:val="0"/>
              <w:divBdr>
                <w:top w:val="none" w:sz="0" w:space="0" w:color="auto"/>
                <w:left w:val="none" w:sz="0" w:space="0" w:color="auto"/>
                <w:bottom w:val="none" w:sz="0" w:space="0" w:color="auto"/>
                <w:right w:val="none" w:sz="0" w:space="0" w:color="auto"/>
              </w:divBdr>
            </w:div>
            <w:div w:id="1498039052">
              <w:marLeft w:val="0"/>
              <w:marRight w:val="0"/>
              <w:marTop w:val="0"/>
              <w:marBottom w:val="0"/>
              <w:divBdr>
                <w:top w:val="none" w:sz="0" w:space="0" w:color="auto"/>
                <w:left w:val="none" w:sz="0" w:space="0" w:color="auto"/>
                <w:bottom w:val="none" w:sz="0" w:space="0" w:color="auto"/>
                <w:right w:val="none" w:sz="0" w:space="0" w:color="auto"/>
              </w:divBdr>
            </w:div>
            <w:div w:id="1646620899">
              <w:marLeft w:val="0"/>
              <w:marRight w:val="0"/>
              <w:marTop w:val="0"/>
              <w:marBottom w:val="0"/>
              <w:divBdr>
                <w:top w:val="none" w:sz="0" w:space="0" w:color="auto"/>
                <w:left w:val="none" w:sz="0" w:space="0" w:color="auto"/>
                <w:bottom w:val="none" w:sz="0" w:space="0" w:color="auto"/>
                <w:right w:val="none" w:sz="0" w:space="0" w:color="auto"/>
              </w:divBdr>
              <w:divsChild>
                <w:div w:id="771894888">
                  <w:marLeft w:val="0"/>
                  <w:marRight w:val="0"/>
                  <w:marTop w:val="0"/>
                  <w:marBottom w:val="0"/>
                  <w:divBdr>
                    <w:top w:val="none" w:sz="0" w:space="0" w:color="auto"/>
                    <w:left w:val="none" w:sz="0" w:space="0" w:color="auto"/>
                    <w:bottom w:val="none" w:sz="0" w:space="0" w:color="auto"/>
                    <w:right w:val="none" w:sz="0" w:space="0" w:color="auto"/>
                  </w:divBdr>
                  <w:divsChild>
                    <w:div w:id="401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17571">
          <w:marLeft w:val="0"/>
          <w:marRight w:val="0"/>
          <w:marTop w:val="0"/>
          <w:marBottom w:val="0"/>
          <w:divBdr>
            <w:top w:val="none" w:sz="0" w:space="0" w:color="auto"/>
            <w:left w:val="none" w:sz="0" w:space="0" w:color="auto"/>
            <w:bottom w:val="none" w:sz="0" w:space="0" w:color="auto"/>
            <w:right w:val="none" w:sz="0" w:space="0" w:color="auto"/>
          </w:divBdr>
          <w:divsChild>
            <w:div w:id="175180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7313">
      <w:bodyDiv w:val="1"/>
      <w:marLeft w:val="0"/>
      <w:marRight w:val="0"/>
      <w:marTop w:val="0"/>
      <w:marBottom w:val="0"/>
      <w:divBdr>
        <w:top w:val="none" w:sz="0" w:space="0" w:color="auto"/>
        <w:left w:val="none" w:sz="0" w:space="0" w:color="auto"/>
        <w:bottom w:val="none" w:sz="0" w:space="0" w:color="auto"/>
        <w:right w:val="none" w:sz="0" w:space="0" w:color="auto"/>
      </w:divBdr>
      <w:divsChild>
        <w:div w:id="257101397">
          <w:marLeft w:val="0"/>
          <w:marRight w:val="0"/>
          <w:marTop w:val="0"/>
          <w:marBottom w:val="0"/>
          <w:divBdr>
            <w:top w:val="none" w:sz="0" w:space="0" w:color="auto"/>
            <w:left w:val="none" w:sz="0" w:space="0" w:color="auto"/>
            <w:bottom w:val="none" w:sz="0" w:space="0" w:color="auto"/>
            <w:right w:val="none" w:sz="0" w:space="0" w:color="auto"/>
          </w:divBdr>
          <w:divsChild>
            <w:div w:id="33071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895558">
      <w:bodyDiv w:val="1"/>
      <w:marLeft w:val="0"/>
      <w:marRight w:val="0"/>
      <w:marTop w:val="0"/>
      <w:marBottom w:val="0"/>
      <w:divBdr>
        <w:top w:val="none" w:sz="0" w:space="0" w:color="auto"/>
        <w:left w:val="none" w:sz="0" w:space="0" w:color="auto"/>
        <w:bottom w:val="none" w:sz="0" w:space="0" w:color="auto"/>
        <w:right w:val="none" w:sz="0" w:space="0" w:color="auto"/>
      </w:divBdr>
    </w:div>
    <w:div w:id="2062749485">
      <w:bodyDiv w:val="1"/>
      <w:marLeft w:val="0"/>
      <w:marRight w:val="0"/>
      <w:marTop w:val="0"/>
      <w:marBottom w:val="0"/>
      <w:divBdr>
        <w:top w:val="none" w:sz="0" w:space="0" w:color="auto"/>
        <w:left w:val="none" w:sz="0" w:space="0" w:color="auto"/>
        <w:bottom w:val="none" w:sz="0" w:space="0" w:color="auto"/>
        <w:right w:val="none" w:sz="0" w:space="0" w:color="auto"/>
      </w:divBdr>
    </w:div>
    <w:div w:id="2089450501">
      <w:bodyDiv w:val="1"/>
      <w:marLeft w:val="0"/>
      <w:marRight w:val="0"/>
      <w:marTop w:val="0"/>
      <w:marBottom w:val="0"/>
      <w:divBdr>
        <w:top w:val="none" w:sz="0" w:space="0" w:color="auto"/>
        <w:left w:val="none" w:sz="0" w:space="0" w:color="auto"/>
        <w:bottom w:val="none" w:sz="0" w:space="0" w:color="auto"/>
        <w:right w:val="none" w:sz="0" w:space="0" w:color="auto"/>
      </w:divBdr>
      <w:divsChild>
        <w:div w:id="2009480590">
          <w:marLeft w:val="0"/>
          <w:marRight w:val="0"/>
          <w:marTop w:val="0"/>
          <w:marBottom w:val="0"/>
          <w:divBdr>
            <w:top w:val="none" w:sz="0" w:space="0" w:color="auto"/>
            <w:left w:val="none" w:sz="0" w:space="0" w:color="auto"/>
            <w:bottom w:val="none" w:sz="0" w:space="0" w:color="auto"/>
            <w:right w:val="none" w:sz="0" w:space="0" w:color="auto"/>
          </w:divBdr>
          <w:divsChild>
            <w:div w:id="21011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diagramData" Target="diagrams/data1.xml"/><Relationship Id="rId10" Type="http://schemas.openxmlformats.org/officeDocument/2006/relationships/image" Target="media/image4.png"/><Relationship Id="rId19" Type="http://schemas.microsoft.com/office/2007/relationships/diagramDrawing" Target="diagrams/drawing1.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D220AE-A980-43F6-9F6B-B05C73D2D418}"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US"/>
        </a:p>
      </dgm:t>
    </dgm:pt>
    <dgm:pt modelId="{4B49A0AD-A228-4544-917C-52C77BF89CFC}">
      <dgm:prSet phldrT="[Text]"/>
      <dgm:spPr/>
      <dgm:t>
        <a:bodyPr/>
        <a:lstStyle/>
        <a:p>
          <a:r>
            <a:rPr lang="en-US"/>
            <a:t>Competencia entre Franquicias(alta)</a:t>
          </a:r>
        </a:p>
      </dgm:t>
    </dgm:pt>
    <dgm:pt modelId="{D453F4F0-E448-42B8-B04F-9D2F1D9D22E8}" type="parTrans" cxnId="{0C2727D7-F74A-4226-AC3F-E8629E6FC771}">
      <dgm:prSet/>
      <dgm:spPr/>
      <dgm:t>
        <a:bodyPr/>
        <a:lstStyle/>
        <a:p>
          <a:endParaRPr lang="en-US"/>
        </a:p>
      </dgm:t>
    </dgm:pt>
    <dgm:pt modelId="{E2A2BAEF-8608-480C-BD39-70AF542F6A6E}" type="sibTrans" cxnId="{0C2727D7-F74A-4226-AC3F-E8629E6FC771}">
      <dgm:prSet/>
      <dgm:spPr/>
      <dgm:t>
        <a:bodyPr/>
        <a:lstStyle/>
        <a:p>
          <a:endParaRPr lang="en-US"/>
        </a:p>
      </dgm:t>
    </dgm:pt>
    <dgm:pt modelId="{9A3CFE7E-40BD-4B79-8F4B-65DB45C567A5}">
      <dgm:prSet phldrT="[Text]"/>
      <dgm:spPr/>
      <dgm:t>
        <a:bodyPr/>
        <a:lstStyle/>
        <a:p>
          <a:r>
            <a:rPr lang="en-US"/>
            <a:t>Poder de negociacion de los clientes (moderado a alto)</a:t>
          </a:r>
        </a:p>
      </dgm:t>
    </dgm:pt>
    <dgm:pt modelId="{FCFCA36A-E23C-4FBB-9B78-A161EA45103F}" type="parTrans" cxnId="{B20D496B-4390-4EA0-93B0-95D45F87806E}">
      <dgm:prSet/>
      <dgm:spPr/>
      <dgm:t>
        <a:bodyPr/>
        <a:lstStyle/>
        <a:p>
          <a:endParaRPr lang="en-US"/>
        </a:p>
      </dgm:t>
    </dgm:pt>
    <dgm:pt modelId="{6D68EAC0-4E1A-47BE-AC23-A6A196E83899}" type="sibTrans" cxnId="{B20D496B-4390-4EA0-93B0-95D45F87806E}">
      <dgm:prSet/>
      <dgm:spPr/>
      <dgm:t>
        <a:bodyPr/>
        <a:lstStyle/>
        <a:p>
          <a:endParaRPr lang="en-US"/>
        </a:p>
      </dgm:t>
    </dgm:pt>
    <dgm:pt modelId="{E74D7303-4EA5-429F-A101-C3845DFD4459}">
      <dgm:prSet phldrT="[Text]"/>
      <dgm:spPr/>
      <dgm:t>
        <a:bodyPr/>
        <a:lstStyle/>
        <a:p>
          <a:r>
            <a:rPr lang="en-US"/>
            <a:t>Poder de negociacion de los proveedores (moderado)</a:t>
          </a:r>
        </a:p>
      </dgm:t>
    </dgm:pt>
    <dgm:pt modelId="{2FAB5E00-6199-4864-81AF-EFC3B15C86CD}" type="parTrans" cxnId="{6D94B197-8F98-41F1-8248-428A41C25669}">
      <dgm:prSet/>
      <dgm:spPr/>
      <dgm:t>
        <a:bodyPr/>
        <a:lstStyle/>
        <a:p>
          <a:endParaRPr lang="en-US"/>
        </a:p>
      </dgm:t>
    </dgm:pt>
    <dgm:pt modelId="{F9CA2983-FB5C-47AB-9982-68772450B554}" type="sibTrans" cxnId="{6D94B197-8F98-41F1-8248-428A41C25669}">
      <dgm:prSet/>
      <dgm:spPr/>
      <dgm:t>
        <a:bodyPr/>
        <a:lstStyle/>
        <a:p>
          <a:endParaRPr lang="en-US"/>
        </a:p>
      </dgm:t>
    </dgm:pt>
    <dgm:pt modelId="{94C6ECC3-81B4-424E-88A2-244BE8EFFEE1}">
      <dgm:prSet phldrT="[Text]"/>
      <dgm:spPr/>
      <dgm:t>
        <a:bodyPr/>
        <a:lstStyle/>
        <a:p>
          <a:r>
            <a:rPr lang="en-US"/>
            <a:t>Amenaza productos sustitutos (alta)</a:t>
          </a:r>
        </a:p>
      </dgm:t>
    </dgm:pt>
    <dgm:pt modelId="{6D411FDB-794A-478E-B3C1-0F68E8DD0129}" type="parTrans" cxnId="{9561F1D3-AF0B-4581-A3E6-73A1FD6E8A59}">
      <dgm:prSet/>
      <dgm:spPr/>
      <dgm:t>
        <a:bodyPr/>
        <a:lstStyle/>
        <a:p>
          <a:endParaRPr lang="en-US"/>
        </a:p>
      </dgm:t>
    </dgm:pt>
    <dgm:pt modelId="{A23A3C5D-A7F9-40B4-BBEB-00E94C2B7E38}" type="sibTrans" cxnId="{9561F1D3-AF0B-4581-A3E6-73A1FD6E8A59}">
      <dgm:prSet/>
      <dgm:spPr/>
      <dgm:t>
        <a:bodyPr/>
        <a:lstStyle/>
        <a:p>
          <a:endParaRPr lang="en-US"/>
        </a:p>
      </dgm:t>
    </dgm:pt>
    <dgm:pt modelId="{2F110C08-EE5D-4C91-B858-DDCC02860A01}">
      <dgm:prSet phldrT="[Text]"/>
      <dgm:spPr/>
      <dgm:t>
        <a:bodyPr/>
        <a:lstStyle/>
        <a:p>
          <a:r>
            <a:rPr lang="en-US"/>
            <a:t>Amenaza de nuevos entrantes (Moderada)</a:t>
          </a:r>
        </a:p>
      </dgm:t>
    </dgm:pt>
    <dgm:pt modelId="{1171CA95-78AF-48AE-A576-986C1E62A910}" type="parTrans" cxnId="{59773FA0-9521-4941-8B57-9028FD1622C6}">
      <dgm:prSet/>
      <dgm:spPr/>
      <dgm:t>
        <a:bodyPr/>
        <a:lstStyle/>
        <a:p>
          <a:endParaRPr lang="en-US"/>
        </a:p>
      </dgm:t>
    </dgm:pt>
    <dgm:pt modelId="{74A67000-4DBC-4FD1-9036-752A70A5C0B6}" type="sibTrans" cxnId="{59773FA0-9521-4941-8B57-9028FD1622C6}">
      <dgm:prSet/>
      <dgm:spPr/>
      <dgm:t>
        <a:bodyPr/>
        <a:lstStyle/>
        <a:p>
          <a:endParaRPr lang="en-US"/>
        </a:p>
      </dgm:t>
    </dgm:pt>
    <dgm:pt modelId="{61527106-F5FB-41F4-9D22-7CACE7A9540E}" type="pres">
      <dgm:prSet presAssocID="{63D220AE-A980-43F6-9F6B-B05C73D2D418}" presName="Name0" presStyleCnt="0">
        <dgm:presLayoutVars>
          <dgm:chMax val="1"/>
          <dgm:dir/>
          <dgm:animLvl val="ctr"/>
          <dgm:resizeHandles val="exact"/>
        </dgm:presLayoutVars>
      </dgm:prSet>
      <dgm:spPr/>
      <dgm:t>
        <a:bodyPr/>
        <a:lstStyle/>
        <a:p>
          <a:endParaRPr lang="es-AR"/>
        </a:p>
      </dgm:t>
    </dgm:pt>
    <dgm:pt modelId="{73567145-274B-4D51-9F05-6EBB9C3F691A}" type="pres">
      <dgm:prSet presAssocID="{4B49A0AD-A228-4544-917C-52C77BF89CFC}" presName="centerShape" presStyleLbl="node0" presStyleIdx="0" presStyleCnt="1"/>
      <dgm:spPr/>
      <dgm:t>
        <a:bodyPr/>
        <a:lstStyle/>
        <a:p>
          <a:endParaRPr lang="es-AR"/>
        </a:p>
      </dgm:t>
    </dgm:pt>
    <dgm:pt modelId="{698856A8-6DF9-4BF9-96C0-1CB7FDD256A3}" type="pres">
      <dgm:prSet presAssocID="{9A3CFE7E-40BD-4B79-8F4B-65DB45C567A5}" presName="node" presStyleLbl="node1" presStyleIdx="0" presStyleCnt="4">
        <dgm:presLayoutVars>
          <dgm:bulletEnabled val="1"/>
        </dgm:presLayoutVars>
      </dgm:prSet>
      <dgm:spPr/>
      <dgm:t>
        <a:bodyPr/>
        <a:lstStyle/>
        <a:p>
          <a:endParaRPr lang="es-AR"/>
        </a:p>
      </dgm:t>
    </dgm:pt>
    <dgm:pt modelId="{20DB83C4-18E3-47E8-BF08-5073ED7C5655}" type="pres">
      <dgm:prSet presAssocID="{9A3CFE7E-40BD-4B79-8F4B-65DB45C567A5}" presName="dummy" presStyleCnt="0"/>
      <dgm:spPr/>
    </dgm:pt>
    <dgm:pt modelId="{5BFE9CDC-0CFE-4927-9649-D7E1244037D0}" type="pres">
      <dgm:prSet presAssocID="{6D68EAC0-4E1A-47BE-AC23-A6A196E83899}" presName="sibTrans" presStyleLbl="sibTrans2D1" presStyleIdx="0" presStyleCnt="4"/>
      <dgm:spPr/>
      <dgm:t>
        <a:bodyPr/>
        <a:lstStyle/>
        <a:p>
          <a:endParaRPr lang="es-AR"/>
        </a:p>
      </dgm:t>
    </dgm:pt>
    <dgm:pt modelId="{A902A366-534E-4DBF-B7D6-443B1922C920}" type="pres">
      <dgm:prSet presAssocID="{E74D7303-4EA5-429F-A101-C3845DFD4459}" presName="node" presStyleLbl="node1" presStyleIdx="1" presStyleCnt="4">
        <dgm:presLayoutVars>
          <dgm:bulletEnabled val="1"/>
        </dgm:presLayoutVars>
      </dgm:prSet>
      <dgm:spPr/>
      <dgm:t>
        <a:bodyPr/>
        <a:lstStyle/>
        <a:p>
          <a:endParaRPr lang="es-AR"/>
        </a:p>
      </dgm:t>
    </dgm:pt>
    <dgm:pt modelId="{49C82FF9-1856-4A00-B6CB-7F56415F734E}" type="pres">
      <dgm:prSet presAssocID="{E74D7303-4EA5-429F-A101-C3845DFD4459}" presName="dummy" presStyleCnt="0"/>
      <dgm:spPr/>
    </dgm:pt>
    <dgm:pt modelId="{B8FA73CD-A752-4D14-BFCF-65B1A7F418FD}" type="pres">
      <dgm:prSet presAssocID="{F9CA2983-FB5C-47AB-9982-68772450B554}" presName="sibTrans" presStyleLbl="sibTrans2D1" presStyleIdx="1" presStyleCnt="4"/>
      <dgm:spPr/>
      <dgm:t>
        <a:bodyPr/>
        <a:lstStyle/>
        <a:p>
          <a:endParaRPr lang="es-AR"/>
        </a:p>
      </dgm:t>
    </dgm:pt>
    <dgm:pt modelId="{AE227DDC-5583-4FB1-BB46-A1EE6BBEFCEE}" type="pres">
      <dgm:prSet presAssocID="{94C6ECC3-81B4-424E-88A2-244BE8EFFEE1}" presName="node" presStyleLbl="node1" presStyleIdx="2" presStyleCnt="4">
        <dgm:presLayoutVars>
          <dgm:bulletEnabled val="1"/>
        </dgm:presLayoutVars>
      </dgm:prSet>
      <dgm:spPr/>
      <dgm:t>
        <a:bodyPr/>
        <a:lstStyle/>
        <a:p>
          <a:endParaRPr lang="es-AR"/>
        </a:p>
      </dgm:t>
    </dgm:pt>
    <dgm:pt modelId="{AEA49F8D-F363-416E-89C2-7661A8466271}" type="pres">
      <dgm:prSet presAssocID="{94C6ECC3-81B4-424E-88A2-244BE8EFFEE1}" presName="dummy" presStyleCnt="0"/>
      <dgm:spPr/>
    </dgm:pt>
    <dgm:pt modelId="{CF3C82D0-4F91-4A48-BEEE-9EFBDAB0E8CC}" type="pres">
      <dgm:prSet presAssocID="{A23A3C5D-A7F9-40B4-BBEB-00E94C2B7E38}" presName="sibTrans" presStyleLbl="sibTrans2D1" presStyleIdx="2" presStyleCnt="4"/>
      <dgm:spPr/>
      <dgm:t>
        <a:bodyPr/>
        <a:lstStyle/>
        <a:p>
          <a:endParaRPr lang="es-AR"/>
        </a:p>
      </dgm:t>
    </dgm:pt>
    <dgm:pt modelId="{89EDB68F-FBD1-4878-80A2-68D4F81DECE9}" type="pres">
      <dgm:prSet presAssocID="{2F110C08-EE5D-4C91-B858-DDCC02860A01}" presName="node" presStyleLbl="node1" presStyleIdx="3" presStyleCnt="4">
        <dgm:presLayoutVars>
          <dgm:bulletEnabled val="1"/>
        </dgm:presLayoutVars>
      </dgm:prSet>
      <dgm:spPr/>
      <dgm:t>
        <a:bodyPr/>
        <a:lstStyle/>
        <a:p>
          <a:endParaRPr lang="es-AR"/>
        </a:p>
      </dgm:t>
    </dgm:pt>
    <dgm:pt modelId="{A5031E8E-CC97-4C83-A997-E651AD7319AE}" type="pres">
      <dgm:prSet presAssocID="{2F110C08-EE5D-4C91-B858-DDCC02860A01}" presName="dummy" presStyleCnt="0"/>
      <dgm:spPr/>
    </dgm:pt>
    <dgm:pt modelId="{536E9A0F-E684-4781-A2F8-6D978CA5013B}" type="pres">
      <dgm:prSet presAssocID="{74A67000-4DBC-4FD1-9036-752A70A5C0B6}" presName="sibTrans" presStyleLbl="sibTrans2D1" presStyleIdx="3" presStyleCnt="4"/>
      <dgm:spPr/>
      <dgm:t>
        <a:bodyPr/>
        <a:lstStyle/>
        <a:p>
          <a:endParaRPr lang="es-AR"/>
        </a:p>
      </dgm:t>
    </dgm:pt>
  </dgm:ptLst>
  <dgm:cxnLst>
    <dgm:cxn modelId="{59773FA0-9521-4941-8B57-9028FD1622C6}" srcId="{4B49A0AD-A228-4544-917C-52C77BF89CFC}" destId="{2F110C08-EE5D-4C91-B858-DDCC02860A01}" srcOrd="3" destOrd="0" parTransId="{1171CA95-78AF-48AE-A576-986C1E62A910}" sibTransId="{74A67000-4DBC-4FD1-9036-752A70A5C0B6}"/>
    <dgm:cxn modelId="{16DCE1F5-9B93-4800-B002-E7971D1C1B19}" type="presOf" srcId="{4B49A0AD-A228-4544-917C-52C77BF89CFC}" destId="{73567145-274B-4D51-9F05-6EBB9C3F691A}" srcOrd="0" destOrd="0" presId="urn:microsoft.com/office/officeart/2005/8/layout/radial6"/>
    <dgm:cxn modelId="{BB440C45-D429-41C6-A4F7-68E1569A4A7C}" type="presOf" srcId="{63D220AE-A980-43F6-9F6B-B05C73D2D418}" destId="{61527106-F5FB-41F4-9D22-7CACE7A9540E}" srcOrd="0" destOrd="0" presId="urn:microsoft.com/office/officeart/2005/8/layout/radial6"/>
    <dgm:cxn modelId="{88AE8654-BC3E-4349-A8BF-6524D56FB109}" type="presOf" srcId="{9A3CFE7E-40BD-4B79-8F4B-65DB45C567A5}" destId="{698856A8-6DF9-4BF9-96C0-1CB7FDD256A3}" srcOrd="0" destOrd="0" presId="urn:microsoft.com/office/officeart/2005/8/layout/radial6"/>
    <dgm:cxn modelId="{B20D496B-4390-4EA0-93B0-95D45F87806E}" srcId="{4B49A0AD-A228-4544-917C-52C77BF89CFC}" destId="{9A3CFE7E-40BD-4B79-8F4B-65DB45C567A5}" srcOrd="0" destOrd="0" parTransId="{FCFCA36A-E23C-4FBB-9B78-A161EA45103F}" sibTransId="{6D68EAC0-4E1A-47BE-AC23-A6A196E83899}"/>
    <dgm:cxn modelId="{7E89A91F-19F1-415D-8F0D-29E135E238F7}" type="presOf" srcId="{6D68EAC0-4E1A-47BE-AC23-A6A196E83899}" destId="{5BFE9CDC-0CFE-4927-9649-D7E1244037D0}" srcOrd="0" destOrd="0" presId="urn:microsoft.com/office/officeart/2005/8/layout/radial6"/>
    <dgm:cxn modelId="{222AE804-C38D-47FA-8635-FA6E7D101831}" type="presOf" srcId="{74A67000-4DBC-4FD1-9036-752A70A5C0B6}" destId="{536E9A0F-E684-4781-A2F8-6D978CA5013B}" srcOrd="0" destOrd="0" presId="urn:microsoft.com/office/officeart/2005/8/layout/radial6"/>
    <dgm:cxn modelId="{98AA80D9-1A85-4B39-A13E-6F44BC764CA2}" type="presOf" srcId="{A23A3C5D-A7F9-40B4-BBEB-00E94C2B7E38}" destId="{CF3C82D0-4F91-4A48-BEEE-9EFBDAB0E8CC}" srcOrd="0" destOrd="0" presId="urn:microsoft.com/office/officeart/2005/8/layout/radial6"/>
    <dgm:cxn modelId="{C81A14A7-F109-43A7-B357-17A10138A697}" type="presOf" srcId="{2F110C08-EE5D-4C91-B858-DDCC02860A01}" destId="{89EDB68F-FBD1-4878-80A2-68D4F81DECE9}" srcOrd="0" destOrd="0" presId="urn:microsoft.com/office/officeart/2005/8/layout/radial6"/>
    <dgm:cxn modelId="{0090754B-D35D-44A5-BDAD-74A779B4A821}" type="presOf" srcId="{E74D7303-4EA5-429F-A101-C3845DFD4459}" destId="{A902A366-534E-4DBF-B7D6-443B1922C920}" srcOrd="0" destOrd="0" presId="urn:microsoft.com/office/officeart/2005/8/layout/radial6"/>
    <dgm:cxn modelId="{6D94B197-8F98-41F1-8248-428A41C25669}" srcId="{4B49A0AD-A228-4544-917C-52C77BF89CFC}" destId="{E74D7303-4EA5-429F-A101-C3845DFD4459}" srcOrd="1" destOrd="0" parTransId="{2FAB5E00-6199-4864-81AF-EFC3B15C86CD}" sibTransId="{F9CA2983-FB5C-47AB-9982-68772450B554}"/>
    <dgm:cxn modelId="{9561F1D3-AF0B-4581-A3E6-73A1FD6E8A59}" srcId="{4B49A0AD-A228-4544-917C-52C77BF89CFC}" destId="{94C6ECC3-81B4-424E-88A2-244BE8EFFEE1}" srcOrd="2" destOrd="0" parTransId="{6D411FDB-794A-478E-B3C1-0F68E8DD0129}" sibTransId="{A23A3C5D-A7F9-40B4-BBEB-00E94C2B7E38}"/>
    <dgm:cxn modelId="{A56DE69C-AB40-41BA-B6F4-83130749A038}" type="presOf" srcId="{94C6ECC3-81B4-424E-88A2-244BE8EFFEE1}" destId="{AE227DDC-5583-4FB1-BB46-A1EE6BBEFCEE}" srcOrd="0" destOrd="0" presId="urn:microsoft.com/office/officeart/2005/8/layout/radial6"/>
    <dgm:cxn modelId="{3125A939-C0F5-411A-94B6-D2D87CCD34B3}" type="presOf" srcId="{F9CA2983-FB5C-47AB-9982-68772450B554}" destId="{B8FA73CD-A752-4D14-BFCF-65B1A7F418FD}" srcOrd="0" destOrd="0" presId="urn:microsoft.com/office/officeart/2005/8/layout/radial6"/>
    <dgm:cxn modelId="{0C2727D7-F74A-4226-AC3F-E8629E6FC771}" srcId="{63D220AE-A980-43F6-9F6B-B05C73D2D418}" destId="{4B49A0AD-A228-4544-917C-52C77BF89CFC}" srcOrd="0" destOrd="0" parTransId="{D453F4F0-E448-42B8-B04F-9D2F1D9D22E8}" sibTransId="{E2A2BAEF-8608-480C-BD39-70AF542F6A6E}"/>
    <dgm:cxn modelId="{765A9F4E-B352-4AD3-8DE5-5CCE1969F219}" type="presParOf" srcId="{61527106-F5FB-41F4-9D22-7CACE7A9540E}" destId="{73567145-274B-4D51-9F05-6EBB9C3F691A}" srcOrd="0" destOrd="0" presId="urn:microsoft.com/office/officeart/2005/8/layout/radial6"/>
    <dgm:cxn modelId="{3D039BBE-A839-4A1D-9E8D-ED493CE004A4}" type="presParOf" srcId="{61527106-F5FB-41F4-9D22-7CACE7A9540E}" destId="{698856A8-6DF9-4BF9-96C0-1CB7FDD256A3}" srcOrd="1" destOrd="0" presId="urn:microsoft.com/office/officeart/2005/8/layout/radial6"/>
    <dgm:cxn modelId="{1227FC83-ABD6-4558-A953-AAD932CF4A12}" type="presParOf" srcId="{61527106-F5FB-41F4-9D22-7CACE7A9540E}" destId="{20DB83C4-18E3-47E8-BF08-5073ED7C5655}" srcOrd="2" destOrd="0" presId="urn:microsoft.com/office/officeart/2005/8/layout/radial6"/>
    <dgm:cxn modelId="{92E872CB-59A9-4EBA-9BCE-EC1237E1880E}" type="presParOf" srcId="{61527106-F5FB-41F4-9D22-7CACE7A9540E}" destId="{5BFE9CDC-0CFE-4927-9649-D7E1244037D0}" srcOrd="3" destOrd="0" presId="urn:microsoft.com/office/officeart/2005/8/layout/radial6"/>
    <dgm:cxn modelId="{99C7C42A-610D-42E7-BFAD-2B1854E7F0ED}" type="presParOf" srcId="{61527106-F5FB-41F4-9D22-7CACE7A9540E}" destId="{A902A366-534E-4DBF-B7D6-443B1922C920}" srcOrd="4" destOrd="0" presId="urn:microsoft.com/office/officeart/2005/8/layout/radial6"/>
    <dgm:cxn modelId="{AB355977-341A-4D49-9A35-65BE83E845D7}" type="presParOf" srcId="{61527106-F5FB-41F4-9D22-7CACE7A9540E}" destId="{49C82FF9-1856-4A00-B6CB-7F56415F734E}" srcOrd="5" destOrd="0" presId="urn:microsoft.com/office/officeart/2005/8/layout/radial6"/>
    <dgm:cxn modelId="{97333A53-C540-423B-9BD9-B6B2ED18A0B1}" type="presParOf" srcId="{61527106-F5FB-41F4-9D22-7CACE7A9540E}" destId="{B8FA73CD-A752-4D14-BFCF-65B1A7F418FD}" srcOrd="6" destOrd="0" presId="urn:microsoft.com/office/officeart/2005/8/layout/radial6"/>
    <dgm:cxn modelId="{A3B7213E-BC4C-441D-815E-B25D606FDA3F}" type="presParOf" srcId="{61527106-F5FB-41F4-9D22-7CACE7A9540E}" destId="{AE227DDC-5583-4FB1-BB46-A1EE6BBEFCEE}" srcOrd="7" destOrd="0" presId="urn:microsoft.com/office/officeart/2005/8/layout/radial6"/>
    <dgm:cxn modelId="{2E262AA1-BE29-462B-A28D-8140BB215F37}" type="presParOf" srcId="{61527106-F5FB-41F4-9D22-7CACE7A9540E}" destId="{AEA49F8D-F363-416E-89C2-7661A8466271}" srcOrd="8" destOrd="0" presId="urn:microsoft.com/office/officeart/2005/8/layout/radial6"/>
    <dgm:cxn modelId="{3E21D9B7-FB6C-4F41-8C1C-159FF93E47E5}" type="presParOf" srcId="{61527106-F5FB-41F4-9D22-7CACE7A9540E}" destId="{CF3C82D0-4F91-4A48-BEEE-9EFBDAB0E8CC}" srcOrd="9" destOrd="0" presId="urn:microsoft.com/office/officeart/2005/8/layout/radial6"/>
    <dgm:cxn modelId="{1C15FBA6-0790-4CAD-B42B-76E2D99F7A0C}" type="presParOf" srcId="{61527106-F5FB-41F4-9D22-7CACE7A9540E}" destId="{89EDB68F-FBD1-4878-80A2-68D4F81DECE9}" srcOrd="10" destOrd="0" presId="urn:microsoft.com/office/officeart/2005/8/layout/radial6"/>
    <dgm:cxn modelId="{F48BE577-5A50-44E1-9D4A-A541B69D1ABE}" type="presParOf" srcId="{61527106-F5FB-41F4-9D22-7CACE7A9540E}" destId="{A5031E8E-CC97-4C83-A997-E651AD7319AE}" srcOrd="11" destOrd="0" presId="urn:microsoft.com/office/officeart/2005/8/layout/radial6"/>
    <dgm:cxn modelId="{226058E4-5F26-4E5B-86E2-FFCAE570C9F1}" type="presParOf" srcId="{61527106-F5FB-41F4-9D22-7CACE7A9540E}" destId="{536E9A0F-E684-4781-A2F8-6D978CA5013B}" srcOrd="12" destOrd="0" presId="urn:microsoft.com/office/officeart/2005/8/layout/radial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6E9A0F-E684-4781-A2F8-6D978CA5013B}">
      <dsp:nvSpPr>
        <dsp:cNvPr id="0" name=""/>
        <dsp:cNvSpPr/>
      </dsp:nvSpPr>
      <dsp:spPr>
        <a:xfrm>
          <a:off x="1511940" y="368940"/>
          <a:ext cx="2462518" cy="2462518"/>
        </a:xfrm>
        <a:prstGeom prst="blockArc">
          <a:avLst>
            <a:gd name="adj1" fmla="val 10800000"/>
            <a:gd name="adj2" fmla="val 162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F3C82D0-4F91-4A48-BEEE-9EFBDAB0E8CC}">
      <dsp:nvSpPr>
        <dsp:cNvPr id="0" name=""/>
        <dsp:cNvSpPr/>
      </dsp:nvSpPr>
      <dsp:spPr>
        <a:xfrm>
          <a:off x="1511940" y="368940"/>
          <a:ext cx="2462518" cy="2462518"/>
        </a:xfrm>
        <a:prstGeom prst="blockArc">
          <a:avLst>
            <a:gd name="adj1" fmla="val 5400000"/>
            <a:gd name="adj2" fmla="val 108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8FA73CD-A752-4D14-BFCF-65B1A7F418FD}">
      <dsp:nvSpPr>
        <dsp:cNvPr id="0" name=""/>
        <dsp:cNvSpPr/>
      </dsp:nvSpPr>
      <dsp:spPr>
        <a:xfrm>
          <a:off x="1511940" y="368940"/>
          <a:ext cx="2462518" cy="2462518"/>
        </a:xfrm>
        <a:prstGeom prst="blockArc">
          <a:avLst>
            <a:gd name="adj1" fmla="val 0"/>
            <a:gd name="adj2" fmla="val 540000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BFE9CDC-0CFE-4927-9649-D7E1244037D0}">
      <dsp:nvSpPr>
        <dsp:cNvPr id="0" name=""/>
        <dsp:cNvSpPr/>
      </dsp:nvSpPr>
      <dsp:spPr>
        <a:xfrm>
          <a:off x="1511940" y="368940"/>
          <a:ext cx="2462518" cy="2462518"/>
        </a:xfrm>
        <a:prstGeom prst="blockArc">
          <a:avLst>
            <a:gd name="adj1" fmla="val 16200000"/>
            <a:gd name="adj2" fmla="val 0"/>
            <a:gd name="adj3" fmla="val 463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3567145-274B-4D51-9F05-6EBB9C3F691A}">
      <dsp:nvSpPr>
        <dsp:cNvPr id="0" name=""/>
        <dsp:cNvSpPr/>
      </dsp:nvSpPr>
      <dsp:spPr>
        <a:xfrm>
          <a:off x="2176611" y="1033611"/>
          <a:ext cx="1133177" cy="113317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t>Competencia entre Franquicias(alta)</a:t>
          </a:r>
        </a:p>
      </dsp:txBody>
      <dsp:txXfrm>
        <a:off x="2342561" y="1199561"/>
        <a:ext cx="801277" cy="801277"/>
      </dsp:txXfrm>
    </dsp:sp>
    <dsp:sp modelId="{698856A8-6DF9-4BF9-96C0-1CB7FDD256A3}">
      <dsp:nvSpPr>
        <dsp:cNvPr id="0" name=""/>
        <dsp:cNvSpPr/>
      </dsp:nvSpPr>
      <dsp:spPr>
        <a:xfrm>
          <a:off x="2346587" y="884"/>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Poder de negociacion de los clientes (moderado a alto)</a:t>
          </a:r>
        </a:p>
      </dsp:txBody>
      <dsp:txXfrm>
        <a:off x="2462752" y="117049"/>
        <a:ext cx="560894" cy="560894"/>
      </dsp:txXfrm>
    </dsp:sp>
    <dsp:sp modelId="{A902A366-534E-4DBF-B7D6-443B1922C920}">
      <dsp:nvSpPr>
        <dsp:cNvPr id="0" name=""/>
        <dsp:cNvSpPr/>
      </dsp:nvSpPr>
      <dsp:spPr>
        <a:xfrm>
          <a:off x="3549290" y="1203587"/>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Poder de negociacion de los proveedores (moderado)</a:t>
          </a:r>
        </a:p>
      </dsp:txBody>
      <dsp:txXfrm>
        <a:off x="3665455" y="1319752"/>
        <a:ext cx="560894" cy="560894"/>
      </dsp:txXfrm>
    </dsp:sp>
    <dsp:sp modelId="{AE227DDC-5583-4FB1-BB46-A1EE6BBEFCEE}">
      <dsp:nvSpPr>
        <dsp:cNvPr id="0" name=""/>
        <dsp:cNvSpPr/>
      </dsp:nvSpPr>
      <dsp:spPr>
        <a:xfrm>
          <a:off x="2346587" y="2406290"/>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Amenaza productos sustitutos (alta)</a:t>
          </a:r>
        </a:p>
      </dsp:txBody>
      <dsp:txXfrm>
        <a:off x="2462752" y="2522455"/>
        <a:ext cx="560894" cy="560894"/>
      </dsp:txXfrm>
    </dsp:sp>
    <dsp:sp modelId="{89EDB68F-FBD1-4878-80A2-68D4F81DECE9}">
      <dsp:nvSpPr>
        <dsp:cNvPr id="0" name=""/>
        <dsp:cNvSpPr/>
      </dsp:nvSpPr>
      <dsp:spPr>
        <a:xfrm>
          <a:off x="1143884" y="1203587"/>
          <a:ext cx="793224" cy="79322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Amenaza de nuevos entrantes (Moderada)</a:t>
          </a:r>
        </a:p>
      </dsp:txBody>
      <dsp:txXfrm>
        <a:off x="1260049" y="1319752"/>
        <a:ext cx="560894" cy="560894"/>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49D52-38D4-4A63-83C6-50942DDA2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30595</Words>
  <Characters>168273</Characters>
  <Application>Microsoft Office Word</Application>
  <DocSecurity>0</DocSecurity>
  <Lines>1402</Lines>
  <Paragraphs>396</Paragraphs>
  <ScaleCrop>false</ScaleCrop>
  <Company/>
  <LinksUpToDate>false</LinksUpToDate>
  <CharactersWithSpaces>198472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coria</dc:creator>
  <cp:keywords/>
  <dc:description/>
  <cp:lastModifiedBy>MBA</cp:lastModifiedBy>
  <cp:revision>16</cp:revision>
  <dcterms:created xsi:type="dcterms:W3CDTF">2026-01-20T01:45:00Z</dcterms:created>
  <dcterms:modified xsi:type="dcterms:W3CDTF">2026-09-23T21:35:00Z</dcterms:modified>
</cp:coreProperties>
</file>