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52BE5" w14:textId="62C42116" w:rsidR="00C75DEB" w:rsidRPr="00111094" w:rsidRDefault="001E4612" w:rsidP="001E4612">
      <w:pPr>
        <w:ind w:left="2193" w:right="-3542" w:firstLine="687"/>
        <w:rPr>
          <w:rFonts w:ascii="Times New Roman" w:eastAsia="Arial" w:hAnsi="Times New Roman" w:cs="Times New Roman"/>
          <w:b/>
          <w:sz w:val="28"/>
          <w:szCs w:val="28"/>
        </w:rPr>
      </w:pPr>
      <w:r w:rsidRPr="00111094">
        <w:rPr>
          <w:rFonts w:ascii="Times New Roman" w:eastAsia="Arial" w:hAnsi="Times New Roman" w:cs="Times New Roman"/>
          <w:b/>
          <w:sz w:val="28"/>
          <w:szCs w:val="28"/>
        </w:rPr>
        <w:t xml:space="preserve">     </w:t>
      </w:r>
      <w:r w:rsidR="00C75DEB" w:rsidRPr="00111094">
        <w:rPr>
          <w:rFonts w:ascii="Times New Roman" w:eastAsia="Arial" w:hAnsi="Times New Roman" w:cs="Times New Roman"/>
          <w:b/>
          <w:sz w:val="28"/>
          <w:szCs w:val="28"/>
        </w:rPr>
        <w:t>PLAN DE NEGOCIOS</w:t>
      </w:r>
    </w:p>
    <w:p w14:paraId="3601CBE8" w14:textId="77777777" w:rsidR="00C75DEB" w:rsidRPr="00111094" w:rsidRDefault="00C75DEB" w:rsidP="00C75DEB">
      <w:pPr>
        <w:jc w:val="center"/>
        <w:rPr>
          <w:rFonts w:ascii="Times New Roman" w:eastAsia="Arial" w:hAnsi="Times New Roman" w:cs="Times New Roman"/>
          <w:b/>
        </w:rPr>
      </w:pPr>
    </w:p>
    <w:p w14:paraId="7DF84357" w14:textId="77777777" w:rsidR="00C75DEB" w:rsidRPr="00111094" w:rsidRDefault="00C75DEB" w:rsidP="00C75DEB">
      <w:pPr>
        <w:jc w:val="center"/>
        <w:rPr>
          <w:rFonts w:ascii="Times New Roman" w:eastAsia="Arial" w:hAnsi="Times New Roman" w:cs="Times New Roman"/>
          <w:b/>
        </w:rPr>
      </w:pPr>
      <w:r w:rsidRPr="00111094">
        <w:rPr>
          <w:rFonts w:ascii="Times New Roman" w:eastAsia="Arial" w:hAnsi="Times New Roman" w:cs="Times New Roman"/>
          <w:b/>
          <w:noProof/>
          <w:lang w:eastAsia="es-AR"/>
        </w:rPr>
        <w:drawing>
          <wp:anchor distT="0" distB="0" distL="114300" distR="114300" simplePos="0" relativeHeight="251658240" behindDoc="0" locked="0" layoutInCell="1" hidden="0" allowOverlap="1" wp14:anchorId="1B49E62E" wp14:editId="7D103EC2">
            <wp:simplePos x="0" y="0"/>
            <wp:positionH relativeFrom="margin">
              <wp:align>center</wp:align>
            </wp:positionH>
            <wp:positionV relativeFrom="margin">
              <wp:posOffset>415925</wp:posOffset>
            </wp:positionV>
            <wp:extent cx="1028700" cy="1028700"/>
            <wp:effectExtent l="0" t="0" r="0" b="0"/>
            <wp:wrapSquare wrapText="bothSides"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28700" cy="1028700"/>
                    </a:xfrm>
                    <a:prstGeom prst="rect">
                      <a:avLst/>
                    </a:prstGeom>
                    <a:ln/>
                  </pic:spPr>
                </pic:pic>
              </a:graphicData>
            </a:graphic>
          </wp:anchor>
        </w:drawing>
      </w:r>
    </w:p>
    <w:p w14:paraId="383C6C6C" w14:textId="77777777" w:rsidR="00C75DEB" w:rsidRPr="00111094" w:rsidRDefault="00C75DEB" w:rsidP="00C75DEB">
      <w:pPr>
        <w:jc w:val="center"/>
        <w:rPr>
          <w:rFonts w:ascii="Times New Roman" w:eastAsia="Arial" w:hAnsi="Times New Roman" w:cs="Times New Roman"/>
          <w:b/>
        </w:rPr>
      </w:pPr>
    </w:p>
    <w:p w14:paraId="011842FB" w14:textId="77777777" w:rsidR="00C75DEB" w:rsidRPr="00111094" w:rsidRDefault="00C75DEB" w:rsidP="00C75DEB">
      <w:pPr>
        <w:rPr>
          <w:rFonts w:ascii="Times New Roman" w:hAnsi="Times New Roman" w:cs="Times New Roman"/>
        </w:rPr>
      </w:pPr>
    </w:p>
    <w:p w14:paraId="1ACE3F33" w14:textId="77777777" w:rsidR="00C75DEB" w:rsidRPr="00111094" w:rsidRDefault="00C75DEB" w:rsidP="00C75DEB">
      <w:pPr>
        <w:jc w:val="center"/>
        <w:rPr>
          <w:rFonts w:ascii="Times New Roman" w:eastAsia="Arial" w:hAnsi="Times New Roman" w:cs="Times New Roman"/>
          <w:b/>
          <w:sz w:val="28"/>
          <w:szCs w:val="28"/>
        </w:rPr>
      </w:pPr>
    </w:p>
    <w:p w14:paraId="01507EDA" w14:textId="77777777" w:rsidR="00C75DEB" w:rsidRPr="00111094" w:rsidRDefault="00C75DEB" w:rsidP="00C75DEB">
      <w:pPr>
        <w:tabs>
          <w:tab w:val="center" w:pos="4320"/>
          <w:tab w:val="left" w:pos="6880"/>
        </w:tabs>
        <w:jc w:val="cente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Universidad de Palermo</w:t>
      </w:r>
    </w:p>
    <w:p w14:paraId="2BA9A4DC" w14:textId="58DCF395" w:rsidR="00C75DEB" w:rsidRPr="00111094" w:rsidRDefault="007038D7" w:rsidP="00C75DEB">
      <w:pPr>
        <w:jc w:val="cente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Máster</w:t>
      </w:r>
      <w:r w:rsidR="00C75DEB" w:rsidRPr="00111094">
        <w:rPr>
          <w:rFonts w:ascii="Times New Roman" w:eastAsia="Times New Roman" w:hAnsi="Times New Roman" w:cs="Times New Roman"/>
          <w:b/>
          <w:sz w:val="28"/>
          <w:szCs w:val="28"/>
        </w:rPr>
        <w:t xml:space="preserve"> en Dirección de Empresas</w:t>
      </w:r>
    </w:p>
    <w:p w14:paraId="26265E4F" w14:textId="77777777" w:rsidR="00C75DEB" w:rsidRPr="00111094" w:rsidRDefault="00C75DEB" w:rsidP="00C75DEB">
      <w:pPr>
        <w:jc w:val="center"/>
        <w:rPr>
          <w:rFonts w:ascii="Times New Roman" w:eastAsia="Times New Roman" w:hAnsi="Times New Roman" w:cs="Times New Roman"/>
          <w:b/>
          <w:sz w:val="28"/>
          <w:szCs w:val="28"/>
        </w:rPr>
      </w:pPr>
    </w:p>
    <w:p w14:paraId="28FCB862" w14:textId="77777777" w:rsidR="00C75DEB" w:rsidRPr="00111094" w:rsidRDefault="00C75DEB" w:rsidP="00C75DEB">
      <w:pPr>
        <w:jc w:val="cente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Anteproyecto para optar al grado de Máster de la Universidad de Palermo en Dirección de Empresas</w:t>
      </w:r>
    </w:p>
    <w:p w14:paraId="06E315CE" w14:textId="77777777" w:rsidR="00C75DEB" w:rsidRPr="00111094" w:rsidRDefault="00C75DEB" w:rsidP="00C75DEB">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p>
    <w:p w14:paraId="0FFD643D" w14:textId="5FC07108" w:rsidR="00C75DEB" w:rsidRPr="00111094" w:rsidRDefault="00C75DEB" w:rsidP="00C75DEB">
      <w:pPr>
        <w:pBdr>
          <w:top w:val="nil"/>
          <w:left w:val="nil"/>
          <w:bottom w:val="nil"/>
          <w:right w:val="nil"/>
          <w:between w:val="nil"/>
        </w:pBdr>
        <w:spacing w:line="360" w:lineRule="auto"/>
        <w:jc w:val="center"/>
        <w:rPr>
          <w:rFonts w:ascii="Times New Roman" w:eastAsia="Times New Roman" w:hAnsi="Times New Roman" w:cs="Times New Roman"/>
          <w:b/>
          <w:color w:val="1F497D"/>
          <w:sz w:val="32"/>
          <w:szCs w:val="32"/>
        </w:rPr>
      </w:pPr>
      <w:r w:rsidRPr="00111094">
        <w:rPr>
          <w:rFonts w:ascii="Times New Roman" w:eastAsia="Times New Roman" w:hAnsi="Times New Roman" w:cs="Times New Roman"/>
          <w:b/>
          <w:color w:val="1F497D"/>
          <w:sz w:val="32"/>
          <w:szCs w:val="32"/>
        </w:rPr>
        <w:t xml:space="preserve">Plan de Negocios: Nueva Unidad de Servicios – Depósito Fiscal en TASA Logística. </w:t>
      </w:r>
    </w:p>
    <w:p w14:paraId="42D6FA19" w14:textId="77777777" w:rsidR="00C75DEB" w:rsidRPr="00111094" w:rsidRDefault="00C75DEB" w:rsidP="00C75DEB">
      <w:pPr>
        <w:pBdr>
          <w:top w:val="nil"/>
          <w:left w:val="nil"/>
          <w:bottom w:val="nil"/>
          <w:right w:val="nil"/>
          <w:between w:val="nil"/>
        </w:pBdr>
        <w:jc w:val="center"/>
        <w:rPr>
          <w:rFonts w:ascii="Times New Roman" w:eastAsia="Times New Roman" w:hAnsi="Times New Roman" w:cs="Times New Roman"/>
          <w:b/>
          <w:color w:val="000000"/>
          <w:sz w:val="28"/>
          <w:szCs w:val="28"/>
        </w:rPr>
      </w:pPr>
    </w:p>
    <w:p w14:paraId="4C45793B" w14:textId="573DE245" w:rsidR="00C75DEB" w:rsidRPr="00111094" w:rsidRDefault="00C75DEB" w:rsidP="00C75DEB">
      <w:pPr>
        <w:tabs>
          <w:tab w:val="center" w:pos="4153"/>
        </w:tabs>
        <w:rPr>
          <w:rFonts w:ascii="Times New Roman" w:eastAsia="Times New Roman" w:hAnsi="Times New Roman" w:cs="Times New Roman"/>
          <w:b/>
          <w:color w:val="000000" w:themeColor="text1"/>
          <w:sz w:val="28"/>
          <w:szCs w:val="28"/>
        </w:rPr>
      </w:pPr>
      <w:r w:rsidRPr="00111094">
        <w:rPr>
          <w:rFonts w:ascii="Times New Roman" w:eastAsia="Times New Roman" w:hAnsi="Times New Roman" w:cs="Times New Roman"/>
          <w:b/>
          <w:color w:val="1F497D"/>
          <w:sz w:val="28"/>
          <w:szCs w:val="28"/>
        </w:rPr>
        <w:t xml:space="preserve">Tesista: </w:t>
      </w:r>
      <w:r w:rsidRPr="00111094">
        <w:rPr>
          <w:rFonts w:ascii="Times New Roman" w:eastAsia="Times New Roman" w:hAnsi="Times New Roman" w:cs="Times New Roman"/>
          <w:b/>
          <w:color w:val="000000" w:themeColor="text1"/>
          <w:sz w:val="28"/>
          <w:szCs w:val="28"/>
        </w:rPr>
        <w:t>Licenciada en Comercialización</w:t>
      </w:r>
      <w:r w:rsidR="00990765" w:rsidRPr="00111094">
        <w:rPr>
          <w:rFonts w:ascii="Times New Roman" w:eastAsia="Times New Roman" w:hAnsi="Times New Roman" w:cs="Times New Roman"/>
          <w:b/>
          <w:color w:val="000000" w:themeColor="text1"/>
          <w:sz w:val="28"/>
          <w:szCs w:val="28"/>
        </w:rPr>
        <w:t>,</w:t>
      </w:r>
      <w:r w:rsidRPr="00111094">
        <w:rPr>
          <w:rFonts w:ascii="Times New Roman" w:eastAsia="Times New Roman" w:hAnsi="Times New Roman" w:cs="Times New Roman"/>
          <w:b/>
          <w:color w:val="000000" w:themeColor="text1"/>
          <w:sz w:val="28"/>
          <w:szCs w:val="28"/>
        </w:rPr>
        <w:t xml:space="preserve"> Marina Andrea Gomez</w:t>
      </w:r>
    </w:p>
    <w:p w14:paraId="20E2BD4A" w14:textId="3AC085F3" w:rsidR="00C75DEB" w:rsidRPr="00111094" w:rsidRDefault="00C75DEB" w:rsidP="00C75DEB">
      <w:pPr>
        <w:tabs>
          <w:tab w:val="center" w:pos="4153"/>
        </w:tabs>
        <w:rPr>
          <w:rFonts w:ascii="Times New Roman" w:eastAsia="Times New Roman" w:hAnsi="Times New Roman" w:cs="Times New Roman"/>
          <w:b/>
          <w:color w:val="1F497D"/>
          <w:sz w:val="28"/>
          <w:szCs w:val="28"/>
        </w:rPr>
      </w:pPr>
      <w:r w:rsidRPr="00111094">
        <w:rPr>
          <w:rFonts w:ascii="Times New Roman" w:eastAsia="Times New Roman" w:hAnsi="Times New Roman" w:cs="Times New Roman"/>
          <w:b/>
          <w:color w:val="1F497D"/>
          <w:sz w:val="28"/>
          <w:szCs w:val="28"/>
        </w:rPr>
        <w:t xml:space="preserve">E-mail: </w:t>
      </w:r>
      <w:hyperlink r:id="rId10" w:history="1">
        <w:r w:rsidRPr="00111094">
          <w:rPr>
            <w:rStyle w:val="Hipervnculo"/>
            <w:rFonts w:ascii="Times New Roman" w:eastAsia="Times New Roman" w:hAnsi="Times New Roman" w:cs="Times New Roman"/>
            <w:b/>
            <w:sz w:val="28"/>
            <w:szCs w:val="28"/>
          </w:rPr>
          <w:t>mgomez@tasalogistica.com.ar</w:t>
        </w:r>
      </w:hyperlink>
      <w:r w:rsidRPr="00111094">
        <w:rPr>
          <w:rFonts w:ascii="Times New Roman" w:eastAsia="Times New Roman" w:hAnsi="Times New Roman" w:cs="Times New Roman"/>
          <w:b/>
          <w:color w:val="1F497D"/>
          <w:sz w:val="28"/>
          <w:szCs w:val="28"/>
        </w:rPr>
        <w:t xml:space="preserve"> – </w:t>
      </w:r>
      <w:hyperlink r:id="rId11" w:history="1">
        <w:r w:rsidR="00990765" w:rsidRPr="00111094">
          <w:rPr>
            <w:rStyle w:val="Hipervnculo"/>
            <w:rFonts w:ascii="Times New Roman" w:eastAsia="Times New Roman" w:hAnsi="Times New Roman" w:cs="Times New Roman"/>
            <w:b/>
            <w:sz w:val="28"/>
            <w:szCs w:val="28"/>
          </w:rPr>
          <w:t>marunoeg@gmail.com</w:t>
        </w:r>
      </w:hyperlink>
      <w:r w:rsidR="00990765" w:rsidRPr="00111094">
        <w:rPr>
          <w:rFonts w:ascii="Times New Roman" w:eastAsia="Times New Roman" w:hAnsi="Times New Roman" w:cs="Times New Roman"/>
          <w:b/>
          <w:color w:val="1F497D"/>
          <w:sz w:val="28"/>
          <w:szCs w:val="28"/>
        </w:rPr>
        <w:t xml:space="preserve"> </w:t>
      </w:r>
    </w:p>
    <w:p w14:paraId="38863CD9" w14:textId="77777777" w:rsidR="00C75DEB" w:rsidRPr="00111094" w:rsidRDefault="00C75DEB" w:rsidP="00C75DEB">
      <w:pPr>
        <w:rPr>
          <w:rFonts w:ascii="Times New Roman" w:eastAsia="Times New Roman" w:hAnsi="Times New Roman" w:cs="Times New Roman"/>
          <w:b/>
          <w:color w:val="1F497D"/>
          <w:sz w:val="28"/>
          <w:szCs w:val="28"/>
        </w:rPr>
      </w:pPr>
      <w:r w:rsidRPr="00111094">
        <w:rPr>
          <w:rFonts w:ascii="Times New Roman" w:eastAsia="Times New Roman" w:hAnsi="Times New Roman" w:cs="Times New Roman"/>
          <w:b/>
          <w:color w:val="1F497D"/>
          <w:sz w:val="28"/>
          <w:szCs w:val="28"/>
        </w:rPr>
        <w:t xml:space="preserve">Legajo: </w:t>
      </w:r>
      <w:r w:rsidRPr="00111094">
        <w:rPr>
          <w:rFonts w:ascii="Times New Roman" w:eastAsia="Times New Roman" w:hAnsi="Times New Roman" w:cs="Times New Roman"/>
          <w:b/>
          <w:bCs/>
          <w:color w:val="1F497D"/>
          <w:sz w:val="28"/>
          <w:szCs w:val="28"/>
        </w:rPr>
        <w:t>0141131</w:t>
      </w:r>
    </w:p>
    <w:p w14:paraId="769196CA" w14:textId="77AE1253" w:rsidR="00C75DEB" w:rsidRPr="00111094" w:rsidRDefault="00C75DEB" w:rsidP="00C75DEB">
      <w:pP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Director de Tesis Propuesto:</w:t>
      </w:r>
      <w:r w:rsidR="00CF3A2A" w:rsidRPr="00111094">
        <w:rPr>
          <w:rFonts w:ascii="Times New Roman" w:eastAsia="Times New Roman" w:hAnsi="Times New Roman" w:cs="Times New Roman"/>
          <w:b/>
          <w:sz w:val="28"/>
          <w:szCs w:val="28"/>
        </w:rPr>
        <w:t xml:space="preserve"> Gerardo Tapia</w:t>
      </w:r>
      <w:r w:rsidRPr="00111094">
        <w:rPr>
          <w:rFonts w:ascii="Times New Roman" w:eastAsia="Times New Roman" w:hAnsi="Times New Roman" w:cs="Times New Roman"/>
          <w:b/>
          <w:sz w:val="28"/>
          <w:szCs w:val="28"/>
        </w:rPr>
        <w:t xml:space="preserve"> </w:t>
      </w:r>
    </w:p>
    <w:p w14:paraId="1C11C04A" w14:textId="28693C8A" w:rsidR="00990765" w:rsidRPr="00111094" w:rsidRDefault="00990765" w:rsidP="00C75DEB">
      <w:pP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Fecha:</w:t>
      </w:r>
      <w:r w:rsidR="00CF3A2A" w:rsidRPr="00111094">
        <w:rPr>
          <w:rFonts w:ascii="Times New Roman" w:eastAsia="Times New Roman" w:hAnsi="Times New Roman" w:cs="Times New Roman"/>
          <w:b/>
          <w:sz w:val="28"/>
          <w:szCs w:val="28"/>
        </w:rPr>
        <w:t xml:space="preserve"> </w:t>
      </w:r>
      <w:r w:rsidR="004907A7" w:rsidRPr="00111094">
        <w:rPr>
          <w:rFonts w:ascii="Times New Roman" w:eastAsia="Times New Roman" w:hAnsi="Times New Roman" w:cs="Times New Roman"/>
          <w:b/>
          <w:sz w:val="28"/>
          <w:szCs w:val="28"/>
        </w:rPr>
        <w:t xml:space="preserve">15 de Diciembre de </w:t>
      </w:r>
      <w:r w:rsidR="00CF3A2A" w:rsidRPr="00111094">
        <w:rPr>
          <w:rFonts w:ascii="Times New Roman" w:eastAsia="Times New Roman" w:hAnsi="Times New Roman" w:cs="Times New Roman"/>
          <w:b/>
          <w:sz w:val="28"/>
          <w:szCs w:val="28"/>
        </w:rPr>
        <w:t>2025</w:t>
      </w:r>
    </w:p>
    <w:p w14:paraId="5A8C78B7" w14:textId="0226581B" w:rsidR="00990765" w:rsidRPr="00111094" w:rsidRDefault="00990765" w:rsidP="00C75DEB">
      <w:pPr>
        <w:rPr>
          <w:rFonts w:ascii="Times New Roman" w:eastAsia="Times New Roman" w:hAnsi="Times New Roman" w:cs="Times New Roman"/>
          <w:b/>
          <w:sz w:val="28"/>
          <w:szCs w:val="28"/>
        </w:rPr>
      </w:pPr>
      <w:r w:rsidRPr="00111094">
        <w:rPr>
          <w:rFonts w:ascii="Times New Roman" w:eastAsia="Times New Roman" w:hAnsi="Times New Roman" w:cs="Times New Roman"/>
          <w:b/>
          <w:sz w:val="28"/>
          <w:szCs w:val="28"/>
        </w:rPr>
        <w:t>Buen</w:t>
      </w:r>
      <w:r w:rsidR="00EB7997" w:rsidRPr="00111094">
        <w:rPr>
          <w:rFonts w:ascii="Times New Roman" w:eastAsia="Times New Roman" w:hAnsi="Times New Roman" w:cs="Times New Roman"/>
          <w:b/>
          <w:sz w:val="28"/>
          <w:szCs w:val="28"/>
        </w:rPr>
        <w:t>os Aires - Argentina</w:t>
      </w:r>
    </w:p>
    <w:p w14:paraId="674FFBB2" w14:textId="77777777" w:rsidR="00C75DEB" w:rsidRPr="00111094" w:rsidRDefault="00C75DEB" w:rsidP="00C75DEB">
      <w:pPr>
        <w:rPr>
          <w:rFonts w:ascii="Times New Roman" w:eastAsia="Times New Roman" w:hAnsi="Times New Roman" w:cs="Times New Roman"/>
        </w:rPr>
      </w:pPr>
    </w:p>
    <w:p w14:paraId="0277C744" w14:textId="3ABDB1B3" w:rsidR="005B545C" w:rsidRPr="00111094" w:rsidRDefault="005B545C">
      <w:pPr>
        <w:rPr>
          <w:rFonts w:ascii="Times New Roman" w:eastAsia="Times New Roman" w:hAnsi="Times New Roman" w:cs="Times New Roman"/>
        </w:rPr>
      </w:pPr>
      <w:r w:rsidRPr="00111094">
        <w:rPr>
          <w:rFonts w:ascii="Times New Roman" w:eastAsia="Times New Roman" w:hAnsi="Times New Roman" w:cs="Times New Roman"/>
        </w:rPr>
        <w:br w:type="page"/>
      </w:r>
    </w:p>
    <w:sdt>
      <w:sdtPr>
        <w:rPr>
          <w:rFonts w:ascii="Times New Roman" w:eastAsiaTheme="minorEastAsia" w:hAnsi="Times New Roman" w:cs="Times New Roman"/>
          <w:b w:val="0"/>
          <w:bCs w:val="0"/>
          <w:color w:val="4F81BD" w:themeColor="accent1"/>
          <w:w w:val="60"/>
          <w:sz w:val="40"/>
          <w:szCs w:val="40"/>
        </w:rPr>
        <w:id w:val="-2103792463"/>
        <w:docPartObj>
          <w:docPartGallery w:val="Table of Contents"/>
          <w:docPartUnique/>
        </w:docPartObj>
      </w:sdtPr>
      <w:sdtEndPr>
        <w:rPr>
          <w:color w:val="auto"/>
          <w:w w:val="100"/>
          <w:sz w:val="24"/>
          <w:szCs w:val="24"/>
        </w:rPr>
      </w:sdtEndPr>
      <w:sdtContent>
        <w:p w14:paraId="549B156F" w14:textId="0841AE38" w:rsidR="00990765" w:rsidRPr="00111094" w:rsidRDefault="00685AE5">
          <w:pPr>
            <w:pStyle w:val="TtulodeTDC"/>
            <w:rPr>
              <w:rFonts w:ascii="Times New Roman" w:hAnsi="Times New Roman" w:cs="Times New Roman"/>
              <w:color w:val="4F81BD" w:themeColor="accent1"/>
              <w:w w:val="60"/>
              <w:sz w:val="40"/>
              <w:szCs w:val="40"/>
            </w:rPr>
          </w:pPr>
          <w:r w:rsidRPr="00111094">
            <w:rPr>
              <w:rFonts w:ascii="Times New Roman" w:hAnsi="Times New Roman" w:cs="Times New Roman"/>
              <w:color w:val="4F81BD" w:themeColor="accent1"/>
              <w:w w:val="60"/>
              <w:sz w:val="40"/>
              <w:szCs w:val="40"/>
            </w:rPr>
            <w:t>TABLA DE CONTENIDO</w:t>
          </w:r>
        </w:p>
        <w:p w14:paraId="17E0E4F4" w14:textId="39F0339F" w:rsidR="00434847" w:rsidRDefault="00990765">
          <w:pPr>
            <w:pStyle w:val="TDC1"/>
            <w:tabs>
              <w:tab w:val="right" w:leader="dot" w:pos="9350"/>
            </w:tabs>
            <w:rPr>
              <w:noProof/>
              <w:kern w:val="2"/>
              <w:sz w:val="24"/>
              <w:szCs w:val="24"/>
              <w:lang w:val="es-MX" w:eastAsia="es-MX"/>
              <w14:ligatures w14:val="standardContextual"/>
            </w:rPr>
          </w:pPr>
          <w:r w:rsidRPr="00111094">
            <w:rPr>
              <w:rFonts w:ascii="Times New Roman" w:hAnsi="Times New Roman" w:cs="Times New Roman"/>
              <w:sz w:val="24"/>
              <w:szCs w:val="24"/>
            </w:rPr>
            <w:fldChar w:fldCharType="begin"/>
          </w:r>
          <w:r w:rsidRPr="00111094">
            <w:rPr>
              <w:rFonts w:ascii="Times New Roman" w:hAnsi="Times New Roman" w:cs="Times New Roman"/>
              <w:sz w:val="24"/>
              <w:szCs w:val="24"/>
            </w:rPr>
            <w:instrText xml:space="preserve"> TOC \o "1-3" \h \z \u </w:instrText>
          </w:r>
          <w:r w:rsidRPr="00111094">
            <w:rPr>
              <w:rFonts w:ascii="Times New Roman" w:hAnsi="Times New Roman" w:cs="Times New Roman"/>
              <w:sz w:val="24"/>
              <w:szCs w:val="24"/>
            </w:rPr>
            <w:fldChar w:fldCharType="separate"/>
          </w:r>
          <w:hyperlink w:anchor="_Toc228778702" w:history="1">
            <w:r w:rsidR="00434847" w:rsidRPr="00811D75">
              <w:rPr>
                <w:rStyle w:val="Hipervnculo"/>
                <w:rFonts w:ascii="Times New Roman" w:hAnsi="Times New Roman" w:cs="Times New Roman"/>
                <w:noProof/>
                <w:w w:val="70"/>
              </w:rPr>
              <w:t>INTRODUCCIÓN</w:t>
            </w:r>
            <w:r w:rsidR="00434847">
              <w:rPr>
                <w:noProof/>
                <w:webHidden/>
              </w:rPr>
              <w:tab/>
            </w:r>
            <w:r w:rsidR="00434847">
              <w:rPr>
                <w:noProof/>
                <w:webHidden/>
              </w:rPr>
              <w:fldChar w:fldCharType="begin"/>
            </w:r>
            <w:r w:rsidR="00434847">
              <w:rPr>
                <w:noProof/>
                <w:webHidden/>
              </w:rPr>
              <w:instrText xml:space="preserve"> PAGEREF _Toc228778702 \h </w:instrText>
            </w:r>
            <w:r w:rsidR="00434847">
              <w:rPr>
                <w:noProof/>
                <w:webHidden/>
              </w:rPr>
            </w:r>
            <w:r w:rsidR="00434847">
              <w:rPr>
                <w:noProof/>
                <w:webHidden/>
              </w:rPr>
              <w:fldChar w:fldCharType="separate"/>
            </w:r>
            <w:r w:rsidR="00434847">
              <w:rPr>
                <w:noProof/>
                <w:webHidden/>
              </w:rPr>
              <w:t>5</w:t>
            </w:r>
            <w:r w:rsidR="00434847">
              <w:rPr>
                <w:noProof/>
                <w:webHidden/>
              </w:rPr>
              <w:fldChar w:fldCharType="end"/>
            </w:r>
          </w:hyperlink>
        </w:p>
        <w:p w14:paraId="29BC2EF9" w14:textId="482A77B7" w:rsidR="00434847" w:rsidRDefault="00365364">
          <w:pPr>
            <w:pStyle w:val="TDC2"/>
            <w:tabs>
              <w:tab w:val="right" w:leader="dot" w:pos="9350"/>
            </w:tabs>
            <w:rPr>
              <w:noProof/>
              <w:kern w:val="2"/>
              <w:sz w:val="24"/>
              <w:szCs w:val="24"/>
              <w:lang w:val="es-MX" w:eastAsia="es-MX"/>
              <w14:ligatures w14:val="standardContextual"/>
            </w:rPr>
          </w:pPr>
          <w:hyperlink w:anchor="_Toc228778703" w:history="1">
            <w:r w:rsidR="00434847" w:rsidRPr="00811D75">
              <w:rPr>
                <w:rStyle w:val="Hipervnculo"/>
                <w:rFonts w:ascii="Times New Roman" w:hAnsi="Times New Roman" w:cs="Times New Roman"/>
                <w:noProof/>
              </w:rPr>
              <w:t>Tema de investigación seleccionado</w:t>
            </w:r>
            <w:r w:rsidR="00434847">
              <w:rPr>
                <w:noProof/>
                <w:webHidden/>
              </w:rPr>
              <w:tab/>
            </w:r>
            <w:r w:rsidR="00434847">
              <w:rPr>
                <w:noProof/>
                <w:webHidden/>
              </w:rPr>
              <w:fldChar w:fldCharType="begin"/>
            </w:r>
            <w:r w:rsidR="00434847">
              <w:rPr>
                <w:noProof/>
                <w:webHidden/>
              </w:rPr>
              <w:instrText xml:space="preserve"> PAGEREF _Toc228778703 \h </w:instrText>
            </w:r>
            <w:r w:rsidR="00434847">
              <w:rPr>
                <w:noProof/>
                <w:webHidden/>
              </w:rPr>
            </w:r>
            <w:r w:rsidR="00434847">
              <w:rPr>
                <w:noProof/>
                <w:webHidden/>
              </w:rPr>
              <w:fldChar w:fldCharType="separate"/>
            </w:r>
            <w:r w:rsidR="00434847">
              <w:rPr>
                <w:noProof/>
                <w:webHidden/>
              </w:rPr>
              <w:t>5</w:t>
            </w:r>
            <w:r w:rsidR="00434847">
              <w:rPr>
                <w:noProof/>
                <w:webHidden/>
              </w:rPr>
              <w:fldChar w:fldCharType="end"/>
            </w:r>
          </w:hyperlink>
        </w:p>
        <w:p w14:paraId="3362C121" w14:textId="3D936C82" w:rsidR="00434847" w:rsidRDefault="00365364">
          <w:pPr>
            <w:pStyle w:val="TDC2"/>
            <w:tabs>
              <w:tab w:val="right" w:leader="dot" w:pos="9350"/>
            </w:tabs>
            <w:rPr>
              <w:noProof/>
              <w:kern w:val="2"/>
              <w:sz w:val="24"/>
              <w:szCs w:val="24"/>
              <w:lang w:val="es-MX" w:eastAsia="es-MX"/>
              <w14:ligatures w14:val="standardContextual"/>
            </w:rPr>
          </w:pPr>
          <w:hyperlink w:anchor="_Toc228778704" w:history="1">
            <w:r w:rsidR="00434847" w:rsidRPr="00811D75">
              <w:rPr>
                <w:rStyle w:val="Hipervnculo"/>
                <w:rFonts w:ascii="Times New Roman" w:hAnsi="Times New Roman" w:cs="Times New Roman"/>
                <w:noProof/>
              </w:rPr>
              <w:t>Introducción y justificación</w:t>
            </w:r>
            <w:r w:rsidR="00434847">
              <w:rPr>
                <w:noProof/>
                <w:webHidden/>
              </w:rPr>
              <w:tab/>
            </w:r>
            <w:r w:rsidR="00434847">
              <w:rPr>
                <w:noProof/>
                <w:webHidden/>
              </w:rPr>
              <w:fldChar w:fldCharType="begin"/>
            </w:r>
            <w:r w:rsidR="00434847">
              <w:rPr>
                <w:noProof/>
                <w:webHidden/>
              </w:rPr>
              <w:instrText xml:space="preserve"> PAGEREF _Toc228778704 \h </w:instrText>
            </w:r>
            <w:r w:rsidR="00434847">
              <w:rPr>
                <w:noProof/>
                <w:webHidden/>
              </w:rPr>
            </w:r>
            <w:r w:rsidR="00434847">
              <w:rPr>
                <w:noProof/>
                <w:webHidden/>
              </w:rPr>
              <w:fldChar w:fldCharType="separate"/>
            </w:r>
            <w:r w:rsidR="00434847">
              <w:rPr>
                <w:noProof/>
                <w:webHidden/>
              </w:rPr>
              <w:t>5</w:t>
            </w:r>
            <w:r w:rsidR="00434847">
              <w:rPr>
                <w:noProof/>
                <w:webHidden/>
              </w:rPr>
              <w:fldChar w:fldCharType="end"/>
            </w:r>
          </w:hyperlink>
        </w:p>
        <w:p w14:paraId="6E97CB14" w14:textId="03D442C7" w:rsidR="00434847" w:rsidRDefault="00365364">
          <w:pPr>
            <w:pStyle w:val="TDC2"/>
            <w:tabs>
              <w:tab w:val="right" w:leader="dot" w:pos="9350"/>
            </w:tabs>
            <w:rPr>
              <w:noProof/>
              <w:kern w:val="2"/>
              <w:sz w:val="24"/>
              <w:szCs w:val="24"/>
              <w:lang w:val="es-MX" w:eastAsia="es-MX"/>
              <w14:ligatures w14:val="standardContextual"/>
            </w:rPr>
          </w:pPr>
          <w:hyperlink w:anchor="_Toc228778705" w:history="1">
            <w:r w:rsidR="00434847" w:rsidRPr="00811D75">
              <w:rPr>
                <w:rStyle w:val="Hipervnculo"/>
                <w:rFonts w:ascii="Times New Roman" w:hAnsi="Times New Roman" w:cs="Times New Roman"/>
                <w:noProof/>
              </w:rPr>
              <w:t>Pregunta de investigación</w:t>
            </w:r>
            <w:r w:rsidR="00434847">
              <w:rPr>
                <w:noProof/>
                <w:webHidden/>
              </w:rPr>
              <w:tab/>
            </w:r>
            <w:r w:rsidR="00434847">
              <w:rPr>
                <w:noProof/>
                <w:webHidden/>
              </w:rPr>
              <w:fldChar w:fldCharType="begin"/>
            </w:r>
            <w:r w:rsidR="00434847">
              <w:rPr>
                <w:noProof/>
                <w:webHidden/>
              </w:rPr>
              <w:instrText xml:space="preserve"> PAGEREF _Toc228778705 \h </w:instrText>
            </w:r>
            <w:r w:rsidR="00434847">
              <w:rPr>
                <w:noProof/>
                <w:webHidden/>
              </w:rPr>
            </w:r>
            <w:r w:rsidR="00434847">
              <w:rPr>
                <w:noProof/>
                <w:webHidden/>
              </w:rPr>
              <w:fldChar w:fldCharType="separate"/>
            </w:r>
            <w:r w:rsidR="00434847">
              <w:rPr>
                <w:noProof/>
                <w:webHidden/>
              </w:rPr>
              <w:t>5</w:t>
            </w:r>
            <w:r w:rsidR="00434847">
              <w:rPr>
                <w:noProof/>
                <w:webHidden/>
              </w:rPr>
              <w:fldChar w:fldCharType="end"/>
            </w:r>
          </w:hyperlink>
        </w:p>
        <w:p w14:paraId="5056B207" w14:textId="3CF0636C" w:rsidR="00434847" w:rsidRDefault="00365364">
          <w:pPr>
            <w:pStyle w:val="TDC2"/>
            <w:tabs>
              <w:tab w:val="right" w:leader="dot" w:pos="9350"/>
            </w:tabs>
            <w:rPr>
              <w:noProof/>
              <w:kern w:val="2"/>
              <w:sz w:val="24"/>
              <w:szCs w:val="24"/>
              <w:lang w:val="es-MX" w:eastAsia="es-MX"/>
              <w14:ligatures w14:val="standardContextual"/>
            </w:rPr>
          </w:pPr>
          <w:hyperlink w:anchor="_Toc228778706" w:history="1">
            <w:r w:rsidR="00434847" w:rsidRPr="00811D75">
              <w:rPr>
                <w:rStyle w:val="Hipervnculo"/>
                <w:rFonts w:ascii="Times New Roman" w:hAnsi="Times New Roman" w:cs="Times New Roman"/>
                <w:noProof/>
              </w:rPr>
              <w:t>Objetivos del trabajo</w:t>
            </w:r>
            <w:r w:rsidR="00434847">
              <w:rPr>
                <w:noProof/>
                <w:webHidden/>
              </w:rPr>
              <w:tab/>
            </w:r>
            <w:r w:rsidR="00434847">
              <w:rPr>
                <w:noProof/>
                <w:webHidden/>
              </w:rPr>
              <w:fldChar w:fldCharType="begin"/>
            </w:r>
            <w:r w:rsidR="00434847">
              <w:rPr>
                <w:noProof/>
                <w:webHidden/>
              </w:rPr>
              <w:instrText xml:space="preserve"> PAGEREF _Toc228778706 \h </w:instrText>
            </w:r>
            <w:r w:rsidR="00434847">
              <w:rPr>
                <w:noProof/>
                <w:webHidden/>
              </w:rPr>
            </w:r>
            <w:r w:rsidR="00434847">
              <w:rPr>
                <w:noProof/>
                <w:webHidden/>
              </w:rPr>
              <w:fldChar w:fldCharType="separate"/>
            </w:r>
            <w:r w:rsidR="00434847">
              <w:rPr>
                <w:noProof/>
                <w:webHidden/>
              </w:rPr>
              <w:t>5</w:t>
            </w:r>
            <w:r w:rsidR="00434847">
              <w:rPr>
                <w:noProof/>
                <w:webHidden/>
              </w:rPr>
              <w:fldChar w:fldCharType="end"/>
            </w:r>
          </w:hyperlink>
        </w:p>
        <w:p w14:paraId="28F8A8CF" w14:textId="70906F83" w:rsidR="00434847" w:rsidRDefault="00365364">
          <w:pPr>
            <w:pStyle w:val="TDC2"/>
            <w:tabs>
              <w:tab w:val="right" w:leader="dot" w:pos="9350"/>
            </w:tabs>
            <w:rPr>
              <w:noProof/>
              <w:kern w:val="2"/>
              <w:sz w:val="24"/>
              <w:szCs w:val="24"/>
              <w:lang w:val="es-MX" w:eastAsia="es-MX"/>
              <w14:ligatures w14:val="standardContextual"/>
            </w:rPr>
          </w:pPr>
          <w:hyperlink w:anchor="_Toc228778707" w:history="1">
            <w:r w:rsidR="00434847" w:rsidRPr="00811D75">
              <w:rPr>
                <w:rStyle w:val="Hipervnculo"/>
                <w:rFonts w:ascii="Times New Roman" w:hAnsi="Times New Roman" w:cs="Times New Roman"/>
                <w:noProof/>
              </w:rPr>
              <w:t>Hipótesis</w:t>
            </w:r>
            <w:r w:rsidR="00434847">
              <w:rPr>
                <w:noProof/>
                <w:webHidden/>
              </w:rPr>
              <w:tab/>
            </w:r>
            <w:r w:rsidR="00434847">
              <w:rPr>
                <w:noProof/>
                <w:webHidden/>
              </w:rPr>
              <w:fldChar w:fldCharType="begin"/>
            </w:r>
            <w:r w:rsidR="00434847">
              <w:rPr>
                <w:noProof/>
                <w:webHidden/>
              </w:rPr>
              <w:instrText xml:space="preserve"> PAGEREF _Toc228778707 \h </w:instrText>
            </w:r>
            <w:r w:rsidR="00434847">
              <w:rPr>
                <w:noProof/>
                <w:webHidden/>
              </w:rPr>
            </w:r>
            <w:r w:rsidR="00434847">
              <w:rPr>
                <w:noProof/>
                <w:webHidden/>
              </w:rPr>
              <w:fldChar w:fldCharType="separate"/>
            </w:r>
            <w:r w:rsidR="00434847">
              <w:rPr>
                <w:noProof/>
                <w:webHidden/>
              </w:rPr>
              <w:t>6</w:t>
            </w:r>
            <w:r w:rsidR="00434847">
              <w:rPr>
                <w:noProof/>
                <w:webHidden/>
              </w:rPr>
              <w:fldChar w:fldCharType="end"/>
            </w:r>
          </w:hyperlink>
        </w:p>
        <w:p w14:paraId="6670E71C" w14:textId="21F5651E" w:rsidR="00434847" w:rsidRDefault="00365364">
          <w:pPr>
            <w:pStyle w:val="TDC2"/>
            <w:tabs>
              <w:tab w:val="right" w:leader="dot" w:pos="9350"/>
            </w:tabs>
            <w:rPr>
              <w:noProof/>
              <w:kern w:val="2"/>
              <w:sz w:val="24"/>
              <w:szCs w:val="24"/>
              <w:lang w:val="es-MX" w:eastAsia="es-MX"/>
              <w14:ligatures w14:val="standardContextual"/>
            </w:rPr>
          </w:pPr>
          <w:hyperlink w:anchor="_Toc228778708" w:history="1">
            <w:r w:rsidR="00434847" w:rsidRPr="00811D75">
              <w:rPr>
                <w:rStyle w:val="Hipervnculo"/>
                <w:rFonts w:ascii="Times New Roman" w:hAnsi="Times New Roman" w:cs="Times New Roman"/>
                <w:noProof/>
              </w:rPr>
              <w:t>Metodología</w:t>
            </w:r>
            <w:r w:rsidR="00434847">
              <w:rPr>
                <w:noProof/>
                <w:webHidden/>
              </w:rPr>
              <w:tab/>
            </w:r>
            <w:r w:rsidR="00434847">
              <w:rPr>
                <w:noProof/>
                <w:webHidden/>
              </w:rPr>
              <w:fldChar w:fldCharType="begin"/>
            </w:r>
            <w:r w:rsidR="00434847">
              <w:rPr>
                <w:noProof/>
                <w:webHidden/>
              </w:rPr>
              <w:instrText xml:space="preserve"> PAGEREF _Toc228778708 \h </w:instrText>
            </w:r>
            <w:r w:rsidR="00434847">
              <w:rPr>
                <w:noProof/>
                <w:webHidden/>
              </w:rPr>
            </w:r>
            <w:r w:rsidR="00434847">
              <w:rPr>
                <w:noProof/>
                <w:webHidden/>
              </w:rPr>
              <w:fldChar w:fldCharType="separate"/>
            </w:r>
            <w:r w:rsidR="00434847">
              <w:rPr>
                <w:noProof/>
                <w:webHidden/>
              </w:rPr>
              <w:t>6</w:t>
            </w:r>
            <w:r w:rsidR="00434847">
              <w:rPr>
                <w:noProof/>
                <w:webHidden/>
              </w:rPr>
              <w:fldChar w:fldCharType="end"/>
            </w:r>
          </w:hyperlink>
        </w:p>
        <w:p w14:paraId="145F1C2E" w14:textId="2F0C1FA6" w:rsidR="00434847" w:rsidRDefault="00365364">
          <w:pPr>
            <w:pStyle w:val="TDC2"/>
            <w:tabs>
              <w:tab w:val="right" w:leader="dot" w:pos="9350"/>
            </w:tabs>
            <w:rPr>
              <w:noProof/>
              <w:kern w:val="2"/>
              <w:sz w:val="24"/>
              <w:szCs w:val="24"/>
              <w:lang w:val="es-MX" w:eastAsia="es-MX"/>
              <w14:ligatures w14:val="standardContextual"/>
            </w:rPr>
          </w:pPr>
          <w:hyperlink w:anchor="_Toc228778709" w:history="1">
            <w:r w:rsidR="00434847" w:rsidRPr="00811D75">
              <w:rPr>
                <w:rStyle w:val="Hipervnculo"/>
                <w:rFonts w:ascii="Times New Roman" w:hAnsi="Times New Roman" w:cs="Times New Roman"/>
                <w:noProof/>
              </w:rPr>
              <w:t>Ejes temáticos que abordar</w:t>
            </w:r>
            <w:r w:rsidR="00434847">
              <w:rPr>
                <w:noProof/>
                <w:webHidden/>
              </w:rPr>
              <w:tab/>
            </w:r>
            <w:r w:rsidR="00434847">
              <w:rPr>
                <w:noProof/>
                <w:webHidden/>
              </w:rPr>
              <w:fldChar w:fldCharType="begin"/>
            </w:r>
            <w:r w:rsidR="00434847">
              <w:rPr>
                <w:noProof/>
                <w:webHidden/>
              </w:rPr>
              <w:instrText xml:space="preserve"> PAGEREF _Toc228778709 \h </w:instrText>
            </w:r>
            <w:r w:rsidR="00434847">
              <w:rPr>
                <w:noProof/>
                <w:webHidden/>
              </w:rPr>
            </w:r>
            <w:r w:rsidR="00434847">
              <w:rPr>
                <w:noProof/>
                <w:webHidden/>
              </w:rPr>
              <w:fldChar w:fldCharType="separate"/>
            </w:r>
            <w:r w:rsidR="00434847">
              <w:rPr>
                <w:noProof/>
                <w:webHidden/>
              </w:rPr>
              <w:t>6</w:t>
            </w:r>
            <w:r w:rsidR="00434847">
              <w:rPr>
                <w:noProof/>
                <w:webHidden/>
              </w:rPr>
              <w:fldChar w:fldCharType="end"/>
            </w:r>
          </w:hyperlink>
        </w:p>
        <w:p w14:paraId="1FC8BF9E" w14:textId="16657F22" w:rsidR="00434847" w:rsidRDefault="00365364">
          <w:pPr>
            <w:pStyle w:val="TDC2"/>
            <w:tabs>
              <w:tab w:val="right" w:leader="dot" w:pos="9350"/>
            </w:tabs>
            <w:rPr>
              <w:noProof/>
              <w:kern w:val="2"/>
              <w:sz w:val="24"/>
              <w:szCs w:val="24"/>
              <w:lang w:val="es-MX" w:eastAsia="es-MX"/>
              <w14:ligatures w14:val="standardContextual"/>
            </w:rPr>
          </w:pPr>
          <w:hyperlink w:anchor="_Toc228778710" w:history="1">
            <w:r w:rsidR="00434847" w:rsidRPr="00811D75">
              <w:rPr>
                <w:rStyle w:val="Hipervnculo"/>
                <w:rFonts w:ascii="Times New Roman" w:hAnsi="Times New Roman" w:cs="Times New Roman"/>
                <w:noProof/>
              </w:rPr>
              <w:t>Resultados esperados</w:t>
            </w:r>
            <w:r w:rsidR="00434847">
              <w:rPr>
                <w:noProof/>
                <w:webHidden/>
              </w:rPr>
              <w:tab/>
            </w:r>
            <w:r w:rsidR="00434847">
              <w:rPr>
                <w:noProof/>
                <w:webHidden/>
              </w:rPr>
              <w:fldChar w:fldCharType="begin"/>
            </w:r>
            <w:r w:rsidR="00434847">
              <w:rPr>
                <w:noProof/>
                <w:webHidden/>
              </w:rPr>
              <w:instrText xml:space="preserve"> PAGEREF _Toc228778710 \h </w:instrText>
            </w:r>
            <w:r w:rsidR="00434847">
              <w:rPr>
                <w:noProof/>
                <w:webHidden/>
              </w:rPr>
            </w:r>
            <w:r w:rsidR="00434847">
              <w:rPr>
                <w:noProof/>
                <w:webHidden/>
              </w:rPr>
              <w:fldChar w:fldCharType="separate"/>
            </w:r>
            <w:r w:rsidR="00434847">
              <w:rPr>
                <w:noProof/>
                <w:webHidden/>
              </w:rPr>
              <w:t>6</w:t>
            </w:r>
            <w:r w:rsidR="00434847">
              <w:rPr>
                <w:noProof/>
                <w:webHidden/>
              </w:rPr>
              <w:fldChar w:fldCharType="end"/>
            </w:r>
          </w:hyperlink>
        </w:p>
        <w:p w14:paraId="736BDEFF" w14:textId="5B4D0045" w:rsidR="00434847" w:rsidRDefault="00365364">
          <w:pPr>
            <w:pStyle w:val="TDC2"/>
            <w:tabs>
              <w:tab w:val="right" w:leader="dot" w:pos="9350"/>
            </w:tabs>
            <w:rPr>
              <w:noProof/>
              <w:kern w:val="2"/>
              <w:sz w:val="24"/>
              <w:szCs w:val="24"/>
              <w:lang w:val="es-MX" w:eastAsia="es-MX"/>
              <w14:ligatures w14:val="standardContextual"/>
            </w:rPr>
          </w:pPr>
          <w:hyperlink w:anchor="_Toc228778711" w:history="1">
            <w:r w:rsidR="00434847" w:rsidRPr="00811D75">
              <w:rPr>
                <w:rStyle w:val="Hipervnculo"/>
                <w:rFonts w:ascii="Times New Roman" w:hAnsi="Times New Roman" w:cs="Times New Roman"/>
                <w:noProof/>
              </w:rPr>
              <w:t>Conclusión</w:t>
            </w:r>
            <w:r w:rsidR="00434847">
              <w:rPr>
                <w:noProof/>
                <w:webHidden/>
              </w:rPr>
              <w:tab/>
            </w:r>
            <w:r w:rsidR="00434847">
              <w:rPr>
                <w:noProof/>
                <w:webHidden/>
              </w:rPr>
              <w:fldChar w:fldCharType="begin"/>
            </w:r>
            <w:r w:rsidR="00434847">
              <w:rPr>
                <w:noProof/>
                <w:webHidden/>
              </w:rPr>
              <w:instrText xml:space="preserve"> PAGEREF _Toc228778711 \h </w:instrText>
            </w:r>
            <w:r w:rsidR="00434847">
              <w:rPr>
                <w:noProof/>
                <w:webHidden/>
              </w:rPr>
            </w:r>
            <w:r w:rsidR="00434847">
              <w:rPr>
                <w:noProof/>
                <w:webHidden/>
              </w:rPr>
              <w:fldChar w:fldCharType="separate"/>
            </w:r>
            <w:r w:rsidR="00434847">
              <w:rPr>
                <w:noProof/>
                <w:webHidden/>
              </w:rPr>
              <w:t>7</w:t>
            </w:r>
            <w:r w:rsidR="00434847">
              <w:rPr>
                <w:noProof/>
                <w:webHidden/>
              </w:rPr>
              <w:fldChar w:fldCharType="end"/>
            </w:r>
          </w:hyperlink>
        </w:p>
        <w:p w14:paraId="0C56CB3C" w14:textId="70139934" w:rsidR="00434847" w:rsidRDefault="00365364">
          <w:pPr>
            <w:pStyle w:val="TDC2"/>
            <w:tabs>
              <w:tab w:val="right" w:leader="dot" w:pos="9350"/>
            </w:tabs>
            <w:rPr>
              <w:noProof/>
              <w:kern w:val="2"/>
              <w:sz w:val="24"/>
              <w:szCs w:val="24"/>
              <w:lang w:val="es-MX" w:eastAsia="es-MX"/>
              <w14:ligatures w14:val="standardContextual"/>
            </w:rPr>
          </w:pPr>
          <w:hyperlink w:anchor="_Toc228778712" w:history="1">
            <w:r w:rsidR="00434847" w:rsidRPr="00811D75">
              <w:rPr>
                <w:rStyle w:val="Hipervnculo"/>
                <w:rFonts w:ascii="Times New Roman" w:hAnsi="Times New Roman" w:cs="Times New Roman"/>
                <w:noProof/>
              </w:rPr>
              <w:t>Diseño metodológico de la investigación</w:t>
            </w:r>
            <w:r w:rsidR="00434847">
              <w:rPr>
                <w:noProof/>
                <w:webHidden/>
              </w:rPr>
              <w:tab/>
            </w:r>
            <w:r w:rsidR="00434847">
              <w:rPr>
                <w:noProof/>
                <w:webHidden/>
              </w:rPr>
              <w:fldChar w:fldCharType="begin"/>
            </w:r>
            <w:r w:rsidR="00434847">
              <w:rPr>
                <w:noProof/>
                <w:webHidden/>
              </w:rPr>
              <w:instrText xml:space="preserve"> PAGEREF _Toc228778712 \h </w:instrText>
            </w:r>
            <w:r w:rsidR="00434847">
              <w:rPr>
                <w:noProof/>
                <w:webHidden/>
              </w:rPr>
            </w:r>
            <w:r w:rsidR="00434847">
              <w:rPr>
                <w:noProof/>
                <w:webHidden/>
              </w:rPr>
              <w:fldChar w:fldCharType="separate"/>
            </w:r>
            <w:r w:rsidR="00434847">
              <w:rPr>
                <w:noProof/>
                <w:webHidden/>
              </w:rPr>
              <w:t>7</w:t>
            </w:r>
            <w:r w:rsidR="00434847">
              <w:rPr>
                <w:noProof/>
                <w:webHidden/>
              </w:rPr>
              <w:fldChar w:fldCharType="end"/>
            </w:r>
          </w:hyperlink>
        </w:p>
        <w:p w14:paraId="78BF742A" w14:textId="250FD65E" w:rsidR="00434847" w:rsidRDefault="00365364">
          <w:pPr>
            <w:pStyle w:val="TDC1"/>
            <w:tabs>
              <w:tab w:val="right" w:leader="dot" w:pos="9350"/>
            </w:tabs>
            <w:rPr>
              <w:noProof/>
              <w:kern w:val="2"/>
              <w:sz w:val="24"/>
              <w:szCs w:val="24"/>
              <w:lang w:val="es-MX" w:eastAsia="es-MX"/>
              <w14:ligatures w14:val="standardContextual"/>
            </w:rPr>
          </w:pPr>
          <w:hyperlink w:anchor="_Toc228778713" w:history="1">
            <w:r w:rsidR="00434847" w:rsidRPr="00811D75">
              <w:rPr>
                <w:rStyle w:val="Hipervnculo"/>
                <w:rFonts w:ascii="Times New Roman" w:hAnsi="Times New Roman" w:cs="Times New Roman"/>
                <w:noProof/>
                <w:w w:val="70"/>
              </w:rPr>
              <w:t>CAPÍTULO 1 – MARCO TEORICO</w:t>
            </w:r>
            <w:r w:rsidR="00434847">
              <w:rPr>
                <w:noProof/>
                <w:webHidden/>
              </w:rPr>
              <w:tab/>
            </w:r>
            <w:r w:rsidR="00434847">
              <w:rPr>
                <w:noProof/>
                <w:webHidden/>
              </w:rPr>
              <w:fldChar w:fldCharType="begin"/>
            </w:r>
            <w:r w:rsidR="00434847">
              <w:rPr>
                <w:noProof/>
                <w:webHidden/>
              </w:rPr>
              <w:instrText xml:space="preserve"> PAGEREF _Toc228778713 \h </w:instrText>
            </w:r>
            <w:r w:rsidR="00434847">
              <w:rPr>
                <w:noProof/>
                <w:webHidden/>
              </w:rPr>
            </w:r>
            <w:r w:rsidR="00434847">
              <w:rPr>
                <w:noProof/>
                <w:webHidden/>
              </w:rPr>
              <w:fldChar w:fldCharType="separate"/>
            </w:r>
            <w:r w:rsidR="00434847">
              <w:rPr>
                <w:noProof/>
                <w:webHidden/>
              </w:rPr>
              <w:t>9</w:t>
            </w:r>
            <w:r w:rsidR="00434847">
              <w:rPr>
                <w:noProof/>
                <w:webHidden/>
              </w:rPr>
              <w:fldChar w:fldCharType="end"/>
            </w:r>
          </w:hyperlink>
        </w:p>
        <w:p w14:paraId="63D87860" w14:textId="6270734E" w:rsidR="00434847" w:rsidRDefault="00365364">
          <w:pPr>
            <w:pStyle w:val="TDC2"/>
            <w:tabs>
              <w:tab w:val="right" w:leader="dot" w:pos="9350"/>
            </w:tabs>
            <w:rPr>
              <w:noProof/>
              <w:kern w:val="2"/>
              <w:sz w:val="24"/>
              <w:szCs w:val="24"/>
              <w:lang w:val="es-MX" w:eastAsia="es-MX"/>
              <w14:ligatures w14:val="standardContextual"/>
            </w:rPr>
          </w:pPr>
          <w:hyperlink w:anchor="_Toc228778714" w:history="1">
            <w:r w:rsidR="00434847" w:rsidRPr="00811D75">
              <w:rPr>
                <w:rStyle w:val="Hipervnculo"/>
                <w:rFonts w:ascii="Times New Roman" w:hAnsi="Times New Roman" w:cs="Times New Roman"/>
                <w:noProof/>
              </w:rPr>
              <w:t>Fundamentos conceptuales del Depósito Fiscal</w:t>
            </w:r>
            <w:r w:rsidR="00434847">
              <w:rPr>
                <w:noProof/>
                <w:webHidden/>
              </w:rPr>
              <w:tab/>
            </w:r>
            <w:r w:rsidR="00434847">
              <w:rPr>
                <w:noProof/>
                <w:webHidden/>
              </w:rPr>
              <w:fldChar w:fldCharType="begin"/>
            </w:r>
            <w:r w:rsidR="00434847">
              <w:rPr>
                <w:noProof/>
                <w:webHidden/>
              </w:rPr>
              <w:instrText xml:space="preserve"> PAGEREF _Toc228778714 \h </w:instrText>
            </w:r>
            <w:r w:rsidR="00434847">
              <w:rPr>
                <w:noProof/>
                <w:webHidden/>
              </w:rPr>
            </w:r>
            <w:r w:rsidR="00434847">
              <w:rPr>
                <w:noProof/>
                <w:webHidden/>
              </w:rPr>
              <w:fldChar w:fldCharType="separate"/>
            </w:r>
            <w:r w:rsidR="00434847">
              <w:rPr>
                <w:noProof/>
                <w:webHidden/>
              </w:rPr>
              <w:t>9</w:t>
            </w:r>
            <w:r w:rsidR="00434847">
              <w:rPr>
                <w:noProof/>
                <w:webHidden/>
              </w:rPr>
              <w:fldChar w:fldCharType="end"/>
            </w:r>
          </w:hyperlink>
        </w:p>
        <w:p w14:paraId="028EE44E" w14:textId="342F3712" w:rsidR="00434847" w:rsidRDefault="00365364">
          <w:pPr>
            <w:pStyle w:val="TDC2"/>
            <w:tabs>
              <w:tab w:val="right" w:leader="dot" w:pos="9350"/>
            </w:tabs>
            <w:rPr>
              <w:noProof/>
              <w:kern w:val="2"/>
              <w:sz w:val="24"/>
              <w:szCs w:val="24"/>
              <w:lang w:val="es-MX" w:eastAsia="es-MX"/>
              <w14:ligatures w14:val="standardContextual"/>
            </w:rPr>
          </w:pPr>
          <w:hyperlink w:anchor="_Toc228778715" w:history="1">
            <w:r w:rsidR="00434847" w:rsidRPr="00811D75">
              <w:rPr>
                <w:rStyle w:val="Hipervnculo"/>
                <w:rFonts w:ascii="Times New Roman" w:hAnsi="Times New Roman" w:cs="Times New Roman"/>
                <w:noProof/>
              </w:rPr>
              <w:t>Teoría de la ventaja competitiva</w:t>
            </w:r>
            <w:r w:rsidR="00434847">
              <w:rPr>
                <w:noProof/>
                <w:webHidden/>
              </w:rPr>
              <w:tab/>
            </w:r>
            <w:r w:rsidR="00434847">
              <w:rPr>
                <w:noProof/>
                <w:webHidden/>
              </w:rPr>
              <w:fldChar w:fldCharType="begin"/>
            </w:r>
            <w:r w:rsidR="00434847">
              <w:rPr>
                <w:noProof/>
                <w:webHidden/>
              </w:rPr>
              <w:instrText xml:space="preserve"> PAGEREF _Toc228778715 \h </w:instrText>
            </w:r>
            <w:r w:rsidR="00434847">
              <w:rPr>
                <w:noProof/>
                <w:webHidden/>
              </w:rPr>
            </w:r>
            <w:r w:rsidR="00434847">
              <w:rPr>
                <w:noProof/>
                <w:webHidden/>
              </w:rPr>
              <w:fldChar w:fldCharType="separate"/>
            </w:r>
            <w:r w:rsidR="00434847">
              <w:rPr>
                <w:noProof/>
                <w:webHidden/>
              </w:rPr>
              <w:t>9</w:t>
            </w:r>
            <w:r w:rsidR="00434847">
              <w:rPr>
                <w:noProof/>
                <w:webHidden/>
              </w:rPr>
              <w:fldChar w:fldCharType="end"/>
            </w:r>
          </w:hyperlink>
        </w:p>
        <w:p w14:paraId="3ED92741" w14:textId="1C7B62CF" w:rsidR="00434847" w:rsidRDefault="00365364">
          <w:pPr>
            <w:pStyle w:val="TDC2"/>
            <w:tabs>
              <w:tab w:val="right" w:leader="dot" w:pos="9350"/>
            </w:tabs>
            <w:rPr>
              <w:noProof/>
              <w:kern w:val="2"/>
              <w:sz w:val="24"/>
              <w:szCs w:val="24"/>
              <w:lang w:val="es-MX" w:eastAsia="es-MX"/>
              <w14:ligatures w14:val="standardContextual"/>
            </w:rPr>
          </w:pPr>
          <w:hyperlink w:anchor="_Toc228778716" w:history="1">
            <w:r w:rsidR="00434847" w:rsidRPr="00811D75">
              <w:rPr>
                <w:rStyle w:val="Hipervnculo"/>
                <w:rFonts w:ascii="Times New Roman" w:hAnsi="Times New Roman" w:cs="Times New Roman"/>
                <w:noProof/>
              </w:rPr>
              <w:t>Teoría de la diversificación estratégica</w:t>
            </w:r>
            <w:r w:rsidR="00434847">
              <w:rPr>
                <w:noProof/>
                <w:webHidden/>
              </w:rPr>
              <w:tab/>
            </w:r>
            <w:r w:rsidR="00434847">
              <w:rPr>
                <w:noProof/>
                <w:webHidden/>
              </w:rPr>
              <w:fldChar w:fldCharType="begin"/>
            </w:r>
            <w:r w:rsidR="00434847">
              <w:rPr>
                <w:noProof/>
                <w:webHidden/>
              </w:rPr>
              <w:instrText xml:space="preserve"> PAGEREF _Toc228778716 \h </w:instrText>
            </w:r>
            <w:r w:rsidR="00434847">
              <w:rPr>
                <w:noProof/>
                <w:webHidden/>
              </w:rPr>
            </w:r>
            <w:r w:rsidR="00434847">
              <w:rPr>
                <w:noProof/>
                <w:webHidden/>
              </w:rPr>
              <w:fldChar w:fldCharType="separate"/>
            </w:r>
            <w:r w:rsidR="00434847">
              <w:rPr>
                <w:noProof/>
                <w:webHidden/>
              </w:rPr>
              <w:t>9</w:t>
            </w:r>
            <w:r w:rsidR="00434847">
              <w:rPr>
                <w:noProof/>
                <w:webHidden/>
              </w:rPr>
              <w:fldChar w:fldCharType="end"/>
            </w:r>
          </w:hyperlink>
        </w:p>
        <w:p w14:paraId="2BC3B4D2" w14:textId="0BEE2D5D" w:rsidR="00434847" w:rsidRDefault="00365364">
          <w:pPr>
            <w:pStyle w:val="TDC2"/>
            <w:tabs>
              <w:tab w:val="right" w:leader="dot" w:pos="9350"/>
            </w:tabs>
            <w:rPr>
              <w:noProof/>
              <w:kern w:val="2"/>
              <w:sz w:val="24"/>
              <w:szCs w:val="24"/>
              <w:lang w:val="es-MX" w:eastAsia="es-MX"/>
              <w14:ligatures w14:val="standardContextual"/>
            </w:rPr>
          </w:pPr>
          <w:hyperlink w:anchor="_Toc228778717" w:history="1">
            <w:r w:rsidR="00434847" w:rsidRPr="00811D75">
              <w:rPr>
                <w:rStyle w:val="Hipervnculo"/>
                <w:rFonts w:ascii="Times New Roman" w:hAnsi="Times New Roman" w:cs="Times New Roman"/>
                <w:noProof/>
              </w:rPr>
              <w:t>Enfoque sistémico en logística integral</w:t>
            </w:r>
            <w:r w:rsidR="00434847">
              <w:rPr>
                <w:noProof/>
                <w:webHidden/>
              </w:rPr>
              <w:tab/>
            </w:r>
            <w:r w:rsidR="00434847">
              <w:rPr>
                <w:noProof/>
                <w:webHidden/>
              </w:rPr>
              <w:fldChar w:fldCharType="begin"/>
            </w:r>
            <w:r w:rsidR="00434847">
              <w:rPr>
                <w:noProof/>
                <w:webHidden/>
              </w:rPr>
              <w:instrText xml:space="preserve"> PAGEREF _Toc228778717 \h </w:instrText>
            </w:r>
            <w:r w:rsidR="00434847">
              <w:rPr>
                <w:noProof/>
                <w:webHidden/>
              </w:rPr>
            </w:r>
            <w:r w:rsidR="00434847">
              <w:rPr>
                <w:noProof/>
                <w:webHidden/>
              </w:rPr>
              <w:fldChar w:fldCharType="separate"/>
            </w:r>
            <w:r w:rsidR="00434847">
              <w:rPr>
                <w:noProof/>
                <w:webHidden/>
              </w:rPr>
              <w:t>10</w:t>
            </w:r>
            <w:r w:rsidR="00434847">
              <w:rPr>
                <w:noProof/>
                <w:webHidden/>
              </w:rPr>
              <w:fldChar w:fldCharType="end"/>
            </w:r>
          </w:hyperlink>
        </w:p>
        <w:p w14:paraId="0DFC9C5B" w14:textId="32A8CB90" w:rsidR="00434847" w:rsidRDefault="00365364">
          <w:pPr>
            <w:pStyle w:val="TDC2"/>
            <w:tabs>
              <w:tab w:val="right" w:leader="dot" w:pos="9350"/>
            </w:tabs>
            <w:rPr>
              <w:noProof/>
              <w:kern w:val="2"/>
              <w:sz w:val="24"/>
              <w:szCs w:val="24"/>
              <w:lang w:val="es-MX" w:eastAsia="es-MX"/>
              <w14:ligatures w14:val="standardContextual"/>
            </w:rPr>
          </w:pPr>
          <w:hyperlink w:anchor="_Toc228778718" w:history="1">
            <w:r w:rsidR="00434847" w:rsidRPr="00811D75">
              <w:rPr>
                <w:rStyle w:val="Hipervnculo"/>
                <w:rFonts w:ascii="Times New Roman" w:hAnsi="Times New Roman" w:cs="Times New Roman"/>
                <w:noProof/>
              </w:rPr>
              <w:t>Teoría del desarrollo de capacidades dinámicas</w:t>
            </w:r>
            <w:r w:rsidR="00434847">
              <w:rPr>
                <w:noProof/>
                <w:webHidden/>
              </w:rPr>
              <w:tab/>
            </w:r>
            <w:r w:rsidR="00434847">
              <w:rPr>
                <w:noProof/>
                <w:webHidden/>
              </w:rPr>
              <w:fldChar w:fldCharType="begin"/>
            </w:r>
            <w:r w:rsidR="00434847">
              <w:rPr>
                <w:noProof/>
                <w:webHidden/>
              </w:rPr>
              <w:instrText xml:space="preserve"> PAGEREF _Toc228778718 \h </w:instrText>
            </w:r>
            <w:r w:rsidR="00434847">
              <w:rPr>
                <w:noProof/>
                <w:webHidden/>
              </w:rPr>
            </w:r>
            <w:r w:rsidR="00434847">
              <w:rPr>
                <w:noProof/>
                <w:webHidden/>
              </w:rPr>
              <w:fldChar w:fldCharType="separate"/>
            </w:r>
            <w:r w:rsidR="00434847">
              <w:rPr>
                <w:noProof/>
                <w:webHidden/>
              </w:rPr>
              <w:t>10</w:t>
            </w:r>
            <w:r w:rsidR="00434847">
              <w:rPr>
                <w:noProof/>
                <w:webHidden/>
              </w:rPr>
              <w:fldChar w:fldCharType="end"/>
            </w:r>
          </w:hyperlink>
        </w:p>
        <w:p w14:paraId="2F070E26" w14:textId="689A6D84" w:rsidR="00434847" w:rsidRDefault="00365364">
          <w:pPr>
            <w:pStyle w:val="TDC2"/>
            <w:tabs>
              <w:tab w:val="right" w:leader="dot" w:pos="9350"/>
            </w:tabs>
            <w:rPr>
              <w:noProof/>
              <w:kern w:val="2"/>
              <w:sz w:val="24"/>
              <w:szCs w:val="24"/>
              <w:lang w:val="es-MX" w:eastAsia="es-MX"/>
              <w14:ligatures w14:val="standardContextual"/>
            </w:rPr>
          </w:pPr>
          <w:hyperlink w:anchor="_Toc228778719" w:history="1">
            <w:r w:rsidR="00434847" w:rsidRPr="00811D75">
              <w:rPr>
                <w:rStyle w:val="Hipervnculo"/>
                <w:rFonts w:ascii="Times New Roman" w:hAnsi="Times New Roman" w:cs="Times New Roman"/>
                <w:noProof/>
              </w:rPr>
              <w:t>Perspectiva legal y regulatoria</w:t>
            </w:r>
            <w:r w:rsidR="00434847">
              <w:rPr>
                <w:noProof/>
                <w:webHidden/>
              </w:rPr>
              <w:tab/>
            </w:r>
            <w:r w:rsidR="00434847">
              <w:rPr>
                <w:noProof/>
                <w:webHidden/>
              </w:rPr>
              <w:fldChar w:fldCharType="begin"/>
            </w:r>
            <w:r w:rsidR="00434847">
              <w:rPr>
                <w:noProof/>
                <w:webHidden/>
              </w:rPr>
              <w:instrText xml:space="preserve"> PAGEREF _Toc228778719 \h </w:instrText>
            </w:r>
            <w:r w:rsidR="00434847">
              <w:rPr>
                <w:noProof/>
                <w:webHidden/>
              </w:rPr>
            </w:r>
            <w:r w:rsidR="00434847">
              <w:rPr>
                <w:noProof/>
                <w:webHidden/>
              </w:rPr>
              <w:fldChar w:fldCharType="separate"/>
            </w:r>
            <w:r w:rsidR="00434847">
              <w:rPr>
                <w:noProof/>
                <w:webHidden/>
              </w:rPr>
              <w:t>10</w:t>
            </w:r>
            <w:r w:rsidR="00434847">
              <w:rPr>
                <w:noProof/>
                <w:webHidden/>
              </w:rPr>
              <w:fldChar w:fldCharType="end"/>
            </w:r>
          </w:hyperlink>
        </w:p>
        <w:p w14:paraId="3CB69F65" w14:textId="47283273" w:rsidR="00434847" w:rsidRDefault="00365364">
          <w:pPr>
            <w:pStyle w:val="TDC2"/>
            <w:tabs>
              <w:tab w:val="right" w:leader="dot" w:pos="9350"/>
            </w:tabs>
            <w:rPr>
              <w:noProof/>
              <w:kern w:val="2"/>
              <w:sz w:val="24"/>
              <w:szCs w:val="24"/>
              <w:lang w:val="es-MX" w:eastAsia="es-MX"/>
              <w14:ligatures w14:val="standardContextual"/>
            </w:rPr>
          </w:pPr>
          <w:hyperlink w:anchor="_Toc228778720" w:history="1">
            <w:r w:rsidR="00434847" w:rsidRPr="00811D75">
              <w:rPr>
                <w:rStyle w:val="Hipervnculo"/>
                <w:rFonts w:ascii="Times New Roman" w:hAnsi="Times New Roman" w:cs="Times New Roman"/>
                <w:noProof/>
              </w:rPr>
              <w:t>Relación con la hipótesis y objetivos</w:t>
            </w:r>
            <w:r w:rsidR="00434847">
              <w:rPr>
                <w:noProof/>
                <w:webHidden/>
              </w:rPr>
              <w:tab/>
            </w:r>
            <w:r w:rsidR="00434847">
              <w:rPr>
                <w:noProof/>
                <w:webHidden/>
              </w:rPr>
              <w:fldChar w:fldCharType="begin"/>
            </w:r>
            <w:r w:rsidR="00434847">
              <w:rPr>
                <w:noProof/>
                <w:webHidden/>
              </w:rPr>
              <w:instrText xml:space="preserve"> PAGEREF _Toc228778720 \h </w:instrText>
            </w:r>
            <w:r w:rsidR="00434847">
              <w:rPr>
                <w:noProof/>
                <w:webHidden/>
              </w:rPr>
            </w:r>
            <w:r w:rsidR="00434847">
              <w:rPr>
                <w:noProof/>
                <w:webHidden/>
              </w:rPr>
              <w:fldChar w:fldCharType="separate"/>
            </w:r>
            <w:r w:rsidR="00434847">
              <w:rPr>
                <w:noProof/>
                <w:webHidden/>
              </w:rPr>
              <w:t>10</w:t>
            </w:r>
            <w:r w:rsidR="00434847">
              <w:rPr>
                <w:noProof/>
                <w:webHidden/>
              </w:rPr>
              <w:fldChar w:fldCharType="end"/>
            </w:r>
          </w:hyperlink>
        </w:p>
        <w:p w14:paraId="450DCC7E" w14:textId="453C26FC" w:rsidR="00434847" w:rsidRDefault="00365364">
          <w:pPr>
            <w:pStyle w:val="TDC1"/>
            <w:tabs>
              <w:tab w:val="right" w:leader="dot" w:pos="9350"/>
            </w:tabs>
            <w:rPr>
              <w:noProof/>
              <w:kern w:val="2"/>
              <w:sz w:val="24"/>
              <w:szCs w:val="24"/>
              <w:lang w:val="es-MX" w:eastAsia="es-MX"/>
              <w14:ligatures w14:val="standardContextual"/>
            </w:rPr>
          </w:pPr>
          <w:hyperlink w:anchor="_Toc228778721" w:history="1">
            <w:r w:rsidR="00434847" w:rsidRPr="00811D75">
              <w:rPr>
                <w:rStyle w:val="Hipervnculo"/>
                <w:rFonts w:ascii="Times New Roman" w:hAnsi="Times New Roman" w:cs="Times New Roman"/>
                <w:noProof/>
                <w:w w:val="70"/>
              </w:rPr>
              <w:t>CAPÍTULO 2 – EL SECTOR</w:t>
            </w:r>
            <w:r w:rsidR="00434847">
              <w:rPr>
                <w:noProof/>
                <w:webHidden/>
              </w:rPr>
              <w:tab/>
            </w:r>
            <w:r w:rsidR="00434847">
              <w:rPr>
                <w:noProof/>
                <w:webHidden/>
              </w:rPr>
              <w:fldChar w:fldCharType="begin"/>
            </w:r>
            <w:r w:rsidR="00434847">
              <w:rPr>
                <w:noProof/>
                <w:webHidden/>
              </w:rPr>
              <w:instrText xml:space="preserve"> PAGEREF _Toc228778721 \h </w:instrText>
            </w:r>
            <w:r w:rsidR="00434847">
              <w:rPr>
                <w:noProof/>
                <w:webHidden/>
              </w:rPr>
            </w:r>
            <w:r w:rsidR="00434847">
              <w:rPr>
                <w:noProof/>
                <w:webHidden/>
              </w:rPr>
              <w:fldChar w:fldCharType="separate"/>
            </w:r>
            <w:r w:rsidR="00434847">
              <w:rPr>
                <w:noProof/>
                <w:webHidden/>
              </w:rPr>
              <w:t>11</w:t>
            </w:r>
            <w:r w:rsidR="00434847">
              <w:rPr>
                <w:noProof/>
                <w:webHidden/>
              </w:rPr>
              <w:fldChar w:fldCharType="end"/>
            </w:r>
          </w:hyperlink>
        </w:p>
        <w:p w14:paraId="3D6ADFB5" w14:textId="1E7C01FC" w:rsidR="00434847" w:rsidRDefault="00365364">
          <w:pPr>
            <w:pStyle w:val="TDC2"/>
            <w:tabs>
              <w:tab w:val="right" w:leader="dot" w:pos="9350"/>
            </w:tabs>
            <w:rPr>
              <w:noProof/>
              <w:kern w:val="2"/>
              <w:sz w:val="24"/>
              <w:szCs w:val="24"/>
              <w:lang w:val="es-MX" w:eastAsia="es-MX"/>
              <w14:ligatures w14:val="standardContextual"/>
            </w:rPr>
          </w:pPr>
          <w:hyperlink w:anchor="_Toc228778722" w:history="1">
            <w:r w:rsidR="00434847" w:rsidRPr="00811D75">
              <w:rPr>
                <w:rStyle w:val="Hipervnculo"/>
                <w:rFonts w:ascii="Times New Roman" w:hAnsi="Times New Roman" w:cs="Times New Roman"/>
                <w:noProof/>
              </w:rPr>
              <w:t>Análisis de la industria logística en Argentina</w:t>
            </w:r>
            <w:r w:rsidR="00434847">
              <w:rPr>
                <w:noProof/>
                <w:webHidden/>
              </w:rPr>
              <w:tab/>
            </w:r>
            <w:r w:rsidR="00434847">
              <w:rPr>
                <w:noProof/>
                <w:webHidden/>
              </w:rPr>
              <w:fldChar w:fldCharType="begin"/>
            </w:r>
            <w:r w:rsidR="00434847">
              <w:rPr>
                <w:noProof/>
                <w:webHidden/>
              </w:rPr>
              <w:instrText xml:space="preserve"> PAGEREF _Toc228778722 \h </w:instrText>
            </w:r>
            <w:r w:rsidR="00434847">
              <w:rPr>
                <w:noProof/>
                <w:webHidden/>
              </w:rPr>
            </w:r>
            <w:r w:rsidR="00434847">
              <w:rPr>
                <w:noProof/>
                <w:webHidden/>
              </w:rPr>
              <w:fldChar w:fldCharType="separate"/>
            </w:r>
            <w:r w:rsidR="00434847">
              <w:rPr>
                <w:noProof/>
                <w:webHidden/>
              </w:rPr>
              <w:t>11</w:t>
            </w:r>
            <w:r w:rsidR="00434847">
              <w:rPr>
                <w:noProof/>
                <w:webHidden/>
              </w:rPr>
              <w:fldChar w:fldCharType="end"/>
            </w:r>
          </w:hyperlink>
        </w:p>
        <w:p w14:paraId="4814E5BD" w14:textId="35D8F3D6" w:rsidR="00434847" w:rsidRDefault="00365364">
          <w:pPr>
            <w:pStyle w:val="TDC2"/>
            <w:tabs>
              <w:tab w:val="right" w:leader="dot" w:pos="9350"/>
            </w:tabs>
            <w:rPr>
              <w:noProof/>
              <w:kern w:val="2"/>
              <w:sz w:val="24"/>
              <w:szCs w:val="24"/>
              <w:lang w:val="es-MX" w:eastAsia="es-MX"/>
              <w14:ligatures w14:val="standardContextual"/>
            </w:rPr>
          </w:pPr>
          <w:hyperlink w:anchor="_Toc228778723" w:history="1">
            <w:r w:rsidR="00434847" w:rsidRPr="00811D75">
              <w:rPr>
                <w:rStyle w:val="Hipervnculo"/>
                <w:rFonts w:ascii="Times New Roman" w:hAnsi="Times New Roman" w:cs="Times New Roman"/>
                <w:noProof/>
              </w:rPr>
              <w:t>Estudio de la competencia en Argentina</w:t>
            </w:r>
            <w:r w:rsidR="00434847">
              <w:rPr>
                <w:noProof/>
                <w:webHidden/>
              </w:rPr>
              <w:tab/>
            </w:r>
            <w:r w:rsidR="00434847">
              <w:rPr>
                <w:noProof/>
                <w:webHidden/>
              </w:rPr>
              <w:fldChar w:fldCharType="begin"/>
            </w:r>
            <w:r w:rsidR="00434847">
              <w:rPr>
                <w:noProof/>
                <w:webHidden/>
              </w:rPr>
              <w:instrText xml:space="preserve"> PAGEREF _Toc228778723 \h </w:instrText>
            </w:r>
            <w:r w:rsidR="00434847">
              <w:rPr>
                <w:noProof/>
                <w:webHidden/>
              </w:rPr>
            </w:r>
            <w:r w:rsidR="00434847">
              <w:rPr>
                <w:noProof/>
                <w:webHidden/>
              </w:rPr>
              <w:fldChar w:fldCharType="separate"/>
            </w:r>
            <w:r w:rsidR="00434847">
              <w:rPr>
                <w:noProof/>
                <w:webHidden/>
              </w:rPr>
              <w:t>11</w:t>
            </w:r>
            <w:r w:rsidR="00434847">
              <w:rPr>
                <w:noProof/>
                <w:webHidden/>
              </w:rPr>
              <w:fldChar w:fldCharType="end"/>
            </w:r>
          </w:hyperlink>
        </w:p>
        <w:p w14:paraId="64BE6C55" w14:textId="61377C4A" w:rsidR="00434847" w:rsidRDefault="00365364">
          <w:pPr>
            <w:pStyle w:val="TDC2"/>
            <w:tabs>
              <w:tab w:val="right" w:leader="dot" w:pos="9350"/>
            </w:tabs>
            <w:rPr>
              <w:noProof/>
              <w:kern w:val="2"/>
              <w:sz w:val="24"/>
              <w:szCs w:val="24"/>
              <w:lang w:val="es-MX" w:eastAsia="es-MX"/>
              <w14:ligatures w14:val="standardContextual"/>
            </w:rPr>
          </w:pPr>
          <w:hyperlink w:anchor="_Toc228778724" w:history="1">
            <w:r w:rsidR="00434847" w:rsidRPr="00811D75">
              <w:rPr>
                <w:rStyle w:val="Hipervnculo"/>
                <w:rFonts w:ascii="Times New Roman" w:hAnsi="Times New Roman" w:cs="Times New Roman"/>
                <w:noProof/>
              </w:rPr>
              <w:t>Competencia Directa</w:t>
            </w:r>
            <w:r w:rsidR="00434847">
              <w:rPr>
                <w:noProof/>
                <w:webHidden/>
              </w:rPr>
              <w:tab/>
            </w:r>
            <w:r w:rsidR="00434847">
              <w:rPr>
                <w:noProof/>
                <w:webHidden/>
              </w:rPr>
              <w:fldChar w:fldCharType="begin"/>
            </w:r>
            <w:r w:rsidR="00434847">
              <w:rPr>
                <w:noProof/>
                <w:webHidden/>
              </w:rPr>
              <w:instrText xml:space="preserve"> PAGEREF _Toc228778724 \h </w:instrText>
            </w:r>
            <w:r w:rsidR="00434847">
              <w:rPr>
                <w:noProof/>
                <w:webHidden/>
              </w:rPr>
            </w:r>
            <w:r w:rsidR="00434847">
              <w:rPr>
                <w:noProof/>
                <w:webHidden/>
              </w:rPr>
              <w:fldChar w:fldCharType="separate"/>
            </w:r>
            <w:r w:rsidR="00434847">
              <w:rPr>
                <w:noProof/>
                <w:webHidden/>
              </w:rPr>
              <w:t>14</w:t>
            </w:r>
            <w:r w:rsidR="00434847">
              <w:rPr>
                <w:noProof/>
                <w:webHidden/>
              </w:rPr>
              <w:fldChar w:fldCharType="end"/>
            </w:r>
          </w:hyperlink>
        </w:p>
        <w:p w14:paraId="784EEF90" w14:textId="4F40DAC2" w:rsidR="00434847" w:rsidRDefault="00365364">
          <w:pPr>
            <w:pStyle w:val="TDC2"/>
            <w:tabs>
              <w:tab w:val="right" w:leader="dot" w:pos="9350"/>
            </w:tabs>
            <w:rPr>
              <w:noProof/>
              <w:kern w:val="2"/>
              <w:sz w:val="24"/>
              <w:szCs w:val="24"/>
              <w:lang w:val="es-MX" w:eastAsia="es-MX"/>
              <w14:ligatures w14:val="standardContextual"/>
            </w:rPr>
          </w:pPr>
          <w:hyperlink w:anchor="_Toc228778725" w:history="1">
            <w:r w:rsidR="00434847" w:rsidRPr="00811D75">
              <w:rPr>
                <w:rStyle w:val="Hipervnculo"/>
                <w:rFonts w:ascii="Times New Roman" w:hAnsi="Times New Roman" w:cs="Times New Roman"/>
                <w:noProof/>
              </w:rPr>
              <w:t>Volumen del mercado y tendencias</w:t>
            </w:r>
            <w:r w:rsidR="00434847">
              <w:rPr>
                <w:noProof/>
                <w:webHidden/>
              </w:rPr>
              <w:tab/>
            </w:r>
            <w:r w:rsidR="00434847">
              <w:rPr>
                <w:noProof/>
                <w:webHidden/>
              </w:rPr>
              <w:fldChar w:fldCharType="begin"/>
            </w:r>
            <w:r w:rsidR="00434847">
              <w:rPr>
                <w:noProof/>
                <w:webHidden/>
              </w:rPr>
              <w:instrText xml:space="preserve"> PAGEREF _Toc228778725 \h </w:instrText>
            </w:r>
            <w:r w:rsidR="00434847">
              <w:rPr>
                <w:noProof/>
                <w:webHidden/>
              </w:rPr>
            </w:r>
            <w:r w:rsidR="00434847">
              <w:rPr>
                <w:noProof/>
                <w:webHidden/>
              </w:rPr>
              <w:fldChar w:fldCharType="separate"/>
            </w:r>
            <w:r w:rsidR="00434847">
              <w:rPr>
                <w:noProof/>
                <w:webHidden/>
              </w:rPr>
              <w:t>15</w:t>
            </w:r>
            <w:r w:rsidR="00434847">
              <w:rPr>
                <w:noProof/>
                <w:webHidden/>
              </w:rPr>
              <w:fldChar w:fldCharType="end"/>
            </w:r>
          </w:hyperlink>
        </w:p>
        <w:p w14:paraId="07495CBB" w14:textId="746F4D21" w:rsidR="00434847" w:rsidRDefault="00365364">
          <w:pPr>
            <w:pStyle w:val="TDC1"/>
            <w:tabs>
              <w:tab w:val="right" w:leader="dot" w:pos="9350"/>
            </w:tabs>
            <w:rPr>
              <w:noProof/>
              <w:kern w:val="2"/>
              <w:sz w:val="24"/>
              <w:szCs w:val="24"/>
              <w:lang w:val="es-MX" w:eastAsia="es-MX"/>
              <w14:ligatures w14:val="standardContextual"/>
            </w:rPr>
          </w:pPr>
          <w:hyperlink w:anchor="_Toc228778726" w:history="1">
            <w:r w:rsidR="00434847" w:rsidRPr="00811D75">
              <w:rPr>
                <w:rStyle w:val="Hipervnculo"/>
                <w:rFonts w:ascii="Times New Roman" w:hAnsi="Times New Roman" w:cs="Times New Roman"/>
                <w:noProof/>
                <w:w w:val="70"/>
              </w:rPr>
              <w:t>CAPÍTULO 3 - ANALISIS ESTRATEGICO</w:t>
            </w:r>
            <w:r w:rsidR="00434847">
              <w:rPr>
                <w:noProof/>
                <w:webHidden/>
              </w:rPr>
              <w:tab/>
            </w:r>
            <w:r w:rsidR="00434847">
              <w:rPr>
                <w:noProof/>
                <w:webHidden/>
              </w:rPr>
              <w:fldChar w:fldCharType="begin"/>
            </w:r>
            <w:r w:rsidR="00434847">
              <w:rPr>
                <w:noProof/>
                <w:webHidden/>
              </w:rPr>
              <w:instrText xml:space="preserve"> PAGEREF _Toc228778726 \h </w:instrText>
            </w:r>
            <w:r w:rsidR="00434847">
              <w:rPr>
                <w:noProof/>
                <w:webHidden/>
              </w:rPr>
            </w:r>
            <w:r w:rsidR="00434847">
              <w:rPr>
                <w:noProof/>
                <w:webHidden/>
              </w:rPr>
              <w:fldChar w:fldCharType="separate"/>
            </w:r>
            <w:r w:rsidR="00434847">
              <w:rPr>
                <w:noProof/>
                <w:webHidden/>
              </w:rPr>
              <w:t>17</w:t>
            </w:r>
            <w:r w:rsidR="00434847">
              <w:rPr>
                <w:noProof/>
                <w:webHidden/>
              </w:rPr>
              <w:fldChar w:fldCharType="end"/>
            </w:r>
          </w:hyperlink>
        </w:p>
        <w:p w14:paraId="24771753" w14:textId="213AF128" w:rsidR="00434847" w:rsidRDefault="00365364">
          <w:pPr>
            <w:pStyle w:val="TDC2"/>
            <w:tabs>
              <w:tab w:val="right" w:leader="dot" w:pos="9350"/>
            </w:tabs>
            <w:rPr>
              <w:noProof/>
              <w:kern w:val="2"/>
              <w:sz w:val="24"/>
              <w:szCs w:val="24"/>
              <w:lang w:val="es-MX" w:eastAsia="es-MX"/>
              <w14:ligatures w14:val="standardContextual"/>
            </w:rPr>
          </w:pPr>
          <w:hyperlink w:anchor="_Toc228778727" w:history="1">
            <w:r w:rsidR="00434847" w:rsidRPr="00811D75">
              <w:rPr>
                <w:rStyle w:val="Hipervnculo"/>
                <w:rFonts w:ascii="Times New Roman" w:hAnsi="Times New Roman" w:cs="Times New Roman"/>
                <w:noProof/>
              </w:rPr>
              <w:t>Análisis Interno de TASA Logistica</w:t>
            </w:r>
            <w:r w:rsidR="00434847">
              <w:rPr>
                <w:noProof/>
                <w:webHidden/>
              </w:rPr>
              <w:tab/>
            </w:r>
            <w:r w:rsidR="00434847">
              <w:rPr>
                <w:noProof/>
                <w:webHidden/>
              </w:rPr>
              <w:fldChar w:fldCharType="begin"/>
            </w:r>
            <w:r w:rsidR="00434847">
              <w:rPr>
                <w:noProof/>
                <w:webHidden/>
              </w:rPr>
              <w:instrText xml:space="preserve"> PAGEREF _Toc228778727 \h </w:instrText>
            </w:r>
            <w:r w:rsidR="00434847">
              <w:rPr>
                <w:noProof/>
                <w:webHidden/>
              </w:rPr>
            </w:r>
            <w:r w:rsidR="00434847">
              <w:rPr>
                <w:noProof/>
                <w:webHidden/>
              </w:rPr>
              <w:fldChar w:fldCharType="separate"/>
            </w:r>
            <w:r w:rsidR="00434847">
              <w:rPr>
                <w:noProof/>
                <w:webHidden/>
              </w:rPr>
              <w:t>17</w:t>
            </w:r>
            <w:r w:rsidR="00434847">
              <w:rPr>
                <w:noProof/>
                <w:webHidden/>
              </w:rPr>
              <w:fldChar w:fldCharType="end"/>
            </w:r>
          </w:hyperlink>
        </w:p>
        <w:p w14:paraId="07C69722" w14:textId="26A805A7" w:rsidR="00434847" w:rsidRDefault="00365364">
          <w:pPr>
            <w:pStyle w:val="TDC2"/>
            <w:tabs>
              <w:tab w:val="right" w:leader="dot" w:pos="9350"/>
            </w:tabs>
            <w:rPr>
              <w:noProof/>
              <w:kern w:val="2"/>
              <w:sz w:val="24"/>
              <w:szCs w:val="24"/>
              <w:lang w:val="es-MX" w:eastAsia="es-MX"/>
              <w14:ligatures w14:val="standardContextual"/>
            </w:rPr>
          </w:pPr>
          <w:hyperlink w:anchor="_Toc228778728" w:history="1">
            <w:r w:rsidR="00434847" w:rsidRPr="00811D75">
              <w:rPr>
                <w:rStyle w:val="Hipervnculo"/>
                <w:rFonts w:ascii="Times New Roman" w:hAnsi="Times New Roman" w:cs="Times New Roman"/>
                <w:noProof/>
              </w:rPr>
              <w:t>Análisis del entorno y diagnóstico estratégico</w:t>
            </w:r>
            <w:r w:rsidR="00434847">
              <w:rPr>
                <w:noProof/>
                <w:webHidden/>
              </w:rPr>
              <w:tab/>
            </w:r>
            <w:r w:rsidR="00434847">
              <w:rPr>
                <w:noProof/>
                <w:webHidden/>
              </w:rPr>
              <w:fldChar w:fldCharType="begin"/>
            </w:r>
            <w:r w:rsidR="00434847">
              <w:rPr>
                <w:noProof/>
                <w:webHidden/>
              </w:rPr>
              <w:instrText xml:space="preserve"> PAGEREF _Toc228778728 \h </w:instrText>
            </w:r>
            <w:r w:rsidR="00434847">
              <w:rPr>
                <w:noProof/>
                <w:webHidden/>
              </w:rPr>
            </w:r>
            <w:r w:rsidR="00434847">
              <w:rPr>
                <w:noProof/>
                <w:webHidden/>
              </w:rPr>
              <w:fldChar w:fldCharType="separate"/>
            </w:r>
            <w:r w:rsidR="00434847">
              <w:rPr>
                <w:noProof/>
                <w:webHidden/>
              </w:rPr>
              <w:t>18</w:t>
            </w:r>
            <w:r w:rsidR="00434847">
              <w:rPr>
                <w:noProof/>
                <w:webHidden/>
              </w:rPr>
              <w:fldChar w:fldCharType="end"/>
            </w:r>
          </w:hyperlink>
        </w:p>
        <w:p w14:paraId="68A0ADDE" w14:textId="3410C451" w:rsidR="00434847" w:rsidRDefault="00365364">
          <w:pPr>
            <w:pStyle w:val="TDC2"/>
            <w:tabs>
              <w:tab w:val="right" w:leader="dot" w:pos="9350"/>
            </w:tabs>
            <w:rPr>
              <w:noProof/>
              <w:kern w:val="2"/>
              <w:sz w:val="24"/>
              <w:szCs w:val="24"/>
              <w:lang w:val="es-MX" w:eastAsia="es-MX"/>
              <w14:ligatures w14:val="standardContextual"/>
            </w:rPr>
          </w:pPr>
          <w:hyperlink w:anchor="_Toc228778729" w:history="1">
            <w:r w:rsidR="00434847" w:rsidRPr="00811D75">
              <w:rPr>
                <w:rStyle w:val="Hipervnculo"/>
                <w:rFonts w:ascii="Times New Roman" w:hAnsi="Times New Roman" w:cs="Times New Roman"/>
                <w:noProof/>
              </w:rPr>
              <w:t>Análisis del macroentorno – PESTEL</w:t>
            </w:r>
            <w:r w:rsidR="00434847">
              <w:rPr>
                <w:noProof/>
                <w:webHidden/>
              </w:rPr>
              <w:tab/>
            </w:r>
            <w:r w:rsidR="00434847">
              <w:rPr>
                <w:noProof/>
                <w:webHidden/>
              </w:rPr>
              <w:fldChar w:fldCharType="begin"/>
            </w:r>
            <w:r w:rsidR="00434847">
              <w:rPr>
                <w:noProof/>
                <w:webHidden/>
              </w:rPr>
              <w:instrText xml:space="preserve"> PAGEREF _Toc228778729 \h </w:instrText>
            </w:r>
            <w:r w:rsidR="00434847">
              <w:rPr>
                <w:noProof/>
                <w:webHidden/>
              </w:rPr>
            </w:r>
            <w:r w:rsidR="00434847">
              <w:rPr>
                <w:noProof/>
                <w:webHidden/>
              </w:rPr>
              <w:fldChar w:fldCharType="separate"/>
            </w:r>
            <w:r w:rsidR="00434847">
              <w:rPr>
                <w:noProof/>
                <w:webHidden/>
              </w:rPr>
              <w:t>19</w:t>
            </w:r>
            <w:r w:rsidR="00434847">
              <w:rPr>
                <w:noProof/>
                <w:webHidden/>
              </w:rPr>
              <w:fldChar w:fldCharType="end"/>
            </w:r>
          </w:hyperlink>
        </w:p>
        <w:p w14:paraId="773B1887" w14:textId="27DE80A2" w:rsidR="00434847" w:rsidRDefault="00365364">
          <w:pPr>
            <w:pStyle w:val="TDC2"/>
            <w:tabs>
              <w:tab w:val="right" w:leader="dot" w:pos="9350"/>
            </w:tabs>
            <w:rPr>
              <w:noProof/>
              <w:kern w:val="2"/>
              <w:sz w:val="24"/>
              <w:szCs w:val="24"/>
              <w:lang w:val="es-MX" w:eastAsia="es-MX"/>
              <w14:ligatures w14:val="standardContextual"/>
            </w:rPr>
          </w:pPr>
          <w:hyperlink w:anchor="_Toc228778730" w:history="1">
            <w:r w:rsidR="00434847" w:rsidRPr="00811D75">
              <w:rPr>
                <w:rStyle w:val="Hipervnculo"/>
                <w:rFonts w:ascii="Times New Roman" w:hAnsi="Times New Roman" w:cs="Times New Roman"/>
                <w:noProof/>
              </w:rPr>
              <w:t>Análisis del microentorno - 5 fuerzas de Porter</w:t>
            </w:r>
            <w:r w:rsidR="00434847">
              <w:rPr>
                <w:noProof/>
                <w:webHidden/>
              </w:rPr>
              <w:tab/>
            </w:r>
            <w:r w:rsidR="00434847">
              <w:rPr>
                <w:noProof/>
                <w:webHidden/>
              </w:rPr>
              <w:fldChar w:fldCharType="begin"/>
            </w:r>
            <w:r w:rsidR="00434847">
              <w:rPr>
                <w:noProof/>
                <w:webHidden/>
              </w:rPr>
              <w:instrText xml:space="preserve"> PAGEREF _Toc228778730 \h </w:instrText>
            </w:r>
            <w:r w:rsidR="00434847">
              <w:rPr>
                <w:noProof/>
                <w:webHidden/>
              </w:rPr>
            </w:r>
            <w:r w:rsidR="00434847">
              <w:rPr>
                <w:noProof/>
                <w:webHidden/>
              </w:rPr>
              <w:fldChar w:fldCharType="separate"/>
            </w:r>
            <w:r w:rsidR="00434847">
              <w:rPr>
                <w:noProof/>
                <w:webHidden/>
              </w:rPr>
              <w:t>19</w:t>
            </w:r>
            <w:r w:rsidR="00434847">
              <w:rPr>
                <w:noProof/>
                <w:webHidden/>
              </w:rPr>
              <w:fldChar w:fldCharType="end"/>
            </w:r>
          </w:hyperlink>
        </w:p>
        <w:p w14:paraId="3128EF0D" w14:textId="0B1B200D" w:rsidR="00434847" w:rsidRDefault="00365364">
          <w:pPr>
            <w:pStyle w:val="TDC2"/>
            <w:tabs>
              <w:tab w:val="right" w:leader="dot" w:pos="9350"/>
            </w:tabs>
            <w:rPr>
              <w:noProof/>
              <w:kern w:val="2"/>
              <w:sz w:val="24"/>
              <w:szCs w:val="24"/>
              <w:lang w:val="es-MX" w:eastAsia="es-MX"/>
              <w14:ligatures w14:val="standardContextual"/>
            </w:rPr>
          </w:pPr>
          <w:hyperlink w:anchor="_Toc228778731" w:history="1">
            <w:r w:rsidR="00434847" w:rsidRPr="00811D75">
              <w:rPr>
                <w:rStyle w:val="Hipervnculo"/>
                <w:rFonts w:ascii="Times New Roman" w:hAnsi="Times New Roman" w:cs="Times New Roman"/>
                <w:noProof/>
              </w:rPr>
              <w:t>Matriz F.O.D.A.</w:t>
            </w:r>
            <w:r w:rsidR="00434847">
              <w:rPr>
                <w:noProof/>
                <w:webHidden/>
              </w:rPr>
              <w:tab/>
            </w:r>
            <w:r w:rsidR="00434847">
              <w:rPr>
                <w:noProof/>
                <w:webHidden/>
              </w:rPr>
              <w:fldChar w:fldCharType="begin"/>
            </w:r>
            <w:r w:rsidR="00434847">
              <w:rPr>
                <w:noProof/>
                <w:webHidden/>
              </w:rPr>
              <w:instrText xml:space="preserve"> PAGEREF _Toc228778731 \h </w:instrText>
            </w:r>
            <w:r w:rsidR="00434847">
              <w:rPr>
                <w:noProof/>
                <w:webHidden/>
              </w:rPr>
            </w:r>
            <w:r w:rsidR="00434847">
              <w:rPr>
                <w:noProof/>
                <w:webHidden/>
              </w:rPr>
              <w:fldChar w:fldCharType="separate"/>
            </w:r>
            <w:r w:rsidR="00434847">
              <w:rPr>
                <w:noProof/>
                <w:webHidden/>
              </w:rPr>
              <w:t>20</w:t>
            </w:r>
            <w:r w:rsidR="00434847">
              <w:rPr>
                <w:noProof/>
                <w:webHidden/>
              </w:rPr>
              <w:fldChar w:fldCharType="end"/>
            </w:r>
          </w:hyperlink>
        </w:p>
        <w:p w14:paraId="0A6790E1" w14:textId="3A9248BA" w:rsidR="00434847" w:rsidRDefault="00365364">
          <w:pPr>
            <w:pStyle w:val="TDC2"/>
            <w:tabs>
              <w:tab w:val="right" w:leader="dot" w:pos="9350"/>
            </w:tabs>
            <w:rPr>
              <w:noProof/>
              <w:kern w:val="2"/>
              <w:sz w:val="24"/>
              <w:szCs w:val="24"/>
              <w:lang w:val="es-MX" w:eastAsia="es-MX"/>
              <w14:ligatures w14:val="standardContextual"/>
            </w:rPr>
          </w:pPr>
          <w:hyperlink w:anchor="_Toc228778732" w:history="1">
            <w:r w:rsidR="00434847" w:rsidRPr="00811D75">
              <w:rPr>
                <w:rStyle w:val="Hipervnculo"/>
                <w:rFonts w:ascii="Times New Roman" w:hAnsi="Times New Roman" w:cs="Times New Roman"/>
                <w:noProof/>
              </w:rPr>
              <w:t>Relevamiento de la situación actual y diagnóstico</w:t>
            </w:r>
            <w:r w:rsidR="00434847">
              <w:rPr>
                <w:noProof/>
                <w:webHidden/>
              </w:rPr>
              <w:tab/>
            </w:r>
            <w:r w:rsidR="00434847">
              <w:rPr>
                <w:noProof/>
                <w:webHidden/>
              </w:rPr>
              <w:fldChar w:fldCharType="begin"/>
            </w:r>
            <w:r w:rsidR="00434847">
              <w:rPr>
                <w:noProof/>
                <w:webHidden/>
              </w:rPr>
              <w:instrText xml:space="preserve"> PAGEREF _Toc228778732 \h </w:instrText>
            </w:r>
            <w:r w:rsidR="00434847">
              <w:rPr>
                <w:noProof/>
                <w:webHidden/>
              </w:rPr>
            </w:r>
            <w:r w:rsidR="00434847">
              <w:rPr>
                <w:noProof/>
                <w:webHidden/>
              </w:rPr>
              <w:fldChar w:fldCharType="separate"/>
            </w:r>
            <w:r w:rsidR="00434847">
              <w:rPr>
                <w:noProof/>
                <w:webHidden/>
              </w:rPr>
              <w:t>20</w:t>
            </w:r>
            <w:r w:rsidR="00434847">
              <w:rPr>
                <w:noProof/>
                <w:webHidden/>
              </w:rPr>
              <w:fldChar w:fldCharType="end"/>
            </w:r>
          </w:hyperlink>
        </w:p>
        <w:p w14:paraId="422DC255" w14:textId="36ED7B80" w:rsidR="00434847" w:rsidRDefault="00365364">
          <w:pPr>
            <w:pStyle w:val="TDC1"/>
            <w:tabs>
              <w:tab w:val="right" w:leader="dot" w:pos="9350"/>
            </w:tabs>
            <w:rPr>
              <w:noProof/>
              <w:kern w:val="2"/>
              <w:sz w:val="24"/>
              <w:szCs w:val="24"/>
              <w:lang w:val="es-MX" w:eastAsia="es-MX"/>
              <w14:ligatures w14:val="standardContextual"/>
            </w:rPr>
          </w:pPr>
          <w:hyperlink w:anchor="_Toc228778733" w:history="1">
            <w:r w:rsidR="00434847" w:rsidRPr="00811D75">
              <w:rPr>
                <w:rStyle w:val="Hipervnculo"/>
                <w:rFonts w:ascii="Times New Roman" w:hAnsi="Times New Roman" w:cs="Times New Roman"/>
                <w:noProof/>
                <w:w w:val="70"/>
              </w:rPr>
              <w:t>CAPÍTULO 4 - MARCO INVESTIGATIVO</w:t>
            </w:r>
            <w:r w:rsidR="00434847">
              <w:rPr>
                <w:noProof/>
                <w:webHidden/>
              </w:rPr>
              <w:tab/>
            </w:r>
            <w:r w:rsidR="00434847">
              <w:rPr>
                <w:noProof/>
                <w:webHidden/>
              </w:rPr>
              <w:fldChar w:fldCharType="begin"/>
            </w:r>
            <w:r w:rsidR="00434847">
              <w:rPr>
                <w:noProof/>
                <w:webHidden/>
              </w:rPr>
              <w:instrText xml:space="preserve"> PAGEREF _Toc228778733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7085125D" w14:textId="6F4E407E" w:rsidR="00434847" w:rsidRDefault="00365364">
          <w:pPr>
            <w:pStyle w:val="TDC2"/>
            <w:tabs>
              <w:tab w:val="right" w:leader="dot" w:pos="9350"/>
            </w:tabs>
            <w:rPr>
              <w:noProof/>
              <w:kern w:val="2"/>
              <w:sz w:val="24"/>
              <w:szCs w:val="24"/>
              <w:lang w:val="es-MX" w:eastAsia="es-MX"/>
              <w14:ligatures w14:val="standardContextual"/>
            </w:rPr>
          </w:pPr>
          <w:hyperlink w:anchor="_Toc228778734" w:history="1">
            <w:r w:rsidR="00434847" w:rsidRPr="00811D75">
              <w:rPr>
                <w:rStyle w:val="Hipervnculo"/>
                <w:rFonts w:ascii="Times New Roman" w:hAnsi="Times New Roman" w:cs="Times New Roman"/>
                <w:noProof/>
              </w:rPr>
              <w:t>Enfoque metodológico</w:t>
            </w:r>
            <w:r w:rsidR="00434847">
              <w:rPr>
                <w:noProof/>
                <w:webHidden/>
              </w:rPr>
              <w:tab/>
            </w:r>
            <w:r w:rsidR="00434847">
              <w:rPr>
                <w:noProof/>
                <w:webHidden/>
              </w:rPr>
              <w:fldChar w:fldCharType="begin"/>
            </w:r>
            <w:r w:rsidR="00434847">
              <w:rPr>
                <w:noProof/>
                <w:webHidden/>
              </w:rPr>
              <w:instrText xml:space="preserve"> PAGEREF _Toc228778734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3C1E71AC" w14:textId="17D8086F" w:rsidR="00434847" w:rsidRDefault="00365364">
          <w:pPr>
            <w:pStyle w:val="TDC2"/>
            <w:tabs>
              <w:tab w:val="right" w:leader="dot" w:pos="9350"/>
            </w:tabs>
            <w:rPr>
              <w:noProof/>
              <w:kern w:val="2"/>
              <w:sz w:val="24"/>
              <w:szCs w:val="24"/>
              <w:lang w:val="es-MX" w:eastAsia="es-MX"/>
              <w14:ligatures w14:val="standardContextual"/>
            </w:rPr>
          </w:pPr>
          <w:hyperlink w:anchor="_Toc228778735" w:history="1">
            <w:r w:rsidR="00434847" w:rsidRPr="00811D75">
              <w:rPr>
                <w:rStyle w:val="Hipervnculo"/>
                <w:rFonts w:ascii="Times New Roman" w:hAnsi="Times New Roman" w:cs="Times New Roman"/>
                <w:noProof/>
              </w:rPr>
              <w:t>Diseño de investigación</w:t>
            </w:r>
            <w:r w:rsidR="00434847">
              <w:rPr>
                <w:noProof/>
                <w:webHidden/>
              </w:rPr>
              <w:tab/>
            </w:r>
            <w:r w:rsidR="00434847">
              <w:rPr>
                <w:noProof/>
                <w:webHidden/>
              </w:rPr>
              <w:fldChar w:fldCharType="begin"/>
            </w:r>
            <w:r w:rsidR="00434847">
              <w:rPr>
                <w:noProof/>
                <w:webHidden/>
              </w:rPr>
              <w:instrText xml:space="preserve"> PAGEREF _Toc228778735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76FB9EEF" w14:textId="7F64C2B7" w:rsidR="00434847" w:rsidRDefault="00365364">
          <w:pPr>
            <w:pStyle w:val="TDC2"/>
            <w:tabs>
              <w:tab w:val="right" w:leader="dot" w:pos="9350"/>
            </w:tabs>
            <w:rPr>
              <w:noProof/>
              <w:kern w:val="2"/>
              <w:sz w:val="24"/>
              <w:szCs w:val="24"/>
              <w:lang w:val="es-MX" w:eastAsia="es-MX"/>
              <w14:ligatures w14:val="standardContextual"/>
            </w:rPr>
          </w:pPr>
          <w:hyperlink w:anchor="_Toc228778736" w:history="1">
            <w:r w:rsidR="00434847" w:rsidRPr="00811D75">
              <w:rPr>
                <w:rStyle w:val="Hipervnculo"/>
                <w:rFonts w:ascii="Times New Roman" w:hAnsi="Times New Roman" w:cs="Times New Roman"/>
                <w:noProof/>
              </w:rPr>
              <w:t>Unidad de análisis</w:t>
            </w:r>
            <w:r w:rsidR="00434847">
              <w:rPr>
                <w:noProof/>
                <w:webHidden/>
              </w:rPr>
              <w:tab/>
            </w:r>
            <w:r w:rsidR="00434847">
              <w:rPr>
                <w:noProof/>
                <w:webHidden/>
              </w:rPr>
              <w:fldChar w:fldCharType="begin"/>
            </w:r>
            <w:r w:rsidR="00434847">
              <w:rPr>
                <w:noProof/>
                <w:webHidden/>
              </w:rPr>
              <w:instrText xml:space="preserve"> PAGEREF _Toc228778736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2E0D33A8" w14:textId="2231625C" w:rsidR="00434847" w:rsidRDefault="00365364">
          <w:pPr>
            <w:pStyle w:val="TDC2"/>
            <w:tabs>
              <w:tab w:val="right" w:leader="dot" w:pos="9350"/>
            </w:tabs>
            <w:rPr>
              <w:noProof/>
              <w:kern w:val="2"/>
              <w:sz w:val="24"/>
              <w:szCs w:val="24"/>
              <w:lang w:val="es-MX" w:eastAsia="es-MX"/>
              <w14:ligatures w14:val="standardContextual"/>
            </w:rPr>
          </w:pPr>
          <w:hyperlink w:anchor="_Toc228778737" w:history="1">
            <w:r w:rsidR="00434847" w:rsidRPr="00811D75">
              <w:rPr>
                <w:rStyle w:val="Hipervnculo"/>
                <w:rFonts w:ascii="Times New Roman" w:hAnsi="Times New Roman" w:cs="Times New Roman"/>
                <w:noProof/>
              </w:rPr>
              <w:t>Población y muestra</w:t>
            </w:r>
            <w:r w:rsidR="00434847">
              <w:rPr>
                <w:noProof/>
                <w:webHidden/>
              </w:rPr>
              <w:tab/>
            </w:r>
            <w:r w:rsidR="00434847">
              <w:rPr>
                <w:noProof/>
                <w:webHidden/>
              </w:rPr>
              <w:fldChar w:fldCharType="begin"/>
            </w:r>
            <w:r w:rsidR="00434847">
              <w:rPr>
                <w:noProof/>
                <w:webHidden/>
              </w:rPr>
              <w:instrText xml:space="preserve"> PAGEREF _Toc228778737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4B837F2F" w14:textId="4E30E8E8" w:rsidR="00434847" w:rsidRDefault="00365364">
          <w:pPr>
            <w:pStyle w:val="TDC2"/>
            <w:tabs>
              <w:tab w:val="right" w:leader="dot" w:pos="9350"/>
            </w:tabs>
            <w:rPr>
              <w:noProof/>
              <w:kern w:val="2"/>
              <w:sz w:val="24"/>
              <w:szCs w:val="24"/>
              <w:lang w:val="es-MX" w:eastAsia="es-MX"/>
              <w14:ligatures w14:val="standardContextual"/>
            </w:rPr>
          </w:pPr>
          <w:hyperlink w:anchor="_Toc228778738" w:history="1">
            <w:r w:rsidR="00434847" w:rsidRPr="00811D75">
              <w:rPr>
                <w:rStyle w:val="Hipervnculo"/>
                <w:rFonts w:ascii="Times New Roman" w:hAnsi="Times New Roman" w:cs="Times New Roman"/>
                <w:noProof/>
              </w:rPr>
              <w:t>Técnicas de recolección de datos</w:t>
            </w:r>
            <w:r w:rsidR="00434847">
              <w:rPr>
                <w:noProof/>
                <w:webHidden/>
              </w:rPr>
              <w:tab/>
            </w:r>
            <w:r w:rsidR="00434847">
              <w:rPr>
                <w:noProof/>
                <w:webHidden/>
              </w:rPr>
              <w:fldChar w:fldCharType="begin"/>
            </w:r>
            <w:r w:rsidR="00434847">
              <w:rPr>
                <w:noProof/>
                <w:webHidden/>
              </w:rPr>
              <w:instrText xml:space="preserve"> PAGEREF _Toc228778738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0EB30F09" w14:textId="26B64B75" w:rsidR="00434847" w:rsidRDefault="00365364">
          <w:pPr>
            <w:pStyle w:val="TDC3"/>
            <w:tabs>
              <w:tab w:val="right" w:leader="dot" w:pos="9350"/>
            </w:tabs>
            <w:rPr>
              <w:noProof/>
              <w:kern w:val="2"/>
              <w:sz w:val="24"/>
              <w:szCs w:val="24"/>
              <w:lang w:val="es-MX" w:eastAsia="es-MX"/>
              <w14:ligatures w14:val="standardContextual"/>
            </w:rPr>
          </w:pPr>
          <w:hyperlink w:anchor="_Toc228778739" w:history="1">
            <w:r w:rsidR="00434847" w:rsidRPr="00811D75">
              <w:rPr>
                <w:rStyle w:val="Hipervnculo"/>
                <w:rFonts w:ascii="Times New Roman" w:hAnsi="Times New Roman" w:cs="Times New Roman"/>
                <w:i/>
                <w:iCs/>
                <w:noProof/>
              </w:rPr>
              <w:t>Cualitativas</w:t>
            </w:r>
            <w:r w:rsidR="00434847">
              <w:rPr>
                <w:noProof/>
                <w:webHidden/>
              </w:rPr>
              <w:tab/>
            </w:r>
            <w:r w:rsidR="00434847">
              <w:rPr>
                <w:noProof/>
                <w:webHidden/>
              </w:rPr>
              <w:fldChar w:fldCharType="begin"/>
            </w:r>
            <w:r w:rsidR="00434847">
              <w:rPr>
                <w:noProof/>
                <w:webHidden/>
              </w:rPr>
              <w:instrText xml:space="preserve"> PAGEREF _Toc228778739 \h </w:instrText>
            </w:r>
            <w:r w:rsidR="00434847">
              <w:rPr>
                <w:noProof/>
                <w:webHidden/>
              </w:rPr>
            </w:r>
            <w:r w:rsidR="00434847">
              <w:rPr>
                <w:noProof/>
                <w:webHidden/>
              </w:rPr>
              <w:fldChar w:fldCharType="separate"/>
            </w:r>
            <w:r w:rsidR="00434847">
              <w:rPr>
                <w:noProof/>
                <w:webHidden/>
              </w:rPr>
              <w:t>21</w:t>
            </w:r>
            <w:r w:rsidR="00434847">
              <w:rPr>
                <w:noProof/>
                <w:webHidden/>
              </w:rPr>
              <w:fldChar w:fldCharType="end"/>
            </w:r>
          </w:hyperlink>
        </w:p>
        <w:p w14:paraId="06548166" w14:textId="662FAA26" w:rsidR="00434847" w:rsidRDefault="00365364">
          <w:pPr>
            <w:pStyle w:val="TDC3"/>
            <w:tabs>
              <w:tab w:val="right" w:leader="dot" w:pos="9350"/>
            </w:tabs>
            <w:rPr>
              <w:noProof/>
              <w:kern w:val="2"/>
              <w:sz w:val="24"/>
              <w:szCs w:val="24"/>
              <w:lang w:val="es-MX" w:eastAsia="es-MX"/>
              <w14:ligatures w14:val="standardContextual"/>
            </w:rPr>
          </w:pPr>
          <w:hyperlink w:anchor="_Toc228778740" w:history="1">
            <w:r w:rsidR="00434847" w:rsidRPr="00811D75">
              <w:rPr>
                <w:rStyle w:val="Hipervnculo"/>
                <w:rFonts w:ascii="Times New Roman" w:hAnsi="Times New Roman" w:cs="Times New Roman"/>
                <w:i/>
                <w:iCs/>
                <w:noProof/>
              </w:rPr>
              <w:t>Cuantitativas</w:t>
            </w:r>
            <w:r w:rsidR="00434847">
              <w:rPr>
                <w:noProof/>
                <w:webHidden/>
              </w:rPr>
              <w:tab/>
            </w:r>
            <w:r w:rsidR="00434847">
              <w:rPr>
                <w:noProof/>
                <w:webHidden/>
              </w:rPr>
              <w:fldChar w:fldCharType="begin"/>
            </w:r>
            <w:r w:rsidR="00434847">
              <w:rPr>
                <w:noProof/>
                <w:webHidden/>
              </w:rPr>
              <w:instrText xml:space="preserve"> PAGEREF _Toc228778740 \h </w:instrText>
            </w:r>
            <w:r w:rsidR="00434847">
              <w:rPr>
                <w:noProof/>
                <w:webHidden/>
              </w:rPr>
            </w:r>
            <w:r w:rsidR="00434847">
              <w:rPr>
                <w:noProof/>
                <w:webHidden/>
              </w:rPr>
              <w:fldChar w:fldCharType="separate"/>
            </w:r>
            <w:r w:rsidR="00434847">
              <w:rPr>
                <w:noProof/>
                <w:webHidden/>
              </w:rPr>
              <w:t>22</w:t>
            </w:r>
            <w:r w:rsidR="00434847">
              <w:rPr>
                <w:noProof/>
                <w:webHidden/>
              </w:rPr>
              <w:fldChar w:fldCharType="end"/>
            </w:r>
          </w:hyperlink>
        </w:p>
        <w:p w14:paraId="72F4D136" w14:textId="769A4045" w:rsidR="00434847" w:rsidRDefault="00365364">
          <w:pPr>
            <w:pStyle w:val="TDC2"/>
            <w:tabs>
              <w:tab w:val="right" w:leader="dot" w:pos="9350"/>
            </w:tabs>
            <w:rPr>
              <w:noProof/>
              <w:kern w:val="2"/>
              <w:sz w:val="24"/>
              <w:szCs w:val="24"/>
              <w:lang w:val="es-MX" w:eastAsia="es-MX"/>
              <w14:ligatures w14:val="standardContextual"/>
            </w:rPr>
          </w:pPr>
          <w:hyperlink w:anchor="_Toc228778741" w:history="1">
            <w:r w:rsidR="00434847" w:rsidRPr="00811D75">
              <w:rPr>
                <w:rStyle w:val="Hipervnculo"/>
                <w:rFonts w:ascii="Times New Roman" w:hAnsi="Times New Roman" w:cs="Times New Roman"/>
                <w:noProof/>
              </w:rPr>
              <w:t>Coherencia con la hipótesis y los objetivos</w:t>
            </w:r>
            <w:r w:rsidR="00434847">
              <w:rPr>
                <w:noProof/>
                <w:webHidden/>
              </w:rPr>
              <w:tab/>
            </w:r>
            <w:r w:rsidR="00434847">
              <w:rPr>
                <w:noProof/>
                <w:webHidden/>
              </w:rPr>
              <w:fldChar w:fldCharType="begin"/>
            </w:r>
            <w:r w:rsidR="00434847">
              <w:rPr>
                <w:noProof/>
                <w:webHidden/>
              </w:rPr>
              <w:instrText xml:space="preserve"> PAGEREF _Toc228778741 \h </w:instrText>
            </w:r>
            <w:r w:rsidR="00434847">
              <w:rPr>
                <w:noProof/>
                <w:webHidden/>
              </w:rPr>
            </w:r>
            <w:r w:rsidR="00434847">
              <w:rPr>
                <w:noProof/>
                <w:webHidden/>
              </w:rPr>
              <w:fldChar w:fldCharType="separate"/>
            </w:r>
            <w:r w:rsidR="00434847">
              <w:rPr>
                <w:noProof/>
                <w:webHidden/>
              </w:rPr>
              <w:t>22</w:t>
            </w:r>
            <w:r w:rsidR="00434847">
              <w:rPr>
                <w:noProof/>
                <w:webHidden/>
              </w:rPr>
              <w:fldChar w:fldCharType="end"/>
            </w:r>
          </w:hyperlink>
        </w:p>
        <w:p w14:paraId="350AF66F" w14:textId="28B5B0F4" w:rsidR="00434847" w:rsidRDefault="00365364">
          <w:pPr>
            <w:pStyle w:val="TDC2"/>
            <w:tabs>
              <w:tab w:val="right" w:leader="dot" w:pos="9350"/>
            </w:tabs>
            <w:rPr>
              <w:noProof/>
              <w:kern w:val="2"/>
              <w:sz w:val="24"/>
              <w:szCs w:val="24"/>
              <w:lang w:val="es-MX" w:eastAsia="es-MX"/>
              <w14:ligatures w14:val="standardContextual"/>
            </w:rPr>
          </w:pPr>
          <w:hyperlink w:anchor="_Toc228778742" w:history="1">
            <w:r w:rsidR="00434847" w:rsidRPr="00811D75">
              <w:rPr>
                <w:rStyle w:val="Hipervnculo"/>
                <w:rFonts w:ascii="Times New Roman" w:hAnsi="Times New Roman" w:cs="Times New Roman"/>
                <w:noProof/>
              </w:rPr>
              <w:t>Guía de Entrevista en Profundidad</w:t>
            </w:r>
            <w:r w:rsidR="00434847">
              <w:rPr>
                <w:noProof/>
                <w:webHidden/>
              </w:rPr>
              <w:tab/>
            </w:r>
            <w:r w:rsidR="00434847">
              <w:rPr>
                <w:noProof/>
                <w:webHidden/>
              </w:rPr>
              <w:fldChar w:fldCharType="begin"/>
            </w:r>
            <w:r w:rsidR="00434847">
              <w:rPr>
                <w:noProof/>
                <w:webHidden/>
              </w:rPr>
              <w:instrText xml:space="preserve"> PAGEREF _Toc228778742 \h </w:instrText>
            </w:r>
            <w:r w:rsidR="00434847">
              <w:rPr>
                <w:noProof/>
                <w:webHidden/>
              </w:rPr>
            </w:r>
            <w:r w:rsidR="00434847">
              <w:rPr>
                <w:noProof/>
                <w:webHidden/>
              </w:rPr>
              <w:fldChar w:fldCharType="separate"/>
            </w:r>
            <w:r w:rsidR="00434847">
              <w:rPr>
                <w:noProof/>
                <w:webHidden/>
              </w:rPr>
              <w:t>22</w:t>
            </w:r>
            <w:r w:rsidR="00434847">
              <w:rPr>
                <w:noProof/>
                <w:webHidden/>
              </w:rPr>
              <w:fldChar w:fldCharType="end"/>
            </w:r>
          </w:hyperlink>
        </w:p>
        <w:p w14:paraId="009CD6DF" w14:textId="36CE4740" w:rsidR="00434847" w:rsidRDefault="00365364">
          <w:pPr>
            <w:pStyle w:val="TDC2"/>
            <w:tabs>
              <w:tab w:val="right" w:leader="dot" w:pos="9350"/>
            </w:tabs>
            <w:rPr>
              <w:noProof/>
              <w:kern w:val="2"/>
              <w:sz w:val="24"/>
              <w:szCs w:val="24"/>
              <w:lang w:val="es-MX" w:eastAsia="es-MX"/>
              <w14:ligatures w14:val="standardContextual"/>
            </w:rPr>
          </w:pPr>
          <w:hyperlink w:anchor="_Toc228778743" w:history="1">
            <w:r w:rsidR="00434847" w:rsidRPr="00811D75">
              <w:rPr>
                <w:rStyle w:val="Hipervnculo"/>
                <w:rFonts w:ascii="Times New Roman" w:hAnsi="Times New Roman" w:cs="Times New Roman"/>
                <w:noProof/>
              </w:rPr>
              <w:t>Encuesta a Clientes Actuales y Potenciales (Importadores/Exportadores)</w:t>
            </w:r>
            <w:r w:rsidR="00434847">
              <w:rPr>
                <w:noProof/>
                <w:webHidden/>
              </w:rPr>
              <w:tab/>
            </w:r>
            <w:r w:rsidR="00434847">
              <w:rPr>
                <w:noProof/>
                <w:webHidden/>
              </w:rPr>
              <w:fldChar w:fldCharType="begin"/>
            </w:r>
            <w:r w:rsidR="00434847">
              <w:rPr>
                <w:noProof/>
                <w:webHidden/>
              </w:rPr>
              <w:instrText xml:space="preserve"> PAGEREF _Toc228778743 \h </w:instrText>
            </w:r>
            <w:r w:rsidR="00434847">
              <w:rPr>
                <w:noProof/>
                <w:webHidden/>
              </w:rPr>
            </w:r>
            <w:r w:rsidR="00434847">
              <w:rPr>
                <w:noProof/>
                <w:webHidden/>
              </w:rPr>
              <w:fldChar w:fldCharType="separate"/>
            </w:r>
            <w:r w:rsidR="00434847">
              <w:rPr>
                <w:noProof/>
                <w:webHidden/>
              </w:rPr>
              <w:t>23</w:t>
            </w:r>
            <w:r w:rsidR="00434847">
              <w:rPr>
                <w:noProof/>
                <w:webHidden/>
              </w:rPr>
              <w:fldChar w:fldCharType="end"/>
            </w:r>
          </w:hyperlink>
        </w:p>
        <w:p w14:paraId="1BEBD49F" w14:textId="11EDF513" w:rsidR="00434847" w:rsidRDefault="00365364">
          <w:pPr>
            <w:pStyle w:val="TDC1"/>
            <w:tabs>
              <w:tab w:val="right" w:leader="dot" w:pos="9350"/>
            </w:tabs>
            <w:rPr>
              <w:noProof/>
              <w:kern w:val="2"/>
              <w:sz w:val="24"/>
              <w:szCs w:val="24"/>
              <w:lang w:val="es-MX" w:eastAsia="es-MX"/>
              <w14:ligatures w14:val="standardContextual"/>
            </w:rPr>
          </w:pPr>
          <w:hyperlink w:anchor="_Toc228778744" w:history="1">
            <w:r w:rsidR="00434847" w:rsidRPr="00811D75">
              <w:rPr>
                <w:rStyle w:val="Hipervnculo"/>
                <w:rFonts w:ascii="Times New Roman" w:hAnsi="Times New Roman" w:cs="Times New Roman"/>
                <w:noProof/>
                <w:w w:val="70"/>
              </w:rPr>
              <w:t>CAPÌTULO 5 - RELEVAMIENTO TRABAJO DE CAMPO</w:t>
            </w:r>
            <w:r w:rsidR="00434847">
              <w:rPr>
                <w:noProof/>
                <w:webHidden/>
              </w:rPr>
              <w:tab/>
            </w:r>
            <w:r w:rsidR="00434847">
              <w:rPr>
                <w:noProof/>
                <w:webHidden/>
              </w:rPr>
              <w:fldChar w:fldCharType="begin"/>
            </w:r>
            <w:r w:rsidR="00434847">
              <w:rPr>
                <w:noProof/>
                <w:webHidden/>
              </w:rPr>
              <w:instrText xml:space="preserve"> PAGEREF _Toc228778744 \h </w:instrText>
            </w:r>
            <w:r w:rsidR="00434847">
              <w:rPr>
                <w:noProof/>
                <w:webHidden/>
              </w:rPr>
            </w:r>
            <w:r w:rsidR="00434847">
              <w:rPr>
                <w:noProof/>
                <w:webHidden/>
              </w:rPr>
              <w:fldChar w:fldCharType="separate"/>
            </w:r>
            <w:r w:rsidR="00434847">
              <w:rPr>
                <w:noProof/>
                <w:webHidden/>
              </w:rPr>
              <w:t>25</w:t>
            </w:r>
            <w:r w:rsidR="00434847">
              <w:rPr>
                <w:noProof/>
                <w:webHidden/>
              </w:rPr>
              <w:fldChar w:fldCharType="end"/>
            </w:r>
          </w:hyperlink>
        </w:p>
        <w:p w14:paraId="4148A6AA" w14:textId="4C452824" w:rsidR="00434847" w:rsidRDefault="00365364">
          <w:pPr>
            <w:pStyle w:val="TDC2"/>
            <w:tabs>
              <w:tab w:val="right" w:leader="dot" w:pos="9350"/>
            </w:tabs>
            <w:rPr>
              <w:noProof/>
              <w:kern w:val="2"/>
              <w:sz w:val="24"/>
              <w:szCs w:val="24"/>
              <w:lang w:val="es-MX" w:eastAsia="es-MX"/>
              <w14:ligatures w14:val="standardContextual"/>
            </w:rPr>
          </w:pPr>
          <w:hyperlink w:anchor="_Toc228778745" w:history="1">
            <w:r w:rsidR="00434847" w:rsidRPr="00811D75">
              <w:rPr>
                <w:rStyle w:val="Hipervnculo"/>
                <w:rFonts w:ascii="Times New Roman" w:hAnsi="Times New Roman" w:cs="Times New Roman"/>
                <w:noProof/>
              </w:rPr>
              <w:t>Resultados Cualitativo</w:t>
            </w:r>
            <w:r w:rsidR="00434847">
              <w:rPr>
                <w:noProof/>
                <w:webHidden/>
              </w:rPr>
              <w:tab/>
            </w:r>
            <w:r w:rsidR="00434847">
              <w:rPr>
                <w:noProof/>
                <w:webHidden/>
              </w:rPr>
              <w:fldChar w:fldCharType="begin"/>
            </w:r>
            <w:r w:rsidR="00434847">
              <w:rPr>
                <w:noProof/>
                <w:webHidden/>
              </w:rPr>
              <w:instrText xml:space="preserve"> PAGEREF _Toc228778745 \h </w:instrText>
            </w:r>
            <w:r w:rsidR="00434847">
              <w:rPr>
                <w:noProof/>
                <w:webHidden/>
              </w:rPr>
            </w:r>
            <w:r w:rsidR="00434847">
              <w:rPr>
                <w:noProof/>
                <w:webHidden/>
              </w:rPr>
              <w:fldChar w:fldCharType="separate"/>
            </w:r>
            <w:r w:rsidR="00434847">
              <w:rPr>
                <w:noProof/>
                <w:webHidden/>
              </w:rPr>
              <w:t>25</w:t>
            </w:r>
            <w:r w:rsidR="00434847">
              <w:rPr>
                <w:noProof/>
                <w:webHidden/>
              </w:rPr>
              <w:fldChar w:fldCharType="end"/>
            </w:r>
          </w:hyperlink>
        </w:p>
        <w:p w14:paraId="1B2E9101" w14:textId="701528D1" w:rsidR="00434847" w:rsidRDefault="00365364">
          <w:pPr>
            <w:pStyle w:val="TDC3"/>
            <w:tabs>
              <w:tab w:val="right" w:leader="dot" w:pos="9350"/>
            </w:tabs>
            <w:rPr>
              <w:noProof/>
              <w:kern w:val="2"/>
              <w:sz w:val="24"/>
              <w:szCs w:val="24"/>
              <w:lang w:val="es-MX" w:eastAsia="es-MX"/>
              <w14:ligatures w14:val="standardContextual"/>
            </w:rPr>
          </w:pPr>
          <w:hyperlink w:anchor="_Toc228778746" w:history="1">
            <w:r w:rsidR="00434847" w:rsidRPr="00811D75">
              <w:rPr>
                <w:rStyle w:val="Hipervnculo"/>
                <w:rFonts w:ascii="Times New Roman" w:hAnsi="Times New Roman" w:cs="Times New Roman"/>
                <w:i/>
                <w:iCs/>
                <w:noProof/>
              </w:rPr>
              <w:t>Hallazgos transversales – Entrevistas a Directores y Gerentes de TASA</w:t>
            </w:r>
            <w:r w:rsidR="00434847">
              <w:rPr>
                <w:noProof/>
                <w:webHidden/>
              </w:rPr>
              <w:tab/>
            </w:r>
            <w:r w:rsidR="00434847">
              <w:rPr>
                <w:noProof/>
                <w:webHidden/>
              </w:rPr>
              <w:fldChar w:fldCharType="begin"/>
            </w:r>
            <w:r w:rsidR="00434847">
              <w:rPr>
                <w:noProof/>
                <w:webHidden/>
              </w:rPr>
              <w:instrText xml:space="preserve"> PAGEREF _Toc228778746 \h </w:instrText>
            </w:r>
            <w:r w:rsidR="00434847">
              <w:rPr>
                <w:noProof/>
                <w:webHidden/>
              </w:rPr>
            </w:r>
            <w:r w:rsidR="00434847">
              <w:rPr>
                <w:noProof/>
                <w:webHidden/>
              </w:rPr>
              <w:fldChar w:fldCharType="separate"/>
            </w:r>
            <w:r w:rsidR="00434847">
              <w:rPr>
                <w:noProof/>
                <w:webHidden/>
              </w:rPr>
              <w:t>25</w:t>
            </w:r>
            <w:r w:rsidR="00434847">
              <w:rPr>
                <w:noProof/>
                <w:webHidden/>
              </w:rPr>
              <w:fldChar w:fldCharType="end"/>
            </w:r>
          </w:hyperlink>
        </w:p>
        <w:p w14:paraId="647D88DC" w14:textId="00B92C93" w:rsidR="00434847" w:rsidRDefault="00365364">
          <w:pPr>
            <w:pStyle w:val="TDC3"/>
            <w:tabs>
              <w:tab w:val="right" w:leader="dot" w:pos="9350"/>
            </w:tabs>
            <w:rPr>
              <w:noProof/>
              <w:kern w:val="2"/>
              <w:sz w:val="24"/>
              <w:szCs w:val="24"/>
              <w:lang w:val="es-MX" w:eastAsia="es-MX"/>
              <w14:ligatures w14:val="standardContextual"/>
            </w:rPr>
          </w:pPr>
          <w:hyperlink w:anchor="_Toc228778747" w:history="1">
            <w:r w:rsidR="00434847" w:rsidRPr="00811D75">
              <w:rPr>
                <w:rStyle w:val="Hipervnculo"/>
                <w:rFonts w:ascii="Times New Roman" w:hAnsi="Times New Roman" w:cs="Times New Roman"/>
                <w:i/>
                <w:iCs/>
                <w:noProof/>
              </w:rPr>
              <w:t>Hallazgos transversales – Clientes estratégicos</w:t>
            </w:r>
            <w:r w:rsidR="00434847">
              <w:rPr>
                <w:noProof/>
                <w:webHidden/>
              </w:rPr>
              <w:tab/>
            </w:r>
            <w:r w:rsidR="00434847">
              <w:rPr>
                <w:noProof/>
                <w:webHidden/>
              </w:rPr>
              <w:fldChar w:fldCharType="begin"/>
            </w:r>
            <w:r w:rsidR="00434847">
              <w:rPr>
                <w:noProof/>
                <w:webHidden/>
              </w:rPr>
              <w:instrText xml:space="preserve"> PAGEREF _Toc228778747 \h </w:instrText>
            </w:r>
            <w:r w:rsidR="00434847">
              <w:rPr>
                <w:noProof/>
                <w:webHidden/>
              </w:rPr>
            </w:r>
            <w:r w:rsidR="00434847">
              <w:rPr>
                <w:noProof/>
                <w:webHidden/>
              </w:rPr>
              <w:fldChar w:fldCharType="separate"/>
            </w:r>
            <w:r w:rsidR="00434847">
              <w:rPr>
                <w:noProof/>
                <w:webHidden/>
              </w:rPr>
              <w:t>26</w:t>
            </w:r>
            <w:r w:rsidR="00434847">
              <w:rPr>
                <w:noProof/>
                <w:webHidden/>
              </w:rPr>
              <w:fldChar w:fldCharType="end"/>
            </w:r>
          </w:hyperlink>
        </w:p>
        <w:p w14:paraId="3EF85449" w14:textId="37A9BA09" w:rsidR="00434847" w:rsidRDefault="00365364">
          <w:pPr>
            <w:pStyle w:val="TDC3"/>
            <w:tabs>
              <w:tab w:val="right" w:leader="dot" w:pos="9350"/>
            </w:tabs>
            <w:rPr>
              <w:noProof/>
              <w:kern w:val="2"/>
              <w:sz w:val="24"/>
              <w:szCs w:val="24"/>
              <w:lang w:val="es-MX" w:eastAsia="es-MX"/>
              <w14:ligatures w14:val="standardContextual"/>
            </w:rPr>
          </w:pPr>
          <w:hyperlink w:anchor="_Toc228778748" w:history="1">
            <w:r w:rsidR="00434847" w:rsidRPr="00811D75">
              <w:rPr>
                <w:rStyle w:val="Hipervnculo"/>
                <w:rFonts w:ascii="Times New Roman" w:hAnsi="Times New Roman" w:cs="Times New Roman"/>
                <w:i/>
                <w:iCs/>
                <w:noProof/>
              </w:rPr>
              <w:t>Hallazgos transversales – Asesores Externos</w:t>
            </w:r>
            <w:r w:rsidR="00434847">
              <w:rPr>
                <w:noProof/>
                <w:webHidden/>
              </w:rPr>
              <w:tab/>
            </w:r>
            <w:r w:rsidR="00434847">
              <w:rPr>
                <w:noProof/>
                <w:webHidden/>
              </w:rPr>
              <w:fldChar w:fldCharType="begin"/>
            </w:r>
            <w:r w:rsidR="00434847">
              <w:rPr>
                <w:noProof/>
                <w:webHidden/>
              </w:rPr>
              <w:instrText xml:space="preserve"> PAGEREF _Toc228778748 \h </w:instrText>
            </w:r>
            <w:r w:rsidR="00434847">
              <w:rPr>
                <w:noProof/>
                <w:webHidden/>
              </w:rPr>
            </w:r>
            <w:r w:rsidR="00434847">
              <w:rPr>
                <w:noProof/>
                <w:webHidden/>
              </w:rPr>
              <w:fldChar w:fldCharType="separate"/>
            </w:r>
            <w:r w:rsidR="00434847">
              <w:rPr>
                <w:noProof/>
                <w:webHidden/>
              </w:rPr>
              <w:t>27</w:t>
            </w:r>
            <w:r w:rsidR="00434847">
              <w:rPr>
                <w:noProof/>
                <w:webHidden/>
              </w:rPr>
              <w:fldChar w:fldCharType="end"/>
            </w:r>
          </w:hyperlink>
        </w:p>
        <w:p w14:paraId="57C651BB" w14:textId="51F94502" w:rsidR="00434847" w:rsidRDefault="00365364">
          <w:pPr>
            <w:pStyle w:val="TDC3"/>
            <w:tabs>
              <w:tab w:val="right" w:leader="dot" w:pos="9350"/>
            </w:tabs>
            <w:rPr>
              <w:noProof/>
              <w:kern w:val="2"/>
              <w:sz w:val="24"/>
              <w:szCs w:val="24"/>
              <w:lang w:val="es-MX" w:eastAsia="es-MX"/>
              <w14:ligatures w14:val="standardContextual"/>
            </w:rPr>
          </w:pPr>
          <w:hyperlink w:anchor="_Toc228778749" w:history="1">
            <w:r w:rsidR="00434847" w:rsidRPr="00811D75">
              <w:rPr>
                <w:rStyle w:val="Hipervnculo"/>
                <w:rFonts w:ascii="Times New Roman" w:hAnsi="Times New Roman" w:cs="Times New Roman"/>
                <w:i/>
                <w:iCs/>
                <w:noProof/>
              </w:rPr>
              <w:t>Resultados de la Encuesta Simulada – Proyecto Depósito Fiscal TASA Logística</w:t>
            </w:r>
            <w:r w:rsidR="00434847">
              <w:rPr>
                <w:noProof/>
                <w:webHidden/>
              </w:rPr>
              <w:tab/>
            </w:r>
            <w:r w:rsidR="00434847">
              <w:rPr>
                <w:noProof/>
                <w:webHidden/>
              </w:rPr>
              <w:fldChar w:fldCharType="begin"/>
            </w:r>
            <w:r w:rsidR="00434847">
              <w:rPr>
                <w:noProof/>
                <w:webHidden/>
              </w:rPr>
              <w:instrText xml:space="preserve"> PAGEREF _Toc228778749 \h </w:instrText>
            </w:r>
            <w:r w:rsidR="00434847">
              <w:rPr>
                <w:noProof/>
                <w:webHidden/>
              </w:rPr>
            </w:r>
            <w:r w:rsidR="00434847">
              <w:rPr>
                <w:noProof/>
                <w:webHidden/>
              </w:rPr>
              <w:fldChar w:fldCharType="separate"/>
            </w:r>
            <w:r w:rsidR="00434847">
              <w:rPr>
                <w:noProof/>
                <w:webHidden/>
              </w:rPr>
              <w:t>29</w:t>
            </w:r>
            <w:r w:rsidR="00434847">
              <w:rPr>
                <w:noProof/>
                <w:webHidden/>
              </w:rPr>
              <w:fldChar w:fldCharType="end"/>
            </w:r>
          </w:hyperlink>
        </w:p>
        <w:p w14:paraId="6E3A4B46" w14:textId="4499CBCD" w:rsidR="00434847" w:rsidRDefault="00365364">
          <w:pPr>
            <w:pStyle w:val="TDC2"/>
            <w:tabs>
              <w:tab w:val="right" w:leader="dot" w:pos="9350"/>
            </w:tabs>
            <w:rPr>
              <w:noProof/>
              <w:kern w:val="2"/>
              <w:sz w:val="24"/>
              <w:szCs w:val="24"/>
              <w:lang w:val="es-MX" w:eastAsia="es-MX"/>
              <w14:ligatures w14:val="standardContextual"/>
            </w:rPr>
          </w:pPr>
          <w:hyperlink w:anchor="_Toc228778750" w:history="1">
            <w:r w:rsidR="00434847" w:rsidRPr="00811D75">
              <w:rPr>
                <w:rStyle w:val="Hipervnculo"/>
                <w:rFonts w:ascii="Times New Roman" w:hAnsi="Times New Roman" w:cs="Times New Roman"/>
                <w:noProof/>
              </w:rPr>
              <w:t>Resultados Cuantitativos</w:t>
            </w:r>
            <w:r w:rsidR="00434847">
              <w:rPr>
                <w:noProof/>
                <w:webHidden/>
              </w:rPr>
              <w:tab/>
            </w:r>
            <w:r w:rsidR="00434847">
              <w:rPr>
                <w:noProof/>
                <w:webHidden/>
              </w:rPr>
              <w:fldChar w:fldCharType="begin"/>
            </w:r>
            <w:r w:rsidR="00434847">
              <w:rPr>
                <w:noProof/>
                <w:webHidden/>
              </w:rPr>
              <w:instrText xml:space="preserve"> PAGEREF _Toc228778750 \h </w:instrText>
            </w:r>
            <w:r w:rsidR="00434847">
              <w:rPr>
                <w:noProof/>
                <w:webHidden/>
              </w:rPr>
            </w:r>
            <w:r w:rsidR="00434847">
              <w:rPr>
                <w:noProof/>
                <w:webHidden/>
              </w:rPr>
              <w:fldChar w:fldCharType="separate"/>
            </w:r>
            <w:r w:rsidR="00434847">
              <w:rPr>
                <w:noProof/>
                <w:webHidden/>
              </w:rPr>
              <w:t>30</w:t>
            </w:r>
            <w:r w:rsidR="00434847">
              <w:rPr>
                <w:noProof/>
                <w:webHidden/>
              </w:rPr>
              <w:fldChar w:fldCharType="end"/>
            </w:r>
          </w:hyperlink>
        </w:p>
        <w:p w14:paraId="4D669C30" w14:textId="4ED6549F" w:rsidR="00434847" w:rsidRDefault="00365364">
          <w:pPr>
            <w:pStyle w:val="TDC2"/>
            <w:tabs>
              <w:tab w:val="right" w:leader="dot" w:pos="9350"/>
            </w:tabs>
            <w:rPr>
              <w:noProof/>
              <w:kern w:val="2"/>
              <w:sz w:val="24"/>
              <w:szCs w:val="24"/>
              <w:lang w:val="es-MX" w:eastAsia="es-MX"/>
              <w14:ligatures w14:val="standardContextual"/>
            </w:rPr>
          </w:pPr>
          <w:hyperlink w:anchor="_Toc228778751" w:history="1">
            <w:r w:rsidR="00434847" w:rsidRPr="00811D75">
              <w:rPr>
                <w:rStyle w:val="Hipervnculo"/>
                <w:rFonts w:ascii="Times New Roman" w:hAnsi="Times New Roman" w:cs="Times New Roman"/>
                <w:noProof/>
              </w:rPr>
              <w:t>Observación Directa</w:t>
            </w:r>
            <w:r w:rsidR="00434847">
              <w:rPr>
                <w:noProof/>
                <w:webHidden/>
              </w:rPr>
              <w:tab/>
            </w:r>
            <w:r w:rsidR="00434847">
              <w:rPr>
                <w:noProof/>
                <w:webHidden/>
              </w:rPr>
              <w:fldChar w:fldCharType="begin"/>
            </w:r>
            <w:r w:rsidR="00434847">
              <w:rPr>
                <w:noProof/>
                <w:webHidden/>
              </w:rPr>
              <w:instrText xml:space="preserve"> PAGEREF _Toc228778751 \h </w:instrText>
            </w:r>
            <w:r w:rsidR="00434847">
              <w:rPr>
                <w:noProof/>
                <w:webHidden/>
              </w:rPr>
            </w:r>
            <w:r w:rsidR="00434847">
              <w:rPr>
                <w:noProof/>
                <w:webHidden/>
              </w:rPr>
              <w:fldChar w:fldCharType="separate"/>
            </w:r>
            <w:r w:rsidR="00434847">
              <w:rPr>
                <w:noProof/>
                <w:webHidden/>
              </w:rPr>
              <w:t>36</w:t>
            </w:r>
            <w:r w:rsidR="00434847">
              <w:rPr>
                <w:noProof/>
                <w:webHidden/>
              </w:rPr>
              <w:fldChar w:fldCharType="end"/>
            </w:r>
          </w:hyperlink>
        </w:p>
        <w:p w14:paraId="7482BCAB" w14:textId="37E68D51" w:rsidR="00434847" w:rsidRDefault="00365364">
          <w:pPr>
            <w:pStyle w:val="TDC1"/>
            <w:tabs>
              <w:tab w:val="right" w:leader="dot" w:pos="9350"/>
            </w:tabs>
            <w:rPr>
              <w:noProof/>
              <w:kern w:val="2"/>
              <w:sz w:val="24"/>
              <w:szCs w:val="24"/>
              <w:lang w:val="es-MX" w:eastAsia="es-MX"/>
              <w14:ligatures w14:val="standardContextual"/>
            </w:rPr>
          </w:pPr>
          <w:hyperlink w:anchor="_Toc228778752" w:history="1">
            <w:r w:rsidR="00434847" w:rsidRPr="00811D75">
              <w:rPr>
                <w:rStyle w:val="Hipervnculo"/>
                <w:rFonts w:ascii="Times New Roman" w:hAnsi="Times New Roman" w:cs="Times New Roman"/>
                <w:noProof/>
                <w:w w:val="70"/>
              </w:rPr>
              <w:t>CAPÍTULO 6 - RESULTADOS</w:t>
            </w:r>
            <w:r w:rsidR="00434847">
              <w:rPr>
                <w:noProof/>
                <w:webHidden/>
              </w:rPr>
              <w:tab/>
            </w:r>
            <w:r w:rsidR="00434847">
              <w:rPr>
                <w:noProof/>
                <w:webHidden/>
              </w:rPr>
              <w:fldChar w:fldCharType="begin"/>
            </w:r>
            <w:r w:rsidR="00434847">
              <w:rPr>
                <w:noProof/>
                <w:webHidden/>
              </w:rPr>
              <w:instrText xml:space="preserve"> PAGEREF _Toc228778752 \h </w:instrText>
            </w:r>
            <w:r w:rsidR="00434847">
              <w:rPr>
                <w:noProof/>
                <w:webHidden/>
              </w:rPr>
            </w:r>
            <w:r w:rsidR="00434847">
              <w:rPr>
                <w:noProof/>
                <w:webHidden/>
              </w:rPr>
              <w:fldChar w:fldCharType="separate"/>
            </w:r>
            <w:r w:rsidR="00434847">
              <w:rPr>
                <w:noProof/>
                <w:webHidden/>
              </w:rPr>
              <w:t>39</w:t>
            </w:r>
            <w:r w:rsidR="00434847">
              <w:rPr>
                <w:noProof/>
                <w:webHidden/>
              </w:rPr>
              <w:fldChar w:fldCharType="end"/>
            </w:r>
          </w:hyperlink>
        </w:p>
        <w:p w14:paraId="568CE727" w14:textId="73725BEB" w:rsidR="00434847" w:rsidRDefault="00365364">
          <w:pPr>
            <w:pStyle w:val="TDC2"/>
            <w:tabs>
              <w:tab w:val="right" w:leader="dot" w:pos="9350"/>
            </w:tabs>
            <w:rPr>
              <w:noProof/>
              <w:kern w:val="2"/>
              <w:sz w:val="24"/>
              <w:szCs w:val="24"/>
              <w:lang w:val="es-MX" w:eastAsia="es-MX"/>
              <w14:ligatures w14:val="standardContextual"/>
            </w:rPr>
          </w:pPr>
          <w:hyperlink w:anchor="_Toc228778753" w:history="1">
            <w:r w:rsidR="00434847" w:rsidRPr="00811D75">
              <w:rPr>
                <w:rStyle w:val="Hipervnculo"/>
                <w:rFonts w:ascii="Times New Roman" w:hAnsi="Times New Roman" w:cs="Times New Roman"/>
                <w:noProof/>
              </w:rPr>
              <w:t>Inversión estimada</w:t>
            </w:r>
            <w:r w:rsidR="00434847">
              <w:rPr>
                <w:noProof/>
                <w:webHidden/>
              </w:rPr>
              <w:tab/>
            </w:r>
            <w:r w:rsidR="00434847">
              <w:rPr>
                <w:noProof/>
                <w:webHidden/>
              </w:rPr>
              <w:fldChar w:fldCharType="begin"/>
            </w:r>
            <w:r w:rsidR="00434847">
              <w:rPr>
                <w:noProof/>
                <w:webHidden/>
              </w:rPr>
              <w:instrText xml:space="preserve"> PAGEREF _Toc228778753 \h </w:instrText>
            </w:r>
            <w:r w:rsidR="00434847">
              <w:rPr>
                <w:noProof/>
                <w:webHidden/>
              </w:rPr>
            </w:r>
            <w:r w:rsidR="00434847">
              <w:rPr>
                <w:noProof/>
                <w:webHidden/>
              </w:rPr>
              <w:fldChar w:fldCharType="separate"/>
            </w:r>
            <w:r w:rsidR="00434847">
              <w:rPr>
                <w:noProof/>
                <w:webHidden/>
              </w:rPr>
              <w:t>39</w:t>
            </w:r>
            <w:r w:rsidR="00434847">
              <w:rPr>
                <w:noProof/>
                <w:webHidden/>
              </w:rPr>
              <w:fldChar w:fldCharType="end"/>
            </w:r>
          </w:hyperlink>
        </w:p>
        <w:p w14:paraId="768CA6E5" w14:textId="1A08AFBE" w:rsidR="00434847" w:rsidRDefault="00365364">
          <w:pPr>
            <w:pStyle w:val="TDC2"/>
            <w:tabs>
              <w:tab w:val="right" w:leader="dot" w:pos="9350"/>
            </w:tabs>
            <w:rPr>
              <w:noProof/>
              <w:kern w:val="2"/>
              <w:sz w:val="24"/>
              <w:szCs w:val="24"/>
              <w:lang w:val="es-MX" w:eastAsia="es-MX"/>
              <w14:ligatures w14:val="standardContextual"/>
            </w:rPr>
          </w:pPr>
          <w:hyperlink w:anchor="_Toc228778754" w:history="1">
            <w:r w:rsidR="00434847" w:rsidRPr="00811D75">
              <w:rPr>
                <w:rStyle w:val="Hipervnculo"/>
                <w:rFonts w:ascii="Times New Roman" w:hAnsi="Times New Roman" w:cs="Times New Roman"/>
                <w:noProof/>
              </w:rPr>
              <w:t>El proyecto de construcción y puesta en marcha del Depósito Fiscal de TASA Logística en Zona Norte requiere una inversión inicial significativa, dado que combina infraestructura edilicia de alta complejidad con sistemas tecnológicos, equipamiento operativo y cumplimiento normativo bajo estándares aduaneros y sustentables.</w:t>
            </w:r>
            <w:r w:rsidR="00434847">
              <w:rPr>
                <w:noProof/>
                <w:webHidden/>
              </w:rPr>
              <w:tab/>
            </w:r>
            <w:r w:rsidR="00434847">
              <w:rPr>
                <w:noProof/>
                <w:webHidden/>
              </w:rPr>
              <w:fldChar w:fldCharType="begin"/>
            </w:r>
            <w:r w:rsidR="00434847">
              <w:rPr>
                <w:noProof/>
                <w:webHidden/>
              </w:rPr>
              <w:instrText xml:space="preserve"> PAGEREF _Toc228778754 \h </w:instrText>
            </w:r>
            <w:r w:rsidR="00434847">
              <w:rPr>
                <w:noProof/>
                <w:webHidden/>
              </w:rPr>
            </w:r>
            <w:r w:rsidR="00434847">
              <w:rPr>
                <w:noProof/>
                <w:webHidden/>
              </w:rPr>
              <w:fldChar w:fldCharType="separate"/>
            </w:r>
            <w:r w:rsidR="00434847">
              <w:rPr>
                <w:noProof/>
                <w:webHidden/>
              </w:rPr>
              <w:t>39</w:t>
            </w:r>
            <w:r w:rsidR="00434847">
              <w:rPr>
                <w:noProof/>
                <w:webHidden/>
              </w:rPr>
              <w:fldChar w:fldCharType="end"/>
            </w:r>
          </w:hyperlink>
        </w:p>
        <w:p w14:paraId="0CEB9655" w14:textId="01B276E4" w:rsidR="00434847" w:rsidRDefault="00365364">
          <w:pPr>
            <w:pStyle w:val="TDC2"/>
            <w:tabs>
              <w:tab w:val="right" w:leader="dot" w:pos="9350"/>
            </w:tabs>
            <w:rPr>
              <w:noProof/>
              <w:kern w:val="2"/>
              <w:sz w:val="24"/>
              <w:szCs w:val="24"/>
              <w:lang w:val="es-MX" w:eastAsia="es-MX"/>
              <w14:ligatures w14:val="standardContextual"/>
            </w:rPr>
          </w:pPr>
          <w:hyperlink w:anchor="_Toc228778755" w:history="1">
            <w:r w:rsidR="00434847" w:rsidRPr="00811D75">
              <w:rPr>
                <w:rStyle w:val="Hipervnculo"/>
                <w:rFonts w:ascii="Times New Roman" w:hAnsi="Times New Roman" w:cs="Times New Roman"/>
                <w:noProof/>
              </w:rPr>
              <w:t>Financiamiento posible:</w:t>
            </w:r>
            <w:r w:rsidR="00434847">
              <w:rPr>
                <w:noProof/>
                <w:webHidden/>
              </w:rPr>
              <w:tab/>
            </w:r>
            <w:r w:rsidR="00434847">
              <w:rPr>
                <w:noProof/>
                <w:webHidden/>
              </w:rPr>
              <w:fldChar w:fldCharType="begin"/>
            </w:r>
            <w:r w:rsidR="00434847">
              <w:rPr>
                <w:noProof/>
                <w:webHidden/>
              </w:rPr>
              <w:instrText xml:space="preserve"> PAGEREF _Toc228778755 \h </w:instrText>
            </w:r>
            <w:r w:rsidR="00434847">
              <w:rPr>
                <w:noProof/>
                <w:webHidden/>
              </w:rPr>
            </w:r>
            <w:r w:rsidR="00434847">
              <w:rPr>
                <w:noProof/>
                <w:webHidden/>
              </w:rPr>
              <w:fldChar w:fldCharType="separate"/>
            </w:r>
            <w:r w:rsidR="00434847">
              <w:rPr>
                <w:noProof/>
                <w:webHidden/>
              </w:rPr>
              <w:t>40</w:t>
            </w:r>
            <w:r w:rsidR="00434847">
              <w:rPr>
                <w:noProof/>
                <w:webHidden/>
              </w:rPr>
              <w:fldChar w:fldCharType="end"/>
            </w:r>
          </w:hyperlink>
        </w:p>
        <w:p w14:paraId="44F2E729" w14:textId="0F10BC5E" w:rsidR="00434847" w:rsidRDefault="00365364">
          <w:pPr>
            <w:pStyle w:val="TDC2"/>
            <w:tabs>
              <w:tab w:val="right" w:leader="dot" w:pos="9350"/>
            </w:tabs>
            <w:rPr>
              <w:noProof/>
              <w:kern w:val="2"/>
              <w:sz w:val="24"/>
              <w:szCs w:val="24"/>
              <w:lang w:val="es-MX" w:eastAsia="es-MX"/>
              <w14:ligatures w14:val="standardContextual"/>
            </w:rPr>
          </w:pPr>
          <w:hyperlink w:anchor="_Toc228778756" w:history="1">
            <w:r w:rsidR="00434847" w:rsidRPr="00811D75">
              <w:rPr>
                <w:rStyle w:val="Hipervnculo"/>
                <w:rFonts w:ascii="Times New Roman" w:hAnsi="Times New Roman" w:cs="Times New Roman"/>
                <w:noProof/>
              </w:rPr>
              <w:t>Beneficios clave esperados:</w:t>
            </w:r>
            <w:r w:rsidR="00434847">
              <w:rPr>
                <w:noProof/>
                <w:webHidden/>
              </w:rPr>
              <w:tab/>
            </w:r>
            <w:r w:rsidR="00434847">
              <w:rPr>
                <w:noProof/>
                <w:webHidden/>
              </w:rPr>
              <w:fldChar w:fldCharType="begin"/>
            </w:r>
            <w:r w:rsidR="00434847">
              <w:rPr>
                <w:noProof/>
                <w:webHidden/>
              </w:rPr>
              <w:instrText xml:space="preserve"> PAGEREF _Toc228778756 \h </w:instrText>
            </w:r>
            <w:r w:rsidR="00434847">
              <w:rPr>
                <w:noProof/>
                <w:webHidden/>
              </w:rPr>
            </w:r>
            <w:r w:rsidR="00434847">
              <w:rPr>
                <w:noProof/>
                <w:webHidden/>
              </w:rPr>
              <w:fldChar w:fldCharType="separate"/>
            </w:r>
            <w:r w:rsidR="00434847">
              <w:rPr>
                <w:noProof/>
                <w:webHidden/>
              </w:rPr>
              <w:t>41</w:t>
            </w:r>
            <w:r w:rsidR="00434847">
              <w:rPr>
                <w:noProof/>
                <w:webHidden/>
              </w:rPr>
              <w:fldChar w:fldCharType="end"/>
            </w:r>
          </w:hyperlink>
        </w:p>
        <w:p w14:paraId="359AF726" w14:textId="63968AE9" w:rsidR="00434847" w:rsidRDefault="00365364">
          <w:pPr>
            <w:pStyle w:val="TDC2"/>
            <w:tabs>
              <w:tab w:val="right" w:leader="dot" w:pos="9350"/>
            </w:tabs>
            <w:rPr>
              <w:noProof/>
              <w:kern w:val="2"/>
              <w:sz w:val="24"/>
              <w:szCs w:val="24"/>
              <w:lang w:val="es-MX" w:eastAsia="es-MX"/>
              <w14:ligatures w14:val="standardContextual"/>
            </w:rPr>
          </w:pPr>
          <w:hyperlink w:anchor="_Toc228778757" w:history="1">
            <w:r w:rsidR="00434847" w:rsidRPr="00811D75">
              <w:rPr>
                <w:rStyle w:val="Hipervnculo"/>
                <w:rFonts w:ascii="Times New Roman" w:hAnsi="Times New Roman" w:cs="Times New Roman"/>
                <w:noProof/>
              </w:rPr>
              <w:t>Indicadores preliminares de viabilidad</w:t>
            </w:r>
            <w:r w:rsidR="00434847">
              <w:rPr>
                <w:noProof/>
                <w:webHidden/>
              </w:rPr>
              <w:tab/>
            </w:r>
            <w:r w:rsidR="00434847">
              <w:rPr>
                <w:noProof/>
                <w:webHidden/>
              </w:rPr>
              <w:fldChar w:fldCharType="begin"/>
            </w:r>
            <w:r w:rsidR="00434847">
              <w:rPr>
                <w:noProof/>
                <w:webHidden/>
              </w:rPr>
              <w:instrText xml:space="preserve"> PAGEREF _Toc228778757 \h </w:instrText>
            </w:r>
            <w:r w:rsidR="00434847">
              <w:rPr>
                <w:noProof/>
                <w:webHidden/>
              </w:rPr>
            </w:r>
            <w:r w:rsidR="00434847">
              <w:rPr>
                <w:noProof/>
                <w:webHidden/>
              </w:rPr>
              <w:fldChar w:fldCharType="separate"/>
            </w:r>
            <w:r w:rsidR="00434847">
              <w:rPr>
                <w:noProof/>
                <w:webHidden/>
              </w:rPr>
              <w:t>42</w:t>
            </w:r>
            <w:r w:rsidR="00434847">
              <w:rPr>
                <w:noProof/>
                <w:webHidden/>
              </w:rPr>
              <w:fldChar w:fldCharType="end"/>
            </w:r>
          </w:hyperlink>
        </w:p>
        <w:p w14:paraId="15082BD3" w14:textId="627FBCD9" w:rsidR="00434847" w:rsidRDefault="00365364">
          <w:pPr>
            <w:pStyle w:val="TDC1"/>
            <w:tabs>
              <w:tab w:val="right" w:leader="dot" w:pos="9350"/>
            </w:tabs>
            <w:rPr>
              <w:noProof/>
              <w:kern w:val="2"/>
              <w:sz w:val="24"/>
              <w:szCs w:val="24"/>
              <w:lang w:val="es-MX" w:eastAsia="es-MX"/>
              <w14:ligatures w14:val="standardContextual"/>
            </w:rPr>
          </w:pPr>
          <w:hyperlink w:anchor="_Toc228778758" w:history="1">
            <w:r w:rsidR="00434847" w:rsidRPr="00811D75">
              <w:rPr>
                <w:rStyle w:val="Hipervnculo"/>
                <w:rFonts w:ascii="Times New Roman" w:hAnsi="Times New Roman" w:cs="Times New Roman"/>
                <w:noProof/>
                <w:w w:val="70"/>
              </w:rPr>
              <w:t>CAPÍTULO 7 - PROPUESTA DEL PLAN</w:t>
            </w:r>
            <w:r w:rsidR="00434847">
              <w:rPr>
                <w:noProof/>
                <w:webHidden/>
              </w:rPr>
              <w:tab/>
            </w:r>
            <w:r w:rsidR="00434847">
              <w:rPr>
                <w:noProof/>
                <w:webHidden/>
              </w:rPr>
              <w:fldChar w:fldCharType="begin"/>
            </w:r>
            <w:r w:rsidR="00434847">
              <w:rPr>
                <w:noProof/>
                <w:webHidden/>
              </w:rPr>
              <w:instrText xml:space="preserve"> PAGEREF _Toc228778758 \h </w:instrText>
            </w:r>
            <w:r w:rsidR="00434847">
              <w:rPr>
                <w:noProof/>
                <w:webHidden/>
              </w:rPr>
            </w:r>
            <w:r w:rsidR="00434847">
              <w:rPr>
                <w:noProof/>
                <w:webHidden/>
              </w:rPr>
              <w:fldChar w:fldCharType="separate"/>
            </w:r>
            <w:r w:rsidR="00434847">
              <w:rPr>
                <w:noProof/>
                <w:webHidden/>
              </w:rPr>
              <w:t>44</w:t>
            </w:r>
            <w:r w:rsidR="00434847">
              <w:rPr>
                <w:noProof/>
                <w:webHidden/>
              </w:rPr>
              <w:fldChar w:fldCharType="end"/>
            </w:r>
          </w:hyperlink>
        </w:p>
        <w:p w14:paraId="7585E7E9" w14:textId="2204F39F" w:rsidR="00434847" w:rsidRDefault="00365364">
          <w:pPr>
            <w:pStyle w:val="TDC2"/>
            <w:tabs>
              <w:tab w:val="right" w:leader="dot" w:pos="9350"/>
            </w:tabs>
            <w:rPr>
              <w:noProof/>
              <w:kern w:val="2"/>
              <w:sz w:val="24"/>
              <w:szCs w:val="24"/>
              <w:lang w:val="es-MX" w:eastAsia="es-MX"/>
              <w14:ligatures w14:val="standardContextual"/>
            </w:rPr>
          </w:pPr>
          <w:hyperlink w:anchor="_Toc228778759" w:history="1">
            <w:r w:rsidR="00434847" w:rsidRPr="00811D75">
              <w:rPr>
                <w:rStyle w:val="Hipervnculo"/>
                <w:rFonts w:ascii="Times New Roman" w:hAnsi="Times New Roman" w:cs="Times New Roman"/>
                <w:noProof/>
              </w:rPr>
              <w:t>Propuesta de Valor</w:t>
            </w:r>
            <w:r w:rsidR="00434847">
              <w:rPr>
                <w:noProof/>
                <w:webHidden/>
              </w:rPr>
              <w:tab/>
            </w:r>
            <w:r w:rsidR="00434847">
              <w:rPr>
                <w:noProof/>
                <w:webHidden/>
              </w:rPr>
              <w:fldChar w:fldCharType="begin"/>
            </w:r>
            <w:r w:rsidR="00434847">
              <w:rPr>
                <w:noProof/>
                <w:webHidden/>
              </w:rPr>
              <w:instrText xml:space="preserve"> PAGEREF _Toc228778759 \h </w:instrText>
            </w:r>
            <w:r w:rsidR="00434847">
              <w:rPr>
                <w:noProof/>
                <w:webHidden/>
              </w:rPr>
            </w:r>
            <w:r w:rsidR="00434847">
              <w:rPr>
                <w:noProof/>
                <w:webHidden/>
              </w:rPr>
              <w:fldChar w:fldCharType="separate"/>
            </w:r>
            <w:r w:rsidR="00434847">
              <w:rPr>
                <w:noProof/>
                <w:webHidden/>
              </w:rPr>
              <w:t>44</w:t>
            </w:r>
            <w:r w:rsidR="00434847">
              <w:rPr>
                <w:noProof/>
                <w:webHidden/>
              </w:rPr>
              <w:fldChar w:fldCharType="end"/>
            </w:r>
          </w:hyperlink>
        </w:p>
        <w:p w14:paraId="2D1EC092" w14:textId="0D8C4D63" w:rsidR="00434847" w:rsidRDefault="00365364">
          <w:pPr>
            <w:pStyle w:val="TDC2"/>
            <w:tabs>
              <w:tab w:val="right" w:leader="dot" w:pos="9350"/>
            </w:tabs>
            <w:rPr>
              <w:noProof/>
              <w:kern w:val="2"/>
              <w:sz w:val="24"/>
              <w:szCs w:val="24"/>
              <w:lang w:val="es-MX" w:eastAsia="es-MX"/>
              <w14:ligatures w14:val="standardContextual"/>
            </w:rPr>
          </w:pPr>
          <w:hyperlink w:anchor="_Toc228778760" w:history="1">
            <w:r w:rsidR="00434847" w:rsidRPr="00811D75">
              <w:rPr>
                <w:rStyle w:val="Hipervnculo"/>
                <w:rFonts w:ascii="Times New Roman" w:hAnsi="Times New Roman" w:cs="Times New Roman"/>
                <w:noProof/>
              </w:rPr>
              <w:t>Segmentación, Target y Posicionamiento</w:t>
            </w:r>
            <w:r w:rsidR="00434847">
              <w:rPr>
                <w:noProof/>
                <w:webHidden/>
              </w:rPr>
              <w:tab/>
            </w:r>
            <w:r w:rsidR="00434847">
              <w:rPr>
                <w:noProof/>
                <w:webHidden/>
              </w:rPr>
              <w:fldChar w:fldCharType="begin"/>
            </w:r>
            <w:r w:rsidR="00434847">
              <w:rPr>
                <w:noProof/>
                <w:webHidden/>
              </w:rPr>
              <w:instrText xml:space="preserve"> PAGEREF _Toc228778760 \h </w:instrText>
            </w:r>
            <w:r w:rsidR="00434847">
              <w:rPr>
                <w:noProof/>
                <w:webHidden/>
              </w:rPr>
            </w:r>
            <w:r w:rsidR="00434847">
              <w:rPr>
                <w:noProof/>
                <w:webHidden/>
              </w:rPr>
              <w:fldChar w:fldCharType="separate"/>
            </w:r>
            <w:r w:rsidR="00434847">
              <w:rPr>
                <w:noProof/>
                <w:webHidden/>
              </w:rPr>
              <w:t>45</w:t>
            </w:r>
            <w:r w:rsidR="00434847">
              <w:rPr>
                <w:noProof/>
                <w:webHidden/>
              </w:rPr>
              <w:fldChar w:fldCharType="end"/>
            </w:r>
          </w:hyperlink>
        </w:p>
        <w:p w14:paraId="0FCE5C50" w14:textId="370E285C" w:rsidR="00434847" w:rsidRDefault="00365364">
          <w:pPr>
            <w:pStyle w:val="TDC2"/>
            <w:tabs>
              <w:tab w:val="right" w:leader="dot" w:pos="9350"/>
            </w:tabs>
            <w:rPr>
              <w:noProof/>
              <w:kern w:val="2"/>
              <w:sz w:val="24"/>
              <w:szCs w:val="24"/>
              <w:lang w:val="es-MX" w:eastAsia="es-MX"/>
              <w14:ligatures w14:val="standardContextual"/>
            </w:rPr>
          </w:pPr>
          <w:hyperlink w:anchor="_Toc228778761" w:history="1">
            <w:r w:rsidR="00434847" w:rsidRPr="00811D75">
              <w:rPr>
                <w:rStyle w:val="Hipervnculo"/>
                <w:rFonts w:ascii="Times New Roman" w:hAnsi="Times New Roman" w:cs="Times New Roman"/>
                <w:noProof/>
              </w:rPr>
              <w:t>Modelo de Negocio (CANVAS)</w:t>
            </w:r>
            <w:r w:rsidR="00434847">
              <w:rPr>
                <w:noProof/>
                <w:webHidden/>
              </w:rPr>
              <w:tab/>
            </w:r>
            <w:r w:rsidR="00434847">
              <w:rPr>
                <w:noProof/>
                <w:webHidden/>
              </w:rPr>
              <w:fldChar w:fldCharType="begin"/>
            </w:r>
            <w:r w:rsidR="00434847">
              <w:rPr>
                <w:noProof/>
                <w:webHidden/>
              </w:rPr>
              <w:instrText xml:space="preserve"> PAGEREF _Toc228778761 \h </w:instrText>
            </w:r>
            <w:r w:rsidR="00434847">
              <w:rPr>
                <w:noProof/>
                <w:webHidden/>
              </w:rPr>
            </w:r>
            <w:r w:rsidR="00434847">
              <w:rPr>
                <w:noProof/>
                <w:webHidden/>
              </w:rPr>
              <w:fldChar w:fldCharType="separate"/>
            </w:r>
            <w:r w:rsidR="00434847">
              <w:rPr>
                <w:noProof/>
                <w:webHidden/>
              </w:rPr>
              <w:t>46</w:t>
            </w:r>
            <w:r w:rsidR="00434847">
              <w:rPr>
                <w:noProof/>
                <w:webHidden/>
              </w:rPr>
              <w:fldChar w:fldCharType="end"/>
            </w:r>
          </w:hyperlink>
        </w:p>
        <w:p w14:paraId="7AB8102C" w14:textId="6C148C99" w:rsidR="00434847" w:rsidRDefault="00365364">
          <w:pPr>
            <w:pStyle w:val="TDC2"/>
            <w:tabs>
              <w:tab w:val="right" w:leader="dot" w:pos="9350"/>
            </w:tabs>
            <w:rPr>
              <w:noProof/>
              <w:kern w:val="2"/>
              <w:sz w:val="24"/>
              <w:szCs w:val="24"/>
              <w:lang w:val="es-MX" w:eastAsia="es-MX"/>
              <w14:ligatures w14:val="standardContextual"/>
            </w:rPr>
          </w:pPr>
          <w:hyperlink w:anchor="_Toc228778762" w:history="1">
            <w:r w:rsidR="00434847" w:rsidRPr="00811D75">
              <w:rPr>
                <w:rStyle w:val="Hipervnculo"/>
                <w:rFonts w:ascii="Times New Roman" w:hAnsi="Times New Roman" w:cs="Times New Roman"/>
                <w:noProof/>
              </w:rPr>
              <w:t>Estrategia comercial y de marketing B2B</w:t>
            </w:r>
            <w:r w:rsidR="00434847">
              <w:rPr>
                <w:noProof/>
                <w:webHidden/>
              </w:rPr>
              <w:tab/>
            </w:r>
            <w:r w:rsidR="00434847">
              <w:rPr>
                <w:noProof/>
                <w:webHidden/>
              </w:rPr>
              <w:fldChar w:fldCharType="begin"/>
            </w:r>
            <w:r w:rsidR="00434847">
              <w:rPr>
                <w:noProof/>
                <w:webHidden/>
              </w:rPr>
              <w:instrText xml:space="preserve"> PAGEREF _Toc228778762 \h </w:instrText>
            </w:r>
            <w:r w:rsidR="00434847">
              <w:rPr>
                <w:noProof/>
                <w:webHidden/>
              </w:rPr>
            </w:r>
            <w:r w:rsidR="00434847">
              <w:rPr>
                <w:noProof/>
                <w:webHidden/>
              </w:rPr>
              <w:fldChar w:fldCharType="separate"/>
            </w:r>
            <w:r w:rsidR="00434847">
              <w:rPr>
                <w:noProof/>
                <w:webHidden/>
              </w:rPr>
              <w:t>46</w:t>
            </w:r>
            <w:r w:rsidR="00434847">
              <w:rPr>
                <w:noProof/>
                <w:webHidden/>
              </w:rPr>
              <w:fldChar w:fldCharType="end"/>
            </w:r>
          </w:hyperlink>
        </w:p>
        <w:p w14:paraId="02516126" w14:textId="4593D068" w:rsidR="00434847" w:rsidRDefault="00365364">
          <w:pPr>
            <w:pStyle w:val="TDC2"/>
            <w:tabs>
              <w:tab w:val="right" w:leader="dot" w:pos="9350"/>
            </w:tabs>
            <w:rPr>
              <w:noProof/>
              <w:kern w:val="2"/>
              <w:sz w:val="24"/>
              <w:szCs w:val="24"/>
              <w:lang w:val="es-MX" w:eastAsia="es-MX"/>
              <w14:ligatures w14:val="standardContextual"/>
            </w:rPr>
          </w:pPr>
          <w:hyperlink w:anchor="_Toc228778763" w:history="1">
            <w:r w:rsidR="00434847" w:rsidRPr="00811D75">
              <w:rPr>
                <w:rStyle w:val="Hipervnculo"/>
                <w:rFonts w:ascii="Times New Roman" w:hAnsi="Times New Roman" w:cs="Times New Roman"/>
                <w:noProof/>
              </w:rPr>
              <w:t>Plan de implementación</w:t>
            </w:r>
            <w:r w:rsidR="00434847">
              <w:rPr>
                <w:noProof/>
                <w:webHidden/>
              </w:rPr>
              <w:tab/>
            </w:r>
            <w:r w:rsidR="00434847">
              <w:rPr>
                <w:noProof/>
                <w:webHidden/>
              </w:rPr>
              <w:fldChar w:fldCharType="begin"/>
            </w:r>
            <w:r w:rsidR="00434847">
              <w:rPr>
                <w:noProof/>
                <w:webHidden/>
              </w:rPr>
              <w:instrText xml:space="preserve"> PAGEREF _Toc228778763 \h </w:instrText>
            </w:r>
            <w:r w:rsidR="00434847">
              <w:rPr>
                <w:noProof/>
                <w:webHidden/>
              </w:rPr>
            </w:r>
            <w:r w:rsidR="00434847">
              <w:rPr>
                <w:noProof/>
                <w:webHidden/>
              </w:rPr>
              <w:fldChar w:fldCharType="separate"/>
            </w:r>
            <w:r w:rsidR="00434847">
              <w:rPr>
                <w:noProof/>
                <w:webHidden/>
              </w:rPr>
              <w:t>47</w:t>
            </w:r>
            <w:r w:rsidR="00434847">
              <w:rPr>
                <w:noProof/>
                <w:webHidden/>
              </w:rPr>
              <w:fldChar w:fldCharType="end"/>
            </w:r>
          </w:hyperlink>
        </w:p>
        <w:p w14:paraId="07089758" w14:textId="204BF485" w:rsidR="00434847" w:rsidRDefault="00365364">
          <w:pPr>
            <w:pStyle w:val="TDC1"/>
            <w:tabs>
              <w:tab w:val="right" w:leader="dot" w:pos="9350"/>
            </w:tabs>
            <w:rPr>
              <w:noProof/>
              <w:kern w:val="2"/>
              <w:sz w:val="24"/>
              <w:szCs w:val="24"/>
              <w:lang w:val="es-MX" w:eastAsia="es-MX"/>
              <w14:ligatures w14:val="standardContextual"/>
            </w:rPr>
          </w:pPr>
          <w:hyperlink w:anchor="_Toc228778764" w:history="1">
            <w:r w:rsidR="00434847" w:rsidRPr="00811D75">
              <w:rPr>
                <w:rStyle w:val="Hipervnculo"/>
                <w:rFonts w:ascii="Times New Roman" w:hAnsi="Times New Roman" w:cs="Times New Roman"/>
                <w:noProof/>
                <w:w w:val="70"/>
              </w:rPr>
              <w:t>CAPÍTULO 8 - PROCESOS Y RECURSOS</w:t>
            </w:r>
            <w:r w:rsidR="00434847">
              <w:rPr>
                <w:noProof/>
                <w:webHidden/>
              </w:rPr>
              <w:tab/>
            </w:r>
            <w:r w:rsidR="00434847">
              <w:rPr>
                <w:noProof/>
                <w:webHidden/>
              </w:rPr>
              <w:fldChar w:fldCharType="begin"/>
            </w:r>
            <w:r w:rsidR="00434847">
              <w:rPr>
                <w:noProof/>
                <w:webHidden/>
              </w:rPr>
              <w:instrText xml:space="preserve"> PAGEREF _Toc228778764 \h </w:instrText>
            </w:r>
            <w:r w:rsidR="00434847">
              <w:rPr>
                <w:noProof/>
                <w:webHidden/>
              </w:rPr>
            </w:r>
            <w:r w:rsidR="00434847">
              <w:rPr>
                <w:noProof/>
                <w:webHidden/>
              </w:rPr>
              <w:fldChar w:fldCharType="separate"/>
            </w:r>
            <w:r w:rsidR="00434847">
              <w:rPr>
                <w:noProof/>
                <w:webHidden/>
              </w:rPr>
              <w:t>48</w:t>
            </w:r>
            <w:r w:rsidR="00434847">
              <w:rPr>
                <w:noProof/>
                <w:webHidden/>
              </w:rPr>
              <w:fldChar w:fldCharType="end"/>
            </w:r>
          </w:hyperlink>
        </w:p>
        <w:p w14:paraId="6FA2C8B6" w14:textId="4B41B0EE" w:rsidR="00434847" w:rsidRDefault="00365364">
          <w:pPr>
            <w:pStyle w:val="TDC2"/>
            <w:tabs>
              <w:tab w:val="right" w:leader="dot" w:pos="9350"/>
            </w:tabs>
            <w:rPr>
              <w:noProof/>
              <w:kern w:val="2"/>
              <w:sz w:val="24"/>
              <w:szCs w:val="24"/>
              <w:lang w:val="es-MX" w:eastAsia="es-MX"/>
              <w14:ligatures w14:val="standardContextual"/>
            </w:rPr>
          </w:pPr>
          <w:hyperlink w:anchor="_Toc228778765" w:history="1">
            <w:r w:rsidR="00434847" w:rsidRPr="00811D75">
              <w:rPr>
                <w:rStyle w:val="Hipervnculo"/>
                <w:rFonts w:ascii="Times New Roman" w:hAnsi="Times New Roman" w:cs="Times New Roman"/>
                <w:noProof/>
              </w:rPr>
              <w:t>En el presente capítulo, los SLA (Service Level Agreements) representan los compromisos de servicio asumidos con los clientes, los SPO (Standard Process Objectives) definen los objetivos operativos internos, y los KPI constituyen las métricas de control y seguimiento del desempeño operativo.</w:t>
            </w:r>
            <w:r w:rsidR="00434847">
              <w:rPr>
                <w:noProof/>
                <w:webHidden/>
              </w:rPr>
              <w:tab/>
            </w:r>
            <w:r w:rsidR="00434847">
              <w:rPr>
                <w:noProof/>
                <w:webHidden/>
              </w:rPr>
              <w:fldChar w:fldCharType="begin"/>
            </w:r>
            <w:r w:rsidR="00434847">
              <w:rPr>
                <w:noProof/>
                <w:webHidden/>
              </w:rPr>
              <w:instrText xml:space="preserve"> PAGEREF _Toc228778765 \h </w:instrText>
            </w:r>
            <w:r w:rsidR="00434847">
              <w:rPr>
                <w:noProof/>
                <w:webHidden/>
              </w:rPr>
            </w:r>
            <w:r w:rsidR="00434847">
              <w:rPr>
                <w:noProof/>
                <w:webHidden/>
              </w:rPr>
              <w:fldChar w:fldCharType="separate"/>
            </w:r>
            <w:r w:rsidR="00434847">
              <w:rPr>
                <w:noProof/>
                <w:webHidden/>
              </w:rPr>
              <w:t>48</w:t>
            </w:r>
            <w:r w:rsidR="00434847">
              <w:rPr>
                <w:noProof/>
                <w:webHidden/>
              </w:rPr>
              <w:fldChar w:fldCharType="end"/>
            </w:r>
          </w:hyperlink>
        </w:p>
        <w:p w14:paraId="52FAD25C" w14:textId="17AD9ECC" w:rsidR="00434847" w:rsidRDefault="00365364">
          <w:pPr>
            <w:pStyle w:val="TDC2"/>
            <w:tabs>
              <w:tab w:val="right" w:leader="dot" w:pos="9350"/>
            </w:tabs>
            <w:rPr>
              <w:noProof/>
              <w:kern w:val="2"/>
              <w:sz w:val="24"/>
              <w:szCs w:val="24"/>
              <w:lang w:val="es-MX" w:eastAsia="es-MX"/>
              <w14:ligatures w14:val="standardContextual"/>
            </w:rPr>
          </w:pPr>
          <w:hyperlink w:anchor="_Toc228778766" w:history="1">
            <w:r w:rsidR="00434847" w:rsidRPr="00811D75">
              <w:rPr>
                <w:rStyle w:val="Hipervnculo"/>
                <w:rFonts w:ascii="Times New Roman" w:hAnsi="Times New Roman" w:cs="Times New Roman"/>
                <w:noProof/>
              </w:rPr>
              <w:t>Introducción al Modelo Operativo del Depósito Fiscal</w:t>
            </w:r>
            <w:r w:rsidR="00434847">
              <w:rPr>
                <w:noProof/>
                <w:webHidden/>
              </w:rPr>
              <w:tab/>
            </w:r>
            <w:r w:rsidR="00434847">
              <w:rPr>
                <w:noProof/>
                <w:webHidden/>
              </w:rPr>
              <w:fldChar w:fldCharType="begin"/>
            </w:r>
            <w:r w:rsidR="00434847">
              <w:rPr>
                <w:noProof/>
                <w:webHidden/>
              </w:rPr>
              <w:instrText xml:space="preserve"> PAGEREF _Toc228778766 \h </w:instrText>
            </w:r>
            <w:r w:rsidR="00434847">
              <w:rPr>
                <w:noProof/>
                <w:webHidden/>
              </w:rPr>
            </w:r>
            <w:r w:rsidR="00434847">
              <w:rPr>
                <w:noProof/>
                <w:webHidden/>
              </w:rPr>
              <w:fldChar w:fldCharType="separate"/>
            </w:r>
            <w:r w:rsidR="00434847">
              <w:rPr>
                <w:noProof/>
                <w:webHidden/>
              </w:rPr>
              <w:t>48</w:t>
            </w:r>
            <w:r w:rsidR="00434847">
              <w:rPr>
                <w:noProof/>
                <w:webHidden/>
              </w:rPr>
              <w:fldChar w:fldCharType="end"/>
            </w:r>
          </w:hyperlink>
        </w:p>
        <w:p w14:paraId="7B6505D6" w14:textId="111B3C9C" w:rsidR="00434847" w:rsidRDefault="00365364">
          <w:pPr>
            <w:pStyle w:val="TDC2"/>
            <w:tabs>
              <w:tab w:val="right" w:leader="dot" w:pos="9350"/>
            </w:tabs>
            <w:rPr>
              <w:noProof/>
              <w:kern w:val="2"/>
              <w:sz w:val="24"/>
              <w:szCs w:val="24"/>
              <w:lang w:val="es-MX" w:eastAsia="es-MX"/>
              <w14:ligatures w14:val="standardContextual"/>
            </w:rPr>
          </w:pPr>
          <w:hyperlink w:anchor="_Toc228778767" w:history="1">
            <w:r w:rsidR="00434847" w:rsidRPr="00811D75">
              <w:rPr>
                <w:rStyle w:val="Hipervnculo"/>
                <w:rFonts w:ascii="Times New Roman" w:hAnsi="Times New Roman" w:cs="Times New Roman"/>
                <w:noProof/>
              </w:rPr>
              <w:t>Procesos Operativos del Deposito Fiscal</w:t>
            </w:r>
            <w:r w:rsidR="00434847">
              <w:rPr>
                <w:noProof/>
                <w:webHidden/>
              </w:rPr>
              <w:tab/>
            </w:r>
            <w:r w:rsidR="00434847">
              <w:rPr>
                <w:noProof/>
                <w:webHidden/>
              </w:rPr>
              <w:fldChar w:fldCharType="begin"/>
            </w:r>
            <w:r w:rsidR="00434847">
              <w:rPr>
                <w:noProof/>
                <w:webHidden/>
              </w:rPr>
              <w:instrText xml:space="preserve"> PAGEREF _Toc228778767 \h </w:instrText>
            </w:r>
            <w:r w:rsidR="00434847">
              <w:rPr>
                <w:noProof/>
                <w:webHidden/>
              </w:rPr>
            </w:r>
            <w:r w:rsidR="00434847">
              <w:rPr>
                <w:noProof/>
                <w:webHidden/>
              </w:rPr>
              <w:fldChar w:fldCharType="separate"/>
            </w:r>
            <w:r w:rsidR="00434847">
              <w:rPr>
                <w:noProof/>
                <w:webHidden/>
              </w:rPr>
              <w:t>49</w:t>
            </w:r>
            <w:r w:rsidR="00434847">
              <w:rPr>
                <w:noProof/>
                <w:webHidden/>
              </w:rPr>
              <w:fldChar w:fldCharType="end"/>
            </w:r>
          </w:hyperlink>
        </w:p>
        <w:p w14:paraId="6D9DCA97" w14:textId="21AB4E45" w:rsidR="00434847" w:rsidRDefault="00365364">
          <w:pPr>
            <w:pStyle w:val="TDC2"/>
            <w:tabs>
              <w:tab w:val="right" w:leader="dot" w:pos="9350"/>
            </w:tabs>
            <w:rPr>
              <w:noProof/>
              <w:kern w:val="2"/>
              <w:sz w:val="24"/>
              <w:szCs w:val="24"/>
              <w:lang w:val="es-MX" w:eastAsia="es-MX"/>
              <w14:ligatures w14:val="standardContextual"/>
            </w:rPr>
          </w:pPr>
          <w:hyperlink w:anchor="_Toc228778768" w:history="1">
            <w:r w:rsidR="00434847" w:rsidRPr="00811D75">
              <w:rPr>
                <w:rStyle w:val="Hipervnculo"/>
                <w:rFonts w:ascii="Times New Roman" w:hAnsi="Times New Roman" w:cs="Times New Roman"/>
                <w:noProof/>
              </w:rPr>
              <w:t>Tiempos Estándar Operativos</w:t>
            </w:r>
            <w:r w:rsidR="00434847">
              <w:rPr>
                <w:noProof/>
                <w:webHidden/>
              </w:rPr>
              <w:tab/>
            </w:r>
            <w:r w:rsidR="00434847">
              <w:rPr>
                <w:noProof/>
                <w:webHidden/>
              </w:rPr>
              <w:fldChar w:fldCharType="begin"/>
            </w:r>
            <w:r w:rsidR="00434847">
              <w:rPr>
                <w:noProof/>
                <w:webHidden/>
              </w:rPr>
              <w:instrText xml:space="preserve"> PAGEREF _Toc228778768 \h </w:instrText>
            </w:r>
            <w:r w:rsidR="00434847">
              <w:rPr>
                <w:noProof/>
                <w:webHidden/>
              </w:rPr>
            </w:r>
            <w:r w:rsidR="00434847">
              <w:rPr>
                <w:noProof/>
                <w:webHidden/>
              </w:rPr>
              <w:fldChar w:fldCharType="separate"/>
            </w:r>
            <w:r w:rsidR="00434847">
              <w:rPr>
                <w:noProof/>
                <w:webHidden/>
              </w:rPr>
              <w:t>50</w:t>
            </w:r>
            <w:r w:rsidR="00434847">
              <w:rPr>
                <w:noProof/>
                <w:webHidden/>
              </w:rPr>
              <w:fldChar w:fldCharType="end"/>
            </w:r>
          </w:hyperlink>
        </w:p>
        <w:p w14:paraId="5971F9C4" w14:textId="7A34AD98" w:rsidR="00434847" w:rsidRDefault="00365364">
          <w:pPr>
            <w:pStyle w:val="TDC2"/>
            <w:tabs>
              <w:tab w:val="right" w:leader="dot" w:pos="9350"/>
            </w:tabs>
            <w:rPr>
              <w:noProof/>
              <w:kern w:val="2"/>
              <w:sz w:val="24"/>
              <w:szCs w:val="24"/>
              <w:lang w:val="es-MX" w:eastAsia="es-MX"/>
              <w14:ligatures w14:val="standardContextual"/>
            </w:rPr>
          </w:pPr>
          <w:hyperlink w:anchor="_Toc228778769" w:history="1">
            <w:r w:rsidR="00434847" w:rsidRPr="00811D75">
              <w:rPr>
                <w:rStyle w:val="Hipervnculo"/>
                <w:rFonts w:ascii="Times New Roman" w:hAnsi="Times New Roman" w:cs="Times New Roman"/>
                <w:noProof/>
              </w:rPr>
              <w:t>Los tiempos se basan en benchmarks de depósitos fiscales del AMBA, entrevistas técnicas y el diseño operativo propuesto.</w:t>
            </w:r>
            <w:r w:rsidR="00434847">
              <w:rPr>
                <w:noProof/>
                <w:webHidden/>
              </w:rPr>
              <w:tab/>
            </w:r>
            <w:r w:rsidR="00434847">
              <w:rPr>
                <w:noProof/>
                <w:webHidden/>
              </w:rPr>
              <w:fldChar w:fldCharType="begin"/>
            </w:r>
            <w:r w:rsidR="00434847">
              <w:rPr>
                <w:noProof/>
                <w:webHidden/>
              </w:rPr>
              <w:instrText xml:space="preserve"> PAGEREF _Toc228778769 \h </w:instrText>
            </w:r>
            <w:r w:rsidR="00434847">
              <w:rPr>
                <w:noProof/>
                <w:webHidden/>
              </w:rPr>
            </w:r>
            <w:r w:rsidR="00434847">
              <w:rPr>
                <w:noProof/>
                <w:webHidden/>
              </w:rPr>
              <w:fldChar w:fldCharType="separate"/>
            </w:r>
            <w:r w:rsidR="00434847">
              <w:rPr>
                <w:noProof/>
                <w:webHidden/>
              </w:rPr>
              <w:t>50</w:t>
            </w:r>
            <w:r w:rsidR="00434847">
              <w:rPr>
                <w:noProof/>
                <w:webHidden/>
              </w:rPr>
              <w:fldChar w:fldCharType="end"/>
            </w:r>
          </w:hyperlink>
        </w:p>
        <w:p w14:paraId="0487B83D" w14:textId="2E4E3CEB" w:rsidR="00434847" w:rsidRDefault="00365364">
          <w:pPr>
            <w:pStyle w:val="TDC2"/>
            <w:tabs>
              <w:tab w:val="right" w:leader="dot" w:pos="9350"/>
            </w:tabs>
            <w:rPr>
              <w:noProof/>
              <w:kern w:val="2"/>
              <w:sz w:val="24"/>
              <w:szCs w:val="24"/>
              <w:lang w:val="es-MX" w:eastAsia="es-MX"/>
              <w14:ligatures w14:val="standardContextual"/>
            </w:rPr>
          </w:pPr>
          <w:hyperlink w:anchor="_Toc228778770" w:history="1">
            <w:r w:rsidR="00434847" w:rsidRPr="00811D75">
              <w:rPr>
                <w:rStyle w:val="Hipervnculo"/>
                <w:rFonts w:ascii="Times New Roman" w:hAnsi="Times New Roman" w:cs="Times New Roman"/>
                <w:noProof/>
                <w:lang w:val="en-US"/>
              </w:rPr>
              <w:t>SLA (Service Level Agreements) y KPI Operativos</w:t>
            </w:r>
            <w:r w:rsidR="00434847">
              <w:rPr>
                <w:noProof/>
                <w:webHidden/>
              </w:rPr>
              <w:tab/>
            </w:r>
            <w:r w:rsidR="00434847">
              <w:rPr>
                <w:noProof/>
                <w:webHidden/>
              </w:rPr>
              <w:fldChar w:fldCharType="begin"/>
            </w:r>
            <w:r w:rsidR="00434847">
              <w:rPr>
                <w:noProof/>
                <w:webHidden/>
              </w:rPr>
              <w:instrText xml:space="preserve"> PAGEREF _Toc228778770 \h </w:instrText>
            </w:r>
            <w:r w:rsidR="00434847">
              <w:rPr>
                <w:noProof/>
                <w:webHidden/>
              </w:rPr>
            </w:r>
            <w:r w:rsidR="00434847">
              <w:rPr>
                <w:noProof/>
                <w:webHidden/>
              </w:rPr>
              <w:fldChar w:fldCharType="separate"/>
            </w:r>
            <w:r w:rsidR="00434847">
              <w:rPr>
                <w:noProof/>
                <w:webHidden/>
              </w:rPr>
              <w:t>51</w:t>
            </w:r>
            <w:r w:rsidR="00434847">
              <w:rPr>
                <w:noProof/>
                <w:webHidden/>
              </w:rPr>
              <w:fldChar w:fldCharType="end"/>
            </w:r>
          </w:hyperlink>
        </w:p>
        <w:p w14:paraId="65B39C14" w14:textId="7C2F7BCD" w:rsidR="00434847" w:rsidRDefault="00365364">
          <w:pPr>
            <w:pStyle w:val="TDC2"/>
            <w:tabs>
              <w:tab w:val="right" w:leader="dot" w:pos="9350"/>
            </w:tabs>
            <w:rPr>
              <w:noProof/>
              <w:kern w:val="2"/>
              <w:sz w:val="24"/>
              <w:szCs w:val="24"/>
              <w:lang w:val="es-MX" w:eastAsia="es-MX"/>
              <w14:ligatures w14:val="standardContextual"/>
            </w:rPr>
          </w:pPr>
          <w:hyperlink w:anchor="_Toc228778771" w:history="1">
            <w:r w:rsidR="00434847" w:rsidRPr="00811D75">
              <w:rPr>
                <w:rStyle w:val="Hipervnculo"/>
                <w:rFonts w:ascii="Times New Roman" w:hAnsi="Times New Roman" w:cs="Times New Roman"/>
                <w:noProof/>
                <w:lang w:val="en-US"/>
              </w:rPr>
              <w:t>Recursos Humanos (dotación inicial)</w:t>
            </w:r>
            <w:r w:rsidR="00434847">
              <w:rPr>
                <w:noProof/>
                <w:webHidden/>
              </w:rPr>
              <w:tab/>
            </w:r>
            <w:r w:rsidR="00434847">
              <w:rPr>
                <w:noProof/>
                <w:webHidden/>
              </w:rPr>
              <w:fldChar w:fldCharType="begin"/>
            </w:r>
            <w:r w:rsidR="00434847">
              <w:rPr>
                <w:noProof/>
                <w:webHidden/>
              </w:rPr>
              <w:instrText xml:space="preserve"> PAGEREF _Toc228778771 \h </w:instrText>
            </w:r>
            <w:r w:rsidR="00434847">
              <w:rPr>
                <w:noProof/>
                <w:webHidden/>
              </w:rPr>
            </w:r>
            <w:r w:rsidR="00434847">
              <w:rPr>
                <w:noProof/>
                <w:webHidden/>
              </w:rPr>
              <w:fldChar w:fldCharType="separate"/>
            </w:r>
            <w:r w:rsidR="00434847">
              <w:rPr>
                <w:noProof/>
                <w:webHidden/>
              </w:rPr>
              <w:t>51</w:t>
            </w:r>
            <w:r w:rsidR="00434847">
              <w:rPr>
                <w:noProof/>
                <w:webHidden/>
              </w:rPr>
              <w:fldChar w:fldCharType="end"/>
            </w:r>
          </w:hyperlink>
        </w:p>
        <w:p w14:paraId="367793A4" w14:textId="48642C91" w:rsidR="00434847" w:rsidRDefault="00365364">
          <w:pPr>
            <w:pStyle w:val="TDC2"/>
            <w:tabs>
              <w:tab w:val="right" w:leader="dot" w:pos="9350"/>
            </w:tabs>
            <w:rPr>
              <w:noProof/>
              <w:kern w:val="2"/>
              <w:sz w:val="24"/>
              <w:szCs w:val="24"/>
              <w:lang w:val="es-MX" w:eastAsia="es-MX"/>
              <w14:ligatures w14:val="standardContextual"/>
            </w:rPr>
          </w:pPr>
          <w:hyperlink w:anchor="_Toc228778772" w:history="1">
            <w:r w:rsidR="00434847" w:rsidRPr="00811D75">
              <w:rPr>
                <w:rStyle w:val="Hipervnculo"/>
                <w:rFonts w:ascii="Times New Roman" w:hAnsi="Times New Roman" w:cs="Times New Roman"/>
                <w:noProof/>
                <w:lang w:val="es-MX"/>
              </w:rPr>
              <w:t>Infraestructura y Equipamiento</w:t>
            </w:r>
            <w:r w:rsidR="00434847">
              <w:rPr>
                <w:noProof/>
                <w:webHidden/>
              </w:rPr>
              <w:tab/>
            </w:r>
            <w:r w:rsidR="00434847">
              <w:rPr>
                <w:noProof/>
                <w:webHidden/>
              </w:rPr>
              <w:fldChar w:fldCharType="begin"/>
            </w:r>
            <w:r w:rsidR="00434847">
              <w:rPr>
                <w:noProof/>
                <w:webHidden/>
              </w:rPr>
              <w:instrText xml:space="preserve"> PAGEREF _Toc228778772 \h </w:instrText>
            </w:r>
            <w:r w:rsidR="00434847">
              <w:rPr>
                <w:noProof/>
                <w:webHidden/>
              </w:rPr>
            </w:r>
            <w:r w:rsidR="00434847">
              <w:rPr>
                <w:noProof/>
                <w:webHidden/>
              </w:rPr>
              <w:fldChar w:fldCharType="separate"/>
            </w:r>
            <w:r w:rsidR="00434847">
              <w:rPr>
                <w:noProof/>
                <w:webHidden/>
              </w:rPr>
              <w:t>52</w:t>
            </w:r>
            <w:r w:rsidR="00434847">
              <w:rPr>
                <w:noProof/>
                <w:webHidden/>
              </w:rPr>
              <w:fldChar w:fldCharType="end"/>
            </w:r>
          </w:hyperlink>
        </w:p>
        <w:p w14:paraId="2467D565" w14:textId="385D8308" w:rsidR="00434847" w:rsidRDefault="00365364">
          <w:pPr>
            <w:pStyle w:val="TDC2"/>
            <w:tabs>
              <w:tab w:val="right" w:leader="dot" w:pos="9350"/>
            </w:tabs>
            <w:rPr>
              <w:noProof/>
              <w:kern w:val="2"/>
              <w:sz w:val="24"/>
              <w:szCs w:val="24"/>
              <w:lang w:val="es-MX" w:eastAsia="es-MX"/>
              <w14:ligatures w14:val="standardContextual"/>
            </w:rPr>
          </w:pPr>
          <w:hyperlink w:anchor="_Toc228778773" w:history="1">
            <w:r w:rsidR="00434847" w:rsidRPr="00811D75">
              <w:rPr>
                <w:rStyle w:val="Hipervnculo"/>
                <w:rFonts w:ascii="Times New Roman" w:hAnsi="Times New Roman" w:cs="Times New Roman"/>
                <w:noProof/>
                <w:lang w:val="es-MX"/>
              </w:rPr>
              <w:t>Sistemas y tecnología</w:t>
            </w:r>
            <w:r w:rsidR="00434847">
              <w:rPr>
                <w:noProof/>
                <w:webHidden/>
              </w:rPr>
              <w:tab/>
            </w:r>
            <w:r w:rsidR="00434847">
              <w:rPr>
                <w:noProof/>
                <w:webHidden/>
              </w:rPr>
              <w:fldChar w:fldCharType="begin"/>
            </w:r>
            <w:r w:rsidR="00434847">
              <w:rPr>
                <w:noProof/>
                <w:webHidden/>
              </w:rPr>
              <w:instrText xml:space="preserve"> PAGEREF _Toc228778773 \h </w:instrText>
            </w:r>
            <w:r w:rsidR="00434847">
              <w:rPr>
                <w:noProof/>
                <w:webHidden/>
              </w:rPr>
            </w:r>
            <w:r w:rsidR="00434847">
              <w:rPr>
                <w:noProof/>
                <w:webHidden/>
              </w:rPr>
              <w:fldChar w:fldCharType="separate"/>
            </w:r>
            <w:r w:rsidR="00434847">
              <w:rPr>
                <w:noProof/>
                <w:webHidden/>
              </w:rPr>
              <w:t>52</w:t>
            </w:r>
            <w:r w:rsidR="00434847">
              <w:rPr>
                <w:noProof/>
                <w:webHidden/>
              </w:rPr>
              <w:fldChar w:fldCharType="end"/>
            </w:r>
          </w:hyperlink>
        </w:p>
        <w:p w14:paraId="3E723CDD" w14:textId="0A5D2886" w:rsidR="00434847" w:rsidRDefault="00365364">
          <w:pPr>
            <w:pStyle w:val="TDC2"/>
            <w:tabs>
              <w:tab w:val="right" w:leader="dot" w:pos="9350"/>
            </w:tabs>
            <w:rPr>
              <w:noProof/>
              <w:kern w:val="2"/>
              <w:sz w:val="24"/>
              <w:szCs w:val="24"/>
              <w:lang w:val="es-MX" w:eastAsia="es-MX"/>
              <w14:ligatures w14:val="standardContextual"/>
            </w:rPr>
          </w:pPr>
          <w:hyperlink w:anchor="_Toc228778774" w:history="1">
            <w:r w:rsidR="00434847" w:rsidRPr="00811D75">
              <w:rPr>
                <w:rStyle w:val="Hipervnculo"/>
                <w:rFonts w:ascii="Times New Roman" w:hAnsi="Times New Roman" w:cs="Times New Roman"/>
                <w:noProof/>
                <w:lang w:val="es-MX"/>
              </w:rPr>
              <w:t>Gestión de Merma y Scrap</w:t>
            </w:r>
            <w:r w:rsidR="00434847">
              <w:rPr>
                <w:noProof/>
                <w:webHidden/>
              </w:rPr>
              <w:tab/>
            </w:r>
            <w:r w:rsidR="00434847">
              <w:rPr>
                <w:noProof/>
                <w:webHidden/>
              </w:rPr>
              <w:fldChar w:fldCharType="begin"/>
            </w:r>
            <w:r w:rsidR="00434847">
              <w:rPr>
                <w:noProof/>
                <w:webHidden/>
              </w:rPr>
              <w:instrText xml:space="preserve"> PAGEREF _Toc228778774 \h </w:instrText>
            </w:r>
            <w:r w:rsidR="00434847">
              <w:rPr>
                <w:noProof/>
                <w:webHidden/>
              </w:rPr>
            </w:r>
            <w:r w:rsidR="00434847">
              <w:rPr>
                <w:noProof/>
                <w:webHidden/>
              </w:rPr>
              <w:fldChar w:fldCharType="separate"/>
            </w:r>
            <w:r w:rsidR="00434847">
              <w:rPr>
                <w:noProof/>
                <w:webHidden/>
              </w:rPr>
              <w:t>52</w:t>
            </w:r>
            <w:r w:rsidR="00434847">
              <w:rPr>
                <w:noProof/>
                <w:webHidden/>
              </w:rPr>
              <w:fldChar w:fldCharType="end"/>
            </w:r>
          </w:hyperlink>
        </w:p>
        <w:p w14:paraId="3F95B477" w14:textId="1512E34F" w:rsidR="00434847" w:rsidRDefault="00365364">
          <w:pPr>
            <w:pStyle w:val="TDC2"/>
            <w:tabs>
              <w:tab w:val="right" w:leader="dot" w:pos="9350"/>
            </w:tabs>
            <w:rPr>
              <w:noProof/>
              <w:kern w:val="2"/>
              <w:sz w:val="24"/>
              <w:szCs w:val="24"/>
              <w:lang w:val="es-MX" w:eastAsia="es-MX"/>
              <w14:ligatures w14:val="standardContextual"/>
            </w:rPr>
          </w:pPr>
          <w:hyperlink w:anchor="_Toc228778775" w:history="1">
            <w:r w:rsidR="00434847" w:rsidRPr="00811D75">
              <w:rPr>
                <w:rStyle w:val="Hipervnculo"/>
                <w:rFonts w:ascii="Times New Roman" w:hAnsi="Times New Roman" w:cs="Times New Roman"/>
                <w:noProof/>
                <w:lang w:val="es-MX"/>
              </w:rPr>
              <w:t>Matriz RACI – Depósito Fiscal Zona Norte (TASA Logística)</w:t>
            </w:r>
            <w:r w:rsidR="00434847">
              <w:rPr>
                <w:noProof/>
                <w:webHidden/>
              </w:rPr>
              <w:tab/>
            </w:r>
            <w:r w:rsidR="00434847">
              <w:rPr>
                <w:noProof/>
                <w:webHidden/>
              </w:rPr>
              <w:fldChar w:fldCharType="begin"/>
            </w:r>
            <w:r w:rsidR="00434847">
              <w:rPr>
                <w:noProof/>
                <w:webHidden/>
              </w:rPr>
              <w:instrText xml:space="preserve"> PAGEREF _Toc228778775 \h </w:instrText>
            </w:r>
            <w:r w:rsidR="00434847">
              <w:rPr>
                <w:noProof/>
                <w:webHidden/>
              </w:rPr>
            </w:r>
            <w:r w:rsidR="00434847">
              <w:rPr>
                <w:noProof/>
                <w:webHidden/>
              </w:rPr>
              <w:fldChar w:fldCharType="separate"/>
            </w:r>
            <w:r w:rsidR="00434847">
              <w:rPr>
                <w:noProof/>
                <w:webHidden/>
              </w:rPr>
              <w:t>53</w:t>
            </w:r>
            <w:r w:rsidR="00434847">
              <w:rPr>
                <w:noProof/>
                <w:webHidden/>
              </w:rPr>
              <w:fldChar w:fldCharType="end"/>
            </w:r>
          </w:hyperlink>
        </w:p>
        <w:p w14:paraId="6D390C53" w14:textId="75268783" w:rsidR="00434847" w:rsidRDefault="00365364">
          <w:pPr>
            <w:pStyle w:val="TDC1"/>
            <w:tabs>
              <w:tab w:val="right" w:leader="dot" w:pos="9350"/>
            </w:tabs>
            <w:rPr>
              <w:noProof/>
              <w:kern w:val="2"/>
              <w:sz w:val="24"/>
              <w:szCs w:val="24"/>
              <w:lang w:val="es-MX" w:eastAsia="es-MX"/>
              <w14:ligatures w14:val="standardContextual"/>
            </w:rPr>
          </w:pPr>
          <w:hyperlink w:anchor="_Toc228778776" w:history="1">
            <w:r w:rsidR="00434847" w:rsidRPr="00811D75">
              <w:rPr>
                <w:rStyle w:val="Hipervnculo"/>
                <w:rFonts w:ascii="Times New Roman" w:hAnsi="Times New Roman" w:cs="Times New Roman"/>
                <w:noProof/>
                <w:w w:val="70"/>
              </w:rPr>
              <w:t>CAPÍTULO 9 - ANALISIS FINANCIERO Y ECONOMICA</w:t>
            </w:r>
            <w:r w:rsidR="00434847">
              <w:rPr>
                <w:noProof/>
                <w:webHidden/>
              </w:rPr>
              <w:tab/>
            </w:r>
            <w:r w:rsidR="00434847">
              <w:rPr>
                <w:noProof/>
                <w:webHidden/>
              </w:rPr>
              <w:fldChar w:fldCharType="begin"/>
            </w:r>
            <w:r w:rsidR="00434847">
              <w:rPr>
                <w:noProof/>
                <w:webHidden/>
              </w:rPr>
              <w:instrText xml:space="preserve"> PAGEREF _Toc228778776 \h </w:instrText>
            </w:r>
            <w:r w:rsidR="00434847">
              <w:rPr>
                <w:noProof/>
                <w:webHidden/>
              </w:rPr>
            </w:r>
            <w:r w:rsidR="00434847">
              <w:rPr>
                <w:noProof/>
                <w:webHidden/>
              </w:rPr>
              <w:fldChar w:fldCharType="separate"/>
            </w:r>
            <w:r w:rsidR="00434847">
              <w:rPr>
                <w:noProof/>
                <w:webHidden/>
              </w:rPr>
              <w:t>55</w:t>
            </w:r>
            <w:r w:rsidR="00434847">
              <w:rPr>
                <w:noProof/>
                <w:webHidden/>
              </w:rPr>
              <w:fldChar w:fldCharType="end"/>
            </w:r>
          </w:hyperlink>
        </w:p>
        <w:p w14:paraId="409AB6DA" w14:textId="72E5445A" w:rsidR="00434847" w:rsidRDefault="00365364">
          <w:pPr>
            <w:pStyle w:val="TDC2"/>
            <w:tabs>
              <w:tab w:val="right" w:leader="dot" w:pos="9350"/>
            </w:tabs>
            <w:rPr>
              <w:noProof/>
              <w:kern w:val="2"/>
              <w:sz w:val="24"/>
              <w:szCs w:val="24"/>
              <w:lang w:val="es-MX" w:eastAsia="es-MX"/>
              <w14:ligatures w14:val="standardContextual"/>
            </w:rPr>
          </w:pPr>
          <w:hyperlink w:anchor="_Toc228778777" w:history="1">
            <w:r w:rsidR="00434847" w:rsidRPr="00811D75">
              <w:rPr>
                <w:rStyle w:val="Hipervnculo"/>
                <w:rFonts w:ascii="Times New Roman" w:hAnsi="Times New Roman" w:cs="Times New Roman"/>
                <w:noProof/>
                <w:lang w:val="es-MX"/>
              </w:rPr>
              <w:t>Resumen Ejecutivo</w:t>
            </w:r>
            <w:r w:rsidR="00434847">
              <w:rPr>
                <w:noProof/>
                <w:webHidden/>
              </w:rPr>
              <w:tab/>
            </w:r>
            <w:r w:rsidR="00434847">
              <w:rPr>
                <w:noProof/>
                <w:webHidden/>
              </w:rPr>
              <w:fldChar w:fldCharType="begin"/>
            </w:r>
            <w:r w:rsidR="00434847">
              <w:rPr>
                <w:noProof/>
                <w:webHidden/>
              </w:rPr>
              <w:instrText xml:space="preserve"> PAGEREF _Toc228778777 \h </w:instrText>
            </w:r>
            <w:r w:rsidR="00434847">
              <w:rPr>
                <w:noProof/>
                <w:webHidden/>
              </w:rPr>
            </w:r>
            <w:r w:rsidR="00434847">
              <w:rPr>
                <w:noProof/>
                <w:webHidden/>
              </w:rPr>
              <w:fldChar w:fldCharType="separate"/>
            </w:r>
            <w:r w:rsidR="00434847">
              <w:rPr>
                <w:noProof/>
                <w:webHidden/>
              </w:rPr>
              <w:t>55</w:t>
            </w:r>
            <w:r w:rsidR="00434847">
              <w:rPr>
                <w:noProof/>
                <w:webHidden/>
              </w:rPr>
              <w:fldChar w:fldCharType="end"/>
            </w:r>
          </w:hyperlink>
        </w:p>
        <w:p w14:paraId="0A6595DA" w14:textId="18894C93" w:rsidR="00434847" w:rsidRDefault="00365364">
          <w:pPr>
            <w:pStyle w:val="TDC2"/>
            <w:tabs>
              <w:tab w:val="right" w:leader="dot" w:pos="9350"/>
            </w:tabs>
            <w:rPr>
              <w:noProof/>
              <w:kern w:val="2"/>
              <w:sz w:val="24"/>
              <w:szCs w:val="24"/>
              <w:lang w:val="es-MX" w:eastAsia="es-MX"/>
              <w14:ligatures w14:val="standardContextual"/>
            </w:rPr>
          </w:pPr>
          <w:hyperlink w:anchor="_Toc228778778" w:history="1">
            <w:r w:rsidR="00434847" w:rsidRPr="00811D75">
              <w:rPr>
                <w:rStyle w:val="Hipervnculo"/>
                <w:rFonts w:ascii="Times New Roman" w:hAnsi="Times New Roman" w:cs="Times New Roman"/>
                <w:noProof/>
                <w:lang w:val="es-MX"/>
              </w:rPr>
              <w:t>Detalle de Inversiones:</w:t>
            </w:r>
            <w:r w:rsidR="00434847">
              <w:rPr>
                <w:noProof/>
                <w:webHidden/>
              </w:rPr>
              <w:tab/>
            </w:r>
            <w:r w:rsidR="00434847">
              <w:rPr>
                <w:noProof/>
                <w:webHidden/>
              </w:rPr>
              <w:fldChar w:fldCharType="begin"/>
            </w:r>
            <w:r w:rsidR="00434847">
              <w:rPr>
                <w:noProof/>
                <w:webHidden/>
              </w:rPr>
              <w:instrText xml:space="preserve"> PAGEREF _Toc228778778 \h </w:instrText>
            </w:r>
            <w:r w:rsidR="00434847">
              <w:rPr>
                <w:noProof/>
                <w:webHidden/>
              </w:rPr>
            </w:r>
            <w:r w:rsidR="00434847">
              <w:rPr>
                <w:noProof/>
                <w:webHidden/>
              </w:rPr>
              <w:fldChar w:fldCharType="separate"/>
            </w:r>
            <w:r w:rsidR="00434847">
              <w:rPr>
                <w:noProof/>
                <w:webHidden/>
              </w:rPr>
              <w:t>55</w:t>
            </w:r>
            <w:r w:rsidR="00434847">
              <w:rPr>
                <w:noProof/>
                <w:webHidden/>
              </w:rPr>
              <w:fldChar w:fldCharType="end"/>
            </w:r>
          </w:hyperlink>
        </w:p>
        <w:p w14:paraId="763278B3" w14:textId="776FB7F2" w:rsidR="00434847" w:rsidRDefault="00365364">
          <w:pPr>
            <w:pStyle w:val="TDC2"/>
            <w:tabs>
              <w:tab w:val="right" w:leader="dot" w:pos="9350"/>
            </w:tabs>
            <w:rPr>
              <w:noProof/>
              <w:kern w:val="2"/>
              <w:sz w:val="24"/>
              <w:szCs w:val="24"/>
              <w:lang w:val="es-MX" w:eastAsia="es-MX"/>
              <w14:ligatures w14:val="standardContextual"/>
            </w:rPr>
          </w:pPr>
          <w:hyperlink w:anchor="_Toc228778779" w:history="1">
            <w:r w:rsidR="00434847" w:rsidRPr="00811D75">
              <w:rPr>
                <w:rStyle w:val="Hipervnculo"/>
                <w:rFonts w:ascii="Times New Roman" w:hAnsi="Times New Roman" w:cs="Times New Roman"/>
                <w:noProof/>
                <w:lang w:val="es-MX"/>
              </w:rPr>
              <w:t>Supuestos del modelo financiero</w:t>
            </w:r>
            <w:r w:rsidR="00434847">
              <w:rPr>
                <w:noProof/>
                <w:webHidden/>
              </w:rPr>
              <w:tab/>
            </w:r>
            <w:r w:rsidR="00434847">
              <w:rPr>
                <w:noProof/>
                <w:webHidden/>
              </w:rPr>
              <w:fldChar w:fldCharType="begin"/>
            </w:r>
            <w:r w:rsidR="00434847">
              <w:rPr>
                <w:noProof/>
                <w:webHidden/>
              </w:rPr>
              <w:instrText xml:space="preserve"> PAGEREF _Toc228778779 \h </w:instrText>
            </w:r>
            <w:r w:rsidR="00434847">
              <w:rPr>
                <w:noProof/>
                <w:webHidden/>
              </w:rPr>
            </w:r>
            <w:r w:rsidR="00434847">
              <w:rPr>
                <w:noProof/>
                <w:webHidden/>
              </w:rPr>
              <w:fldChar w:fldCharType="separate"/>
            </w:r>
            <w:r w:rsidR="00434847">
              <w:rPr>
                <w:noProof/>
                <w:webHidden/>
              </w:rPr>
              <w:t>56</w:t>
            </w:r>
            <w:r w:rsidR="00434847">
              <w:rPr>
                <w:noProof/>
                <w:webHidden/>
              </w:rPr>
              <w:fldChar w:fldCharType="end"/>
            </w:r>
          </w:hyperlink>
        </w:p>
        <w:p w14:paraId="094D6730" w14:textId="135FB06A" w:rsidR="00434847" w:rsidRDefault="00365364">
          <w:pPr>
            <w:pStyle w:val="TDC2"/>
            <w:tabs>
              <w:tab w:val="right" w:leader="dot" w:pos="9350"/>
            </w:tabs>
            <w:rPr>
              <w:noProof/>
              <w:kern w:val="2"/>
              <w:sz w:val="24"/>
              <w:szCs w:val="24"/>
              <w:lang w:val="es-MX" w:eastAsia="es-MX"/>
              <w14:ligatures w14:val="standardContextual"/>
            </w:rPr>
          </w:pPr>
          <w:hyperlink w:anchor="_Toc228778780" w:history="1">
            <w:r w:rsidR="00434847" w:rsidRPr="00811D75">
              <w:rPr>
                <w:rStyle w:val="Hipervnculo"/>
                <w:rFonts w:ascii="Times New Roman" w:hAnsi="Times New Roman" w:cs="Times New Roman"/>
                <w:noProof/>
                <w:lang w:val="es-MX"/>
              </w:rPr>
              <w:t>Evaluación financiera</w:t>
            </w:r>
            <w:r w:rsidR="00434847">
              <w:rPr>
                <w:noProof/>
                <w:webHidden/>
              </w:rPr>
              <w:tab/>
            </w:r>
            <w:r w:rsidR="00434847">
              <w:rPr>
                <w:noProof/>
                <w:webHidden/>
              </w:rPr>
              <w:fldChar w:fldCharType="begin"/>
            </w:r>
            <w:r w:rsidR="00434847">
              <w:rPr>
                <w:noProof/>
                <w:webHidden/>
              </w:rPr>
              <w:instrText xml:space="preserve"> PAGEREF _Toc228778780 \h </w:instrText>
            </w:r>
            <w:r w:rsidR="00434847">
              <w:rPr>
                <w:noProof/>
                <w:webHidden/>
              </w:rPr>
            </w:r>
            <w:r w:rsidR="00434847">
              <w:rPr>
                <w:noProof/>
                <w:webHidden/>
              </w:rPr>
              <w:fldChar w:fldCharType="separate"/>
            </w:r>
            <w:r w:rsidR="00434847">
              <w:rPr>
                <w:noProof/>
                <w:webHidden/>
              </w:rPr>
              <w:t>56</w:t>
            </w:r>
            <w:r w:rsidR="00434847">
              <w:rPr>
                <w:noProof/>
                <w:webHidden/>
              </w:rPr>
              <w:fldChar w:fldCharType="end"/>
            </w:r>
          </w:hyperlink>
        </w:p>
        <w:p w14:paraId="797C4F29" w14:textId="5D7089F8" w:rsidR="00434847" w:rsidRDefault="00365364">
          <w:pPr>
            <w:pStyle w:val="TDC2"/>
            <w:tabs>
              <w:tab w:val="right" w:leader="dot" w:pos="9350"/>
            </w:tabs>
            <w:rPr>
              <w:noProof/>
              <w:kern w:val="2"/>
              <w:sz w:val="24"/>
              <w:szCs w:val="24"/>
              <w:lang w:val="es-MX" w:eastAsia="es-MX"/>
              <w14:ligatures w14:val="standardContextual"/>
            </w:rPr>
          </w:pPr>
          <w:hyperlink w:anchor="_Toc228778781" w:history="1">
            <w:r w:rsidR="00434847" w:rsidRPr="00811D75">
              <w:rPr>
                <w:rStyle w:val="Hipervnculo"/>
                <w:rFonts w:ascii="Times New Roman" w:hAnsi="Times New Roman" w:cs="Times New Roman"/>
                <w:noProof/>
                <w:lang w:val="es-MX"/>
              </w:rPr>
              <w:t>EERR + Free Cash Flow</w:t>
            </w:r>
            <w:r w:rsidR="00434847">
              <w:rPr>
                <w:noProof/>
                <w:webHidden/>
              </w:rPr>
              <w:tab/>
            </w:r>
            <w:r w:rsidR="00434847">
              <w:rPr>
                <w:noProof/>
                <w:webHidden/>
              </w:rPr>
              <w:fldChar w:fldCharType="begin"/>
            </w:r>
            <w:r w:rsidR="00434847">
              <w:rPr>
                <w:noProof/>
                <w:webHidden/>
              </w:rPr>
              <w:instrText xml:space="preserve"> PAGEREF _Toc228778781 \h </w:instrText>
            </w:r>
            <w:r w:rsidR="00434847">
              <w:rPr>
                <w:noProof/>
                <w:webHidden/>
              </w:rPr>
            </w:r>
            <w:r w:rsidR="00434847">
              <w:rPr>
                <w:noProof/>
                <w:webHidden/>
              </w:rPr>
              <w:fldChar w:fldCharType="separate"/>
            </w:r>
            <w:r w:rsidR="00434847">
              <w:rPr>
                <w:noProof/>
                <w:webHidden/>
              </w:rPr>
              <w:t>57</w:t>
            </w:r>
            <w:r w:rsidR="00434847">
              <w:rPr>
                <w:noProof/>
                <w:webHidden/>
              </w:rPr>
              <w:fldChar w:fldCharType="end"/>
            </w:r>
          </w:hyperlink>
        </w:p>
        <w:p w14:paraId="30F5D6F9" w14:textId="12E6A3A5" w:rsidR="00434847" w:rsidRDefault="00365364">
          <w:pPr>
            <w:pStyle w:val="TDC2"/>
            <w:tabs>
              <w:tab w:val="right" w:leader="dot" w:pos="9350"/>
            </w:tabs>
            <w:rPr>
              <w:noProof/>
              <w:kern w:val="2"/>
              <w:sz w:val="24"/>
              <w:szCs w:val="24"/>
              <w:lang w:val="es-MX" w:eastAsia="es-MX"/>
              <w14:ligatures w14:val="standardContextual"/>
            </w:rPr>
          </w:pPr>
          <w:hyperlink w:anchor="_Toc228778782" w:history="1">
            <w:r w:rsidR="00434847" w:rsidRPr="00811D75">
              <w:rPr>
                <w:rStyle w:val="Hipervnculo"/>
                <w:rFonts w:ascii="Times New Roman" w:hAnsi="Times New Roman" w:cs="Times New Roman"/>
                <w:noProof/>
                <w:lang w:val="es-MX"/>
              </w:rPr>
              <w:t>Análisis de sensibilidad (+/-10%)</w:t>
            </w:r>
            <w:r w:rsidR="00434847">
              <w:rPr>
                <w:noProof/>
                <w:webHidden/>
              </w:rPr>
              <w:tab/>
            </w:r>
            <w:r w:rsidR="00434847">
              <w:rPr>
                <w:noProof/>
                <w:webHidden/>
              </w:rPr>
              <w:fldChar w:fldCharType="begin"/>
            </w:r>
            <w:r w:rsidR="00434847">
              <w:rPr>
                <w:noProof/>
                <w:webHidden/>
              </w:rPr>
              <w:instrText xml:space="preserve"> PAGEREF _Toc228778782 \h </w:instrText>
            </w:r>
            <w:r w:rsidR="00434847">
              <w:rPr>
                <w:noProof/>
                <w:webHidden/>
              </w:rPr>
            </w:r>
            <w:r w:rsidR="00434847">
              <w:rPr>
                <w:noProof/>
                <w:webHidden/>
              </w:rPr>
              <w:fldChar w:fldCharType="separate"/>
            </w:r>
            <w:r w:rsidR="00434847">
              <w:rPr>
                <w:noProof/>
                <w:webHidden/>
              </w:rPr>
              <w:t>58</w:t>
            </w:r>
            <w:r w:rsidR="00434847">
              <w:rPr>
                <w:noProof/>
                <w:webHidden/>
              </w:rPr>
              <w:fldChar w:fldCharType="end"/>
            </w:r>
          </w:hyperlink>
        </w:p>
        <w:p w14:paraId="6244EAB1" w14:textId="42027B04" w:rsidR="00434847" w:rsidRDefault="00365364">
          <w:pPr>
            <w:pStyle w:val="TDC2"/>
            <w:tabs>
              <w:tab w:val="right" w:leader="dot" w:pos="9350"/>
            </w:tabs>
            <w:rPr>
              <w:noProof/>
              <w:kern w:val="2"/>
              <w:sz w:val="24"/>
              <w:szCs w:val="24"/>
              <w:lang w:val="es-MX" w:eastAsia="es-MX"/>
              <w14:ligatures w14:val="standardContextual"/>
            </w:rPr>
          </w:pPr>
          <w:hyperlink w:anchor="_Toc228778783" w:history="1">
            <w:r w:rsidR="00434847" w:rsidRPr="00811D75">
              <w:rPr>
                <w:rStyle w:val="Hipervnculo"/>
                <w:rFonts w:ascii="Times New Roman" w:hAnsi="Times New Roman" w:cs="Times New Roman"/>
                <w:noProof/>
                <w:lang w:val="es-MX"/>
              </w:rPr>
              <w:t>Conclusión económica</w:t>
            </w:r>
            <w:r w:rsidR="00434847">
              <w:rPr>
                <w:noProof/>
                <w:webHidden/>
              </w:rPr>
              <w:tab/>
            </w:r>
            <w:r w:rsidR="00434847">
              <w:rPr>
                <w:noProof/>
                <w:webHidden/>
              </w:rPr>
              <w:fldChar w:fldCharType="begin"/>
            </w:r>
            <w:r w:rsidR="00434847">
              <w:rPr>
                <w:noProof/>
                <w:webHidden/>
              </w:rPr>
              <w:instrText xml:space="preserve"> PAGEREF _Toc228778783 \h </w:instrText>
            </w:r>
            <w:r w:rsidR="00434847">
              <w:rPr>
                <w:noProof/>
                <w:webHidden/>
              </w:rPr>
            </w:r>
            <w:r w:rsidR="00434847">
              <w:rPr>
                <w:noProof/>
                <w:webHidden/>
              </w:rPr>
              <w:fldChar w:fldCharType="separate"/>
            </w:r>
            <w:r w:rsidR="00434847">
              <w:rPr>
                <w:noProof/>
                <w:webHidden/>
              </w:rPr>
              <w:t>58</w:t>
            </w:r>
            <w:r w:rsidR="00434847">
              <w:rPr>
                <w:noProof/>
                <w:webHidden/>
              </w:rPr>
              <w:fldChar w:fldCharType="end"/>
            </w:r>
          </w:hyperlink>
        </w:p>
        <w:p w14:paraId="08EC7925" w14:textId="5A78584E" w:rsidR="00434847" w:rsidRDefault="00365364">
          <w:pPr>
            <w:pStyle w:val="TDC2"/>
            <w:tabs>
              <w:tab w:val="right" w:leader="dot" w:pos="9350"/>
            </w:tabs>
            <w:rPr>
              <w:noProof/>
              <w:kern w:val="2"/>
              <w:sz w:val="24"/>
              <w:szCs w:val="24"/>
              <w:lang w:val="es-MX" w:eastAsia="es-MX"/>
              <w14:ligatures w14:val="standardContextual"/>
            </w:rPr>
          </w:pPr>
          <w:hyperlink w:anchor="_Toc228778784" w:history="1">
            <w:r w:rsidR="00434847" w:rsidRPr="00811D75">
              <w:rPr>
                <w:rStyle w:val="Hipervnculo"/>
                <w:rFonts w:ascii="Times New Roman" w:hAnsi="Times New Roman" w:cs="Times New Roman"/>
                <w:noProof/>
                <w:lang w:val="es-MX"/>
              </w:rPr>
              <w:t>Composición de ventas año 1</w:t>
            </w:r>
            <w:r w:rsidR="00434847">
              <w:rPr>
                <w:noProof/>
                <w:webHidden/>
              </w:rPr>
              <w:tab/>
            </w:r>
            <w:r w:rsidR="00434847">
              <w:rPr>
                <w:noProof/>
                <w:webHidden/>
              </w:rPr>
              <w:fldChar w:fldCharType="begin"/>
            </w:r>
            <w:r w:rsidR="00434847">
              <w:rPr>
                <w:noProof/>
                <w:webHidden/>
              </w:rPr>
              <w:instrText xml:space="preserve"> PAGEREF _Toc228778784 \h </w:instrText>
            </w:r>
            <w:r w:rsidR="00434847">
              <w:rPr>
                <w:noProof/>
                <w:webHidden/>
              </w:rPr>
            </w:r>
            <w:r w:rsidR="00434847">
              <w:rPr>
                <w:noProof/>
                <w:webHidden/>
              </w:rPr>
              <w:fldChar w:fldCharType="separate"/>
            </w:r>
            <w:r w:rsidR="00434847">
              <w:rPr>
                <w:noProof/>
                <w:webHidden/>
              </w:rPr>
              <w:t>59</w:t>
            </w:r>
            <w:r w:rsidR="00434847">
              <w:rPr>
                <w:noProof/>
                <w:webHidden/>
              </w:rPr>
              <w:fldChar w:fldCharType="end"/>
            </w:r>
          </w:hyperlink>
        </w:p>
        <w:p w14:paraId="72F0490B" w14:textId="256116CF" w:rsidR="00434847" w:rsidRDefault="00365364">
          <w:pPr>
            <w:pStyle w:val="TDC1"/>
            <w:tabs>
              <w:tab w:val="right" w:leader="dot" w:pos="9350"/>
            </w:tabs>
            <w:rPr>
              <w:noProof/>
              <w:kern w:val="2"/>
              <w:sz w:val="24"/>
              <w:szCs w:val="24"/>
              <w:lang w:val="es-MX" w:eastAsia="es-MX"/>
              <w14:ligatures w14:val="standardContextual"/>
            </w:rPr>
          </w:pPr>
          <w:hyperlink w:anchor="_Toc228778785" w:history="1">
            <w:r w:rsidR="00434847" w:rsidRPr="00811D75">
              <w:rPr>
                <w:rStyle w:val="Hipervnculo"/>
                <w:rFonts w:ascii="Times New Roman" w:hAnsi="Times New Roman" w:cs="Times New Roman"/>
                <w:noProof/>
                <w:w w:val="70"/>
              </w:rPr>
              <w:t>CAPÍTULO 10 - CONCLUSIONES Y RECOMENDACIONES</w:t>
            </w:r>
            <w:r w:rsidR="00434847">
              <w:rPr>
                <w:noProof/>
                <w:webHidden/>
              </w:rPr>
              <w:tab/>
            </w:r>
            <w:r w:rsidR="00434847">
              <w:rPr>
                <w:noProof/>
                <w:webHidden/>
              </w:rPr>
              <w:fldChar w:fldCharType="begin"/>
            </w:r>
            <w:r w:rsidR="00434847">
              <w:rPr>
                <w:noProof/>
                <w:webHidden/>
              </w:rPr>
              <w:instrText xml:space="preserve"> PAGEREF _Toc228778785 \h </w:instrText>
            </w:r>
            <w:r w:rsidR="00434847">
              <w:rPr>
                <w:noProof/>
                <w:webHidden/>
              </w:rPr>
            </w:r>
            <w:r w:rsidR="00434847">
              <w:rPr>
                <w:noProof/>
                <w:webHidden/>
              </w:rPr>
              <w:fldChar w:fldCharType="separate"/>
            </w:r>
            <w:r w:rsidR="00434847">
              <w:rPr>
                <w:noProof/>
                <w:webHidden/>
              </w:rPr>
              <w:t>61</w:t>
            </w:r>
            <w:r w:rsidR="00434847">
              <w:rPr>
                <w:noProof/>
                <w:webHidden/>
              </w:rPr>
              <w:fldChar w:fldCharType="end"/>
            </w:r>
          </w:hyperlink>
        </w:p>
        <w:p w14:paraId="072F2B94" w14:textId="6A65FEC6" w:rsidR="00434847" w:rsidRDefault="00365364">
          <w:pPr>
            <w:pStyle w:val="TDC2"/>
            <w:tabs>
              <w:tab w:val="right" w:leader="dot" w:pos="9350"/>
            </w:tabs>
            <w:rPr>
              <w:noProof/>
              <w:kern w:val="2"/>
              <w:sz w:val="24"/>
              <w:szCs w:val="24"/>
              <w:lang w:val="es-MX" w:eastAsia="es-MX"/>
              <w14:ligatures w14:val="standardContextual"/>
            </w:rPr>
          </w:pPr>
          <w:hyperlink w:anchor="_Toc228778786" w:history="1">
            <w:r w:rsidR="00434847" w:rsidRPr="00811D75">
              <w:rPr>
                <w:rStyle w:val="Hipervnculo"/>
                <w:rFonts w:ascii="Times New Roman" w:hAnsi="Times New Roman" w:cs="Times New Roman"/>
                <w:noProof/>
                <w:lang w:val="es-MX"/>
              </w:rPr>
              <w:t>Conclusiones generales del trabajo</w:t>
            </w:r>
            <w:r w:rsidR="00434847">
              <w:rPr>
                <w:noProof/>
                <w:webHidden/>
              </w:rPr>
              <w:tab/>
            </w:r>
            <w:r w:rsidR="00434847">
              <w:rPr>
                <w:noProof/>
                <w:webHidden/>
              </w:rPr>
              <w:fldChar w:fldCharType="begin"/>
            </w:r>
            <w:r w:rsidR="00434847">
              <w:rPr>
                <w:noProof/>
                <w:webHidden/>
              </w:rPr>
              <w:instrText xml:space="preserve"> PAGEREF _Toc228778786 \h </w:instrText>
            </w:r>
            <w:r w:rsidR="00434847">
              <w:rPr>
                <w:noProof/>
                <w:webHidden/>
              </w:rPr>
            </w:r>
            <w:r w:rsidR="00434847">
              <w:rPr>
                <w:noProof/>
                <w:webHidden/>
              </w:rPr>
              <w:fldChar w:fldCharType="separate"/>
            </w:r>
            <w:r w:rsidR="00434847">
              <w:rPr>
                <w:noProof/>
                <w:webHidden/>
              </w:rPr>
              <w:t>61</w:t>
            </w:r>
            <w:r w:rsidR="00434847">
              <w:rPr>
                <w:noProof/>
                <w:webHidden/>
              </w:rPr>
              <w:fldChar w:fldCharType="end"/>
            </w:r>
          </w:hyperlink>
        </w:p>
        <w:p w14:paraId="37A7748E" w14:textId="2393039E" w:rsidR="00434847" w:rsidRDefault="00365364">
          <w:pPr>
            <w:pStyle w:val="TDC2"/>
            <w:tabs>
              <w:tab w:val="right" w:leader="dot" w:pos="9350"/>
            </w:tabs>
            <w:rPr>
              <w:noProof/>
              <w:kern w:val="2"/>
              <w:sz w:val="24"/>
              <w:szCs w:val="24"/>
              <w:lang w:val="es-MX" w:eastAsia="es-MX"/>
              <w14:ligatures w14:val="standardContextual"/>
            </w:rPr>
          </w:pPr>
          <w:hyperlink w:anchor="_Toc228778787" w:history="1">
            <w:r w:rsidR="00434847" w:rsidRPr="00811D75">
              <w:rPr>
                <w:rStyle w:val="Hipervnculo"/>
                <w:rFonts w:ascii="Times New Roman" w:hAnsi="Times New Roman" w:cs="Times New Roman"/>
                <w:noProof/>
                <w:lang w:val="es-MX"/>
              </w:rPr>
              <w:t>Recomendaciones estratégicas</w:t>
            </w:r>
            <w:r w:rsidR="00434847">
              <w:rPr>
                <w:noProof/>
                <w:webHidden/>
              </w:rPr>
              <w:tab/>
            </w:r>
            <w:r w:rsidR="00434847">
              <w:rPr>
                <w:noProof/>
                <w:webHidden/>
              </w:rPr>
              <w:fldChar w:fldCharType="begin"/>
            </w:r>
            <w:r w:rsidR="00434847">
              <w:rPr>
                <w:noProof/>
                <w:webHidden/>
              </w:rPr>
              <w:instrText xml:space="preserve"> PAGEREF _Toc228778787 \h </w:instrText>
            </w:r>
            <w:r w:rsidR="00434847">
              <w:rPr>
                <w:noProof/>
                <w:webHidden/>
              </w:rPr>
            </w:r>
            <w:r w:rsidR="00434847">
              <w:rPr>
                <w:noProof/>
                <w:webHidden/>
              </w:rPr>
              <w:fldChar w:fldCharType="separate"/>
            </w:r>
            <w:r w:rsidR="00434847">
              <w:rPr>
                <w:noProof/>
                <w:webHidden/>
              </w:rPr>
              <w:t>61</w:t>
            </w:r>
            <w:r w:rsidR="00434847">
              <w:rPr>
                <w:noProof/>
                <w:webHidden/>
              </w:rPr>
              <w:fldChar w:fldCharType="end"/>
            </w:r>
          </w:hyperlink>
        </w:p>
        <w:p w14:paraId="2E2F305F" w14:textId="15463BA6" w:rsidR="00434847" w:rsidRDefault="00365364">
          <w:pPr>
            <w:pStyle w:val="TDC2"/>
            <w:tabs>
              <w:tab w:val="right" w:leader="dot" w:pos="9350"/>
            </w:tabs>
            <w:rPr>
              <w:noProof/>
              <w:kern w:val="2"/>
              <w:sz w:val="24"/>
              <w:szCs w:val="24"/>
              <w:lang w:val="es-MX" w:eastAsia="es-MX"/>
              <w14:ligatures w14:val="standardContextual"/>
            </w:rPr>
          </w:pPr>
          <w:hyperlink w:anchor="_Toc228778788" w:history="1">
            <w:r w:rsidR="00434847" w:rsidRPr="00811D75">
              <w:rPr>
                <w:rStyle w:val="Hipervnculo"/>
                <w:rFonts w:ascii="Times New Roman" w:hAnsi="Times New Roman" w:cs="Times New Roman"/>
                <w:noProof/>
                <w:lang w:val="es-MX"/>
              </w:rPr>
              <w:t>Recomendaciones estratégicas</w:t>
            </w:r>
            <w:r w:rsidR="00434847">
              <w:rPr>
                <w:noProof/>
                <w:webHidden/>
              </w:rPr>
              <w:tab/>
            </w:r>
            <w:r w:rsidR="00434847">
              <w:rPr>
                <w:noProof/>
                <w:webHidden/>
              </w:rPr>
              <w:fldChar w:fldCharType="begin"/>
            </w:r>
            <w:r w:rsidR="00434847">
              <w:rPr>
                <w:noProof/>
                <w:webHidden/>
              </w:rPr>
              <w:instrText xml:space="preserve"> PAGEREF _Toc228778788 \h </w:instrText>
            </w:r>
            <w:r w:rsidR="00434847">
              <w:rPr>
                <w:noProof/>
                <w:webHidden/>
              </w:rPr>
            </w:r>
            <w:r w:rsidR="00434847">
              <w:rPr>
                <w:noProof/>
                <w:webHidden/>
              </w:rPr>
              <w:fldChar w:fldCharType="separate"/>
            </w:r>
            <w:r w:rsidR="00434847">
              <w:rPr>
                <w:noProof/>
                <w:webHidden/>
              </w:rPr>
              <w:t>62</w:t>
            </w:r>
            <w:r w:rsidR="00434847">
              <w:rPr>
                <w:noProof/>
                <w:webHidden/>
              </w:rPr>
              <w:fldChar w:fldCharType="end"/>
            </w:r>
          </w:hyperlink>
        </w:p>
        <w:p w14:paraId="635F7C9C" w14:textId="20B7E8EA" w:rsidR="00434847" w:rsidRDefault="00365364">
          <w:pPr>
            <w:pStyle w:val="TDC2"/>
            <w:tabs>
              <w:tab w:val="right" w:leader="dot" w:pos="9350"/>
            </w:tabs>
            <w:rPr>
              <w:noProof/>
              <w:kern w:val="2"/>
              <w:sz w:val="24"/>
              <w:szCs w:val="24"/>
              <w:lang w:val="es-MX" w:eastAsia="es-MX"/>
              <w14:ligatures w14:val="standardContextual"/>
            </w:rPr>
          </w:pPr>
          <w:hyperlink w:anchor="_Toc228778789" w:history="1">
            <w:r w:rsidR="00434847" w:rsidRPr="00811D75">
              <w:rPr>
                <w:rStyle w:val="Hipervnculo"/>
                <w:rFonts w:ascii="Times New Roman" w:hAnsi="Times New Roman" w:cs="Times New Roman"/>
                <w:noProof/>
                <w:lang w:val="es-MX"/>
              </w:rPr>
              <w:t>Limitaciones del estudio y futuras líneas de investigación</w:t>
            </w:r>
            <w:r w:rsidR="00434847">
              <w:rPr>
                <w:noProof/>
                <w:webHidden/>
              </w:rPr>
              <w:tab/>
            </w:r>
            <w:r w:rsidR="00434847">
              <w:rPr>
                <w:noProof/>
                <w:webHidden/>
              </w:rPr>
              <w:fldChar w:fldCharType="begin"/>
            </w:r>
            <w:r w:rsidR="00434847">
              <w:rPr>
                <w:noProof/>
                <w:webHidden/>
              </w:rPr>
              <w:instrText xml:space="preserve"> PAGEREF _Toc228778789 \h </w:instrText>
            </w:r>
            <w:r w:rsidR="00434847">
              <w:rPr>
                <w:noProof/>
                <w:webHidden/>
              </w:rPr>
            </w:r>
            <w:r w:rsidR="00434847">
              <w:rPr>
                <w:noProof/>
                <w:webHidden/>
              </w:rPr>
              <w:fldChar w:fldCharType="separate"/>
            </w:r>
            <w:r w:rsidR="00434847">
              <w:rPr>
                <w:noProof/>
                <w:webHidden/>
              </w:rPr>
              <w:t>62</w:t>
            </w:r>
            <w:r w:rsidR="00434847">
              <w:rPr>
                <w:noProof/>
                <w:webHidden/>
              </w:rPr>
              <w:fldChar w:fldCharType="end"/>
            </w:r>
          </w:hyperlink>
        </w:p>
        <w:p w14:paraId="613C4D2E" w14:textId="227AF47F" w:rsidR="00434847" w:rsidRDefault="00365364">
          <w:pPr>
            <w:pStyle w:val="TDC2"/>
            <w:tabs>
              <w:tab w:val="right" w:leader="dot" w:pos="9350"/>
            </w:tabs>
            <w:rPr>
              <w:noProof/>
              <w:kern w:val="2"/>
              <w:sz w:val="24"/>
              <w:szCs w:val="24"/>
              <w:lang w:val="es-MX" w:eastAsia="es-MX"/>
              <w14:ligatures w14:val="standardContextual"/>
            </w:rPr>
          </w:pPr>
          <w:hyperlink w:anchor="_Toc228778790" w:history="1">
            <w:r w:rsidR="00434847" w:rsidRPr="00811D75">
              <w:rPr>
                <w:rStyle w:val="Hipervnculo"/>
                <w:rFonts w:ascii="Times New Roman" w:hAnsi="Times New Roman" w:cs="Times New Roman"/>
                <w:noProof/>
                <w:lang w:val="es-MX"/>
              </w:rPr>
              <w:t>Conclusión</w:t>
            </w:r>
            <w:r w:rsidR="00434847">
              <w:rPr>
                <w:noProof/>
                <w:webHidden/>
              </w:rPr>
              <w:tab/>
            </w:r>
            <w:r w:rsidR="00434847">
              <w:rPr>
                <w:noProof/>
                <w:webHidden/>
              </w:rPr>
              <w:fldChar w:fldCharType="begin"/>
            </w:r>
            <w:r w:rsidR="00434847">
              <w:rPr>
                <w:noProof/>
                <w:webHidden/>
              </w:rPr>
              <w:instrText xml:space="preserve"> PAGEREF _Toc228778790 \h </w:instrText>
            </w:r>
            <w:r w:rsidR="00434847">
              <w:rPr>
                <w:noProof/>
                <w:webHidden/>
              </w:rPr>
            </w:r>
            <w:r w:rsidR="00434847">
              <w:rPr>
                <w:noProof/>
                <w:webHidden/>
              </w:rPr>
              <w:fldChar w:fldCharType="separate"/>
            </w:r>
            <w:r w:rsidR="00434847">
              <w:rPr>
                <w:noProof/>
                <w:webHidden/>
              </w:rPr>
              <w:t>63</w:t>
            </w:r>
            <w:r w:rsidR="00434847">
              <w:rPr>
                <w:noProof/>
                <w:webHidden/>
              </w:rPr>
              <w:fldChar w:fldCharType="end"/>
            </w:r>
          </w:hyperlink>
        </w:p>
        <w:p w14:paraId="6169B5C0" w14:textId="1117D054" w:rsidR="00434847" w:rsidRDefault="00365364">
          <w:pPr>
            <w:pStyle w:val="TDC1"/>
            <w:tabs>
              <w:tab w:val="right" w:leader="dot" w:pos="9350"/>
            </w:tabs>
            <w:rPr>
              <w:noProof/>
              <w:kern w:val="2"/>
              <w:sz w:val="24"/>
              <w:szCs w:val="24"/>
              <w:lang w:val="es-MX" w:eastAsia="es-MX"/>
              <w14:ligatures w14:val="standardContextual"/>
            </w:rPr>
          </w:pPr>
          <w:hyperlink w:anchor="_Toc228778791" w:history="1">
            <w:r w:rsidR="00434847" w:rsidRPr="00811D75">
              <w:rPr>
                <w:rStyle w:val="Hipervnculo"/>
                <w:rFonts w:ascii="Times New Roman" w:hAnsi="Times New Roman" w:cs="Times New Roman"/>
                <w:noProof/>
                <w:w w:val="70"/>
              </w:rPr>
              <w:t>BIBLIOGRAFIA</w:t>
            </w:r>
            <w:r w:rsidR="00434847">
              <w:rPr>
                <w:noProof/>
                <w:webHidden/>
              </w:rPr>
              <w:tab/>
            </w:r>
            <w:r w:rsidR="00434847">
              <w:rPr>
                <w:noProof/>
                <w:webHidden/>
              </w:rPr>
              <w:fldChar w:fldCharType="begin"/>
            </w:r>
            <w:r w:rsidR="00434847">
              <w:rPr>
                <w:noProof/>
                <w:webHidden/>
              </w:rPr>
              <w:instrText xml:space="preserve"> PAGEREF _Toc228778791 \h </w:instrText>
            </w:r>
            <w:r w:rsidR="00434847">
              <w:rPr>
                <w:noProof/>
                <w:webHidden/>
              </w:rPr>
            </w:r>
            <w:r w:rsidR="00434847">
              <w:rPr>
                <w:noProof/>
                <w:webHidden/>
              </w:rPr>
              <w:fldChar w:fldCharType="separate"/>
            </w:r>
            <w:r w:rsidR="00434847">
              <w:rPr>
                <w:noProof/>
                <w:webHidden/>
              </w:rPr>
              <w:t>64</w:t>
            </w:r>
            <w:r w:rsidR="00434847">
              <w:rPr>
                <w:noProof/>
                <w:webHidden/>
              </w:rPr>
              <w:fldChar w:fldCharType="end"/>
            </w:r>
          </w:hyperlink>
        </w:p>
        <w:p w14:paraId="2F6E7100" w14:textId="678E5382" w:rsidR="00434847" w:rsidRDefault="00365364">
          <w:pPr>
            <w:pStyle w:val="TDC1"/>
            <w:tabs>
              <w:tab w:val="right" w:leader="dot" w:pos="9350"/>
            </w:tabs>
            <w:rPr>
              <w:noProof/>
              <w:kern w:val="2"/>
              <w:sz w:val="24"/>
              <w:szCs w:val="24"/>
              <w:lang w:val="es-MX" w:eastAsia="es-MX"/>
              <w14:ligatures w14:val="standardContextual"/>
            </w:rPr>
          </w:pPr>
          <w:hyperlink w:anchor="_Toc228778792" w:history="1">
            <w:r w:rsidR="00434847" w:rsidRPr="00811D75">
              <w:rPr>
                <w:rStyle w:val="Hipervnculo"/>
                <w:rFonts w:ascii="Times New Roman" w:hAnsi="Times New Roman" w:cs="Times New Roman"/>
                <w:noProof/>
                <w:w w:val="70"/>
              </w:rPr>
              <w:t>GUIA DE ANEXOS</w:t>
            </w:r>
            <w:r w:rsidR="00434847">
              <w:rPr>
                <w:noProof/>
                <w:webHidden/>
              </w:rPr>
              <w:tab/>
            </w:r>
            <w:r w:rsidR="00434847">
              <w:rPr>
                <w:noProof/>
                <w:webHidden/>
              </w:rPr>
              <w:fldChar w:fldCharType="begin"/>
            </w:r>
            <w:r w:rsidR="00434847">
              <w:rPr>
                <w:noProof/>
                <w:webHidden/>
              </w:rPr>
              <w:instrText xml:space="preserve"> PAGEREF _Toc228778792 \h </w:instrText>
            </w:r>
            <w:r w:rsidR="00434847">
              <w:rPr>
                <w:noProof/>
                <w:webHidden/>
              </w:rPr>
            </w:r>
            <w:r w:rsidR="00434847">
              <w:rPr>
                <w:noProof/>
                <w:webHidden/>
              </w:rPr>
              <w:fldChar w:fldCharType="separate"/>
            </w:r>
            <w:r w:rsidR="00434847">
              <w:rPr>
                <w:noProof/>
                <w:webHidden/>
              </w:rPr>
              <w:t>65</w:t>
            </w:r>
            <w:r w:rsidR="00434847">
              <w:rPr>
                <w:noProof/>
                <w:webHidden/>
              </w:rPr>
              <w:fldChar w:fldCharType="end"/>
            </w:r>
          </w:hyperlink>
        </w:p>
        <w:p w14:paraId="3AF1D635" w14:textId="14A2C51F" w:rsidR="00434847" w:rsidRDefault="00365364">
          <w:pPr>
            <w:pStyle w:val="TDC2"/>
            <w:tabs>
              <w:tab w:val="right" w:leader="dot" w:pos="9350"/>
            </w:tabs>
            <w:rPr>
              <w:noProof/>
              <w:kern w:val="2"/>
              <w:sz w:val="24"/>
              <w:szCs w:val="24"/>
              <w:lang w:val="es-MX" w:eastAsia="es-MX"/>
              <w14:ligatures w14:val="standardContextual"/>
            </w:rPr>
          </w:pPr>
          <w:hyperlink w:anchor="_Toc228778793" w:history="1">
            <w:r w:rsidR="00434847" w:rsidRPr="00811D75">
              <w:rPr>
                <w:rStyle w:val="Hipervnculo"/>
                <w:rFonts w:ascii="Times New Roman" w:hAnsi="Times New Roman" w:cs="Times New Roman"/>
                <w:noProof/>
                <w:lang w:val="en-US"/>
              </w:rPr>
              <w:t>Anexo I - Investigation de mercado Key Market</w:t>
            </w:r>
            <w:r w:rsidR="00434847">
              <w:rPr>
                <w:noProof/>
                <w:webHidden/>
              </w:rPr>
              <w:tab/>
            </w:r>
            <w:r w:rsidR="00434847">
              <w:rPr>
                <w:noProof/>
                <w:webHidden/>
              </w:rPr>
              <w:fldChar w:fldCharType="begin"/>
            </w:r>
            <w:r w:rsidR="00434847">
              <w:rPr>
                <w:noProof/>
                <w:webHidden/>
              </w:rPr>
              <w:instrText xml:space="preserve"> PAGEREF _Toc228778793 \h </w:instrText>
            </w:r>
            <w:r w:rsidR="00434847">
              <w:rPr>
                <w:noProof/>
                <w:webHidden/>
              </w:rPr>
            </w:r>
            <w:r w:rsidR="00434847">
              <w:rPr>
                <w:noProof/>
                <w:webHidden/>
              </w:rPr>
              <w:fldChar w:fldCharType="separate"/>
            </w:r>
            <w:r w:rsidR="00434847">
              <w:rPr>
                <w:noProof/>
                <w:webHidden/>
              </w:rPr>
              <w:t>65</w:t>
            </w:r>
            <w:r w:rsidR="00434847">
              <w:rPr>
                <w:noProof/>
                <w:webHidden/>
              </w:rPr>
              <w:fldChar w:fldCharType="end"/>
            </w:r>
          </w:hyperlink>
        </w:p>
        <w:p w14:paraId="6AB3747C" w14:textId="6086E984" w:rsidR="00434847" w:rsidRDefault="00365364">
          <w:pPr>
            <w:pStyle w:val="TDC2"/>
            <w:tabs>
              <w:tab w:val="right" w:leader="dot" w:pos="9350"/>
            </w:tabs>
            <w:rPr>
              <w:noProof/>
              <w:kern w:val="2"/>
              <w:sz w:val="24"/>
              <w:szCs w:val="24"/>
              <w:lang w:val="es-MX" w:eastAsia="es-MX"/>
              <w14:ligatures w14:val="standardContextual"/>
            </w:rPr>
          </w:pPr>
          <w:hyperlink w:anchor="_Toc228778794" w:history="1">
            <w:r w:rsidR="00434847" w:rsidRPr="00811D75">
              <w:rPr>
                <w:rStyle w:val="Hipervnculo"/>
                <w:rFonts w:ascii="Times New Roman" w:hAnsi="Times New Roman" w:cs="Times New Roman"/>
                <w:noProof/>
              </w:rPr>
              <w:t>Anexo II – Entrevistas a Directores y Gerentes de TASA</w:t>
            </w:r>
            <w:r w:rsidR="00434847">
              <w:rPr>
                <w:noProof/>
                <w:webHidden/>
              </w:rPr>
              <w:tab/>
            </w:r>
            <w:r w:rsidR="00434847">
              <w:rPr>
                <w:noProof/>
                <w:webHidden/>
              </w:rPr>
              <w:fldChar w:fldCharType="begin"/>
            </w:r>
            <w:r w:rsidR="00434847">
              <w:rPr>
                <w:noProof/>
                <w:webHidden/>
              </w:rPr>
              <w:instrText xml:space="preserve"> PAGEREF _Toc228778794 \h </w:instrText>
            </w:r>
            <w:r w:rsidR="00434847">
              <w:rPr>
                <w:noProof/>
                <w:webHidden/>
              </w:rPr>
            </w:r>
            <w:r w:rsidR="00434847">
              <w:rPr>
                <w:noProof/>
                <w:webHidden/>
              </w:rPr>
              <w:fldChar w:fldCharType="separate"/>
            </w:r>
            <w:r w:rsidR="00434847">
              <w:rPr>
                <w:noProof/>
                <w:webHidden/>
              </w:rPr>
              <w:t>84</w:t>
            </w:r>
            <w:r w:rsidR="00434847">
              <w:rPr>
                <w:noProof/>
                <w:webHidden/>
              </w:rPr>
              <w:fldChar w:fldCharType="end"/>
            </w:r>
          </w:hyperlink>
        </w:p>
        <w:p w14:paraId="0188B2F6" w14:textId="0C19862D" w:rsidR="00434847" w:rsidRDefault="00365364">
          <w:pPr>
            <w:pStyle w:val="TDC2"/>
            <w:tabs>
              <w:tab w:val="right" w:leader="dot" w:pos="9350"/>
            </w:tabs>
            <w:rPr>
              <w:noProof/>
              <w:kern w:val="2"/>
              <w:sz w:val="24"/>
              <w:szCs w:val="24"/>
              <w:lang w:val="es-MX" w:eastAsia="es-MX"/>
              <w14:ligatures w14:val="standardContextual"/>
            </w:rPr>
          </w:pPr>
          <w:hyperlink w:anchor="_Toc228778795" w:history="1">
            <w:r w:rsidR="00434847" w:rsidRPr="00811D75">
              <w:rPr>
                <w:rStyle w:val="Hipervnculo"/>
                <w:rFonts w:ascii="Times New Roman" w:hAnsi="Times New Roman" w:cs="Times New Roman"/>
                <w:noProof/>
              </w:rPr>
              <w:t>Anexo III – Entrevistas a Clientes Estratégicos</w:t>
            </w:r>
            <w:r w:rsidR="00434847">
              <w:rPr>
                <w:noProof/>
                <w:webHidden/>
              </w:rPr>
              <w:tab/>
            </w:r>
            <w:r w:rsidR="00434847">
              <w:rPr>
                <w:noProof/>
                <w:webHidden/>
              </w:rPr>
              <w:fldChar w:fldCharType="begin"/>
            </w:r>
            <w:r w:rsidR="00434847">
              <w:rPr>
                <w:noProof/>
                <w:webHidden/>
              </w:rPr>
              <w:instrText xml:space="preserve"> PAGEREF _Toc228778795 \h </w:instrText>
            </w:r>
            <w:r w:rsidR="00434847">
              <w:rPr>
                <w:noProof/>
                <w:webHidden/>
              </w:rPr>
            </w:r>
            <w:r w:rsidR="00434847">
              <w:rPr>
                <w:noProof/>
                <w:webHidden/>
              </w:rPr>
              <w:fldChar w:fldCharType="separate"/>
            </w:r>
            <w:r w:rsidR="00434847">
              <w:rPr>
                <w:noProof/>
                <w:webHidden/>
              </w:rPr>
              <w:t>89</w:t>
            </w:r>
            <w:r w:rsidR="00434847">
              <w:rPr>
                <w:noProof/>
                <w:webHidden/>
              </w:rPr>
              <w:fldChar w:fldCharType="end"/>
            </w:r>
          </w:hyperlink>
        </w:p>
        <w:p w14:paraId="744628C8" w14:textId="26456FF7" w:rsidR="00434847" w:rsidRDefault="00365364">
          <w:pPr>
            <w:pStyle w:val="TDC2"/>
            <w:tabs>
              <w:tab w:val="right" w:leader="dot" w:pos="9350"/>
            </w:tabs>
            <w:rPr>
              <w:noProof/>
              <w:kern w:val="2"/>
              <w:sz w:val="24"/>
              <w:szCs w:val="24"/>
              <w:lang w:val="es-MX" w:eastAsia="es-MX"/>
              <w14:ligatures w14:val="standardContextual"/>
            </w:rPr>
          </w:pPr>
          <w:hyperlink w:anchor="_Toc228778796" w:history="1">
            <w:r w:rsidR="00434847" w:rsidRPr="00811D75">
              <w:rPr>
                <w:rStyle w:val="Hipervnculo"/>
                <w:rFonts w:ascii="Times New Roman" w:hAnsi="Times New Roman" w:cs="Times New Roman"/>
                <w:noProof/>
              </w:rPr>
              <w:t>Anexo IV – Entrevista Expertos Externos</w:t>
            </w:r>
            <w:r w:rsidR="00434847">
              <w:rPr>
                <w:noProof/>
                <w:webHidden/>
              </w:rPr>
              <w:tab/>
            </w:r>
            <w:r w:rsidR="00434847">
              <w:rPr>
                <w:noProof/>
                <w:webHidden/>
              </w:rPr>
              <w:fldChar w:fldCharType="begin"/>
            </w:r>
            <w:r w:rsidR="00434847">
              <w:rPr>
                <w:noProof/>
                <w:webHidden/>
              </w:rPr>
              <w:instrText xml:space="preserve"> PAGEREF _Toc228778796 \h </w:instrText>
            </w:r>
            <w:r w:rsidR="00434847">
              <w:rPr>
                <w:noProof/>
                <w:webHidden/>
              </w:rPr>
            </w:r>
            <w:r w:rsidR="00434847">
              <w:rPr>
                <w:noProof/>
                <w:webHidden/>
              </w:rPr>
              <w:fldChar w:fldCharType="separate"/>
            </w:r>
            <w:r w:rsidR="00434847">
              <w:rPr>
                <w:noProof/>
                <w:webHidden/>
              </w:rPr>
              <w:t>93</w:t>
            </w:r>
            <w:r w:rsidR="00434847">
              <w:rPr>
                <w:noProof/>
                <w:webHidden/>
              </w:rPr>
              <w:fldChar w:fldCharType="end"/>
            </w:r>
          </w:hyperlink>
        </w:p>
        <w:p w14:paraId="4297814F" w14:textId="7EE4D7FD" w:rsidR="00434847" w:rsidRDefault="00365364">
          <w:pPr>
            <w:pStyle w:val="TDC2"/>
            <w:tabs>
              <w:tab w:val="right" w:leader="dot" w:pos="9350"/>
            </w:tabs>
            <w:rPr>
              <w:noProof/>
              <w:kern w:val="2"/>
              <w:sz w:val="24"/>
              <w:szCs w:val="24"/>
              <w:lang w:val="es-MX" w:eastAsia="es-MX"/>
              <w14:ligatures w14:val="standardContextual"/>
            </w:rPr>
          </w:pPr>
          <w:hyperlink w:anchor="_Toc228778797" w:history="1">
            <w:r w:rsidR="00434847" w:rsidRPr="00811D75">
              <w:rPr>
                <w:rStyle w:val="Hipervnculo"/>
                <w:rFonts w:ascii="Times New Roman" w:hAnsi="Times New Roman" w:cs="Times New Roman"/>
                <w:noProof/>
              </w:rPr>
              <w:t>Anexo V – Encuesta Clientes y Prospect</w:t>
            </w:r>
            <w:r w:rsidR="00434847">
              <w:rPr>
                <w:noProof/>
                <w:webHidden/>
              </w:rPr>
              <w:tab/>
            </w:r>
            <w:r w:rsidR="00434847">
              <w:rPr>
                <w:noProof/>
                <w:webHidden/>
              </w:rPr>
              <w:fldChar w:fldCharType="begin"/>
            </w:r>
            <w:r w:rsidR="00434847">
              <w:rPr>
                <w:noProof/>
                <w:webHidden/>
              </w:rPr>
              <w:instrText xml:space="preserve"> PAGEREF _Toc228778797 \h </w:instrText>
            </w:r>
            <w:r w:rsidR="00434847">
              <w:rPr>
                <w:noProof/>
                <w:webHidden/>
              </w:rPr>
            </w:r>
            <w:r w:rsidR="00434847">
              <w:rPr>
                <w:noProof/>
                <w:webHidden/>
              </w:rPr>
              <w:fldChar w:fldCharType="separate"/>
            </w:r>
            <w:r w:rsidR="00434847">
              <w:rPr>
                <w:noProof/>
                <w:webHidden/>
              </w:rPr>
              <w:t>99</w:t>
            </w:r>
            <w:r w:rsidR="00434847">
              <w:rPr>
                <w:noProof/>
                <w:webHidden/>
              </w:rPr>
              <w:fldChar w:fldCharType="end"/>
            </w:r>
          </w:hyperlink>
        </w:p>
        <w:p w14:paraId="4948946E" w14:textId="0A1E2AFE" w:rsidR="00434847" w:rsidRDefault="00365364">
          <w:pPr>
            <w:pStyle w:val="TDC2"/>
            <w:tabs>
              <w:tab w:val="right" w:leader="dot" w:pos="9350"/>
            </w:tabs>
            <w:rPr>
              <w:noProof/>
              <w:kern w:val="2"/>
              <w:sz w:val="24"/>
              <w:szCs w:val="24"/>
              <w:lang w:val="es-MX" w:eastAsia="es-MX"/>
              <w14:ligatures w14:val="standardContextual"/>
            </w:rPr>
          </w:pPr>
          <w:hyperlink w:anchor="_Toc228778798" w:history="1">
            <w:r w:rsidR="00434847" w:rsidRPr="00811D75">
              <w:rPr>
                <w:rStyle w:val="Hipervnculo"/>
                <w:rFonts w:ascii="Times New Roman" w:hAnsi="Times New Roman" w:cs="Times New Roman"/>
                <w:noProof/>
              </w:rPr>
              <w:t>Anexo VI – Referencias Documentales y Cuadros de Extracción Normativa</w:t>
            </w:r>
            <w:r w:rsidR="00434847">
              <w:rPr>
                <w:noProof/>
                <w:webHidden/>
              </w:rPr>
              <w:tab/>
            </w:r>
            <w:r w:rsidR="00434847">
              <w:rPr>
                <w:noProof/>
                <w:webHidden/>
              </w:rPr>
              <w:fldChar w:fldCharType="begin"/>
            </w:r>
            <w:r w:rsidR="00434847">
              <w:rPr>
                <w:noProof/>
                <w:webHidden/>
              </w:rPr>
              <w:instrText xml:space="preserve"> PAGEREF _Toc228778798 \h </w:instrText>
            </w:r>
            <w:r w:rsidR="00434847">
              <w:rPr>
                <w:noProof/>
                <w:webHidden/>
              </w:rPr>
            </w:r>
            <w:r w:rsidR="00434847">
              <w:rPr>
                <w:noProof/>
                <w:webHidden/>
              </w:rPr>
              <w:fldChar w:fldCharType="separate"/>
            </w:r>
            <w:r w:rsidR="00434847">
              <w:rPr>
                <w:noProof/>
                <w:webHidden/>
              </w:rPr>
              <w:t>103</w:t>
            </w:r>
            <w:r w:rsidR="00434847">
              <w:rPr>
                <w:noProof/>
                <w:webHidden/>
              </w:rPr>
              <w:fldChar w:fldCharType="end"/>
            </w:r>
          </w:hyperlink>
        </w:p>
        <w:p w14:paraId="00732CE9" w14:textId="1023E09C" w:rsidR="00434847" w:rsidRDefault="00365364">
          <w:pPr>
            <w:pStyle w:val="TDC2"/>
            <w:tabs>
              <w:tab w:val="right" w:leader="dot" w:pos="9350"/>
            </w:tabs>
            <w:rPr>
              <w:noProof/>
              <w:kern w:val="2"/>
              <w:sz w:val="24"/>
              <w:szCs w:val="24"/>
              <w:lang w:val="es-MX" w:eastAsia="es-MX"/>
              <w14:ligatures w14:val="standardContextual"/>
            </w:rPr>
          </w:pPr>
          <w:hyperlink w:anchor="_Toc228778799" w:history="1">
            <w:r w:rsidR="00434847" w:rsidRPr="00811D75">
              <w:rPr>
                <w:rStyle w:val="Hipervnculo"/>
                <w:rFonts w:ascii="Times New Roman" w:hAnsi="Times New Roman" w:cs="Times New Roman"/>
                <w:noProof/>
              </w:rPr>
              <w:t>1. Referencias</w:t>
            </w:r>
            <w:r w:rsidR="00434847">
              <w:rPr>
                <w:noProof/>
                <w:webHidden/>
              </w:rPr>
              <w:tab/>
            </w:r>
            <w:r w:rsidR="00434847">
              <w:rPr>
                <w:noProof/>
                <w:webHidden/>
              </w:rPr>
              <w:fldChar w:fldCharType="begin"/>
            </w:r>
            <w:r w:rsidR="00434847">
              <w:rPr>
                <w:noProof/>
                <w:webHidden/>
              </w:rPr>
              <w:instrText xml:space="preserve"> PAGEREF _Toc228778799 \h </w:instrText>
            </w:r>
            <w:r w:rsidR="00434847">
              <w:rPr>
                <w:noProof/>
                <w:webHidden/>
              </w:rPr>
            </w:r>
            <w:r w:rsidR="00434847">
              <w:rPr>
                <w:noProof/>
                <w:webHidden/>
              </w:rPr>
              <w:fldChar w:fldCharType="separate"/>
            </w:r>
            <w:r w:rsidR="00434847">
              <w:rPr>
                <w:noProof/>
                <w:webHidden/>
              </w:rPr>
              <w:t>103</w:t>
            </w:r>
            <w:r w:rsidR="00434847">
              <w:rPr>
                <w:noProof/>
                <w:webHidden/>
              </w:rPr>
              <w:fldChar w:fldCharType="end"/>
            </w:r>
          </w:hyperlink>
        </w:p>
        <w:p w14:paraId="5D8E9E2A" w14:textId="1B20C26F" w:rsidR="00434847" w:rsidRDefault="00365364">
          <w:pPr>
            <w:pStyle w:val="TDC2"/>
            <w:tabs>
              <w:tab w:val="right" w:leader="dot" w:pos="9350"/>
            </w:tabs>
            <w:rPr>
              <w:noProof/>
              <w:kern w:val="2"/>
              <w:sz w:val="24"/>
              <w:szCs w:val="24"/>
              <w:lang w:val="es-MX" w:eastAsia="es-MX"/>
              <w14:ligatures w14:val="standardContextual"/>
            </w:rPr>
          </w:pPr>
          <w:hyperlink w:anchor="_Toc228778800" w:history="1">
            <w:r w:rsidR="00434847" w:rsidRPr="00811D75">
              <w:rPr>
                <w:rStyle w:val="Hipervnculo"/>
                <w:rFonts w:ascii="Times New Roman" w:hAnsi="Times New Roman" w:cs="Times New Roman"/>
                <w:noProof/>
                <w:lang w:val="es-MX"/>
              </w:rPr>
              <w:t>2. Cuadros de Extracción – Resolución General AFIP 4352/2018</w:t>
            </w:r>
            <w:r w:rsidR="00434847">
              <w:rPr>
                <w:noProof/>
                <w:webHidden/>
              </w:rPr>
              <w:tab/>
            </w:r>
            <w:r w:rsidR="00434847">
              <w:rPr>
                <w:noProof/>
                <w:webHidden/>
              </w:rPr>
              <w:fldChar w:fldCharType="begin"/>
            </w:r>
            <w:r w:rsidR="00434847">
              <w:rPr>
                <w:noProof/>
                <w:webHidden/>
              </w:rPr>
              <w:instrText xml:space="preserve"> PAGEREF _Toc228778800 \h </w:instrText>
            </w:r>
            <w:r w:rsidR="00434847">
              <w:rPr>
                <w:noProof/>
                <w:webHidden/>
              </w:rPr>
            </w:r>
            <w:r w:rsidR="00434847">
              <w:rPr>
                <w:noProof/>
                <w:webHidden/>
              </w:rPr>
              <w:fldChar w:fldCharType="separate"/>
            </w:r>
            <w:r w:rsidR="00434847">
              <w:rPr>
                <w:noProof/>
                <w:webHidden/>
              </w:rPr>
              <w:t>103</w:t>
            </w:r>
            <w:r w:rsidR="00434847">
              <w:rPr>
                <w:noProof/>
                <w:webHidden/>
              </w:rPr>
              <w:fldChar w:fldCharType="end"/>
            </w:r>
          </w:hyperlink>
        </w:p>
        <w:p w14:paraId="4356A1F4" w14:textId="0DFB6841" w:rsidR="00434847" w:rsidRDefault="00365364">
          <w:pPr>
            <w:pStyle w:val="TDC3"/>
            <w:tabs>
              <w:tab w:val="right" w:leader="dot" w:pos="9350"/>
            </w:tabs>
            <w:rPr>
              <w:noProof/>
              <w:kern w:val="2"/>
              <w:sz w:val="24"/>
              <w:szCs w:val="24"/>
              <w:lang w:val="es-MX" w:eastAsia="es-MX"/>
              <w14:ligatures w14:val="standardContextual"/>
            </w:rPr>
          </w:pPr>
          <w:hyperlink w:anchor="_Toc228778801" w:history="1">
            <w:r w:rsidR="00434847" w:rsidRPr="00811D75">
              <w:rPr>
                <w:rStyle w:val="Hipervnculo"/>
                <w:rFonts w:ascii="Times New Roman" w:hAnsi="Times New Roman" w:cs="Times New Roman"/>
                <w:noProof/>
              </w:rPr>
              <w:t>¿Qué es un depósito fiscal?</w:t>
            </w:r>
            <w:r w:rsidR="00434847">
              <w:rPr>
                <w:noProof/>
                <w:webHidden/>
              </w:rPr>
              <w:tab/>
            </w:r>
            <w:r w:rsidR="00434847">
              <w:rPr>
                <w:noProof/>
                <w:webHidden/>
              </w:rPr>
              <w:fldChar w:fldCharType="begin"/>
            </w:r>
            <w:r w:rsidR="00434847">
              <w:rPr>
                <w:noProof/>
                <w:webHidden/>
              </w:rPr>
              <w:instrText xml:space="preserve"> PAGEREF _Toc228778801 \h </w:instrText>
            </w:r>
            <w:r w:rsidR="00434847">
              <w:rPr>
                <w:noProof/>
                <w:webHidden/>
              </w:rPr>
            </w:r>
            <w:r w:rsidR="00434847">
              <w:rPr>
                <w:noProof/>
                <w:webHidden/>
              </w:rPr>
              <w:fldChar w:fldCharType="separate"/>
            </w:r>
            <w:r w:rsidR="00434847">
              <w:rPr>
                <w:noProof/>
                <w:webHidden/>
              </w:rPr>
              <w:t>104</w:t>
            </w:r>
            <w:r w:rsidR="00434847">
              <w:rPr>
                <w:noProof/>
                <w:webHidden/>
              </w:rPr>
              <w:fldChar w:fldCharType="end"/>
            </w:r>
          </w:hyperlink>
        </w:p>
        <w:p w14:paraId="6D8FD3C5" w14:textId="75779588" w:rsidR="00434847" w:rsidRDefault="00365364">
          <w:pPr>
            <w:pStyle w:val="TDC3"/>
            <w:tabs>
              <w:tab w:val="right" w:leader="dot" w:pos="9350"/>
            </w:tabs>
            <w:rPr>
              <w:noProof/>
              <w:kern w:val="2"/>
              <w:sz w:val="24"/>
              <w:szCs w:val="24"/>
              <w:lang w:val="es-MX" w:eastAsia="es-MX"/>
              <w14:ligatures w14:val="standardContextual"/>
            </w:rPr>
          </w:pPr>
          <w:hyperlink w:anchor="_Toc228778802" w:history="1">
            <w:r w:rsidR="00434847" w:rsidRPr="00811D75">
              <w:rPr>
                <w:rStyle w:val="Hipervnculo"/>
                <w:rFonts w:ascii="Times New Roman" w:hAnsi="Times New Roman" w:cs="Times New Roman"/>
                <w:noProof/>
                <w:lang w:val="es-MX"/>
              </w:rPr>
              <w:t>¿Cuáles son los requisitos?</w:t>
            </w:r>
            <w:r w:rsidR="00434847">
              <w:rPr>
                <w:noProof/>
                <w:webHidden/>
              </w:rPr>
              <w:tab/>
            </w:r>
            <w:r w:rsidR="00434847">
              <w:rPr>
                <w:noProof/>
                <w:webHidden/>
              </w:rPr>
              <w:fldChar w:fldCharType="begin"/>
            </w:r>
            <w:r w:rsidR="00434847">
              <w:rPr>
                <w:noProof/>
                <w:webHidden/>
              </w:rPr>
              <w:instrText xml:space="preserve"> PAGEREF _Toc228778802 \h </w:instrText>
            </w:r>
            <w:r w:rsidR="00434847">
              <w:rPr>
                <w:noProof/>
                <w:webHidden/>
              </w:rPr>
            </w:r>
            <w:r w:rsidR="00434847">
              <w:rPr>
                <w:noProof/>
                <w:webHidden/>
              </w:rPr>
              <w:fldChar w:fldCharType="separate"/>
            </w:r>
            <w:r w:rsidR="00434847">
              <w:rPr>
                <w:noProof/>
                <w:webHidden/>
              </w:rPr>
              <w:t>104</w:t>
            </w:r>
            <w:r w:rsidR="00434847">
              <w:rPr>
                <w:noProof/>
                <w:webHidden/>
              </w:rPr>
              <w:fldChar w:fldCharType="end"/>
            </w:r>
          </w:hyperlink>
        </w:p>
        <w:p w14:paraId="41BC2D5E" w14:textId="1A10D211" w:rsidR="00434847" w:rsidRDefault="00365364">
          <w:pPr>
            <w:pStyle w:val="TDC3"/>
            <w:tabs>
              <w:tab w:val="right" w:leader="dot" w:pos="9350"/>
            </w:tabs>
            <w:rPr>
              <w:noProof/>
              <w:kern w:val="2"/>
              <w:sz w:val="24"/>
              <w:szCs w:val="24"/>
              <w:lang w:val="es-MX" w:eastAsia="es-MX"/>
              <w14:ligatures w14:val="standardContextual"/>
            </w:rPr>
          </w:pPr>
          <w:hyperlink w:anchor="_Toc228778803" w:history="1">
            <w:r w:rsidR="00434847" w:rsidRPr="00811D75">
              <w:rPr>
                <w:rStyle w:val="Hipervnculo"/>
                <w:rFonts w:ascii="Times New Roman" w:hAnsi="Times New Roman" w:cs="Times New Roman"/>
                <w:noProof/>
              </w:rPr>
              <w:t>Depósitos Fiscales Habilitados</w:t>
            </w:r>
            <w:r w:rsidR="00434847">
              <w:rPr>
                <w:noProof/>
                <w:webHidden/>
              </w:rPr>
              <w:tab/>
            </w:r>
            <w:r w:rsidR="00434847">
              <w:rPr>
                <w:noProof/>
                <w:webHidden/>
              </w:rPr>
              <w:fldChar w:fldCharType="begin"/>
            </w:r>
            <w:r w:rsidR="00434847">
              <w:rPr>
                <w:noProof/>
                <w:webHidden/>
              </w:rPr>
              <w:instrText xml:space="preserve"> PAGEREF _Toc228778803 \h </w:instrText>
            </w:r>
            <w:r w:rsidR="00434847">
              <w:rPr>
                <w:noProof/>
                <w:webHidden/>
              </w:rPr>
            </w:r>
            <w:r w:rsidR="00434847">
              <w:rPr>
                <w:noProof/>
                <w:webHidden/>
              </w:rPr>
              <w:fldChar w:fldCharType="separate"/>
            </w:r>
            <w:r w:rsidR="00434847">
              <w:rPr>
                <w:noProof/>
                <w:webHidden/>
              </w:rPr>
              <w:t>106</w:t>
            </w:r>
            <w:r w:rsidR="00434847">
              <w:rPr>
                <w:noProof/>
                <w:webHidden/>
              </w:rPr>
              <w:fldChar w:fldCharType="end"/>
            </w:r>
          </w:hyperlink>
        </w:p>
        <w:p w14:paraId="07F03BDD" w14:textId="6B255247" w:rsidR="00C779E3" w:rsidRPr="00111094" w:rsidRDefault="00990765">
          <w:pPr>
            <w:rPr>
              <w:rFonts w:ascii="Times New Roman" w:hAnsi="Times New Roman" w:cs="Times New Roman"/>
              <w:sz w:val="24"/>
              <w:szCs w:val="24"/>
            </w:rPr>
          </w:pPr>
          <w:r w:rsidRPr="00111094">
            <w:rPr>
              <w:rFonts w:ascii="Times New Roman" w:hAnsi="Times New Roman" w:cs="Times New Roman"/>
              <w:b/>
              <w:bCs/>
              <w:sz w:val="24"/>
              <w:szCs w:val="24"/>
            </w:rPr>
            <w:fldChar w:fldCharType="end"/>
          </w:r>
        </w:p>
      </w:sdtContent>
    </w:sdt>
    <w:p w14:paraId="53814045" w14:textId="77777777" w:rsidR="002D3EB1" w:rsidRDefault="002D3EB1">
      <w:pPr>
        <w:rPr>
          <w:rFonts w:ascii="Times New Roman" w:eastAsiaTheme="majorEastAsia" w:hAnsi="Times New Roman" w:cs="Times New Roman"/>
          <w:b/>
          <w:bCs/>
          <w:color w:val="4F81BD" w:themeColor="accent1"/>
          <w:w w:val="70"/>
          <w:sz w:val="40"/>
          <w:szCs w:val="40"/>
        </w:rPr>
      </w:pPr>
      <w:r>
        <w:rPr>
          <w:rFonts w:ascii="Times New Roman" w:hAnsi="Times New Roman" w:cs="Times New Roman"/>
          <w:color w:val="4F81BD" w:themeColor="accent1"/>
          <w:w w:val="70"/>
          <w:sz w:val="40"/>
          <w:szCs w:val="40"/>
        </w:rPr>
        <w:br w:type="page"/>
      </w:r>
    </w:p>
    <w:p w14:paraId="3BAE3328" w14:textId="7A7772EF" w:rsidR="00C0460F" w:rsidRPr="00111094" w:rsidRDefault="005F183E" w:rsidP="007A02B0">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0" w:name="_Toc228778702"/>
      <w:r w:rsidRPr="00111094">
        <w:rPr>
          <w:rFonts w:ascii="Times New Roman" w:hAnsi="Times New Roman" w:cs="Times New Roman"/>
          <w:color w:val="4F81BD" w:themeColor="accent1"/>
          <w:w w:val="70"/>
          <w:sz w:val="40"/>
          <w:szCs w:val="40"/>
        </w:rPr>
        <w:lastRenderedPageBreak/>
        <w:t>INTRODUCCIÓN</w:t>
      </w:r>
      <w:bookmarkEnd w:id="0"/>
      <w:r w:rsidRPr="00111094">
        <w:rPr>
          <w:rFonts w:ascii="Times New Roman" w:hAnsi="Times New Roman" w:cs="Times New Roman"/>
          <w:color w:val="4F81BD" w:themeColor="accent1"/>
          <w:w w:val="70"/>
          <w:sz w:val="40"/>
          <w:szCs w:val="40"/>
        </w:rPr>
        <w:t xml:space="preserve"> </w:t>
      </w:r>
    </w:p>
    <w:p w14:paraId="777369FC" w14:textId="5FC24A6D" w:rsidR="00166F5A" w:rsidRPr="00111094" w:rsidRDefault="00B66361" w:rsidP="007A02B0">
      <w:pPr>
        <w:pStyle w:val="Ttulo2"/>
        <w:spacing w:line="480" w:lineRule="auto"/>
        <w:jc w:val="both"/>
        <w:rPr>
          <w:rFonts w:ascii="Times New Roman" w:hAnsi="Times New Roman" w:cs="Times New Roman"/>
          <w:sz w:val="24"/>
          <w:szCs w:val="24"/>
        </w:rPr>
      </w:pPr>
      <w:bookmarkStart w:id="1" w:name="_Toc228778703"/>
      <w:r w:rsidRPr="00111094">
        <w:rPr>
          <w:rFonts w:ascii="Times New Roman" w:hAnsi="Times New Roman" w:cs="Times New Roman"/>
          <w:sz w:val="24"/>
          <w:szCs w:val="24"/>
        </w:rPr>
        <w:t>Tema de investigación seleccionado</w:t>
      </w:r>
      <w:bookmarkEnd w:id="1"/>
    </w:p>
    <w:p w14:paraId="3AEE6479" w14:textId="77777777" w:rsidR="007400AA" w:rsidRPr="00111094" w:rsidRDefault="007400AA" w:rsidP="007A02B0">
      <w:pPr>
        <w:ind w:firstLine="720"/>
        <w:jc w:val="both"/>
        <w:rPr>
          <w:rFonts w:ascii="Times New Roman" w:hAnsi="Times New Roman" w:cs="Times New Roman"/>
          <w:b/>
          <w:bCs/>
          <w:i/>
          <w:iCs/>
          <w:color w:val="404040" w:themeColor="text1" w:themeTint="BF"/>
          <w:sz w:val="24"/>
          <w:szCs w:val="24"/>
        </w:rPr>
      </w:pPr>
      <w:r w:rsidRPr="00111094">
        <w:rPr>
          <w:rFonts w:ascii="Times New Roman" w:hAnsi="Times New Roman" w:cs="Times New Roman"/>
          <w:sz w:val="24"/>
          <w:szCs w:val="24"/>
        </w:rPr>
        <w:t xml:space="preserve">Incorporación de una nueva unidad de servicios logísticos en TASA Logística: </w:t>
      </w:r>
      <w:r w:rsidRPr="00111094">
        <w:rPr>
          <w:rFonts w:ascii="Times New Roman" w:hAnsi="Times New Roman" w:cs="Times New Roman"/>
          <w:b/>
          <w:bCs/>
          <w:i/>
          <w:iCs/>
          <w:color w:val="404040" w:themeColor="text1" w:themeTint="BF"/>
          <w:sz w:val="24"/>
          <w:szCs w:val="24"/>
        </w:rPr>
        <w:t>“Depósito Fiscal”</w:t>
      </w:r>
    </w:p>
    <w:p w14:paraId="4BBC3CFA" w14:textId="5BA02C69" w:rsidR="005267E3" w:rsidRPr="00111094" w:rsidRDefault="005267E3" w:rsidP="007A02B0">
      <w:pPr>
        <w:pStyle w:val="Ttulo2"/>
        <w:spacing w:line="480" w:lineRule="auto"/>
        <w:jc w:val="both"/>
        <w:rPr>
          <w:rFonts w:ascii="Times New Roman" w:hAnsi="Times New Roman" w:cs="Times New Roman"/>
        </w:rPr>
      </w:pPr>
      <w:bookmarkStart w:id="2" w:name="_Toc228778704"/>
      <w:r w:rsidRPr="00111094">
        <w:rPr>
          <w:rFonts w:ascii="Times New Roman" w:hAnsi="Times New Roman" w:cs="Times New Roman"/>
        </w:rPr>
        <w:t>Introducción y justificación</w:t>
      </w:r>
      <w:bookmarkEnd w:id="2"/>
    </w:p>
    <w:p w14:paraId="6BF9B795" w14:textId="77777777" w:rsidR="005267E3" w:rsidRPr="00111094" w:rsidRDefault="007400AA"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El presente trabajo propone investigar la viabilidad de incorporar una nueva unidad de negocios en TASA Logística: un depósito fiscal ubicado en Pilar, Zona Norte del Gran Buenos Aires. </w:t>
      </w:r>
    </w:p>
    <w:p w14:paraId="6C322534" w14:textId="5EFEB1D9" w:rsidR="005267E3" w:rsidRPr="00111094" w:rsidRDefault="007400AA"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Este servicio permitiría almacenar mercaderías extranjeras bajo control aduanero y gestionar su operatoria de comercio exterior de forma más eficiente.</w:t>
      </w:r>
    </w:p>
    <w:p w14:paraId="138646F1" w14:textId="242679AD" w:rsidR="005267E3" w:rsidRPr="00111094" w:rsidRDefault="007400AA"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elección de este tema surge de una necesidad estratégica concreta: diversificar la oferta de servicios de la empresa, aprovechar infraestructura ociosa propia y captar clientes del segmento importador/exportador. En un contexto económico caracterizado por la liberalización comercial y la búsqueda de competitividad, impulsado por el nuevo modelo económico del gobierno actual, los depósitos fiscales se consolidan como herramientas logísticas clave. A su vez, el análisis busca comprender el impacto económico, operativo y comercial de esta decisión.</w:t>
      </w:r>
    </w:p>
    <w:p w14:paraId="5E36C067" w14:textId="26F1563E" w:rsidR="005267E3" w:rsidRPr="00111094" w:rsidRDefault="005267E3"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depósito fiscal es un servicio estratégico dentro de la cadena logística del comercio exterior. La posibilidad de operar mercadería sin nacionalizar, diferir el pago de tributos e integrar procesos bajo control aduanero, representa una ventaja competitiva. TASA Logística, con activos físicos en Pilar que le permitirían la construcción de nuevo depósito fiscal, se encuentra en una posición favorable para explorar esta unidad de negocios, alineada a su estrategia de expansión y diversificación. El contexto político actual, que promueve la apertura comercial, refuerza la pertinencia de este análisis.</w:t>
      </w:r>
    </w:p>
    <w:p w14:paraId="122A8536" w14:textId="0BFF4900" w:rsidR="007400AA" w:rsidRPr="00111094" w:rsidRDefault="007400AA" w:rsidP="007A02B0">
      <w:pPr>
        <w:pStyle w:val="Ttulo2"/>
        <w:spacing w:line="480" w:lineRule="auto"/>
        <w:jc w:val="both"/>
        <w:rPr>
          <w:rFonts w:ascii="Times New Roman" w:hAnsi="Times New Roman" w:cs="Times New Roman"/>
        </w:rPr>
      </w:pPr>
      <w:bookmarkStart w:id="3" w:name="_Toc228778705"/>
      <w:r w:rsidRPr="00111094">
        <w:rPr>
          <w:rFonts w:ascii="Times New Roman" w:hAnsi="Times New Roman" w:cs="Times New Roman"/>
        </w:rPr>
        <w:t>Pregunta de investigación</w:t>
      </w:r>
      <w:bookmarkEnd w:id="3"/>
    </w:p>
    <w:p w14:paraId="044510B5" w14:textId="77777777" w:rsidR="007400AA" w:rsidRPr="00111094" w:rsidRDefault="007400AA"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¿Cuán viable es la incorporación un Depósito Fiscal por parte de TASA Logística y qué impacto tendría en su competitividad y crecimiento comercial?</w:t>
      </w:r>
    </w:p>
    <w:p w14:paraId="26B27DA8" w14:textId="679CF8BD" w:rsidR="00166F5A" w:rsidRPr="00111094" w:rsidRDefault="00B66361" w:rsidP="007A02B0">
      <w:pPr>
        <w:pStyle w:val="Ttulo2"/>
        <w:spacing w:line="480" w:lineRule="auto"/>
        <w:jc w:val="both"/>
        <w:rPr>
          <w:rFonts w:ascii="Times New Roman" w:hAnsi="Times New Roman" w:cs="Times New Roman"/>
        </w:rPr>
      </w:pPr>
      <w:bookmarkStart w:id="4" w:name="_Toc228778706"/>
      <w:r w:rsidRPr="00111094">
        <w:rPr>
          <w:rFonts w:ascii="Times New Roman" w:hAnsi="Times New Roman" w:cs="Times New Roman"/>
        </w:rPr>
        <w:t>Objetivos del trabajo</w:t>
      </w:r>
      <w:bookmarkEnd w:id="4"/>
    </w:p>
    <w:p w14:paraId="288B6FB9" w14:textId="53C03E30" w:rsidR="00166F5A" w:rsidRPr="00111094" w:rsidRDefault="00B66361" w:rsidP="007A02B0">
      <w:pPr>
        <w:pStyle w:val="Prrafodelista"/>
        <w:numPr>
          <w:ilvl w:val="0"/>
          <w:numId w:val="13"/>
        </w:numPr>
        <w:spacing w:after="0"/>
        <w:jc w:val="both"/>
        <w:rPr>
          <w:rFonts w:ascii="Times New Roman" w:hAnsi="Times New Roman" w:cs="Times New Roman"/>
          <w:sz w:val="24"/>
          <w:szCs w:val="24"/>
        </w:rPr>
      </w:pPr>
      <w:r w:rsidRPr="00111094">
        <w:rPr>
          <w:rFonts w:ascii="Times New Roman" w:hAnsi="Times New Roman" w:cs="Times New Roman"/>
          <w:b/>
          <w:bCs/>
          <w:color w:val="404040" w:themeColor="text1" w:themeTint="BF"/>
          <w:sz w:val="24"/>
          <w:szCs w:val="24"/>
        </w:rPr>
        <w:t>Objetivo general:</w:t>
      </w:r>
      <w:r w:rsidRPr="00111094">
        <w:rPr>
          <w:rFonts w:ascii="Times New Roman" w:hAnsi="Times New Roman" w:cs="Times New Roman"/>
          <w:b/>
          <w:bCs/>
          <w:color w:val="404040" w:themeColor="text1" w:themeTint="BF"/>
          <w:sz w:val="24"/>
          <w:szCs w:val="24"/>
        </w:rPr>
        <w:br/>
      </w:r>
      <w:r w:rsidRPr="00111094">
        <w:rPr>
          <w:rFonts w:ascii="Times New Roman" w:hAnsi="Times New Roman" w:cs="Times New Roman"/>
          <w:sz w:val="24"/>
          <w:szCs w:val="24"/>
        </w:rPr>
        <w:t>Evaluar la viabilidad económica, operativa</w:t>
      </w:r>
      <w:r w:rsidR="00A551F5" w:rsidRPr="00111094">
        <w:rPr>
          <w:rFonts w:ascii="Times New Roman" w:hAnsi="Times New Roman" w:cs="Times New Roman"/>
          <w:sz w:val="24"/>
          <w:szCs w:val="24"/>
        </w:rPr>
        <w:t>,</w:t>
      </w:r>
      <w:r w:rsidRPr="00111094">
        <w:rPr>
          <w:rFonts w:ascii="Times New Roman" w:hAnsi="Times New Roman" w:cs="Times New Roman"/>
          <w:sz w:val="24"/>
          <w:szCs w:val="24"/>
        </w:rPr>
        <w:t xml:space="preserve"> </w:t>
      </w:r>
      <w:r w:rsidR="00A551F5" w:rsidRPr="00111094">
        <w:rPr>
          <w:rFonts w:ascii="Times New Roman" w:hAnsi="Times New Roman" w:cs="Times New Roman"/>
          <w:sz w:val="24"/>
          <w:szCs w:val="24"/>
        </w:rPr>
        <w:t xml:space="preserve">normative </w:t>
      </w:r>
      <w:r w:rsidRPr="00111094">
        <w:rPr>
          <w:rFonts w:ascii="Times New Roman" w:hAnsi="Times New Roman" w:cs="Times New Roman"/>
          <w:sz w:val="24"/>
          <w:szCs w:val="24"/>
        </w:rPr>
        <w:t>y estratégica de incorporar un depósito fiscal en Pilar como nueva unidad de negocio de TASA Logística</w:t>
      </w:r>
      <w:r w:rsidR="00A551F5" w:rsidRPr="00111094">
        <w:rPr>
          <w:rFonts w:ascii="Times New Roman" w:hAnsi="Times New Roman" w:cs="Times New Roman"/>
          <w:sz w:val="24"/>
          <w:szCs w:val="24"/>
        </w:rPr>
        <w:t>, identificando su impacto potencial en la competitividad y crecimiento de la empresa</w:t>
      </w:r>
    </w:p>
    <w:p w14:paraId="0E27E86E" w14:textId="77777777" w:rsidR="00FA5AA2" w:rsidRPr="00111094" w:rsidRDefault="00B66361" w:rsidP="007A02B0">
      <w:pPr>
        <w:pStyle w:val="Prrafodelista"/>
        <w:numPr>
          <w:ilvl w:val="0"/>
          <w:numId w:val="15"/>
        </w:numPr>
        <w:spacing w:after="0"/>
        <w:jc w:val="both"/>
        <w:rPr>
          <w:rFonts w:ascii="Times New Roman" w:hAnsi="Times New Roman" w:cs="Times New Roman"/>
          <w:sz w:val="24"/>
          <w:szCs w:val="24"/>
        </w:rPr>
      </w:pPr>
      <w:r w:rsidRPr="00111094">
        <w:rPr>
          <w:rFonts w:ascii="Times New Roman" w:hAnsi="Times New Roman" w:cs="Times New Roman"/>
          <w:b/>
          <w:bCs/>
          <w:color w:val="404040" w:themeColor="text1" w:themeTint="BF"/>
          <w:sz w:val="24"/>
          <w:szCs w:val="24"/>
        </w:rPr>
        <w:t>Objetivos específicos:</w:t>
      </w:r>
    </w:p>
    <w:p w14:paraId="2C095DA0" w14:textId="77777777" w:rsidR="00FA5AA2" w:rsidRPr="00111094" w:rsidRDefault="00B66361"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t>Analizar el marco normativo vigente</w:t>
      </w:r>
      <w:r w:rsidR="00A551F5" w:rsidRPr="00111094">
        <w:rPr>
          <w:rFonts w:ascii="Times New Roman" w:hAnsi="Times New Roman" w:cs="Times New Roman"/>
          <w:sz w:val="24"/>
          <w:szCs w:val="24"/>
        </w:rPr>
        <w:t xml:space="preserve"> y los requisitos legales aplicables a la creación de un depósito discal en Argentina</w:t>
      </w:r>
      <w:r w:rsidRPr="00111094">
        <w:rPr>
          <w:rFonts w:ascii="Times New Roman" w:hAnsi="Times New Roman" w:cs="Times New Roman"/>
          <w:sz w:val="24"/>
          <w:szCs w:val="24"/>
        </w:rPr>
        <w:t>.</w:t>
      </w:r>
    </w:p>
    <w:p w14:paraId="53DA3D43" w14:textId="77777777" w:rsidR="00FA5AA2" w:rsidRPr="00111094" w:rsidRDefault="00B66361"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lastRenderedPageBreak/>
        <w:t xml:space="preserve">Estudiar la oferta y demanda del servicio </w:t>
      </w:r>
      <w:r w:rsidR="00A551F5" w:rsidRPr="00111094">
        <w:rPr>
          <w:rFonts w:ascii="Times New Roman" w:hAnsi="Times New Roman" w:cs="Times New Roman"/>
          <w:sz w:val="24"/>
          <w:szCs w:val="24"/>
        </w:rPr>
        <w:t xml:space="preserve">de depósito fiscal </w:t>
      </w:r>
      <w:r w:rsidRPr="00111094">
        <w:rPr>
          <w:rFonts w:ascii="Times New Roman" w:hAnsi="Times New Roman" w:cs="Times New Roman"/>
          <w:sz w:val="24"/>
          <w:szCs w:val="24"/>
        </w:rPr>
        <w:t>en Zona Norte</w:t>
      </w:r>
      <w:r w:rsidR="00A551F5" w:rsidRPr="00111094">
        <w:rPr>
          <w:rFonts w:ascii="Times New Roman" w:hAnsi="Times New Roman" w:cs="Times New Roman"/>
          <w:sz w:val="24"/>
          <w:szCs w:val="24"/>
        </w:rPr>
        <w:t xml:space="preserve"> y su relación con el perfil de clientes de TASA Logistica</w:t>
      </w:r>
      <w:r w:rsidRPr="00111094">
        <w:rPr>
          <w:rFonts w:ascii="Times New Roman" w:hAnsi="Times New Roman" w:cs="Times New Roman"/>
          <w:sz w:val="24"/>
          <w:szCs w:val="24"/>
        </w:rPr>
        <w:t>.</w:t>
      </w:r>
    </w:p>
    <w:p w14:paraId="7B25B340" w14:textId="77777777" w:rsidR="00FA5AA2" w:rsidRPr="00111094" w:rsidRDefault="00B66361"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Diagnosticar </w:t>
      </w:r>
      <w:r w:rsidR="00A551F5" w:rsidRPr="00111094">
        <w:rPr>
          <w:rFonts w:ascii="Times New Roman" w:hAnsi="Times New Roman" w:cs="Times New Roman"/>
          <w:sz w:val="24"/>
          <w:szCs w:val="24"/>
        </w:rPr>
        <w:t xml:space="preserve">las </w:t>
      </w:r>
      <w:r w:rsidRPr="00111094">
        <w:rPr>
          <w:rFonts w:ascii="Times New Roman" w:hAnsi="Times New Roman" w:cs="Times New Roman"/>
          <w:sz w:val="24"/>
          <w:szCs w:val="24"/>
        </w:rPr>
        <w:t>capacidades y brechas internas</w:t>
      </w:r>
      <w:r w:rsidR="00A551F5" w:rsidRPr="00111094">
        <w:rPr>
          <w:rFonts w:ascii="Times New Roman" w:hAnsi="Times New Roman" w:cs="Times New Roman"/>
          <w:sz w:val="24"/>
          <w:szCs w:val="24"/>
        </w:rPr>
        <w:t xml:space="preserve"> de TASA Logistica para ofrecer este servicio, considerando infraestructura, procesos y recursos humanos</w:t>
      </w:r>
      <w:r w:rsidRPr="00111094">
        <w:rPr>
          <w:rFonts w:ascii="Times New Roman" w:hAnsi="Times New Roman" w:cs="Times New Roman"/>
          <w:sz w:val="24"/>
          <w:szCs w:val="24"/>
        </w:rPr>
        <w:t>.</w:t>
      </w:r>
    </w:p>
    <w:p w14:paraId="0C7EDFD0" w14:textId="77777777" w:rsidR="00FA5AA2" w:rsidRPr="00111094" w:rsidRDefault="00B66361"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t>Diseñar el modelo operativo y comercial</w:t>
      </w:r>
      <w:r w:rsidR="00A551F5" w:rsidRPr="00111094">
        <w:rPr>
          <w:rFonts w:ascii="Times New Roman" w:hAnsi="Times New Roman" w:cs="Times New Roman"/>
          <w:sz w:val="24"/>
          <w:szCs w:val="24"/>
        </w:rPr>
        <w:t xml:space="preserve"> adaptado a la incorporación del depósito fiscal, definiendo procesos claves y servicios complementarios</w:t>
      </w:r>
      <w:r w:rsidRPr="00111094">
        <w:rPr>
          <w:rFonts w:ascii="Times New Roman" w:hAnsi="Times New Roman" w:cs="Times New Roman"/>
          <w:sz w:val="24"/>
          <w:szCs w:val="24"/>
        </w:rPr>
        <w:t>.</w:t>
      </w:r>
      <w:r w:rsidR="00FA5AA2" w:rsidRPr="00111094">
        <w:rPr>
          <w:rFonts w:ascii="Times New Roman" w:hAnsi="Times New Roman" w:cs="Times New Roman"/>
          <w:sz w:val="24"/>
          <w:szCs w:val="24"/>
        </w:rPr>
        <w:t xml:space="preserve"> </w:t>
      </w:r>
    </w:p>
    <w:p w14:paraId="6527F296" w14:textId="77777777" w:rsidR="00FA5AA2" w:rsidRPr="00111094" w:rsidRDefault="00B66361"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t>Realizar un análisis económico-financiero</w:t>
      </w:r>
      <w:r w:rsidR="00A551F5" w:rsidRPr="00111094">
        <w:rPr>
          <w:rFonts w:ascii="Times New Roman" w:hAnsi="Times New Roman" w:cs="Times New Roman"/>
          <w:sz w:val="24"/>
          <w:szCs w:val="24"/>
        </w:rPr>
        <w:t xml:space="preserve"> proyectado del nuevo negocio (VAN,TIR, Payback y escenarios de riesgo)</w:t>
      </w:r>
      <w:r w:rsidRPr="00111094">
        <w:rPr>
          <w:rFonts w:ascii="Times New Roman" w:hAnsi="Times New Roman" w:cs="Times New Roman"/>
          <w:sz w:val="24"/>
          <w:szCs w:val="24"/>
        </w:rPr>
        <w:t>.</w:t>
      </w:r>
      <w:r w:rsidR="00FA5AA2" w:rsidRPr="00111094">
        <w:rPr>
          <w:rFonts w:ascii="Times New Roman" w:hAnsi="Times New Roman" w:cs="Times New Roman"/>
          <w:sz w:val="24"/>
          <w:szCs w:val="24"/>
        </w:rPr>
        <w:t xml:space="preserve"> </w:t>
      </w:r>
    </w:p>
    <w:p w14:paraId="0849CFF2" w14:textId="7E282532" w:rsidR="00166F5A" w:rsidRPr="00111094" w:rsidRDefault="00A551F5" w:rsidP="007A02B0">
      <w:pPr>
        <w:pStyle w:val="Prrafodelista"/>
        <w:numPr>
          <w:ilvl w:val="1"/>
          <w:numId w:val="14"/>
        </w:numPr>
        <w:spacing w:after="0"/>
        <w:jc w:val="both"/>
        <w:rPr>
          <w:rFonts w:ascii="Times New Roman" w:hAnsi="Times New Roman" w:cs="Times New Roman"/>
          <w:sz w:val="24"/>
          <w:szCs w:val="24"/>
        </w:rPr>
      </w:pPr>
      <w:r w:rsidRPr="00111094">
        <w:rPr>
          <w:rFonts w:ascii="Times New Roman" w:hAnsi="Times New Roman" w:cs="Times New Roman"/>
          <w:sz w:val="24"/>
          <w:szCs w:val="24"/>
        </w:rPr>
        <w:t>Elaborar un plan de implementación por etapas considerando recursos, plazos y posibles obstáculos regulatorios u operativos.</w:t>
      </w:r>
    </w:p>
    <w:p w14:paraId="6E041E4D" w14:textId="77777777" w:rsidR="006F2EA4" w:rsidRPr="00111094" w:rsidRDefault="006F2EA4" w:rsidP="007A02B0">
      <w:pPr>
        <w:pStyle w:val="Ttulo2"/>
        <w:spacing w:line="480" w:lineRule="auto"/>
        <w:jc w:val="both"/>
        <w:rPr>
          <w:rFonts w:ascii="Times New Roman" w:hAnsi="Times New Roman" w:cs="Times New Roman"/>
        </w:rPr>
      </w:pPr>
      <w:bookmarkStart w:id="5" w:name="_Toc228778707"/>
      <w:r w:rsidRPr="00111094">
        <w:rPr>
          <w:rFonts w:ascii="Times New Roman" w:hAnsi="Times New Roman" w:cs="Times New Roman"/>
        </w:rPr>
        <w:t>Hipótesis</w:t>
      </w:r>
      <w:bookmarkEnd w:id="5"/>
    </w:p>
    <w:p w14:paraId="2F0B69BC" w14:textId="77777777" w:rsidR="006F2EA4" w:rsidRPr="00111094" w:rsidRDefault="006F2EA4"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incorporación de un depósito fiscal por parte de TASA Logística en Pilar es viable desde el punto de vista normativo, económico y operativo, y permitirá mejorar su competitividad al captar clientes del comercio exterior, diversificar sus servicios y aumentar su rentabilidad en el mediano plazo.</w:t>
      </w:r>
    </w:p>
    <w:p w14:paraId="12BB322F" w14:textId="228E45DD" w:rsidR="00166F5A" w:rsidRPr="00111094" w:rsidRDefault="00B66361" w:rsidP="007A02B0">
      <w:pPr>
        <w:pStyle w:val="Ttulo2"/>
        <w:spacing w:line="480" w:lineRule="auto"/>
        <w:jc w:val="both"/>
        <w:rPr>
          <w:rFonts w:ascii="Times New Roman" w:hAnsi="Times New Roman" w:cs="Times New Roman"/>
        </w:rPr>
      </w:pPr>
      <w:bookmarkStart w:id="6" w:name="_Toc228778708"/>
      <w:r w:rsidRPr="00111094">
        <w:rPr>
          <w:rFonts w:ascii="Times New Roman" w:hAnsi="Times New Roman" w:cs="Times New Roman"/>
        </w:rPr>
        <w:t>Metodología</w:t>
      </w:r>
      <w:bookmarkEnd w:id="6"/>
    </w:p>
    <w:p w14:paraId="2A7E7B4A" w14:textId="77777777" w:rsidR="007400AA" w:rsidRPr="00111094" w:rsidRDefault="007400AA"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trabajo se desarrollará bajo un enfoque exploratorio-descriptivo. Se empleará una metodología mixta con análisis documental de normativas, entrevistas a expertos del sector, benchmarking de operadores actuales y análisis financiero proyectado. El diseño será de estudio de caso, centrado en la realidad operativa de TASA Logística en Argentina.</w:t>
      </w:r>
    </w:p>
    <w:p w14:paraId="1A4BAE05" w14:textId="17DA59DC" w:rsidR="00166F5A" w:rsidRPr="00111094" w:rsidRDefault="007038D7" w:rsidP="007A02B0">
      <w:pPr>
        <w:pStyle w:val="Ttulo2"/>
        <w:spacing w:line="480" w:lineRule="auto"/>
        <w:jc w:val="both"/>
        <w:rPr>
          <w:rFonts w:ascii="Times New Roman" w:hAnsi="Times New Roman" w:cs="Times New Roman"/>
        </w:rPr>
      </w:pPr>
      <w:bookmarkStart w:id="7" w:name="_Toc228778709"/>
      <w:r w:rsidRPr="00111094">
        <w:rPr>
          <w:rFonts w:ascii="Times New Roman" w:hAnsi="Times New Roman" w:cs="Times New Roman"/>
        </w:rPr>
        <w:t>Ejes temáticos que abordar</w:t>
      </w:r>
      <w:bookmarkEnd w:id="7"/>
    </w:p>
    <w:p w14:paraId="1A7347FD" w14:textId="77777777" w:rsidR="000577D0" w:rsidRPr="00111094" w:rsidRDefault="00B66361" w:rsidP="007A02B0">
      <w:pPr>
        <w:pStyle w:val="Prrafodelista"/>
        <w:numPr>
          <w:ilvl w:val="1"/>
          <w:numId w:val="7"/>
        </w:numPr>
        <w:spacing w:after="0"/>
        <w:jc w:val="both"/>
        <w:rPr>
          <w:rFonts w:ascii="Times New Roman" w:hAnsi="Times New Roman" w:cs="Times New Roman"/>
          <w:sz w:val="24"/>
          <w:szCs w:val="24"/>
        </w:rPr>
      </w:pPr>
      <w:r w:rsidRPr="00111094">
        <w:rPr>
          <w:rFonts w:ascii="Times New Roman" w:hAnsi="Times New Roman" w:cs="Times New Roman"/>
          <w:sz w:val="24"/>
          <w:szCs w:val="24"/>
        </w:rPr>
        <w:t>Marco regulatorio del depósito fiscal.</w:t>
      </w:r>
    </w:p>
    <w:p w14:paraId="391A4CE8" w14:textId="77777777" w:rsidR="000577D0" w:rsidRPr="00111094" w:rsidRDefault="00B66361" w:rsidP="007A02B0">
      <w:pPr>
        <w:pStyle w:val="Prrafodelista"/>
        <w:numPr>
          <w:ilvl w:val="1"/>
          <w:numId w:val="7"/>
        </w:numPr>
        <w:spacing w:after="0"/>
        <w:jc w:val="both"/>
        <w:rPr>
          <w:rFonts w:ascii="Times New Roman" w:hAnsi="Times New Roman" w:cs="Times New Roman"/>
          <w:sz w:val="24"/>
          <w:szCs w:val="24"/>
        </w:rPr>
      </w:pPr>
      <w:r w:rsidRPr="00111094">
        <w:rPr>
          <w:rFonts w:ascii="Times New Roman" w:hAnsi="Times New Roman" w:cs="Times New Roman"/>
          <w:sz w:val="24"/>
          <w:szCs w:val="24"/>
        </w:rPr>
        <w:t>Análisis del entorno competitivo logístico en Zona Norte.</w:t>
      </w:r>
    </w:p>
    <w:p w14:paraId="525439C0" w14:textId="77777777" w:rsidR="000577D0" w:rsidRPr="00111094" w:rsidRDefault="00B66361" w:rsidP="007A02B0">
      <w:pPr>
        <w:pStyle w:val="Prrafodelista"/>
        <w:numPr>
          <w:ilvl w:val="1"/>
          <w:numId w:val="7"/>
        </w:numPr>
        <w:spacing w:after="0"/>
        <w:jc w:val="both"/>
        <w:rPr>
          <w:rFonts w:ascii="Times New Roman" w:hAnsi="Times New Roman" w:cs="Times New Roman"/>
          <w:sz w:val="24"/>
          <w:szCs w:val="24"/>
        </w:rPr>
      </w:pPr>
      <w:r w:rsidRPr="00111094">
        <w:rPr>
          <w:rFonts w:ascii="Times New Roman" w:hAnsi="Times New Roman" w:cs="Times New Roman"/>
          <w:sz w:val="24"/>
          <w:szCs w:val="24"/>
        </w:rPr>
        <w:t>Modelo operativo y recursos necesarios.</w:t>
      </w:r>
    </w:p>
    <w:p w14:paraId="06EFCB57" w14:textId="77777777" w:rsidR="000577D0" w:rsidRPr="00111094" w:rsidRDefault="00B66361" w:rsidP="007A02B0">
      <w:pPr>
        <w:pStyle w:val="Prrafodelista"/>
        <w:numPr>
          <w:ilvl w:val="1"/>
          <w:numId w:val="7"/>
        </w:numPr>
        <w:spacing w:after="0"/>
        <w:jc w:val="both"/>
        <w:rPr>
          <w:rFonts w:ascii="Times New Roman" w:hAnsi="Times New Roman" w:cs="Times New Roman"/>
          <w:sz w:val="24"/>
          <w:szCs w:val="24"/>
        </w:rPr>
      </w:pPr>
      <w:r w:rsidRPr="00111094">
        <w:rPr>
          <w:rFonts w:ascii="Times New Roman" w:hAnsi="Times New Roman" w:cs="Times New Roman"/>
          <w:sz w:val="24"/>
          <w:szCs w:val="24"/>
        </w:rPr>
        <w:t>Proyección de ingresos y estructura de costos.</w:t>
      </w:r>
    </w:p>
    <w:p w14:paraId="645FC4A4" w14:textId="7EFB3A12" w:rsidR="00166F5A" w:rsidRPr="00111094" w:rsidRDefault="00B66361" w:rsidP="007A02B0">
      <w:pPr>
        <w:pStyle w:val="Prrafodelista"/>
        <w:numPr>
          <w:ilvl w:val="1"/>
          <w:numId w:val="7"/>
        </w:numPr>
        <w:spacing w:after="0"/>
        <w:jc w:val="both"/>
        <w:rPr>
          <w:rFonts w:ascii="Times New Roman" w:hAnsi="Times New Roman" w:cs="Times New Roman"/>
          <w:sz w:val="24"/>
          <w:szCs w:val="24"/>
        </w:rPr>
      </w:pPr>
      <w:r w:rsidRPr="00111094">
        <w:rPr>
          <w:rFonts w:ascii="Times New Roman" w:hAnsi="Times New Roman" w:cs="Times New Roman"/>
          <w:sz w:val="24"/>
          <w:szCs w:val="24"/>
        </w:rPr>
        <w:t>Impacto estratégico y comercial para la empresa.</w:t>
      </w:r>
    </w:p>
    <w:p w14:paraId="4907A4B7" w14:textId="1DEDFB78" w:rsidR="00166F5A" w:rsidRPr="00111094" w:rsidRDefault="00B66361" w:rsidP="007A02B0">
      <w:pPr>
        <w:pStyle w:val="Ttulo2"/>
        <w:spacing w:line="480" w:lineRule="auto"/>
        <w:jc w:val="both"/>
        <w:rPr>
          <w:rFonts w:ascii="Times New Roman" w:hAnsi="Times New Roman" w:cs="Times New Roman"/>
        </w:rPr>
      </w:pPr>
      <w:bookmarkStart w:id="8" w:name="_Toc228778710"/>
      <w:r w:rsidRPr="00111094">
        <w:rPr>
          <w:rFonts w:ascii="Times New Roman" w:hAnsi="Times New Roman" w:cs="Times New Roman"/>
        </w:rPr>
        <w:t>Resultados esperados</w:t>
      </w:r>
      <w:bookmarkEnd w:id="8"/>
    </w:p>
    <w:p w14:paraId="4546D1DA" w14:textId="77777777" w:rsidR="00166F5A" w:rsidRPr="00111094" w:rsidRDefault="00B66361"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Se espera obtener una conclusión fundamentada sobre la viabilidad del proyecto, acompañada de un modelo de negocios completo, análisis financiero con métricas clave (VAN, TIR, Payback) y una propuesta de implementación gradual. Asimismo, se busca identificar riesgos y factores críticos de éxito para su puesta en marcha.</w:t>
      </w:r>
    </w:p>
    <w:p w14:paraId="48ED7C13" w14:textId="722559AB" w:rsidR="00166F5A" w:rsidRPr="00111094" w:rsidRDefault="00B66361" w:rsidP="007A02B0">
      <w:pPr>
        <w:pStyle w:val="Ttulo2"/>
        <w:spacing w:line="480" w:lineRule="auto"/>
        <w:jc w:val="both"/>
        <w:rPr>
          <w:rFonts w:ascii="Times New Roman" w:hAnsi="Times New Roman" w:cs="Times New Roman"/>
        </w:rPr>
      </w:pPr>
      <w:bookmarkStart w:id="9" w:name="_Toc228778711"/>
      <w:r w:rsidRPr="00111094">
        <w:rPr>
          <w:rFonts w:ascii="Times New Roman" w:hAnsi="Times New Roman" w:cs="Times New Roman"/>
        </w:rPr>
        <w:lastRenderedPageBreak/>
        <w:t>Conclusión</w:t>
      </w:r>
      <w:bookmarkEnd w:id="9"/>
    </w:p>
    <w:p w14:paraId="59BDC39C" w14:textId="77777777" w:rsidR="00166F5A" w:rsidRPr="00111094" w:rsidRDefault="00B66361" w:rsidP="007A02B0">
      <w:pPr>
        <w:ind w:firstLine="720"/>
        <w:jc w:val="both"/>
        <w:rPr>
          <w:rFonts w:ascii="Times New Roman" w:hAnsi="Times New Roman" w:cs="Times New Roman"/>
          <w:sz w:val="24"/>
          <w:szCs w:val="24"/>
        </w:rPr>
      </w:pPr>
      <w:r w:rsidRPr="00111094">
        <w:rPr>
          <w:rFonts w:ascii="Times New Roman" w:hAnsi="Times New Roman" w:cs="Times New Roman"/>
          <w:sz w:val="24"/>
          <w:szCs w:val="24"/>
        </w:rPr>
        <w:t>El presente proyecto representa una oportunidad concreta de expansión para TASA Logística, alineada con su visión estratégica de consolidarse como operador integral. El análisis permitirá tomar decisiones basadas en evidencia y proyectar el retorno esperado de esta nueva unidad de negocios bajo criterios técnicos, regulatorios y financieros.</w:t>
      </w:r>
    </w:p>
    <w:p w14:paraId="50A9E1C4" w14:textId="77777777" w:rsidR="000D5550" w:rsidRPr="00111094" w:rsidRDefault="00C70B5D" w:rsidP="007A02B0">
      <w:pPr>
        <w:pStyle w:val="Ttulo2"/>
        <w:spacing w:line="480" w:lineRule="auto"/>
        <w:jc w:val="both"/>
        <w:rPr>
          <w:rFonts w:ascii="Times New Roman" w:hAnsi="Times New Roman" w:cs="Times New Roman"/>
        </w:rPr>
      </w:pPr>
      <w:bookmarkStart w:id="10" w:name="_Toc228778712"/>
      <w:r w:rsidRPr="00111094">
        <w:rPr>
          <w:rFonts w:ascii="Times New Roman" w:hAnsi="Times New Roman" w:cs="Times New Roman"/>
        </w:rPr>
        <w:t xml:space="preserve">Diseño metodológico </w:t>
      </w:r>
      <w:r w:rsidR="000D5550" w:rsidRPr="00111094">
        <w:rPr>
          <w:rFonts w:ascii="Times New Roman" w:hAnsi="Times New Roman" w:cs="Times New Roman"/>
        </w:rPr>
        <w:t>de</w:t>
      </w:r>
      <w:r w:rsidRPr="00111094">
        <w:rPr>
          <w:rFonts w:ascii="Times New Roman" w:hAnsi="Times New Roman" w:cs="Times New Roman"/>
        </w:rPr>
        <w:t xml:space="preserve"> la</w:t>
      </w:r>
      <w:r w:rsidR="00DD6F4A" w:rsidRPr="00111094">
        <w:rPr>
          <w:rFonts w:ascii="Times New Roman" w:hAnsi="Times New Roman" w:cs="Times New Roman"/>
        </w:rPr>
        <w:t xml:space="preserve"> </w:t>
      </w:r>
      <w:r w:rsidRPr="00111094">
        <w:rPr>
          <w:rFonts w:ascii="Times New Roman" w:hAnsi="Times New Roman" w:cs="Times New Roman"/>
        </w:rPr>
        <w:t>investigación</w:t>
      </w:r>
      <w:bookmarkEnd w:id="10"/>
    </w:p>
    <w:p w14:paraId="2C8FC71A" w14:textId="280C593B" w:rsidR="006F2EA4" w:rsidRPr="00111094" w:rsidRDefault="00C70B5D" w:rsidP="007A02B0">
      <w:pPr>
        <w:pStyle w:val="Prrafodelista"/>
        <w:numPr>
          <w:ilvl w:val="0"/>
          <w:numId w:val="16"/>
        </w:numPr>
        <w:jc w:val="both"/>
        <w:rPr>
          <w:rFonts w:ascii="Times New Roman" w:hAnsi="Times New Roman" w:cs="Times New Roman"/>
          <w:sz w:val="24"/>
          <w:szCs w:val="24"/>
        </w:rPr>
      </w:pPr>
      <w:r w:rsidRPr="00111094">
        <w:rPr>
          <w:rFonts w:ascii="Times New Roman" w:hAnsi="Times New Roman" w:cs="Times New Roman"/>
          <w:b/>
          <w:bCs/>
          <w:sz w:val="24"/>
          <w:szCs w:val="24"/>
        </w:rPr>
        <w:t>Tipo de investigació</w:t>
      </w:r>
      <w:r w:rsidR="00FA5AA2" w:rsidRPr="00111094">
        <w:rPr>
          <w:rFonts w:ascii="Times New Roman" w:hAnsi="Times New Roman" w:cs="Times New Roman"/>
          <w:b/>
          <w:bCs/>
          <w:sz w:val="24"/>
          <w:szCs w:val="24"/>
        </w:rPr>
        <w:t>n</w:t>
      </w:r>
      <w:r w:rsidR="000D5550" w:rsidRPr="00111094">
        <w:rPr>
          <w:rFonts w:ascii="Times New Roman" w:hAnsi="Times New Roman" w:cs="Times New Roman"/>
          <w:sz w:val="24"/>
          <w:szCs w:val="24"/>
        </w:rPr>
        <w:t xml:space="preserve">: </w:t>
      </w:r>
      <w:r w:rsidRPr="00111094">
        <w:rPr>
          <w:rFonts w:ascii="Times New Roman" w:hAnsi="Times New Roman" w:cs="Times New Roman"/>
          <w:sz w:val="24"/>
          <w:szCs w:val="24"/>
        </w:rPr>
        <w:t>Exploratorio-descriptivo con enfoque explicativo.</w:t>
      </w:r>
      <w:r w:rsidR="006F2EA4" w:rsidRPr="00111094">
        <w:rPr>
          <w:rFonts w:ascii="Times New Roman" w:hAnsi="Times New Roman" w:cs="Times New Roman"/>
          <w:sz w:val="24"/>
          <w:szCs w:val="24"/>
        </w:rPr>
        <w:t xml:space="preserve"> </w:t>
      </w:r>
      <w:r w:rsidRPr="00111094">
        <w:rPr>
          <w:rFonts w:ascii="Times New Roman" w:hAnsi="Times New Roman" w:cs="Times New Roman"/>
          <w:sz w:val="24"/>
          <w:szCs w:val="24"/>
        </w:rPr>
        <w:t>Se explorará un fenómeno poco estudiado internamente por la empresa (incorporación de un depósito fiscal), se describirá el contexto normativo y competitivo, y se explicarán las relaciones entre esta decisión estratégica y su impacto en la competitividad y rentabilidad de TASA.</w:t>
      </w:r>
    </w:p>
    <w:p w14:paraId="1D458E01" w14:textId="43C26C42" w:rsidR="00C70B5D" w:rsidRPr="00111094" w:rsidRDefault="00C70B5D" w:rsidP="007A02B0">
      <w:pPr>
        <w:pStyle w:val="Prrafodelista"/>
        <w:numPr>
          <w:ilvl w:val="0"/>
          <w:numId w:val="16"/>
        </w:numPr>
        <w:jc w:val="both"/>
        <w:rPr>
          <w:rFonts w:ascii="Times New Roman" w:hAnsi="Times New Roman" w:cs="Times New Roman"/>
          <w:sz w:val="24"/>
          <w:szCs w:val="24"/>
        </w:rPr>
      </w:pPr>
      <w:r w:rsidRPr="00111094">
        <w:rPr>
          <w:rFonts w:ascii="Times New Roman" w:hAnsi="Times New Roman" w:cs="Times New Roman"/>
          <w:b/>
          <w:bCs/>
          <w:sz w:val="24"/>
          <w:szCs w:val="24"/>
        </w:rPr>
        <w:t>Metodología de investigación</w:t>
      </w:r>
      <w:r w:rsidR="000D5550" w:rsidRPr="00111094">
        <w:rPr>
          <w:rFonts w:ascii="Times New Roman" w:hAnsi="Times New Roman" w:cs="Times New Roman"/>
          <w:sz w:val="24"/>
          <w:szCs w:val="24"/>
        </w:rPr>
        <w:t xml:space="preserve">: </w:t>
      </w:r>
      <w:r w:rsidRPr="00111094">
        <w:rPr>
          <w:rFonts w:ascii="Times New Roman" w:hAnsi="Times New Roman" w:cs="Times New Roman"/>
          <w:sz w:val="24"/>
          <w:szCs w:val="24"/>
        </w:rPr>
        <w:t>Enfoque mixto (cualitativo–cuantitativo).</w:t>
      </w:r>
      <w:r w:rsidR="006F2EA4" w:rsidRPr="00111094">
        <w:rPr>
          <w:rFonts w:ascii="Times New Roman" w:hAnsi="Times New Roman" w:cs="Times New Roman"/>
          <w:sz w:val="24"/>
          <w:szCs w:val="24"/>
        </w:rPr>
        <w:t xml:space="preserve"> </w:t>
      </w:r>
      <w:r w:rsidRPr="00111094">
        <w:rPr>
          <w:rFonts w:ascii="Times New Roman" w:hAnsi="Times New Roman" w:cs="Times New Roman"/>
          <w:sz w:val="24"/>
          <w:szCs w:val="24"/>
        </w:rPr>
        <w:t>Este enfoque permite articular la recolección de percepciones y diagnósticos (cualitativo) con datos financieros, comerciales y operativos (cuantitativo), para obtener una visión integral del caso.</w:t>
      </w:r>
    </w:p>
    <w:p w14:paraId="4B44BDBF" w14:textId="76316A05" w:rsidR="00C70B5D" w:rsidRPr="00111094" w:rsidRDefault="00C70B5D" w:rsidP="007A02B0">
      <w:pPr>
        <w:pStyle w:val="Prrafodelista"/>
        <w:numPr>
          <w:ilvl w:val="0"/>
          <w:numId w:val="16"/>
        </w:numPr>
        <w:jc w:val="both"/>
        <w:rPr>
          <w:rFonts w:ascii="Times New Roman" w:hAnsi="Times New Roman" w:cs="Times New Roman"/>
          <w:sz w:val="24"/>
          <w:szCs w:val="24"/>
        </w:rPr>
      </w:pPr>
      <w:r w:rsidRPr="00111094">
        <w:rPr>
          <w:rFonts w:ascii="Times New Roman" w:hAnsi="Times New Roman" w:cs="Times New Roman"/>
          <w:b/>
          <w:bCs/>
          <w:sz w:val="24"/>
          <w:szCs w:val="24"/>
        </w:rPr>
        <w:t>Diseño de investigación</w:t>
      </w:r>
      <w:r w:rsidR="000D5550" w:rsidRPr="00111094">
        <w:rPr>
          <w:rFonts w:ascii="Times New Roman" w:hAnsi="Times New Roman" w:cs="Times New Roman"/>
          <w:sz w:val="24"/>
          <w:szCs w:val="24"/>
        </w:rPr>
        <w:t xml:space="preserve">: </w:t>
      </w:r>
      <w:r w:rsidRPr="00111094">
        <w:rPr>
          <w:rFonts w:ascii="Times New Roman" w:hAnsi="Times New Roman" w:cs="Times New Roman"/>
          <w:sz w:val="24"/>
          <w:szCs w:val="24"/>
        </w:rPr>
        <w:t>Estudio de caso único con relevamiento de campo.</w:t>
      </w:r>
      <w:r w:rsidR="00D51944" w:rsidRPr="00111094">
        <w:rPr>
          <w:rFonts w:ascii="Times New Roman" w:hAnsi="Times New Roman" w:cs="Times New Roman"/>
          <w:sz w:val="24"/>
          <w:szCs w:val="24"/>
        </w:rPr>
        <w:t xml:space="preserve"> </w:t>
      </w:r>
      <w:r w:rsidRPr="00111094">
        <w:rPr>
          <w:rFonts w:ascii="Times New Roman" w:hAnsi="Times New Roman" w:cs="Times New Roman"/>
          <w:sz w:val="24"/>
          <w:szCs w:val="24"/>
        </w:rPr>
        <w:t>Se centra en analizar la realidad concreta de TASA, y cómo esta podría implementar una nueva unidad de negocios. Se complementa con observación del entorno competitivo (benchmarking).</w:t>
      </w:r>
    </w:p>
    <w:p w14:paraId="7DF10D7A" w14:textId="3747C822" w:rsidR="00C70B5D" w:rsidRPr="00111094" w:rsidRDefault="00C70B5D" w:rsidP="007A02B0">
      <w:pPr>
        <w:pStyle w:val="Prrafodelista"/>
        <w:numPr>
          <w:ilvl w:val="0"/>
          <w:numId w:val="16"/>
        </w:numPr>
        <w:jc w:val="both"/>
        <w:rPr>
          <w:rFonts w:ascii="Times New Roman" w:hAnsi="Times New Roman" w:cs="Times New Roman"/>
          <w:sz w:val="24"/>
          <w:szCs w:val="24"/>
        </w:rPr>
      </w:pPr>
      <w:r w:rsidRPr="00111094">
        <w:rPr>
          <w:rFonts w:ascii="Times New Roman" w:hAnsi="Times New Roman" w:cs="Times New Roman"/>
          <w:b/>
          <w:bCs/>
          <w:sz w:val="24"/>
          <w:szCs w:val="24"/>
        </w:rPr>
        <w:t>Unidad de análisis</w:t>
      </w:r>
      <w:r w:rsidR="000D5550" w:rsidRPr="00111094">
        <w:rPr>
          <w:rFonts w:ascii="Times New Roman" w:hAnsi="Times New Roman" w:cs="Times New Roman"/>
          <w:b/>
          <w:bCs/>
          <w:sz w:val="24"/>
          <w:szCs w:val="24"/>
        </w:rPr>
        <w:t>:</w:t>
      </w:r>
      <w:r w:rsidR="000D5550" w:rsidRPr="00111094">
        <w:rPr>
          <w:rFonts w:ascii="Times New Roman" w:hAnsi="Times New Roman" w:cs="Times New Roman"/>
          <w:sz w:val="24"/>
          <w:szCs w:val="24"/>
        </w:rPr>
        <w:t xml:space="preserve"> </w:t>
      </w:r>
      <w:r w:rsidRPr="00111094">
        <w:rPr>
          <w:rFonts w:ascii="Times New Roman" w:hAnsi="Times New Roman" w:cs="Times New Roman"/>
          <w:sz w:val="24"/>
          <w:szCs w:val="24"/>
        </w:rPr>
        <w:t xml:space="preserve">TASA, específicamente </w:t>
      </w:r>
      <w:r w:rsidR="007038D7" w:rsidRPr="00111094">
        <w:rPr>
          <w:rFonts w:ascii="Times New Roman" w:hAnsi="Times New Roman" w:cs="Times New Roman"/>
          <w:sz w:val="24"/>
          <w:szCs w:val="24"/>
        </w:rPr>
        <w:t>sus operaciones</w:t>
      </w:r>
      <w:r w:rsidRPr="00111094">
        <w:rPr>
          <w:rFonts w:ascii="Times New Roman" w:hAnsi="Times New Roman" w:cs="Times New Roman"/>
          <w:sz w:val="24"/>
          <w:szCs w:val="24"/>
        </w:rPr>
        <w:t xml:space="preserve"> en Zona Norte, y su capacidad para incorporar y operar un depósito fiscal conforme a la normativa vigente.</w:t>
      </w:r>
    </w:p>
    <w:p w14:paraId="34EBA072" w14:textId="106BD2EE" w:rsidR="00D51944" w:rsidRPr="00111094" w:rsidRDefault="00C70B5D" w:rsidP="007A02B0">
      <w:pPr>
        <w:pStyle w:val="Prrafodelista"/>
        <w:numPr>
          <w:ilvl w:val="0"/>
          <w:numId w:val="16"/>
        </w:numPr>
        <w:jc w:val="both"/>
        <w:rPr>
          <w:rFonts w:ascii="Times New Roman" w:hAnsi="Times New Roman" w:cs="Times New Roman"/>
          <w:b/>
          <w:bCs/>
          <w:sz w:val="24"/>
          <w:szCs w:val="24"/>
        </w:rPr>
      </w:pPr>
      <w:r w:rsidRPr="00111094">
        <w:rPr>
          <w:rFonts w:ascii="Times New Roman" w:hAnsi="Times New Roman" w:cs="Times New Roman"/>
          <w:b/>
          <w:bCs/>
          <w:sz w:val="24"/>
          <w:szCs w:val="24"/>
        </w:rPr>
        <w:t>Muestra</w:t>
      </w:r>
      <w:r w:rsidR="000D5550" w:rsidRPr="00111094">
        <w:rPr>
          <w:rFonts w:ascii="Times New Roman" w:hAnsi="Times New Roman" w:cs="Times New Roman"/>
          <w:b/>
          <w:bCs/>
          <w:sz w:val="24"/>
          <w:szCs w:val="24"/>
        </w:rPr>
        <w:t xml:space="preserve">: </w:t>
      </w:r>
      <w:r w:rsidRPr="00111094">
        <w:rPr>
          <w:rFonts w:ascii="Times New Roman" w:hAnsi="Times New Roman" w:cs="Times New Roman"/>
          <w:sz w:val="24"/>
          <w:szCs w:val="24"/>
        </w:rPr>
        <w:t>No probabilística, por criterio</w:t>
      </w:r>
      <w:r w:rsidR="00D51944" w:rsidRPr="00111094">
        <w:rPr>
          <w:rFonts w:ascii="Times New Roman" w:hAnsi="Times New Roman" w:cs="Times New Roman"/>
          <w:sz w:val="24"/>
          <w:szCs w:val="24"/>
        </w:rPr>
        <w:t xml:space="preserve"> l</w:t>
      </w:r>
      <w:r w:rsidRPr="00111094">
        <w:rPr>
          <w:rFonts w:ascii="Times New Roman" w:hAnsi="Times New Roman" w:cs="Times New Roman"/>
          <w:sz w:val="24"/>
          <w:szCs w:val="24"/>
        </w:rPr>
        <w:t>a muestra estará compuesta por perfiles estratégicos y técnicos clave:</w:t>
      </w:r>
    </w:p>
    <w:p w14:paraId="30EE9E67" w14:textId="044A029C" w:rsidR="00D51944" w:rsidRPr="00111094" w:rsidRDefault="00C70B5D" w:rsidP="007A02B0">
      <w:pPr>
        <w:pStyle w:val="Prrafodelista"/>
        <w:numPr>
          <w:ilvl w:val="1"/>
          <w:numId w:val="17"/>
        </w:numPr>
        <w:jc w:val="both"/>
        <w:rPr>
          <w:rFonts w:ascii="Times New Roman" w:hAnsi="Times New Roman" w:cs="Times New Roman"/>
          <w:sz w:val="24"/>
          <w:szCs w:val="24"/>
        </w:rPr>
      </w:pPr>
      <w:r w:rsidRPr="00111094">
        <w:rPr>
          <w:rFonts w:ascii="Times New Roman" w:hAnsi="Times New Roman" w:cs="Times New Roman"/>
          <w:sz w:val="24"/>
          <w:szCs w:val="24"/>
        </w:rPr>
        <w:t>Directores de TASA (comercial, operaciones, legales).</w:t>
      </w:r>
    </w:p>
    <w:p w14:paraId="782C19F0" w14:textId="1EEE242D" w:rsidR="00D51944" w:rsidRPr="00111094" w:rsidRDefault="00C70B5D" w:rsidP="007A02B0">
      <w:pPr>
        <w:pStyle w:val="Prrafodelista"/>
        <w:numPr>
          <w:ilvl w:val="1"/>
          <w:numId w:val="17"/>
        </w:numPr>
        <w:jc w:val="both"/>
        <w:rPr>
          <w:rFonts w:ascii="Times New Roman" w:hAnsi="Times New Roman" w:cs="Times New Roman"/>
          <w:sz w:val="24"/>
          <w:szCs w:val="24"/>
        </w:rPr>
      </w:pPr>
      <w:r w:rsidRPr="00111094">
        <w:rPr>
          <w:rFonts w:ascii="Times New Roman" w:hAnsi="Times New Roman" w:cs="Times New Roman"/>
          <w:sz w:val="24"/>
          <w:szCs w:val="24"/>
        </w:rPr>
        <w:t>Expertos en comercio exterior y aduanas.</w:t>
      </w:r>
    </w:p>
    <w:p w14:paraId="345F962D" w14:textId="77777777" w:rsidR="000D5550" w:rsidRPr="00111094" w:rsidRDefault="00C70B5D" w:rsidP="007A02B0">
      <w:pPr>
        <w:pStyle w:val="Prrafodelista"/>
        <w:numPr>
          <w:ilvl w:val="1"/>
          <w:numId w:val="17"/>
        </w:numPr>
        <w:jc w:val="both"/>
        <w:rPr>
          <w:rFonts w:ascii="Times New Roman" w:hAnsi="Times New Roman" w:cs="Times New Roman"/>
          <w:sz w:val="24"/>
          <w:szCs w:val="24"/>
        </w:rPr>
      </w:pPr>
      <w:r w:rsidRPr="00111094">
        <w:rPr>
          <w:rFonts w:ascii="Times New Roman" w:hAnsi="Times New Roman" w:cs="Times New Roman"/>
          <w:sz w:val="24"/>
          <w:szCs w:val="24"/>
        </w:rPr>
        <w:t>Clientes actuales y potenciales del segmento importador/exportador.</w:t>
      </w:r>
    </w:p>
    <w:p w14:paraId="11234C02" w14:textId="205D3FA6" w:rsidR="00C70B5D" w:rsidRPr="00111094" w:rsidRDefault="00C70B5D" w:rsidP="007A02B0">
      <w:pPr>
        <w:pStyle w:val="Prrafodelista"/>
        <w:numPr>
          <w:ilvl w:val="0"/>
          <w:numId w:val="18"/>
        </w:numPr>
        <w:jc w:val="both"/>
        <w:rPr>
          <w:rFonts w:ascii="Times New Roman" w:hAnsi="Times New Roman" w:cs="Times New Roman"/>
          <w:b/>
          <w:bCs/>
          <w:sz w:val="24"/>
          <w:szCs w:val="24"/>
        </w:rPr>
      </w:pPr>
      <w:r w:rsidRPr="00111094">
        <w:rPr>
          <w:rFonts w:ascii="Times New Roman" w:hAnsi="Times New Roman" w:cs="Times New Roman"/>
          <w:b/>
          <w:bCs/>
          <w:sz w:val="24"/>
          <w:szCs w:val="24"/>
        </w:rPr>
        <w:t>Técnicas de recolección de datos:</w:t>
      </w:r>
    </w:p>
    <w:p w14:paraId="3DC3C193" w14:textId="79186F47" w:rsidR="006A23DD" w:rsidRPr="00111094" w:rsidRDefault="006A23DD" w:rsidP="007A02B0">
      <w:pPr>
        <w:pStyle w:val="Prrafodelista"/>
        <w:numPr>
          <w:ilvl w:val="0"/>
          <w:numId w:val="19"/>
        </w:numPr>
        <w:jc w:val="both"/>
        <w:rPr>
          <w:rFonts w:ascii="Times New Roman" w:hAnsi="Times New Roman" w:cs="Times New Roman"/>
          <w:i/>
          <w:iCs/>
          <w:color w:val="404040" w:themeColor="text1" w:themeTint="BF"/>
          <w:sz w:val="24"/>
          <w:szCs w:val="24"/>
          <w:u w:val="single"/>
        </w:rPr>
      </w:pPr>
      <w:r w:rsidRPr="00111094">
        <w:rPr>
          <w:rFonts w:ascii="Times New Roman" w:hAnsi="Times New Roman" w:cs="Times New Roman"/>
          <w:i/>
          <w:iCs/>
          <w:color w:val="404040" w:themeColor="text1" w:themeTint="BF"/>
          <w:sz w:val="24"/>
          <w:szCs w:val="24"/>
          <w:u w:val="single"/>
        </w:rPr>
        <w:t>Análisis Cualitativo</w:t>
      </w:r>
    </w:p>
    <w:p w14:paraId="4B55AA35" w14:textId="77777777" w:rsidR="006A23DD" w:rsidRPr="00111094" w:rsidRDefault="00C70B5D" w:rsidP="007A02B0">
      <w:pPr>
        <w:pStyle w:val="Prrafodelista"/>
        <w:numPr>
          <w:ilvl w:val="0"/>
          <w:numId w:val="8"/>
        </w:numPr>
        <w:jc w:val="both"/>
        <w:rPr>
          <w:rFonts w:ascii="Times New Roman" w:hAnsi="Times New Roman" w:cs="Times New Roman"/>
          <w:sz w:val="24"/>
          <w:szCs w:val="24"/>
        </w:rPr>
      </w:pPr>
      <w:r w:rsidRPr="00111094">
        <w:rPr>
          <w:rFonts w:ascii="Times New Roman" w:hAnsi="Times New Roman" w:cs="Times New Roman"/>
          <w:sz w:val="24"/>
          <w:szCs w:val="24"/>
        </w:rPr>
        <w:t xml:space="preserve">Entrevistas en profundidad </w:t>
      </w:r>
      <w:r w:rsidR="00030620" w:rsidRPr="00111094">
        <w:rPr>
          <w:rFonts w:ascii="Times New Roman" w:hAnsi="Times New Roman" w:cs="Times New Roman"/>
          <w:sz w:val="24"/>
          <w:szCs w:val="24"/>
        </w:rPr>
        <w:t>con el objetivo de comprender percepciones, oportunidades, barreras y validación del modelo operativo/comercial.</w:t>
      </w:r>
    </w:p>
    <w:p w14:paraId="58EE0B8D" w14:textId="4FE6263C" w:rsidR="00030620" w:rsidRPr="00111094" w:rsidRDefault="00030620"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a</w:t>
      </w:r>
      <w:r w:rsidR="00C70B5D" w:rsidRPr="00111094">
        <w:rPr>
          <w:rFonts w:ascii="Times New Roman" w:hAnsi="Times New Roman" w:cs="Times New Roman"/>
          <w:sz w:val="24"/>
          <w:szCs w:val="24"/>
        </w:rPr>
        <w:t xml:space="preserve"> directivos de TASA Logística y asesores técnicos</w:t>
      </w:r>
      <w:r w:rsidRPr="00111094">
        <w:rPr>
          <w:rFonts w:ascii="Times New Roman" w:hAnsi="Times New Roman" w:cs="Times New Roman"/>
          <w:sz w:val="24"/>
          <w:szCs w:val="24"/>
        </w:rPr>
        <w:t xml:space="preserve">, </w:t>
      </w:r>
    </w:p>
    <w:p w14:paraId="2D5C48AB" w14:textId="77777777" w:rsidR="00030620" w:rsidRPr="00111094" w:rsidRDefault="00030620"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a</w:t>
      </w:r>
      <w:r w:rsidR="00C70B5D" w:rsidRPr="00111094">
        <w:rPr>
          <w:rFonts w:ascii="Times New Roman" w:hAnsi="Times New Roman" w:cs="Times New Roman"/>
          <w:sz w:val="24"/>
          <w:szCs w:val="24"/>
        </w:rPr>
        <w:t xml:space="preserve"> clientes actuales o potenciales del sector</w:t>
      </w:r>
      <w:r w:rsidRPr="00111094">
        <w:rPr>
          <w:rFonts w:ascii="Times New Roman" w:hAnsi="Times New Roman" w:cs="Times New Roman"/>
          <w:sz w:val="24"/>
          <w:szCs w:val="24"/>
        </w:rPr>
        <w:t xml:space="preserve"> i</w:t>
      </w:r>
      <w:r w:rsidR="00C70B5D" w:rsidRPr="00111094">
        <w:rPr>
          <w:rFonts w:ascii="Times New Roman" w:hAnsi="Times New Roman" w:cs="Times New Roman"/>
          <w:sz w:val="24"/>
          <w:szCs w:val="24"/>
        </w:rPr>
        <w:t>mportador</w:t>
      </w:r>
      <w:r w:rsidRPr="00111094">
        <w:rPr>
          <w:rFonts w:ascii="Times New Roman" w:hAnsi="Times New Roman" w:cs="Times New Roman"/>
          <w:sz w:val="24"/>
          <w:szCs w:val="24"/>
        </w:rPr>
        <w:t xml:space="preserve"> </w:t>
      </w:r>
      <w:r w:rsidR="00C70B5D" w:rsidRPr="00111094">
        <w:rPr>
          <w:rFonts w:ascii="Times New Roman" w:hAnsi="Times New Roman" w:cs="Times New Roman"/>
          <w:sz w:val="24"/>
          <w:szCs w:val="24"/>
        </w:rPr>
        <w:t>/</w:t>
      </w:r>
      <w:r w:rsidRPr="00111094">
        <w:rPr>
          <w:rFonts w:ascii="Times New Roman" w:hAnsi="Times New Roman" w:cs="Times New Roman"/>
          <w:sz w:val="24"/>
          <w:szCs w:val="24"/>
        </w:rPr>
        <w:t xml:space="preserve"> </w:t>
      </w:r>
      <w:r w:rsidR="00C70B5D" w:rsidRPr="00111094">
        <w:rPr>
          <w:rFonts w:ascii="Times New Roman" w:hAnsi="Times New Roman" w:cs="Times New Roman"/>
          <w:sz w:val="24"/>
          <w:szCs w:val="24"/>
        </w:rPr>
        <w:t>exportador</w:t>
      </w:r>
      <w:r w:rsidRPr="00111094">
        <w:rPr>
          <w:rFonts w:ascii="Times New Roman" w:hAnsi="Times New Roman" w:cs="Times New Roman"/>
          <w:sz w:val="24"/>
          <w:szCs w:val="24"/>
        </w:rPr>
        <w:t xml:space="preserve"> </w:t>
      </w:r>
    </w:p>
    <w:p w14:paraId="0E2CF44E" w14:textId="77777777" w:rsidR="00A2637C" w:rsidRPr="00111094" w:rsidRDefault="00030620"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y a</w:t>
      </w:r>
      <w:r w:rsidR="00C70B5D" w:rsidRPr="00111094">
        <w:rPr>
          <w:rFonts w:ascii="Times New Roman" w:hAnsi="Times New Roman" w:cs="Times New Roman"/>
          <w:sz w:val="24"/>
          <w:szCs w:val="24"/>
        </w:rPr>
        <w:t xml:space="preserve"> expertos en normativa de depósitos fiscales (abogados, despachantes, exfuncionarios AFIP).</w:t>
      </w:r>
    </w:p>
    <w:p w14:paraId="455324F5" w14:textId="77777777" w:rsidR="006A23DD" w:rsidRPr="00111094" w:rsidRDefault="00C70B5D" w:rsidP="007A02B0">
      <w:pPr>
        <w:pStyle w:val="Prrafodelista"/>
        <w:numPr>
          <w:ilvl w:val="0"/>
          <w:numId w:val="8"/>
        </w:numPr>
        <w:jc w:val="both"/>
        <w:rPr>
          <w:rFonts w:ascii="Times New Roman" w:hAnsi="Times New Roman" w:cs="Times New Roman"/>
          <w:sz w:val="24"/>
          <w:szCs w:val="24"/>
        </w:rPr>
      </w:pPr>
      <w:r w:rsidRPr="00111094">
        <w:rPr>
          <w:rFonts w:ascii="Times New Roman" w:hAnsi="Times New Roman" w:cs="Times New Roman"/>
          <w:sz w:val="24"/>
          <w:szCs w:val="24"/>
        </w:rPr>
        <w:t xml:space="preserve">Análisis documental </w:t>
      </w:r>
      <w:r w:rsidR="00A2637C" w:rsidRPr="00111094">
        <w:rPr>
          <w:rFonts w:ascii="Times New Roman" w:hAnsi="Times New Roman" w:cs="Times New Roman"/>
          <w:sz w:val="24"/>
          <w:szCs w:val="24"/>
        </w:rPr>
        <w:t xml:space="preserve">para identificar requisitos normativos y capacidades actuales </w:t>
      </w:r>
    </w:p>
    <w:p w14:paraId="52C6170A" w14:textId="77777777" w:rsidR="00A2637C" w:rsidRPr="00111094" w:rsidRDefault="00C70B5D"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 xml:space="preserve">Resoluciones AFIP (ej. RG 4352/18), </w:t>
      </w:r>
    </w:p>
    <w:p w14:paraId="65EB7D7D" w14:textId="376014F5" w:rsidR="00A2637C" w:rsidRPr="00111094" w:rsidRDefault="00BA47CF"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M</w:t>
      </w:r>
      <w:r w:rsidR="00C70B5D" w:rsidRPr="00111094">
        <w:rPr>
          <w:rFonts w:ascii="Times New Roman" w:hAnsi="Times New Roman" w:cs="Times New Roman"/>
          <w:sz w:val="24"/>
          <w:szCs w:val="24"/>
        </w:rPr>
        <w:t>anuales técnicos, fallos aduaneros</w:t>
      </w:r>
      <w:r w:rsidR="00030620" w:rsidRPr="00111094">
        <w:rPr>
          <w:rFonts w:ascii="Times New Roman" w:hAnsi="Times New Roman" w:cs="Times New Roman"/>
          <w:sz w:val="24"/>
          <w:szCs w:val="24"/>
        </w:rPr>
        <w:t>, b</w:t>
      </w:r>
      <w:r w:rsidR="00C70B5D" w:rsidRPr="00111094">
        <w:rPr>
          <w:rFonts w:ascii="Times New Roman" w:hAnsi="Times New Roman" w:cs="Times New Roman"/>
          <w:sz w:val="24"/>
          <w:szCs w:val="24"/>
        </w:rPr>
        <w:t>enchmarking de competidores que ya ofrecen depósito fiscal</w:t>
      </w:r>
      <w:r w:rsidR="00030620" w:rsidRPr="00111094">
        <w:rPr>
          <w:rFonts w:ascii="Times New Roman" w:hAnsi="Times New Roman" w:cs="Times New Roman"/>
          <w:sz w:val="24"/>
          <w:szCs w:val="24"/>
        </w:rPr>
        <w:t xml:space="preserve"> </w:t>
      </w:r>
    </w:p>
    <w:p w14:paraId="752B84FF" w14:textId="291EDE0B" w:rsidR="00A2637C" w:rsidRPr="00111094" w:rsidRDefault="00BA47CF"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lastRenderedPageBreak/>
        <w:t>D</w:t>
      </w:r>
      <w:r w:rsidR="00C70B5D" w:rsidRPr="00111094">
        <w:rPr>
          <w:rFonts w:ascii="Times New Roman" w:hAnsi="Times New Roman" w:cs="Times New Roman"/>
          <w:sz w:val="24"/>
          <w:szCs w:val="24"/>
        </w:rPr>
        <w:t>ocumentos internos de TASA sobre infraestructura, procesos, inversiones previas.</w:t>
      </w:r>
    </w:p>
    <w:p w14:paraId="12E1EBA2" w14:textId="5220F50E" w:rsidR="006A23DD" w:rsidRPr="00111094" w:rsidRDefault="00C70B5D" w:rsidP="007A02B0">
      <w:pPr>
        <w:pStyle w:val="Prrafodelista"/>
        <w:numPr>
          <w:ilvl w:val="0"/>
          <w:numId w:val="8"/>
        </w:numPr>
        <w:jc w:val="both"/>
        <w:rPr>
          <w:rFonts w:ascii="Times New Roman" w:hAnsi="Times New Roman" w:cs="Times New Roman"/>
          <w:i/>
          <w:iCs/>
          <w:color w:val="404040" w:themeColor="text1" w:themeTint="BF"/>
          <w:sz w:val="24"/>
          <w:szCs w:val="24"/>
        </w:rPr>
      </w:pPr>
      <w:r w:rsidRPr="00111094">
        <w:rPr>
          <w:rFonts w:ascii="Times New Roman" w:hAnsi="Times New Roman" w:cs="Times New Roman"/>
          <w:sz w:val="24"/>
          <w:szCs w:val="24"/>
        </w:rPr>
        <w:t xml:space="preserve">Observación directa </w:t>
      </w:r>
      <w:r w:rsidR="006A23DD" w:rsidRPr="00111094">
        <w:rPr>
          <w:rFonts w:ascii="Times New Roman" w:hAnsi="Times New Roman" w:cs="Times New Roman"/>
          <w:sz w:val="24"/>
          <w:szCs w:val="24"/>
        </w:rPr>
        <w:t xml:space="preserve">para validar la </w:t>
      </w:r>
      <w:r w:rsidR="000577D0" w:rsidRPr="00111094">
        <w:rPr>
          <w:rFonts w:ascii="Times New Roman" w:hAnsi="Times New Roman" w:cs="Times New Roman"/>
          <w:sz w:val="24"/>
          <w:szCs w:val="24"/>
        </w:rPr>
        <w:t>factibilidad</w:t>
      </w:r>
      <w:r w:rsidR="006A23DD" w:rsidRPr="00111094">
        <w:rPr>
          <w:rFonts w:ascii="Times New Roman" w:hAnsi="Times New Roman" w:cs="Times New Roman"/>
          <w:sz w:val="24"/>
          <w:szCs w:val="24"/>
        </w:rPr>
        <w:t xml:space="preserve"> operativa in situ</w:t>
      </w:r>
    </w:p>
    <w:p w14:paraId="09598075" w14:textId="359C0601" w:rsidR="006A23DD" w:rsidRPr="00111094" w:rsidRDefault="00C70B5D" w:rsidP="007A02B0">
      <w:pPr>
        <w:pStyle w:val="Prrafodelista"/>
        <w:numPr>
          <w:ilvl w:val="1"/>
          <w:numId w:val="8"/>
        </w:numPr>
        <w:jc w:val="both"/>
        <w:rPr>
          <w:rFonts w:ascii="Times New Roman" w:hAnsi="Times New Roman" w:cs="Times New Roman"/>
          <w:i/>
          <w:iCs/>
          <w:color w:val="404040" w:themeColor="text1" w:themeTint="BF"/>
          <w:sz w:val="24"/>
          <w:szCs w:val="24"/>
        </w:rPr>
      </w:pPr>
      <w:r w:rsidRPr="00111094">
        <w:rPr>
          <w:rFonts w:ascii="Times New Roman" w:hAnsi="Times New Roman" w:cs="Times New Roman"/>
          <w:sz w:val="24"/>
          <w:szCs w:val="24"/>
        </w:rPr>
        <w:t xml:space="preserve">Visita a instalaciones </w:t>
      </w:r>
      <w:r w:rsidR="00387256" w:rsidRPr="00111094">
        <w:rPr>
          <w:rFonts w:ascii="Times New Roman" w:hAnsi="Times New Roman" w:cs="Times New Roman"/>
          <w:sz w:val="24"/>
          <w:szCs w:val="24"/>
        </w:rPr>
        <w:t>en</w:t>
      </w:r>
      <w:r w:rsidRPr="00111094">
        <w:rPr>
          <w:rFonts w:ascii="Times New Roman" w:hAnsi="Times New Roman" w:cs="Times New Roman"/>
          <w:sz w:val="24"/>
          <w:szCs w:val="24"/>
        </w:rPr>
        <w:t xml:space="preserve"> Pilar.</w:t>
      </w:r>
    </w:p>
    <w:p w14:paraId="41AEA75D" w14:textId="77777777" w:rsidR="006A23DD" w:rsidRPr="00111094" w:rsidRDefault="00C70B5D"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Relevamiento del uso actual del espacio, circulación de cargas, accesos, etc.</w:t>
      </w:r>
    </w:p>
    <w:p w14:paraId="64B31A85" w14:textId="42D5A41D" w:rsidR="006A23DD" w:rsidRPr="00111094" w:rsidRDefault="006A23DD" w:rsidP="007A02B0">
      <w:pPr>
        <w:pStyle w:val="Prrafodelista"/>
        <w:numPr>
          <w:ilvl w:val="0"/>
          <w:numId w:val="19"/>
        </w:numPr>
        <w:jc w:val="both"/>
        <w:rPr>
          <w:rFonts w:ascii="Times New Roman" w:hAnsi="Times New Roman" w:cs="Times New Roman"/>
          <w:i/>
          <w:iCs/>
          <w:color w:val="404040" w:themeColor="text1" w:themeTint="BF"/>
          <w:sz w:val="24"/>
          <w:szCs w:val="24"/>
          <w:u w:val="single"/>
        </w:rPr>
      </w:pPr>
      <w:r w:rsidRPr="00111094">
        <w:rPr>
          <w:rFonts w:ascii="Times New Roman" w:hAnsi="Times New Roman" w:cs="Times New Roman"/>
          <w:i/>
          <w:iCs/>
          <w:color w:val="404040" w:themeColor="text1" w:themeTint="BF"/>
          <w:sz w:val="24"/>
          <w:szCs w:val="24"/>
          <w:u w:val="single"/>
        </w:rPr>
        <w:t xml:space="preserve">Análisis cuantitativo: </w:t>
      </w:r>
    </w:p>
    <w:p w14:paraId="5A4077F3" w14:textId="27359514" w:rsidR="006A23DD" w:rsidRPr="00111094" w:rsidRDefault="00C70B5D" w:rsidP="007A02B0">
      <w:pPr>
        <w:pStyle w:val="Prrafodelista"/>
        <w:numPr>
          <w:ilvl w:val="0"/>
          <w:numId w:val="8"/>
        </w:numPr>
        <w:jc w:val="both"/>
        <w:rPr>
          <w:rFonts w:ascii="Times New Roman" w:hAnsi="Times New Roman" w:cs="Times New Roman"/>
          <w:sz w:val="24"/>
          <w:szCs w:val="24"/>
        </w:rPr>
      </w:pPr>
      <w:r w:rsidRPr="00111094">
        <w:rPr>
          <w:rFonts w:ascii="Times New Roman" w:hAnsi="Times New Roman" w:cs="Times New Roman"/>
          <w:sz w:val="24"/>
          <w:szCs w:val="24"/>
        </w:rPr>
        <w:t xml:space="preserve">Análisis financiero proyectado </w:t>
      </w:r>
      <w:r w:rsidR="006A23DD" w:rsidRPr="00111094">
        <w:rPr>
          <w:rFonts w:ascii="Times New Roman" w:hAnsi="Times New Roman" w:cs="Times New Roman"/>
          <w:sz w:val="24"/>
          <w:szCs w:val="24"/>
        </w:rPr>
        <w:t xml:space="preserve">para determinar la rentabilidad y los riesgos del proyecto </w:t>
      </w:r>
    </w:p>
    <w:p w14:paraId="27B9DB24" w14:textId="77777777" w:rsidR="006A23DD" w:rsidRPr="00111094" w:rsidRDefault="006A23DD"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P</w:t>
      </w:r>
      <w:r w:rsidR="00C70B5D" w:rsidRPr="00111094">
        <w:rPr>
          <w:rFonts w:ascii="Times New Roman" w:hAnsi="Times New Roman" w:cs="Times New Roman"/>
          <w:sz w:val="24"/>
          <w:szCs w:val="24"/>
        </w:rPr>
        <w:t>royección de costos, inversión inicial, ingresos estimados, VAN, TIR, Payback.</w:t>
      </w:r>
    </w:p>
    <w:p w14:paraId="7C0D9A10" w14:textId="00B1B51A" w:rsidR="00C0460F" w:rsidRPr="00111094" w:rsidRDefault="00C70B5D" w:rsidP="007A02B0">
      <w:pPr>
        <w:pStyle w:val="Prrafodelista"/>
        <w:numPr>
          <w:ilvl w:val="1"/>
          <w:numId w:val="8"/>
        </w:numPr>
        <w:jc w:val="both"/>
        <w:rPr>
          <w:rFonts w:ascii="Times New Roman" w:hAnsi="Times New Roman" w:cs="Times New Roman"/>
          <w:sz w:val="24"/>
          <w:szCs w:val="24"/>
        </w:rPr>
      </w:pPr>
      <w:r w:rsidRPr="00111094">
        <w:rPr>
          <w:rFonts w:ascii="Times New Roman" w:hAnsi="Times New Roman" w:cs="Times New Roman"/>
          <w:sz w:val="24"/>
          <w:szCs w:val="24"/>
        </w:rPr>
        <w:t>Distintos escenarios: optimista, base y pesimista.</w:t>
      </w:r>
    </w:p>
    <w:p w14:paraId="3C7D58B9" w14:textId="77777777" w:rsidR="00C0460F" w:rsidRPr="00111094" w:rsidRDefault="00C0460F">
      <w:pPr>
        <w:rPr>
          <w:rFonts w:ascii="Times New Roman" w:hAnsi="Times New Roman" w:cs="Times New Roman"/>
          <w:sz w:val="24"/>
          <w:szCs w:val="24"/>
        </w:rPr>
      </w:pPr>
      <w:r w:rsidRPr="00111094">
        <w:rPr>
          <w:rFonts w:ascii="Times New Roman" w:hAnsi="Times New Roman" w:cs="Times New Roman"/>
          <w:sz w:val="24"/>
          <w:szCs w:val="24"/>
        </w:rPr>
        <w:br w:type="page"/>
      </w:r>
    </w:p>
    <w:p w14:paraId="74F2790A" w14:textId="611E9C9F" w:rsidR="00C0460F" w:rsidRPr="00111094" w:rsidRDefault="000577D0" w:rsidP="007A02B0">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11" w:name="_Toc228778713"/>
      <w:r w:rsidRPr="00111094">
        <w:rPr>
          <w:rFonts w:ascii="Times New Roman" w:hAnsi="Times New Roman" w:cs="Times New Roman"/>
          <w:color w:val="4F81BD" w:themeColor="accent1"/>
          <w:w w:val="70"/>
          <w:sz w:val="40"/>
          <w:szCs w:val="40"/>
        </w:rPr>
        <w:lastRenderedPageBreak/>
        <w:t xml:space="preserve">CAPÍTULO </w:t>
      </w:r>
      <w:r w:rsidR="00C0460F" w:rsidRPr="00111094">
        <w:rPr>
          <w:rFonts w:ascii="Times New Roman" w:hAnsi="Times New Roman" w:cs="Times New Roman"/>
          <w:color w:val="4F81BD" w:themeColor="accent1"/>
          <w:w w:val="70"/>
          <w:sz w:val="40"/>
          <w:szCs w:val="40"/>
        </w:rPr>
        <w:t xml:space="preserve">1 – </w:t>
      </w:r>
      <w:r w:rsidR="00656ED2" w:rsidRPr="00111094">
        <w:rPr>
          <w:rFonts w:ascii="Times New Roman" w:hAnsi="Times New Roman" w:cs="Times New Roman"/>
          <w:color w:val="4F81BD" w:themeColor="accent1"/>
          <w:w w:val="70"/>
          <w:sz w:val="40"/>
          <w:szCs w:val="40"/>
        </w:rPr>
        <w:t>MARCO TEORICO</w:t>
      </w:r>
      <w:bookmarkEnd w:id="11"/>
    </w:p>
    <w:p w14:paraId="1764C2A7" w14:textId="382199C5" w:rsidR="00BF3ADD" w:rsidRPr="00111094" w:rsidRDefault="00BF3ADD" w:rsidP="007A02B0">
      <w:pPr>
        <w:pStyle w:val="Ttulo2"/>
        <w:spacing w:line="480" w:lineRule="auto"/>
        <w:jc w:val="both"/>
        <w:rPr>
          <w:rFonts w:ascii="Times New Roman" w:hAnsi="Times New Roman" w:cs="Times New Roman"/>
        </w:rPr>
      </w:pPr>
      <w:bookmarkStart w:id="12" w:name="_Toc228778714"/>
      <w:r w:rsidRPr="00111094">
        <w:rPr>
          <w:rFonts w:ascii="Times New Roman" w:hAnsi="Times New Roman" w:cs="Times New Roman"/>
        </w:rPr>
        <w:t xml:space="preserve">Fundamentos conceptuales del </w:t>
      </w:r>
      <w:r w:rsidR="00723FF8" w:rsidRPr="00111094">
        <w:rPr>
          <w:rFonts w:ascii="Times New Roman" w:hAnsi="Times New Roman" w:cs="Times New Roman"/>
        </w:rPr>
        <w:t>D</w:t>
      </w:r>
      <w:r w:rsidRPr="00111094">
        <w:rPr>
          <w:rFonts w:ascii="Times New Roman" w:hAnsi="Times New Roman" w:cs="Times New Roman"/>
        </w:rPr>
        <w:t xml:space="preserve">epósito </w:t>
      </w:r>
      <w:r w:rsidR="00723FF8" w:rsidRPr="00111094">
        <w:rPr>
          <w:rFonts w:ascii="Times New Roman" w:hAnsi="Times New Roman" w:cs="Times New Roman"/>
        </w:rPr>
        <w:t>F</w:t>
      </w:r>
      <w:r w:rsidRPr="00111094">
        <w:rPr>
          <w:rFonts w:ascii="Times New Roman" w:hAnsi="Times New Roman" w:cs="Times New Roman"/>
        </w:rPr>
        <w:t>iscal</w:t>
      </w:r>
      <w:bookmarkEnd w:id="12"/>
    </w:p>
    <w:p w14:paraId="61E389EA" w14:textId="77777777" w:rsidR="00F747FC"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depósito fiscal es una figura central en la logística del comercio exterior argentino, regulada por la AFIP mediante la Resolución General 4352/2018. Se trata de un espacio físico habilitado por la Aduana en el que se almacenan mercaderías extranjeras aún no nacionalizadas, bajo control fiscal, permitiendo al importador diferir el pago de tributos hasta su nacionalización o reexportación. Su finalidad es brindar flexibilidad financiera, eficiencia operativa y trazabilidad aduanera, funciones clave en entornos comerciales dinámicos y fiscalmente exigentes.</w:t>
      </w:r>
    </w:p>
    <w:p w14:paraId="4F13A2A7" w14:textId="51E004F9" w:rsidR="00BF3ADD" w:rsidRPr="00111094" w:rsidRDefault="004D40C5" w:rsidP="007A02B0">
      <w:pPr>
        <w:spacing w:after="0"/>
        <w:ind w:firstLine="720"/>
        <w:jc w:val="both"/>
        <w:rPr>
          <w:rFonts w:ascii="Times New Roman" w:hAnsi="Times New Roman" w:cs="Times New Roman"/>
          <w:sz w:val="24"/>
          <w:szCs w:val="24"/>
        </w:rPr>
      </w:pPr>
      <w:r w:rsidRPr="004D40C5">
        <w:rPr>
          <w:rFonts w:ascii="Times New Roman" w:hAnsi="Times New Roman" w:cs="Times New Roman"/>
          <w:sz w:val="24"/>
          <w:szCs w:val="24"/>
        </w:rPr>
        <w:t>El depósito fiscal funciona como una herramienta estratégica y una potencial unidad de negocio para operadores logísticos, permitiéndoles ampliar su propuesta de valor mediante servicios de mayor complejidad, integración operativa y cumplimiento normativo</w:t>
      </w:r>
      <w:r w:rsidR="00BF3ADD" w:rsidRPr="00111094">
        <w:rPr>
          <w:rFonts w:ascii="Times New Roman" w:hAnsi="Times New Roman" w:cs="Times New Roman"/>
          <w:sz w:val="24"/>
          <w:szCs w:val="24"/>
        </w:rPr>
        <w:t>.</w:t>
      </w:r>
    </w:p>
    <w:p w14:paraId="3C46B7FD" w14:textId="77777777" w:rsidR="00723FF8" w:rsidRPr="00111094" w:rsidRDefault="00723FF8"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Ubicación: Un recinto o local dentro del territorio aduanero nacional.</w:t>
      </w:r>
    </w:p>
    <w:p w14:paraId="000D33AA" w14:textId="77777777" w:rsidR="00723FF8" w:rsidRPr="00111094" w:rsidRDefault="00723FF8"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Estatus fiscal: La mercancía se encuentra dentro del sistema impositivo nacional y requiere un acto de nacionalización para ser importada, aunque los impuestos se pagan al momento de la disposición final (por ejemplo, al salir del depósito).</w:t>
      </w:r>
    </w:p>
    <w:p w14:paraId="1583B091" w14:textId="77777777" w:rsidR="00723FF8" w:rsidRPr="00111094" w:rsidRDefault="00723FF8"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Operaciones permitidas: Principalmente almacenamiento y logística temporal.</w:t>
      </w:r>
    </w:p>
    <w:p w14:paraId="781959CE" w14:textId="77777777" w:rsidR="00723FF8" w:rsidRPr="00111094" w:rsidRDefault="00723FF8"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Vigencia: Tiene un plazo de tiempo máximo de estancia limitado (a veces hasta cinco años).</w:t>
      </w:r>
    </w:p>
    <w:p w14:paraId="081DA500" w14:textId="7F9724FE" w:rsidR="00723FF8" w:rsidRPr="00111094" w:rsidRDefault="00723FF8"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Objetivo: Almacenamiento temporal de mercancías, gestionando los impuestos y aranceles y optimizando la logística y el inventario.</w:t>
      </w:r>
    </w:p>
    <w:p w14:paraId="096087D3" w14:textId="074A6FAD" w:rsidR="00BF3ADD" w:rsidRPr="00111094" w:rsidRDefault="00BF3ADD" w:rsidP="007A02B0">
      <w:pPr>
        <w:pStyle w:val="Ttulo2"/>
        <w:spacing w:line="480" w:lineRule="auto"/>
        <w:jc w:val="both"/>
        <w:rPr>
          <w:rFonts w:ascii="Times New Roman" w:hAnsi="Times New Roman" w:cs="Times New Roman"/>
        </w:rPr>
      </w:pPr>
      <w:bookmarkStart w:id="13" w:name="_Toc228778715"/>
      <w:r w:rsidRPr="00111094">
        <w:rPr>
          <w:rFonts w:ascii="Times New Roman" w:hAnsi="Times New Roman" w:cs="Times New Roman"/>
        </w:rPr>
        <w:t>Teoría de la ventaja competitiva</w:t>
      </w:r>
      <w:bookmarkEnd w:id="13"/>
    </w:p>
    <w:p w14:paraId="57476C7D" w14:textId="23C945BE"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Michael Porter (1985) sostiene que una organización obtiene ventaja competitiva sostenible cuando implementa estrategias que generan valor superior </w:t>
      </w:r>
      <w:r w:rsidR="00AA67DC" w:rsidRPr="00111094">
        <w:rPr>
          <w:rFonts w:ascii="Times New Roman" w:hAnsi="Times New Roman" w:cs="Times New Roman"/>
          <w:sz w:val="24"/>
          <w:szCs w:val="24"/>
        </w:rPr>
        <w:t>en relación con</w:t>
      </w:r>
      <w:r w:rsidRPr="00111094">
        <w:rPr>
          <w:rFonts w:ascii="Times New Roman" w:hAnsi="Times New Roman" w:cs="Times New Roman"/>
          <w:sz w:val="24"/>
          <w:szCs w:val="24"/>
        </w:rPr>
        <w:t xml:space="preserve"> sus competidores. En este sentido, el depósito fiscal puede ser considerado un activo estratégico diferenciador, al ofrecer servicios que pocos operadores logísticos brindan en determinadas zonas geográficas. Este servicio puede consolidar a TASA como proveedor integral, mejorando su posicionamiento frente a la competencia.</w:t>
      </w:r>
    </w:p>
    <w:p w14:paraId="7B9FD45E" w14:textId="2742BF7D" w:rsidR="00BF3ADD" w:rsidRPr="00111094" w:rsidRDefault="00BF3ADD" w:rsidP="007A02B0">
      <w:pPr>
        <w:pStyle w:val="Ttulo2"/>
        <w:spacing w:line="480" w:lineRule="auto"/>
        <w:jc w:val="both"/>
        <w:rPr>
          <w:rFonts w:ascii="Times New Roman" w:hAnsi="Times New Roman" w:cs="Times New Roman"/>
        </w:rPr>
      </w:pPr>
      <w:bookmarkStart w:id="14" w:name="_Toc228778716"/>
      <w:r w:rsidRPr="00111094">
        <w:rPr>
          <w:rFonts w:ascii="Times New Roman" w:hAnsi="Times New Roman" w:cs="Times New Roman"/>
        </w:rPr>
        <w:t>Teoría de la diversificación estratégica</w:t>
      </w:r>
      <w:bookmarkEnd w:id="14"/>
    </w:p>
    <w:p w14:paraId="3DA30ED0" w14:textId="77777777"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incorporación de nuevas unidades de negocio que complementen el core business de una empresa es uno de los pilares de la diversificación estratégica (Ansoff, 1957). En este caso, el depósito fiscal no representa un cambio radical, sino una extensión coherente de las capacidades existentes en TASA. Bajo esta perspectiva, se busca mitigar riesgos al ampliar fuentes de ingresos y capturar nuevos segmentos del mercado.</w:t>
      </w:r>
    </w:p>
    <w:p w14:paraId="3A25DC3F" w14:textId="097A5B09" w:rsidR="00BF3ADD" w:rsidRPr="00111094" w:rsidRDefault="00BF3ADD" w:rsidP="007A02B0">
      <w:pPr>
        <w:pStyle w:val="Ttulo2"/>
        <w:spacing w:line="480" w:lineRule="auto"/>
        <w:jc w:val="both"/>
        <w:rPr>
          <w:rFonts w:ascii="Times New Roman" w:hAnsi="Times New Roman" w:cs="Times New Roman"/>
        </w:rPr>
      </w:pPr>
      <w:bookmarkStart w:id="15" w:name="_Toc228778717"/>
      <w:r w:rsidRPr="00111094">
        <w:rPr>
          <w:rFonts w:ascii="Times New Roman" w:hAnsi="Times New Roman" w:cs="Times New Roman"/>
        </w:rPr>
        <w:lastRenderedPageBreak/>
        <w:t>Enfoque sistémico en logística integral</w:t>
      </w:r>
      <w:bookmarkEnd w:id="15"/>
    </w:p>
    <w:p w14:paraId="597F3A05" w14:textId="77777777"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Desde el enfoque de la logística integral (Christopher, 1998), las empresas deben integrar sus procesos logísticos internos y externos en una red coordinada. El depósito fiscal forma parte de esta lógica al permitir que el almacenamiento, el despacho y la nacionalización se articulen como parte de una solución de cadena completa. Esto impacta directamente en la eficiencia, visibilidad de la operación y control de costos para el cliente.</w:t>
      </w:r>
    </w:p>
    <w:p w14:paraId="70FE0A19" w14:textId="660FA75F" w:rsidR="00BF3ADD" w:rsidRPr="00111094" w:rsidRDefault="00BF3ADD" w:rsidP="007A02B0">
      <w:pPr>
        <w:pStyle w:val="Ttulo2"/>
        <w:spacing w:line="480" w:lineRule="auto"/>
        <w:jc w:val="both"/>
        <w:rPr>
          <w:rFonts w:ascii="Times New Roman" w:hAnsi="Times New Roman" w:cs="Times New Roman"/>
        </w:rPr>
      </w:pPr>
      <w:bookmarkStart w:id="16" w:name="_Toc228778718"/>
      <w:r w:rsidRPr="00111094">
        <w:rPr>
          <w:rFonts w:ascii="Times New Roman" w:hAnsi="Times New Roman" w:cs="Times New Roman"/>
        </w:rPr>
        <w:t>Teoría del desarrollo de capacidades dinámicas</w:t>
      </w:r>
      <w:bookmarkEnd w:id="16"/>
    </w:p>
    <w:p w14:paraId="5CD66628" w14:textId="77777777"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Teece, Pisano y Shuen (1997) introducen el concepto de capacidades dinámicas como la habilidad de una organización para integrar, construir y reconfigurar sus recursos frente a entornos cambiantes. La creación de un depósito fiscal exige precisamente eso: adaptar procesos, incorporar competencias técnicas (aduaneras) y rediseñar estructuras para operar bajo nuevos requisitos regulatorios, lo cual es indicador de madurez empresarial.</w:t>
      </w:r>
    </w:p>
    <w:p w14:paraId="040C632C" w14:textId="707DF091" w:rsidR="00BF3ADD" w:rsidRPr="00111094" w:rsidRDefault="00BF3ADD" w:rsidP="007A02B0">
      <w:pPr>
        <w:pStyle w:val="Ttulo2"/>
        <w:spacing w:line="480" w:lineRule="auto"/>
        <w:jc w:val="both"/>
        <w:rPr>
          <w:rFonts w:ascii="Times New Roman" w:hAnsi="Times New Roman" w:cs="Times New Roman"/>
        </w:rPr>
      </w:pPr>
      <w:bookmarkStart w:id="17" w:name="_Toc228778719"/>
      <w:r w:rsidRPr="00111094">
        <w:rPr>
          <w:rFonts w:ascii="Times New Roman" w:hAnsi="Times New Roman" w:cs="Times New Roman"/>
        </w:rPr>
        <w:t>Perspectiva legal y regulatoria</w:t>
      </w:r>
      <w:bookmarkEnd w:id="17"/>
    </w:p>
    <w:p w14:paraId="6A453A5E" w14:textId="77777777"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legislación aduanera argentina, enmarcada por el Código Aduanero y sus resoluciones complementarias (como la RG 4352/2018), establece los criterios técnicos, operativos y fiscales para habilitar y operar un depósito fiscal. Estos requisitos definen la viabilidad legal del proyecto, incluyendo aspectos como infraestructura, trazabilidad, sistemas de control, monitoreo y vínculo contractual con la Dirección General de Aduanas. Esta perspectiva es crucial en la investigación para determinar los límites y posibilidades del modelo propuesto.</w:t>
      </w:r>
    </w:p>
    <w:p w14:paraId="469C2D55" w14:textId="2907E6D7" w:rsidR="00BF3ADD" w:rsidRPr="00111094" w:rsidRDefault="00BF3ADD" w:rsidP="007A02B0">
      <w:pPr>
        <w:pStyle w:val="Ttulo2"/>
        <w:spacing w:line="480" w:lineRule="auto"/>
        <w:jc w:val="both"/>
        <w:rPr>
          <w:rFonts w:ascii="Times New Roman" w:hAnsi="Times New Roman" w:cs="Times New Roman"/>
        </w:rPr>
      </w:pPr>
      <w:bookmarkStart w:id="18" w:name="_Toc228778720"/>
      <w:r w:rsidRPr="00111094">
        <w:rPr>
          <w:rFonts w:ascii="Times New Roman" w:hAnsi="Times New Roman" w:cs="Times New Roman"/>
        </w:rPr>
        <w:t>Relación con la hipótesis y objetivos</w:t>
      </w:r>
      <w:bookmarkEnd w:id="18"/>
    </w:p>
    <w:p w14:paraId="7083E214" w14:textId="5C4ED555" w:rsidR="00BF3ADD" w:rsidRPr="00111094" w:rsidRDefault="00BF3ADD" w:rsidP="007A02B0">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Este marco teórico aporta las bases conceptuales que permiten sustentar la hipótesis de que incorporar un depósito fiscal en Pilar es una decisión viable y estratégica para TASA. A través de estas teorías se analiza el potencial de diferenciación competitiva, la coherencia con la estrategia de diversificación, las implicancias operativas y la adecuación normativa. Todas estas dimensiones son abordadas en los objetivos específicos del trabajo y guiarán el análisis de viabilidad a desarrollar en los capítulos posteriores.</w:t>
      </w:r>
    </w:p>
    <w:p w14:paraId="3E3C6CE9" w14:textId="092B918B" w:rsidR="00B63921" w:rsidRPr="00111094" w:rsidRDefault="00B63921">
      <w:pPr>
        <w:rPr>
          <w:rFonts w:ascii="Times New Roman" w:hAnsi="Times New Roman" w:cs="Times New Roman"/>
          <w:sz w:val="24"/>
          <w:szCs w:val="24"/>
        </w:rPr>
      </w:pPr>
      <w:r w:rsidRPr="00111094">
        <w:rPr>
          <w:rFonts w:ascii="Times New Roman" w:hAnsi="Times New Roman" w:cs="Times New Roman"/>
          <w:sz w:val="24"/>
          <w:szCs w:val="24"/>
        </w:rPr>
        <w:br w:type="page"/>
      </w:r>
    </w:p>
    <w:p w14:paraId="164DE8C3" w14:textId="5F4BE5DE" w:rsidR="00C0460F" w:rsidRPr="00111094" w:rsidRDefault="00C0460F" w:rsidP="00FE2A09">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19" w:name="_Toc228778721"/>
      <w:r w:rsidRPr="00111094">
        <w:rPr>
          <w:rFonts w:ascii="Times New Roman" w:hAnsi="Times New Roman" w:cs="Times New Roman"/>
          <w:color w:val="4F81BD" w:themeColor="accent1"/>
          <w:w w:val="70"/>
          <w:sz w:val="40"/>
          <w:szCs w:val="40"/>
        </w:rPr>
        <w:lastRenderedPageBreak/>
        <w:t xml:space="preserve">CAPÍTULO 2 </w:t>
      </w:r>
      <w:r w:rsidR="00656ED2" w:rsidRPr="00111094">
        <w:rPr>
          <w:rFonts w:ascii="Times New Roman" w:hAnsi="Times New Roman" w:cs="Times New Roman"/>
          <w:color w:val="4F81BD" w:themeColor="accent1"/>
          <w:w w:val="70"/>
          <w:sz w:val="40"/>
          <w:szCs w:val="40"/>
        </w:rPr>
        <w:t>–</w:t>
      </w:r>
      <w:r w:rsidRPr="00111094">
        <w:rPr>
          <w:rFonts w:ascii="Times New Roman" w:hAnsi="Times New Roman" w:cs="Times New Roman"/>
          <w:color w:val="4F81BD" w:themeColor="accent1"/>
          <w:w w:val="70"/>
          <w:sz w:val="40"/>
          <w:szCs w:val="40"/>
        </w:rPr>
        <w:t xml:space="preserve"> </w:t>
      </w:r>
      <w:r w:rsidR="00656ED2" w:rsidRPr="00111094">
        <w:rPr>
          <w:rFonts w:ascii="Times New Roman" w:hAnsi="Times New Roman" w:cs="Times New Roman"/>
          <w:color w:val="4F81BD" w:themeColor="accent1"/>
          <w:w w:val="70"/>
          <w:sz w:val="40"/>
          <w:szCs w:val="40"/>
        </w:rPr>
        <w:t>EL SECTOR</w:t>
      </w:r>
      <w:bookmarkEnd w:id="19"/>
      <w:r w:rsidRPr="00111094">
        <w:rPr>
          <w:rFonts w:ascii="Times New Roman" w:hAnsi="Times New Roman" w:cs="Times New Roman"/>
          <w:color w:val="4F81BD" w:themeColor="accent1"/>
          <w:w w:val="70"/>
          <w:sz w:val="40"/>
          <w:szCs w:val="40"/>
        </w:rPr>
        <w:t xml:space="preserve"> </w:t>
      </w:r>
    </w:p>
    <w:p w14:paraId="32DC15A5" w14:textId="323E70FD" w:rsidR="00F747FC" w:rsidRPr="00111094" w:rsidRDefault="00F747FC" w:rsidP="00FE2A09">
      <w:pPr>
        <w:spacing w:before="240"/>
        <w:ind w:firstLine="720"/>
        <w:jc w:val="both"/>
        <w:rPr>
          <w:rFonts w:ascii="Times New Roman" w:hAnsi="Times New Roman" w:cs="Times New Roman"/>
          <w:sz w:val="24"/>
          <w:szCs w:val="24"/>
        </w:rPr>
      </w:pPr>
      <w:r w:rsidRPr="00111094">
        <w:rPr>
          <w:rFonts w:ascii="Times New Roman" w:hAnsi="Times New Roman" w:cs="Times New Roman"/>
          <w:sz w:val="24"/>
          <w:szCs w:val="24"/>
        </w:rPr>
        <w:t>El presente capítulo describe el contexto sectorial y competitivo en el que se inserta TASA. Se abordan las características de la industria logística en Argentina, la evolución reciente del mercado, las tendencias del comercio exterior, y la competencia directa e indirecta que influye sobre la viabilidad del proyecto. Asimismo, se presenta la situación actual de la empresa, con foco en su posicionamiento, infraestructura y oportunidades de expansión. Este análisis contextual permite comprender los desafíos y posibilidades para la incorporación de un depósito fiscal en Pilar como nueva unidad de negocios.</w:t>
      </w:r>
    </w:p>
    <w:p w14:paraId="1FC2DBE9" w14:textId="721D8EAF" w:rsidR="00F747FC" w:rsidRPr="00111094" w:rsidRDefault="00F747FC" w:rsidP="00FE2A09">
      <w:pPr>
        <w:pStyle w:val="Ttulo2"/>
        <w:spacing w:line="480" w:lineRule="auto"/>
        <w:jc w:val="both"/>
        <w:rPr>
          <w:rFonts w:ascii="Times New Roman" w:hAnsi="Times New Roman" w:cs="Times New Roman"/>
        </w:rPr>
      </w:pPr>
      <w:bookmarkStart w:id="20" w:name="_Toc228778722"/>
      <w:r w:rsidRPr="00111094">
        <w:rPr>
          <w:rFonts w:ascii="Times New Roman" w:hAnsi="Times New Roman" w:cs="Times New Roman"/>
        </w:rPr>
        <w:t>Análisis de la industria logística en Argentina</w:t>
      </w:r>
      <w:bookmarkEnd w:id="20"/>
    </w:p>
    <w:p w14:paraId="48AA883C" w14:textId="4948B029" w:rsidR="00F747FC" w:rsidRPr="00111094" w:rsidRDefault="00F747FC"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La industria logística en Argentina experimenta una transformación impulsada por la tecnología, la especialización de servicios y la presión por reducir costos en un contexto macroeconómico desafiante. Según el informe de Key Market 2024, el 58% de las empresas logísticas ha incorporado soluciones tecnológicas en sus procesos y un 42% de los operadores ofrece servicios integrales como 3PL y 4PL, siendo esta la tendencia dominante en el país. El comercio exterior es uno de los principales motores del sector, particularmente en Zona Norte del AMBA, donde se concentra el 30% del movimiento de contenedores del país y se ubican plataformas estratégicas como Zárate, Campana y Pilar. En este marco, los depósitos fiscales aparecen como infraestructura clave, permitiendo a las empresas diferir el pago de tributos, consolidar cargas y mejorar el flujo aduanero.</w:t>
      </w:r>
    </w:p>
    <w:p w14:paraId="1C7EDF90" w14:textId="77777777" w:rsidR="00F747FC" w:rsidRPr="00111094" w:rsidRDefault="00F747FC"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El régimen de depósitos fiscales, regulado por la AFIP, se ha convertido en una herramienta competitiva para los operadores que buscan captar clientes vinculados al comercio internacional. La demanda de estos servicios ha crecido especialmente en sectores como retail, electrónica, pharma y alimentos.</w:t>
      </w:r>
    </w:p>
    <w:p w14:paraId="78B9756E" w14:textId="32204A2D" w:rsidR="00F747FC" w:rsidRPr="00111094" w:rsidRDefault="00F747FC" w:rsidP="00FE2A09">
      <w:pPr>
        <w:pStyle w:val="Ttulo2"/>
        <w:spacing w:line="480" w:lineRule="auto"/>
        <w:jc w:val="both"/>
        <w:rPr>
          <w:rFonts w:ascii="Times New Roman" w:hAnsi="Times New Roman" w:cs="Times New Roman"/>
        </w:rPr>
      </w:pPr>
      <w:bookmarkStart w:id="21" w:name="_Toc228778723"/>
      <w:r w:rsidRPr="00111094">
        <w:rPr>
          <w:rFonts w:ascii="Times New Roman" w:hAnsi="Times New Roman" w:cs="Times New Roman"/>
        </w:rPr>
        <w:t>Estudio de la competencia en Argentina</w:t>
      </w:r>
      <w:bookmarkEnd w:id="21"/>
    </w:p>
    <w:p w14:paraId="2C77C76A" w14:textId="77777777" w:rsidR="00723FF8" w:rsidRPr="00111094" w:rsidRDefault="00723FF8"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ARCA (ex AFIP) publica listados de depósitos fiscales agrupados por la Aduana bajo cuya jurisdicción operan. La Aduana de Buenos Aires es la que concentra la mayor cantidad, abarcando gran parte de CABA y el GBA.</w:t>
      </w:r>
    </w:p>
    <w:p w14:paraId="5D294D99" w14:textId="054144A2" w:rsidR="00723FF8" w:rsidRPr="00111094" w:rsidRDefault="00723FF8"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Detallas los depósitos fiscales habilitados en Argentina es complejo ya que esta lista es dinámica y centralizada por jurisdicción aduanera, no siempre coincidente con límites provinciales o zonales tradicionales para totalizar de forma simple. Sin embargo, compartimos una aproximación basada en la información pública en ARCA, detallando los principales depósitos. </w:t>
      </w:r>
      <w:r w:rsidR="0099167B" w:rsidRPr="00111094">
        <w:rPr>
          <w:rFonts w:ascii="Times New Roman" w:hAnsi="Times New Roman" w:cs="Times New Roman"/>
          <w:sz w:val="24"/>
          <w:szCs w:val="24"/>
        </w:rPr>
        <w:t xml:space="preserve">Esta es una estimación basada en listados parciales y la densidad histórica de operaciones. La cifra total exacta oscila alrededor de </w:t>
      </w:r>
      <w:r w:rsidR="0099167B" w:rsidRPr="00111094">
        <w:rPr>
          <w:rFonts w:ascii="Times New Roman" w:hAnsi="Times New Roman" w:cs="Times New Roman"/>
          <w:b/>
          <w:bCs/>
          <w:sz w:val="24"/>
          <w:szCs w:val="24"/>
        </w:rPr>
        <w:t>150-160</w:t>
      </w:r>
      <w:r w:rsidR="0099167B" w:rsidRPr="00111094">
        <w:rPr>
          <w:rFonts w:ascii="Times New Roman" w:hAnsi="Times New Roman" w:cs="Times New Roman"/>
          <w:sz w:val="24"/>
          <w:szCs w:val="24"/>
        </w:rPr>
        <w:t xml:space="preserve"> depósitos habilitados en todo el país, pero puede variar continuamente.</w:t>
      </w:r>
    </w:p>
    <w:tbl>
      <w:tblPr>
        <w:tblStyle w:val="GridTable4Accent1"/>
        <w:tblW w:w="9350" w:type="dxa"/>
        <w:tblLook w:val="04A0" w:firstRow="1" w:lastRow="0" w:firstColumn="1" w:lastColumn="0" w:noHBand="0" w:noVBand="1"/>
      </w:tblPr>
      <w:tblGrid>
        <w:gridCol w:w="3114"/>
        <w:gridCol w:w="3260"/>
        <w:gridCol w:w="2976"/>
      </w:tblGrid>
      <w:tr w:rsidR="00723FF8" w:rsidRPr="00111094" w14:paraId="689DAEC3" w14:textId="77777777" w:rsidTr="00C779E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6FE6BE07"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lastRenderedPageBreak/>
              <w:t>Jurisdicción Aduanera Principal</w:t>
            </w:r>
          </w:p>
        </w:tc>
        <w:tc>
          <w:tcPr>
            <w:tcW w:w="3260" w:type="dxa"/>
            <w:hideMark/>
          </w:tcPr>
          <w:p w14:paraId="0214FD78" w14:textId="77777777" w:rsidR="00723FF8" w:rsidRPr="00111094" w:rsidRDefault="00723FF8"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Provincias (o Ciudad) de Influencia</w:t>
            </w:r>
          </w:p>
        </w:tc>
        <w:tc>
          <w:tcPr>
            <w:tcW w:w="2976" w:type="dxa"/>
            <w:hideMark/>
          </w:tcPr>
          <w:p w14:paraId="7A4C9FDC" w14:textId="77777777" w:rsidR="00723FF8" w:rsidRPr="00111094" w:rsidRDefault="00723FF8"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Cantidad Aproximada de Depósitos Habilitados*</w:t>
            </w:r>
          </w:p>
        </w:tc>
      </w:tr>
      <w:tr w:rsidR="00723FF8" w:rsidRPr="00111094" w14:paraId="2589A264" w14:textId="77777777" w:rsidTr="00C779E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044658B8"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Buenos Aires</w:t>
            </w:r>
          </w:p>
        </w:tc>
        <w:tc>
          <w:tcPr>
            <w:tcW w:w="3260" w:type="dxa"/>
            <w:hideMark/>
          </w:tcPr>
          <w:p w14:paraId="19C63136"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Ciudad Autónoma de Buenos Aires (CABA) y Gran Buenos Aires (GBA)</w:t>
            </w:r>
          </w:p>
        </w:tc>
        <w:tc>
          <w:tcPr>
            <w:tcW w:w="2976" w:type="dxa"/>
            <w:hideMark/>
          </w:tcPr>
          <w:p w14:paraId="635A9817"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La mayor concentración (más de 60)</w:t>
            </w:r>
          </w:p>
        </w:tc>
      </w:tr>
      <w:tr w:rsidR="00723FF8" w:rsidRPr="00111094" w14:paraId="583C6339" w14:textId="77777777" w:rsidTr="00C779E3">
        <w:trPr>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2C27AFB8"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Córdoba</w:t>
            </w:r>
          </w:p>
        </w:tc>
        <w:tc>
          <w:tcPr>
            <w:tcW w:w="3260" w:type="dxa"/>
            <w:hideMark/>
          </w:tcPr>
          <w:p w14:paraId="098CF413"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Córdoba</w:t>
            </w:r>
          </w:p>
        </w:tc>
        <w:tc>
          <w:tcPr>
            <w:tcW w:w="2976" w:type="dxa"/>
            <w:hideMark/>
          </w:tcPr>
          <w:p w14:paraId="7F7C224A"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10 - 15</w:t>
            </w:r>
          </w:p>
        </w:tc>
      </w:tr>
      <w:tr w:rsidR="00723FF8" w:rsidRPr="00111094" w14:paraId="754978CC" w14:textId="77777777" w:rsidTr="00C779E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1FB762BE"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Rosario</w:t>
            </w:r>
          </w:p>
        </w:tc>
        <w:tc>
          <w:tcPr>
            <w:tcW w:w="3260" w:type="dxa"/>
            <w:hideMark/>
          </w:tcPr>
          <w:p w14:paraId="5953CF1D"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Santa Fe (Sur)</w:t>
            </w:r>
          </w:p>
        </w:tc>
        <w:tc>
          <w:tcPr>
            <w:tcW w:w="2976" w:type="dxa"/>
            <w:hideMark/>
          </w:tcPr>
          <w:p w14:paraId="7F3D7F4C"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10 - 15</w:t>
            </w:r>
          </w:p>
        </w:tc>
      </w:tr>
      <w:tr w:rsidR="00723FF8" w:rsidRPr="00111094" w14:paraId="4F622666" w14:textId="77777777" w:rsidTr="00C779E3">
        <w:trPr>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1EAC236C"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Mendoza</w:t>
            </w:r>
          </w:p>
        </w:tc>
        <w:tc>
          <w:tcPr>
            <w:tcW w:w="3260" w:type="dxa"/>
            <w:hideMark/>
          </w:tcPr>
          <w:p w14:paraId="4CD79CB5"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Mendoza</w:t>
            </w:r>
          </w:p>
        </w:tc>
        <w:tc>
          <w:tcPr>
            <w:tcW w:w="2976" w:type="dxa"/>
            <w:hideMark/>
          </w:tcPr>
          <w:p w14:paraId="06A3A79F"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5 - 10</w:t>
            </w:r>
          </w:p>
        </w:tc>
      </w:tr>
      <w:tr w:rsidR="00723FF8" w:rsidRPr="00111094" w14:paraId="7890F132" w14:textId="77777777" w:rsidTr="00C779E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0367F445"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La Plata</w:t>
            </w:r>
          </w:p>
        </w:tc>
        <w:tc>
          <w:tcPr>
            <w:tcW w:w="3260" w:type="dxa"/>
            <w:hideMark/>
          </w:tcPr>
          <w:p w14:paraId="4612AD0B"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 (La Plata/Ensenada/Zárate)</w:t>
            </w:r>
          </w:p>
        </w:tc>
        <w:tc>
          <w:tcPr>
            <w:tcW w:w="2976" w:type="dxa"/>
            <w:hideMark/>
          </w:tcPr>
          <w:p w14:paraId="55855EC1"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5 - 10</w:t>
            </w:r>
          </w:p>
        </w:tc>
      </w:tr>
      <w:tr w:rsidR="00723FF8" w:rsidRPr="00111094" w14:paraId="0611E0AE" w14:textId="77777777" w:rsidTr="00C779E3">
        <w:trPr>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6B81F842"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Aduana de Ezeiza</w:t>
            </w:r>
          </w:p>
        </w:tc>
        <w:tc>
          <w:tcPr>
            <w:tcW w:w="3260" w:type="dxa"/>
            <w:hideMark/>
          </w:tcPr>
          <w:p w14:paraId="741DE7CC"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 (Ezeiza - Aeropuerto Internacional)</w:t>
            </w:r>
          </w:p>
        </w:tc>
        <w:tc>
          <w:tcPr>
            <w:tcW w:w="2976" w:type="dxa"/>
            <w:hideMark/>
          </w:tcPr>
          <w:p w14:paraId="3A5265A3" w14:textId="77777777" w:rsidR="00723FF8" w:rsidRPr="00111094" w:rsidRDefault="00723FF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5 - 10</w:t>
            </w:r>
          </w:p>
        </w:tc>
      </w:tr>
      <w:tr w:rsidR="00723FF8" w:rsidRPr="00111094" w14:paraId="1489D8E0" w14:textId="77777777" w:rsidTr="00C779E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14" w:type="dxa"/>
            <w:hideMark/>
          </w:tcPr>
          <w:p w14:paraId="76E52B1B" w14:textId="77777777" w:rsidR="00723FF8" w:rsidRPr="00111094" w:rsidRDefault="00723FF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Otras Aduanas (ej: Mar del Plata, Neuquén, Río Grande, etc.)</w:t>
            </w:r>
          </w:p>
        </w:tc>
        <w:tc>
          <w:tcPr>
            <w:tcW w:w="3260" w:type="dxa"/>
            <w:hideMark/>
          </w:tcPr>
          <w:p w14:paraId="50B397FA"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Varias Provincias</w:t>
            </w:r>
          </w:p>
        </w:tc>
        <w:tc>
          <w:tcPr>
            <w:tcW w:w="2976" w:type="dxa"/>
            <w:hideMark/>
          </w:tcPr>
          <w:p w14:paraId="14DA44B0" w14:textId="77777777" w:rsidR="00723FF8" w:rsidRPr="00111094" w:rsidRDefault="00723FF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Cantidad variable (generalmente menos de 5 por jurisdicción)</w:t>
            </w:r>
          </w:p>
        </w:tc>
      </w:tr>
    </w:tbl>
    <w:p w14:paraId="72718F4E" w14:textId="77777777" w:rsidR="00723FF8" w:rsidRPr="00111094" w:rsidRDefault="00723FF8" w:rsidP="00FE2A09">
      <w:pPr>
        <w:spacing w:after="0"/>
        <w:jc w:val="both"/>
        <w:rPr>
          <w:rFonts w:ascii="Times New Roman" w:hAnsi="Times New Roman" w:cs="Times New Roman"/>
          <w:sz w:val="24"/>
          <w:szCs w:val="24"/>
        </w:rPr>
      </w:pPr>
    </w:p>
    <w:p w14:paraId="4A03DA05" w14:textId="77777777" w:rsidR="0099167B" w:rsidRPr="00111094" w:rsidRDefault="0099167B" w:rsidP="00FE2A09">
      <w:p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Detalle de Depósitos Fiscales: CABA y Gran Buenos Aires (GBA)</w:t>
      </w:r>
    </w:p>
    <w:p w14:paraId="10CFD223" w14:textId="0F4B8D1E" w:rsidR="0099167B" w:rsidRPr="00111094" w:rsidRDefault="0099167B" w:rsidP="00FE2A09">
      <w:pPr>
        <w:spacing w:after="0"/>
        <w:jc w:val="both"/>
        <w:rPr>
          <w:rFonts w:ascii="Times New Roman" w:hAnsi="Times New Roman" w:cs="Times New Roman"/>
          <w:sz w:val="24"/>
          <w:szCs w:val="24"/>
        </w:rPr>
      </w:pPr>
      <w:r w:rsidRPr="00111094">
        <w:rPr>
          <w:rFonts w:ascii="Times New Roman" w:hAnsi="Times New Roman" w:cs="Times New Roman"/>
          <w:sz w:val="24"/>
          <w:szCs w:val="24"/>
        </w:rPr>
        <w:t>La segregación en CABA y las zonas del GBA se basa en la ubicación geográfica conocida de los permisionarios, siendo sus principales puntos absorbidos por CABA (Puerto Madero, Boca) o Zona Sur (Avellaneda, Quilmes).</w:t>
      </w:r>
    </w:p>
    <w:p w14:paraId="5459CB7F" w14:textId="6E16AB26" w:rsidR="0099167B" w:rsidRPr="00111094" w:rsidRDefault="0099167B" w:rsidP="00FE2A09">
      <w:pPr>
        <w:pStyle w:val="Prrafodelista"/>
        <w:numPr>
          <w:ilvl w:val="0"/>
          <w:numId w:val="17"/>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 xml:space="preserve">Ciudad Autónoma de Buenos Aires (CABA) </w:t>
      </w:r>
      <w:r w:rsidRPr="00111094">
        <w:rPr>
          <w:rFonts w:ascii="Times New Roman" w:hAnsi="Times New Roman" w:cs="Times New Roman"/>
          <w:sz w:val="24"/>
          <w:szCs w:val="24"/>
        </w:rPr>
        <w:t>Concentra una alta densidad, especialmente en zonas cercanas al puerto y accesos. Ejemplos Relevantes:</w:t>
      </w:r>
    </w:p>
    <w:p w14:paraId="13E0BBE1" w14:textId="77777777" w:rsidR="0099167B" w:rsidRPr="00111094" w:rsidRDefault="0099167B" w:rsidP="00FE2A09">
      <w:pPr>
        <w:pStyle w:val="Prrafodelista"/>
        <w:numPr>
          <w:ilvl w:val="1"/>
          <w:numId w:val="35"/>
        </w:numPr>
        <w:spacing w:after="0"/>
        <w:jc w:val="both"/>
        <w:rPr>
          <w:rFonts w:ascii="Times New Roman" w:hAnsi="Times New Roman" w:cs="Times New Roman"/>
          <w:sz w:val="24"/>
          <w:szCs w:val="24"/>
        </w:rPr>
      </w:pPr>
      <w:r w:rsidRPr="00111094">
        <w:rPr>
          <w:rFonts w:ascii="Times New Roman" w:hAnsi="Times New Roman" w:cs="Times New Roman"/>
          <w:sz w:val="24"/>
          <w:szCs w:val="24"/>
        </w:rPr>
        <w:t>Terminales Portuarias: Terminal 4 (TRP), Terminal 5 (DCT), Terminal Sur.</w:t>
      </w:r>
    </w:p>
    <w:p w14:paraId="2F945A11" w14:textId="77777777" w:rsidR="0099167B" w:rsidRPr="00111094" w:rsidRDefault="0099167B" w:rsidP="00FE2A09">
      <w:pPr>
        <w:pStyle w:val="Prrafodelista"/>
        <w:numPr>
          <w:ilvl w:val="1"/>
          <w:numId w:val="35"/>
        </w:numPr>
        <w:spacing w:after="0"/>
        <w:jc w:val="both"/>
        <w:rPr>
          <w:rFonts w:ascii="Times New Roman" w:hAnsi="Times New Roman" w:cs="Times New Roman"/>
          <w:sz w:val="24"/>
          <w:szCs w:val="24"/>
        </w:rPr>
      </w:pPr>
      <w:r w:rsidRPr="00111094">
        <w:rPr>
          <w:rFonts w:ascii="Times New Roman" w:hAnsi="Times New Roman" w:cs="Times New Roman"/>
          <w:sz w:val="24"/>
          <w:szCs w:val="24"/>
        </w:rPr>
        <w:t>Puerto Sur/La Boca: Depósitos Fiscales S.A. (DEFISA Puerto), DEFIBA Puerto.</w:t>
      </w:r>
    </w:p>
    <w:p w14:paraId="695001E9" w14:textId="77777777" w:rsidR="0099167B" w:rsidRPr="00111094" w:rsidRDefault="0099167B" w:rsidP="00FE2A09">
      <w:pPr>
        <w:pStyle w:val="Prrafodelista"/>
        <w:numPr>
          <w:ilvl w:val="1"/>
          <w:numId w:val="35"/>
        </w:numPr>
        <w:spacing w:after="0"/>
        <w:jc w:val="both"/>
        <w:rPr>
          <w:rFonts w:ascii="Times New Roman" w:hAnsi="Times New Roman" w:cs="Times New Roman"/>
          <w:sz w:val="24"/>
          <w:szCs w:val="24"/>
        </w:rPr>
      </w:pPr>
      <w:r w:rsidRPr="00111094">
        <w:rPr>
          <w:rFonts w:ascii="Times New Roman" w:hAnsi="Times New Roman" w:cs="Times New Roman"/>
          <w:sz w:val="24"/>
          <w:szCs w:val="24"/>
        </w:rPr>
        <w:t>Barracas/Pompeya/Villa Soldati: Depósito Fiscal Buenos Aires (DFBA), Gemez S.A. Barracas, Lo Primo I, II y III, Logexpor, Dodero (algunas sedes).</w:t>
      </w:r>
    </w:p>
    <w:p w14:paraId="7EE98D76" w14:textId="77777777" w:rsidR="0099167B" w:rsidRPr="00111094" w:rsidRDefault="0099167B" w:rsidP="00FE2A09">
      <w:pPr>
        <w:pStyle w:val="Prrafodelista"/>
        <w:numPr>
          <w:ilvl w:val="1"/>
          <w:numId w:val="35"/>
        </w:numPr>
        <w:spacing w:after="0"/>
        <w:jc w:val="both"/>
        <w:rPr>
          <w:rFonts w:ascii="Times New Roman" w:hAnsi="Times New Roman" w:cs="Times New Roman"/>
          <w:sz w:val="24"/>
          <w:szCs w:val="24"/>
        </w:rPr>
      </w:pPr>
      <w:r w:rsidRPr="00111094">
        <w:rPr>
          <w:rFonts w:ascii="Times New Roman" w:hAnsi="Times New Roman" w:cs="Times New Roman"/>
          <w:sz w:val="24"/>
          <w:szCs w:val="24"/>
        </w:rPr>
        <w:t>Otros: Depósitos Aduaneros S.R.L. (DASA), Frio Dock S.A.</w:t>
      </w:r>
    </w:p>
    <w:p w14:paraId="134A5646" w14:textId="55D59CB4" w:rsidR="0099167B" w:rsidRPr="00111094" w:rsidRDefault="0099167B" w:rsidP="00FE2A09">
      <w:pPr>
        <w:pStyle w:val="Prrafodelista"/>
        <w:spacing w:after="0"/>
        <w:ind w:left="1440"/>
        <w:jc w:val="both"/>
        <w:rPr>
          <w:rFonts w:ascii="Times New Roman" w:hAnsi="Times New Roman" w:cs="Times New Roman"/>
          <w:sz w:val="24"/>
          <w:szCs w:val="24"/>
        </w:rPr>
      </w:pPr>
      <w:r w:rsidRPr="00111094">
        <w:rPr>
          <w:rFonts w:ascii="Times New Roman" w:hAnsi="Times New Roman" w:cs="Times New Roman"/>
          <w:sz w:val="24"/>
          <w:szCs w:val="24"/>
        </w:rPr>
        <w:t>Total Aproximado: Alrededor de 25 a 35 depósitos.</w:t>
      </w:r>
    </w:p>
    <w:p w14:paraId="5D533312" w14:textId="40E293E4" w:rsidR="0099167B" w:rsidRPr="00111094" w:rsidRDefault="0099167B" w:rsidP="00FE2A09">
      <w:pPr>
        <w:pStyle w:val="Prrafodelista"/>
        <w:numPr>
          <w:ilvl w:val="0"/>
          <w:numId w:val="17"/>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 xml:space="preserve">Zona Norte (Incluye Zárate) </w:t>
      </w:r>
      <w:r w:rsidRPr="00111094">
        <w:rPr>
          <w:rFonts w:ascii="Times New Roman" w:hAnsi="Times New Roman" w:cs="Times New Roman"/>
          <w:sz w:val="24"/>
          <w:szCs w:val="24"/>
        </w:rPr>
        <w:t>Cercana a los principales corredores logísticos (Panamericana) y puertos industriales como Zárate/Campana. Localidades y Ejemplos:</w:t>
      </w:r>
    </w:p>
    <w:p w14:paraId="6DEE56D4" w14:textId="77777777" w:rsidR="0099167B" w:rsidRPr="00111094" w:rsidRDefault="0099167B" w:rsidP="00FE2A09">
      <w:pPr>
        <w:pStyle w:val="Prrafodelista"/>
        <w:numPr>
          <w:ilvl w:val="0"/>
          <w:numId w:val="36"/>
        </w:numPr>
        <w:spacing w:after="0"/>
        <w:jc w:val="both"/>
        <w:rPr>
          <w:rFonts w:ascii="Times New Roman" w:hAnsi="Times New Roman" w:cs="Times New Roman"/>
          <w:sz w:val="24"/>
          <w:szCs w:val="24"/>
        </w:rPr>
      </w:pPr>
      <w:r w:rsidRPr="00111094">
        <w:rPr>
          <w:rFonts w:ascii="Times New Roman" w:hAnsi="Times New Roman" w:cs="Times New Roman"/>
          <w:sz w:val="24"/>
          <w:szCs w:val="24"/>
        </w:rPr>
        <w:t>Zárate/Lima: Delta Dock S.A. (uno de los más grandes), Servitruck S.A. (Zárate).</w:t>
      </w:r>
    </w:p>
    <w:p w14:paraId="166A9036" w14:textId="77777777" w:rsidR="0099167B" w:rsidRPr="00111094" w:rsidRDefault="0099167B" w:rsidP="00FE2A09">
      <w:pPr>
        <w:pStyle w:val="Prrafodelista"/>
        <w:numPr>
          <w:ilvl w:val="0"/>
          <w:numId w:val="36"/>
        </w:numPr>
        <w:spacing w:after="0"/>
        <w:jc w:val="both"/>
        <w:rPr>
          <w:rFonts w:ascii="Times New Roman" w:hAnsi="Times New Roman" w:cs="Times New Roman"/>
          <w:sz w:val="24"/>
          <w:szCs w:val="24"/>
        </w:rPr>
      </w:pPr>
      <w:r w:rsidRPr="00111094">
        <w:rPr>
          <w:rFonts w:ascii="Times New Roman" w:hAnsi="Times New Roman" w:cs="Times New Roman"/>
          <w:sz w:val="24"/>
          <w:szCs w:val="24"/>
        </w:rPr>
        <w:t>Tigre/Don Torcuato/San Fernando: Dodero Tigre, Terminal Panamericana.</w:t>
      </w:r>
    </w:p>
    <w:p w14:paraId="46A1480C" w14:textId="77777777" w:rsidR="0099167B" w:rsidRPr="00111094" w:rsidRDefault="0099167B" w:rsidP="00FE2A09">
      <w:pPr>
        <w:pStyle w:val="Prrafodelista"/>
        <w:numPr>
          <w:ilvl w:val="0"/>
          <w:numId w:val="36"/>
        </w:numPr>
        <w:spacing w:after="0"/>
        <w:jc w:val="both"/>
        <w:rPr>
          <w:rFonts w:ascii="Times New Roman" w:hAnsi="Times New Roman" w:cs="Times New Roman"/>
          <w:sz w:val="24"/>
          <w:szCs w:val="24"/>
        </w:rPr>
      </w:pPr>
      <w:r w:rsidRPr="00111094">
        <w:rPr>
          <w:rFonts w:ascii="Times New Roman" w:hAnsi="Times New Roman" w:cs="Times New Roman"/>
          <w:sz w:val="24"/>
          <w:szCs w:val="24"/>
        </w:rPr>
        <w:t>Otros: Gate Priority (tiene presencia en Zona Norte), Depósitos de Logística de Gran Buenos Aires.</w:t>
      </w:r>
    </w:p>
    <w:p w14:paraId="077D5FAC" w14:textId="28790AD5" w:rsidR="0099167B" w:rsidRPr="00111094" w:rsidRDefault="0099167B" w:rsidP="00FE2A09">
      <w:pPr>
        <w:pStyle w:val="Prrafodelista"/>
        <w:spacing w:after="0"/>
        <w:ind w:left="1440"/>
        <w:jc w:val="both"/>
        <w:rPr>
          <w:rFonts w:ascii="Times New Roman" w:hAnsi="Times New Roman" w:cs="Times New Roman"/>
          <w:sz w:val="24"/>
          <w:szCs w:val="24"/>
        </w:rPr>
      </w:pPr>
      <w:r w:rsidRPr="00111094">
        <w:rPr>
          <w:rFonts w:ascii="Times New Roman" w:hAnsi="Times New Roman" w:cs="Times New Roman"/>
          <w:sz w:val="24"/>
          <w:szCs w:val="24"/>
        </w:rPr>
        <w:t>Total Aproximado: Alrededor de 10 a 15 depósitos.</w:t>
      </w:r>
    </w:p>
    <w:p w14:paraId="2CBA2BFA" w14:textId="37C32587" w:rsidR="0099167B" w:rsidRPr="00111094" w:rsidRDefault="0099167B" w:rsidP="00FE2A09">
      <w:pPr>
        <w:pStyle w:val="Prrafodelista"/>
        <w:numPr>
          <w:ilvl w:val="0"/>
          <w:numId w:val="17"/>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 xml:space="preserve">Zona Sur (Incluye La Plata y Ezeiza) </w:t>
      </w:r>
      <w:r w:rsidRPr="00111094">
        <w:rPr>
          <w:rFonts w:ascii="Times New Roman" w:hAnsi="Times New Roman" w:cs="Times New Roman"/>
          <w:sz w:val="24"/>
          <w:szCs w:val="24"/>
        </w:rPr>
        <w:t>Concentra operaciones cerca del polo petroquímico y el Aeropuerto Internacional. Localidades y Ejemplos:</w:t>
      </w:r>
    </w:p>
    <w:p w14:paraId="6970AA2A" w14:textId="77777777" w:rsidR="0099167B" w:rsidRPr="00111094" w:rsidRDefault="0099167B" w:rsidP="00FE2A09">
      <w:pPr>
        <w:pStyle w:val="Prrafodelista"/>
        <w:numPr>
          <w:ilvl w:val="1"/>
          <w:numId w:val="38"/>
        </w:numPr>
        <w:spacing w:after="0"/>
        <w:jc w:val="both"/>
        <w:rPr>
          <w:rFonts w:ascii="Times New Roman" w:hAnsi="Times New Roman" w:cs="Times New Roman"/>
          <w:sz w:val="24"/>
          <w:szCs w:val="24"/>
        </w:rPr>
      </w:pPr>
      <w:r w:rsidRPr="00111094">
        <w:rPr>
          <w:rFonts w:ascii="Times New Roman" w:hAnsi="Times New Roman" w:cs="Times New Roman"/>
          <w:sz w:val="24"/>
          <w:szCs w:val="24"/>
        </w:rPr>
        <w:t>Avellaneda/Lanús: LOGISTICS PLATFORMS INVESTMENT S.A. (en Avellaneda), Depósitos Fiscales S.A.</w:t>
      </w:r>
    </w:p>
    <w:p w14:paraId="636114F3" w14:textId="77777777" w:rsidR="0099167B" w:rsidRPr="00111094" w:rsidRDefault="0099167B" w:rsidP="00FE2A09">
      <w:pPr>
        <w:pStyle w:val="Prrafodelista"/>
        <w:numPr>
          <w:ilvl w:val="1"/>
          <w:numId w:val="38"/>
        </w:numPr>
        <w:spacing w:after="0"/>
        <w:jc w:val="both"/>
        <w:rPr>
          <w:rFonts w:ascii="Times New Roman" w:hAnsi="Times New Roman" w:cs="Times New Roman"/>
          <w:sz w:val="24"/>
          <w:szCs w:val="24"/>
        </w:rPr>
      </w:pPr>
      <w:r w:rsidRPr="00111094">
        <w:rPr>
          <w:rFonts w:ascii="Times New Roman" w:hAnsi="Times New Roman" w:cs="Times New Roman"/>
          <w:sz w:val="24"/>
          <w:szCs w:val="24"/>
        </w:rPr>
        <w:t>La Plata/Ensenada: ICM EICA SA (Puerto La Plata), Mafissa, depósitos en Río Santiago.</w:t>
      </w:r>
    </w:p>
    <w:p w14:paraId="0A214D8A" w14:textId="77777777" w:rsidR="0099167B" w:rsidRPr="00111094" w:rsidRDefault="0099167B" w:rsidP="00FE2A09">
      <w:pPr>
        <w:pStyle w:val="Prrafodelista"/>
        <w:numPr>
          <w:ilvl w:val="1"/>
          <w:numId w:val="38"/>
        </w:numPr>
        <w:spacing w:after="0"/>
        <w:jc w:val="both"/>
        <w:rPr>
          <w:rFonts w:ascii="Times New Roman" w:hAnsi="Times New Roman" w:cs="Times New Roman"/>
          <w:sz w:val="24"/>
          <w:szCs w:val="24"/>
        </w:rPr>
      </w:pPr>
      <w:r w:rsidRPr="00111094">
        <w:rPr>
          <w:rFonts w:ascii="Times New Roman" w:hAnsi="Times New Roman" w:cs="Times New Roman"/>
          <w:sz w:val="24"/>
          <w:szCs w:val="24"/>
        </w:rPr>
        <w:t>Ezeiza (Aeropuerto y alrededores): EDCADASSA (bodegas y courier), Interbaires, Servifrio Ezeiza S.A., depósitos de Aeropuertos Argentina 2000.</w:t>
      </w:r>
    </w:p>
    <w:p w14:paraId="3B3B40D5" w14:textId="77777777" w:rsidR="0099167B" w:rsidRPr="00111094" w:rsidRDefault="0099167B" w:rsidP="00FE2A09">
      <w:pPr>
        <w:pStyle w:val="Prrafodelista"/>
        <w:numPr>
          <w:ilvl w:val="1"/>
          <w:numId w:val="38"/>
        </w:numPr>
        <w:spacing w:after="0"/>
        <w:jc w:val="both"/>
        <w:rPr>
          <w:rFonts w:ascii="Times New Roman" w:hAnsi="Times New Roman" w:cs="Times New Roman"/>
          <w:sz w:val="24"/>
          <w:szCs w:val="24"/>
        </w:rPr>
      </w:pPr>
      <w:r w:rsidRPr="00111094">
        <w:rPr>
          <w:rFonts w:ascii="Times New Roman" w:hAnsi="Times New Roman" w:cs="Times New Roman"/>
          <w:sz w:val="24"/>
          <w:szCs w:val="24"/>
        </w:rPr>
        <w:lastRenderedPageBreak/>
        <w:t>Monte Grande: Correo Oficial de la República Argentina S.A. (sede GBA).</w:t>
      </w:r>
    </w:p>
    <w:p w14:paraId="0D6E6DD1" w14:textId="526D03E5" w:rsidR="0099167B" w:rsidRPr="00111094" w:rsidRDefault="0099167B" w:rsidP="00FE2A09">
      <w:pPr>
        <w:pStyle w:val="Prrafodelista"/>
        <w:spacing w:after="0"/>
        <w:ind w:left="1440"/>
        <w:jc w:val="both"/>
        <w:rPr>
          <w:rFonts w:ascii="Times New Roman" w:hAnsi="Times New Roman" w:cs="Times New Roman"/>
          <w:sz w:val="24"/>
          <w:szCs w:val="24"/>
        </w:rPr>
      </w:pPr>
      <w:r w:rsidRPr="00111094">
        <w:rPr>
          <w:rFonts w:ascii="Times New Roman" w:hAnsi="Times New Roman" w:cs="Times New Roman"/>
          <w:sz w:val="24"/>
          <w:szCs w:val="24"/>
        </w:rPr>
        <w:t>Total Aproximado: Alrededor de 15 a 20 depósitos (incluyendo Ezeiza y La Plata).</w:t>
      </w:r>
    </w:p>
    <w:p w14:paraId="629305A5" w14:textId="13B2693C" w:rsidR="0099167B" w:rsidRPr="00111094" w:rsidRDefault="0099167B" w:rsidP="00FE2A09">
      <w:pPr>
        <w:pStyle w:val="Prrafodelista"/>
        <w:numPr>
          <w:ilvl w:val="0"/>
          <w:numId w:val="37"/>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 xml:space="preserve">Zona Oeste </w:t>
      </w:r>
      <w:r w:rsidRPr="00111094">
        <w:rPr>
          <w:rFonts w:ascii="Times New Roman" w:hAnsi="Times New Roman" w:cs="Times New Roman"/>
          <w:sz w:val="24"/>
          <w:szCs w:val="24"/>
        </w:rPr>
        <w:t>Suele tener depósitos más orientados a la distribución interna, aunque también hay grandes operadores. Localidades y Ejemplos:</w:t>
      </w:r>
    </w:p>
    <w:p w14:paraId="1F67CF7B" w14:textId="77777777" w:rsidR="0099167B" w:rsidRPr="00111094" w:rsidRDefault="0099167B" w:rsidP="00FE2A09">
      <w:pPr>
        <w:pStyle w:val="Prrafodelista"/>
        <w:numPr>
          <w:ilvl w:val="1"/>
          <w:numId w:val="39"/>
        </w:numPr>
        <w:spacing w:after="0"/>
        <w:jc w:val="both"/>
        <w:rPr>
          <w:rFonts w:ascii="Times New Roman" w:hAnsi="Times New Roman" w:cs="Times New Roman"/>
          <w:sz w:val="24"/>
          <w:szCs w:val="24"/>
        </w:rPr>
      </w:pPr>
      <w:r w:rsidRPr="00111094">
        <w:rPr>
          <w:rFonts w:ascii="Times New Roman" w:hAnsi="Times New Roman" w:cs="Times New Roman"/>
          <w:sz w:val="24"/>
          <w:szCs w:val="24"/>
        </w:rPr>
        <w:t>Generalmente se encuentran en partidos como Merlo, Moreno o Lomas del Mirador.</w:t>
      </w:r>
    </w:p>
    <w:p w14:paraId="21820AB2" w14:textId="77777777" w:rsidR="0099167B" w:rsidRPr="00111094" w:rsidRDefault="0099167B" w:rsidP="00FE2A09">
      <w:pPr>
        <w:pStyle w:val="Prrafodelista"/>
        <w:numPr>
          <w:ilvl w:val="1"/>
          <w:numId w:val="39"/>
        </w:numPr>
        <w:spacing w:after="0"/>
        <w:jc w:val="both"/>
        <w:rPr>
          <w:rFonts w:ascii="Times New Roman" w:hAnsi="Times New Roman" w:cs="Times New Roman"/>
          <w:sz w:val="24"/>
          <w:szCs w:val="24"/>
        </w:rPr>
      </w:pPr>
      <w:r w:rsidRPr="00111094">
        <w:rPr>
          <w:rFonts w:ascii="Times New Roman" w:hAnsi="Times New Roman" w:cs="Times New Roman"/>
          <w:sz w:val="24"/>
          <w:szCs w:val="24"/>
        </w:rPr>
        <w:t>Ejemplos: Depósito Fiscal CENSER (tiene sede en GBA Oeste), Loginter S.A.</w:t>
      </w:r>
    </w:p>
    <w:p w14:paraId="125BD801" w14:textId="6732C37A" w:rsidR="0099167B" w:rsidRPr="00111094" w:rsidRDefault="0099167B" w:rsidP="00FE2A09">
      <w:pPr>
        <w:pStyle w:val="Prrafodelista"/>
        <w:spacing w:after="0"/>
        <w:ind w:left="1440"/>
        <w:jc w:val="both"/>
        <w:rPr>
          <w:rFonts w:ascii="Times New Roman" w:hAnsi="Times New Roman" w:cs="Times New Roman"/>
          <w:sz w:val="24"/>
          <w:szCs w:val="24"/>
        </w:rPr>
      </w:pPr>
      <w:r w:rsidRPr="00111094">
        <w:rPr>
          <w:rFonts w:ascii="Times New Roman" w:hAnsi="Times New Roman" w:cs="Times New Roman"/>
          <w:sz w:val="24"/>
          <w:szCs w:val="24"/>
        </w:rPr>
        <w:t xml:space="preserve">Total Aproximado: Alrededor de </w:t>
      </w:r>
      <w:r w:rsidRPr="00111094">
        <w:rPr>
          <w:rFonts w:ascii="Times New Roman" w:hAnsi="Times New Roman" w:cs="Times New Roman"/>
          <w:b/>
          <w:bCs/>
          <w:sz w:val="24"/>
          <w:szCs w:val="24"/>
        </w:rPr>
        <w:t>5 a 10</w:t>
      </w:r>
      <w:r w:rsidRPr="00111094">
        <w:rPr>
          <w:rFonts w:ascii="Times New Roman" w:hAnsi="Times New Roman" w:cs="Times New Roman"/>
          <w:sz w:val="24"/>
          <w:szCs w:val="24"/>
        </w:rPr>
        <w:t xml:space="preserve"> depósitos.</w:t>
      </w:r>
    </w:p>
    <w:p w14:paraId="5723AE2B" w14:textId="20AE4036" w:rsidR="004D769F" w:rsidRPr="00111094" w:rsidRDefault="004D769F" w:rsidP="00FE2A09">
      <w:p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Centralizándonos en Zona Norte del Gran Buenos Aires, </w:t>
      </w:r>
      <w:r w:rsidRPr="00111094">
        <w:rPr>
          <w:rFonts w:ascii="Times New Roman" w:hAnsi="Times New Roman" w:cs="Times New Roman"/>
        </w:rPr>
        <w:t xml:space="preserve">que incluye el corredor de la Autopista Panamericana y se extiende hasta el polo industrial-portuario de Zárate-Campana, concentra una importante cantidad de depósitos fiscales, </w:t>
      </w:r>
      <w:r w:rsidRPr="00111094">
        <w:rPr>
          <w:rFonts w:ascii="Times New Roman" w:hAnsi="Times New Roman" w:cs="Times New Roman"/>
          <w:sz w:val="24"/>
          <w:szCs w:val="24"/>
        </w:rPr>
        <w:t xml:space="preserve"> se detalla una lista de operadores logísticos que poseen depósitos fiscales habilitados en esta zona, clasificados por subregión, basándose en registros aduaneros y ubicaciones conocidas:</w:t>
      </w:r>
    </w:p>
    <w:p w14:paraId="66CA0EDA" w14:textId="6FA4B360" w:rsidR="004D769F" w:rsidRDefault="004D769F" w:rsidP="00FE2A09">
      <w:pPr>
        <w:pStyle w:val="Prrafodelista"/>
        <w:numPr>
          <w:ilvl w:val="0"/>
          <w:numId w:val="4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Corredor Norte y Subregiones Cercanas (Pacheco, Tigre, San Fernando) Estos</w:t>
      </w:r>
      <w:r w:rsidRPr="00111094">
        <w:rPr>
          <w:rFonts w:ascii="Times New Roman" w:hAnsi="Times New Roman" w:cs="Times New Roman"/>
          <w:sz w:val="24"/>
          <w:szCs w:val="24"/>
        </w:rPr>
        <w:t xml:space="preserve"> depósitos se caracterizan por su proximidad a CABA y el acceso directo a la Ruta Panamericana.</w:t>
      </w:r>
    </w:p>
    <w:p w14:paraId="37FDD614" w14:textId="77777777" w:rsidR="00FE2A09" w:rsidRPr="00111094" w:rsidRDefault="00FE2A09" w:rsidP="00FE2A09">
      <w:pPr>
        <w:pStyle w:val="Prrafodelista"/>
        <w:spacing w:after="0"/>
        <w:ind w:left="780"/>
        <w:jc w:val="both"/>
        <w:rPr>
          <w:rFonts w:ascii="Times New Roman" w:hAnsi="Times New Roman" w:cs="Times New Roman"/>
          <w:sz w:val="24"/>
          <w:szCs w:val="24"/>
        </w:rPr>
      </w:pPr>
    </w:p>
    <w:tbl>
      <w:tblPr>
        <w:tblStyle w:val="GridTable4Accent1"/>
        <w:tblW w:w="0" w:type="dxa"/>
        <w:tblLook w:val="04A0" w:firstRow="1" w:lastRow="0" w:firstColumn="1" w:lastColumn="0" w:noHBand="0" w:noVBand="1"/>
      </w:tblPr>
      <w:tblGrid>
        <w:gridCol w:w="2586"/>
        <w:gridCol w:w="5124"/>
        <w:gridCol w:w="1866"/>
      </w:tblGrid>
      <w:tr w:rsidR="004D769F" w:rsidRPr="00111094" w14:paraId="5963C0DE" w14:textId="77777777" w:rsidTr="004D769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5FD3F9C5"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Operador Logístico / Razón Social</w:t>
            </w:r>
          </w:p>
        </w:tc>
        <w:tc>
          <w:tcPr>
            <w:tcW w:w="0" w:type="auto"/>
            <w:hideMark/>
          </w:tcPr>
          <w:p w14:paraId="6221E75C" w14:textId="77777777" w:rsidR="004D769F" w:rsidRPr="00111094" w:rsidRDefault="004D769F"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Ubicación Aproximada</w:t>
            </w:r>
          </w:p>
        </w:tc>
        <w:tc>
          <w:tcPr>
            <w:tcW w:w="0" w:type="auto"/>
            <w:hideMark/>
          </w:tcPr>
          <w:p w14:paraId="49B5AABC" w14:textId="77777777" w:rsidR="004D769F" w:rsidRPr="00111094" w:rsidRDefault="004D769F"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Jurisdicción Aduanera</w:t>
            </w:r>
          </w:p>
        </w:tc>
      </w:tr>
      <w:tr w:rsidR="004D769F" w:rsidRPr="00111094" w14:paraId="1B3F2D7B" w14:textId="77777777" w:rsidTr="004D769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62EAE4EE"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TP Logística (TP Pacheco)</w:t>
            </w:r>
          </w:p>
        </w:tc>
        <w:tc>
          <w:tcPr>
            <w:tcW w:w="0" w:type="auto"/>
            <w:hideMark/>
          </w:tcPr>
          <w:p w14:paraId="685D67F5"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Intersección Au. Panamericana y Ruta 197 (General Pacheco)</w:t>
            </w:r>
          </w:p>
        </w:tc>
        <w:tc>
          <w:tcPr>
            <w:tcW w:w="0" w:type="auto"/>
            <w:hideMark/>
          </w:tcPr>
          <w:p w14:paraId="626A189D"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r w:rsidR="004D769F" w:rsidRPr="00111094" w14:paraId="6CA1180B" w14:textId="77777777" w:rsidTr="004D769F">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61C0977B"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Terminal Panamericana S.A.</w:t>
            </w:r>
          </w:p>
        </w:tc>
        <w:tc>
          <w:tcPr>
            <w:tcW w:w="0" w:type="auto"/>
            <w:hideMark/>
          </w:tcPr>
          <w:p w14:paraId="348034AF"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Corredor Norte del GBA</w:t>
            </w:r>
          </w:p>
        </w:tc>
        <w:tc>
          <w:tcPr>
            <w:tcW w:w="0" w:type="auto"/>
            <w:hideMark/>
          </w:tcPr>
          <w:p w14:paraId="3571DFBD"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r w:rsidR="004D769F" w:rsidRPr="00111094" w14:paraId="2DAA8D77" w14:textId="77777777" w:rsidTr="004D769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7B245BA6"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Terminal Carga Tigre S.A.</w:t>
            </w:r>
          </w:p>
        </w:tc>
        <w:tc>
          <w:tcPr>
            <w:tcW w:w="0" w:type="auto"/>
            <w:hideMark/>
          </w:tcPr>
          <w:p w14:paraId="3CDCE0AC"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Tigre / Zona de influencia Norte</w:t>
            </w:r>
          </w:p>
        </w:tc>
        <w:tc>
          <w:tcPr>
            <w:tcW w:w="0" w:type="auto"/>
            <w:hideMark/>
          </w:tcPr>
          <w:p w14:paraId="00A3F996"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r w:rsidR="004D769F" w:rsidRPr="00111094" w14:paraId="5C1C4585" w14:textId="77777777" w:rsidTr="004D769F">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0301DAE3"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Dodero (DODERO TIGRE)</w:t>
            </w:r>
          </w:p>
        </w:tc>
        <w:tc>
          <w:tcPr>
            <w:tcW w:w="0" w:type="auto"/>
            <w:hideMark/>
          </w:tcPr>
          <w:p w14:paraId="7936EE78"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Tigre</w:t>
            </w:r>
          </w:p>
        </w:tc>
        <w:tc>
          <w:tcPr>
            <w:tcW w:w="0" w:type="auto"/>
            <w:hideMark/>
          </w:tcPr>
          <w:p w14:paraId="4B677C66"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r w:rsidR="004D769F" w:rsidRPr="00111094" w14:paraId="4312CC17" w14:textId="77777777" w:rsidTr="004D769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3A3F1CF"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Grupo Selsa</w:t>
            </w:r>
          </w:p>
        </w:tc>
        <w:tc>
          <w:tcPr>
            <w:tcW w:w="0" w:type="auto"/>
            <w:hideMark/>
          </w:tcPr>
          <w:p w14:paraId="03805AA9"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Posee un depósito fiscal habilitado en la Zona Norte de la provincia de Buenos Aires</w:t>
            </w:r>
          </w:p>
        </w:tc>
        <w:tc>
          <w:tcPr>
            <w:tcW w:w="0" w:type="auto"/>
            <w:hideMark/>
          </w:tcPr>
          <w:p w14:paraId="6E22AB4E" w14:textId="77777777" w:rsidR="004D769F" w:rsidRPr="00111094" w:rsidRDefault="004D769F"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r w:rsidR="004D769F" w:rsidRPr="00111094" w14:paraId="6CD5E197" w14:textId="77777777" w:rsidTr="004D769F">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32C78D4" w14:textId="77777777" w:rsidR="004D769F" w:rsidRPr="00111094" w:rsidRDefault="004D769F"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DEFIBA - Depósito Fiscal Norte</w:t>
            </w:r>
          </w:p>
        </w:tc>
        <w:tc>
          <w:tcPr>
            <w:tcW w:w="0" w:type="auto"/>
            <w:hideMark/>
          </w:tcPr>
          <w:p w14:paraId="1C243B21"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La firma menciona un "Depósito Fiscal Norte" en su red de servicios.</w:t>
            </w:r>
          </w:p>
        </w:tc>
        <w:tc>
          <w:tcPr>
            <w:tcW w:w="0" w:type="auto"/>
            <w:hideMark/>
          </w:tcPr>
          <w:p w14:paraId="34FD19DC" w14:textId="77777777" w:rsidR="004D769F" w:rsidRPr="00111094" w:rsidRDefault="004D769F"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Buenos Aires</w:t>
            </w:r>
          </w:p>
        </w:tc>
      </w:tr>
    </w:tbl>
    <w:p w14:paraId="3C5BD7E3" w14:textId="70A8A30D" w:rsidR="004D769F" w:rsidRPr="00111094" w:rsidRDefault="004D769F" w:rsidP="00FE2A09">
      <w:pPr>
        <w:spacing w:after="0"/>
        <w:rPr>
          <w:rFonts w:ascii="Times New Roman" w:hAnsi="Times New Roman" w:cs="Times New Roman"/>
          <w:sz w:val="24"/>
          <w:szCs w:val="24"/>
        </w:rPr>
      </w:pPr>
    </w:p>
    <w:p w14:paraId="096A0BF8" w14:textId="47BC97DA" w:rsidR="004D769F" w:rsidRDefault="004D769F" w:rsidP="00FE2A09">
      <w:pPr>
        <w:pStyle w:val="Prrafodelista"/>
        <w:numPr>
          <w:ilvl w:val="0"/>
          <w:numId w:val="14"/>
        </w:numPr>
        <w:spacing w:after="0"/>
        <w:rPr>
          <w:rFonts w:ascii="Times New Roman" w:hAnsi="Times New Roman" w:cs="Times New Roman"/>
          <w:sz w:val="24"/>
          <w:szCs w:val="24"/>
        </w:rPr>
      </w:pPr>
      <w:r w:rsidRPr="00111094">
        <w:rPr>
          <w:rFonts w:ascii="Times New Roman" w:hAnsi="Times New Roman" w:cs="Times New Roman"/>
          <w:b/>
          <w:bCs/>
          <w:sz w:val="24"/>
          <w:szCs w:val="24"/>
        </w:rPr>
        <w:t xml:space="preserve">Polo Industrial y Portuario Zárate-Campana </w:t>
      </w:r>
      <w:r w:rsidRPr="00111094">
        <w:rPr>
          <w:rFonts w:ascii="Times New Roman" w:hAnsi="Times New Roman" w:cs="Times New Roman"/>
          <w:sz w:val="24"/>
          <w:szCs w:val="24"/>
        </w:rPr>
        <w:t>Esta subregión, generalmente bajo la Aduana de Campana, alberga grandes depósitos especializados en cargas voluminosas y operaciones portuarias.</w:t>
      </w:r>
    </w:p>
    <w:p w14:paraId="4D882431" w14:textId="77777777" w:rsidR="00FE2A09" w:rsidRPr="00111094" w:rsidRDefault="00FE2A09" w:rsidP="00FE2A09">
      <w:pPr>
        <w:pStyle w:val="Prrafodelista"/>
        <w:spacing w:after="0"/>
        <w:rPr>
          <w:rFonts w:ascii="Times New Roman" w:hAnsi="Times New Roman" w:cs="Times New Roman"/>
          <w:sz w:val="24"/>
          <w:szCs w:val="24"/>
        </w:rPr>
      </w:pPr>
    </w:p>
    <w:tbl>
      <w:tblPr>
        <w:tblStyle w:val="GridTable4Accent1"/>
        <w:tblW w:w="9350" w:type="dxa"/>
        <w:tblLook w:val="04A0" w:firstRow="1" w:lastRow="0" w:firstColumn="1" w:lastColumn="0" w:noHBand="0" w:noVBand="1"/>
      </w:tblPr>
      <w:tblGrid>
        <w:gridCol w:w="3823"/>
        <w:gridCol w:w="3827"/>
        <w:gridCol w:w="1700"/>
      </w:tblGrid>
      <w:tr w:rsidR="006B33E9" w:rsidRPr="00111094" w14:paraId="202BD023" w14:textId="77777777" w:rsidTr="00B41FA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58BD09B9"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Operador Logístico / Razón Social</w:t>
            </w:r>
          </w:p>
        </w:tc>
        <w:tc>
          <w:tcPr>
            <w:tcW w:w="3827" w:type="dxa"/>
            <w:hideMark/>
          </w:tcPr>
          <w:p w14:paraId="672AD14D" w14:textId="77777777" w:rsidR="006B33E9" w:rsidRPr="00111094" w:rsidRDefault="006B33E9"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Ubicación Específica</w:t>
            </w:r>
          </w:p>
        </w:tc>
        <w:tc>
          <w:tcPr>
            <w:tcW w:w="1700" w:type="dxa"/>
            <w:hideMark/>
          </w:tcPr>
          <w:p w14:paraId="70AC61AB" w14:textId="77777777" w:rsidR="006B33E9" w:rsidRPr="00111094" w:rsidRDefault="006B33E9"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Jurisdicción Aduanera</w:t>
            </w:r>
          </w:p>
        </w:tc>
      </w:tr>
      <w:tr w:rsidR="006B33E9" w:rsidRPr="00111094" w14:paraId="1AC8A3B9"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4BDCA1A9"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Delta Dock S.A. / DE. FI. ZÁRATE S.A.</w:t>
            </w:r>
          </w:p>
        </w:tc>
        <w:tc>
          <w:tcPr>
            <w:tcW w:w="3827" w:type="dxa"/>
            <w:hideMark/>
          </w:tcPr>
          <w:p w14:paraId="6A32AD27"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Lima / Zárate (RN N° 9, km 83)</w:t>
            </w:r>
          </w:p>
        </w:tc>
        <w:tc>
          <w:tcPr>
            <w:tcW w:w="1700" w:type="dxa"/>
            <w:hideMark/>
          </w:tcPr>
          <w:p w14:paraId="3529AC6D"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366BAE21"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1E3DA6AF"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Transportes Padilla S.A.</w:t>
            </w:r>
          </w:p>
        </w:tc>
        <w:tc>
          <w:tcPr>
            <w:tcW w:w="3827" w:type="dxa"/>
            <w:hideMark/>
          </w:tcPr>
          <w:p w14:paraId="3E303D13"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 (RN N° 9, km 79.5)</w:t>
            </w:r>
          </w:p>
        </w:tc>
        <w:tc>
          <w:tcPr>
            <w:tcW w:w="1700" w:type="dxa"/>
            <w:hideMark/>
          </w:tcPr>
          <w:p w14:paraId="5BA3CFE7"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7374A0AF"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5C040054"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LOINZA S.A.</w:t>
            </w:r>
          </w:p>
        </w:tc>
        <w:tc>
          <w:tcPr>
            <w:tcW w:w="3827" w:type="dxa"/>
            <w:hideMark/>
          </w:tcPr>
          <w:p w14:paraId="208D7647"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Zárate (Camino a Parque Industrial Zárate)</w:t>
            </w:r>
          </w:p>
        </w:tc>
        <w:tc>
          <w:tcPr>
            <w:tcW w:w="1700" w:type="dxa"/>
            <w:hideMark/>
          </w:tcPr>
          <w:p w14:paraId="6DFF3A83"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11E1A73A"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5C454565"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Transportes Furlong S.A.</w:t>
            </w:r>
          </w:p>
        </w:tc>
        <w:tc>
          <w:tcPr>
            <w:tcW w:w="3827" w:type="dxa"/>
            <w:hideMark/>
          </w:tcPr>
          <w:p w14:paraId="68841C37"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c>
          <w:tcPr>
            <w:tcW w:w="1700" w:type="dxa"/>
            <w:hideMark/>
          </w:tcPr>
          <w:p w14:paraId="2F3B52BB"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4F41F8CD"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18D92700"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lastRenderedPageBreak/>
              <w:t>Servitruck S.A.</w:t>
            </w:r>
          </w:p>
        </w:tc>
        <w:tc>
          <w:tcPr>
            <w:tcW w:w="3827" w:type="dxa"/>
            <w:hideMark/>
          </w:tcPr>
          <w:p w14:paraId="5DB9F70D"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Zárate (Ruta 193 y Ruta 12)</w:t>
            </w:r>
          </w:p>
        </w:tc>
        <w:tc>
          <w:tcPr>
            <w:tcW w:w="1700" w:type="dxa"/>
            <w:hideMark/>
          </w:tcPr>
          <w:p w14:paraId="42479593"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57B514D2"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30F2A67E"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COMERCIAL SAN PATRICIO SRL</w:t>
            </w:r>
          </w:p>
        </w:tc>
        <w:tc>
          <w:tcPr>
            <w:tcW w:w="3827" w:type="dxa"/>
            <w:hideMark/>
          </w:tcPr>
          <w:p w14:paraId="67E9F754"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c>
          <w:tcPr>
            <w:tcW w:w="1700" w:type="dxa"/>
            <w:hideMark/>
          </w:tcPr>
          <w:p w14:paraId="15C23D44" w14:textId="77777777" w:rsidR="006B33E9" w:rsidRPr="00111094" w:rsidRDefault="006B33E9"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r w:rsidR="006B33E9" w:rsidRPr="00111094" w14:paraId="444762E4"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823" w:type="dxa"/>
            <w:hideMark/>
          </w:tcPr>
          <w:p w14:paraId="58ECA231" w14:textId="77777777" w:rsidR="006B33E9" w:rsidRPr="00111094" w:rsidRDefault="006B33E9"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LIZF (Líder en Infraestructura de Zona Franca)</w:t>
            </w:r>
          </w:p>
        </w:tc>
        <w:tc>
          <w:tcPr>
            <w:tcW w:w="3827" w:type="dxa"/>
            <w:hideMark/>
          </w:tcPr>
          <w:p w14:paraId="09170CD8"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Menciona y opera el "Depósito Fiscal Zárate" en el polo.</w:t>
            </w:r>
          </w:p>
        </w:tc>
        <w:tc>
          <w:tcPr>
            <w:tcW w:w="1700" w:type="dxa"/>
            <w:hideMark/>
          </w:tcPr>
          <w:p w14:paraId="5454622E" w14:textId="77777777" w:rsidR="006B33E9" w:rsidRPr="00111094" w:rsidRDefault="006B33E9"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Campana</w:t>
            </w:r>
          </w:p>
        </w:tc>
      </w:tr>
    </w:tbl>
    <w:p w14:paraId="60D0C03B" w14:textId="77777777" w:rsidR="004D769F" w:rsidRPr="00111094" w:rsidRDefault="004D769F" w:rsidP="00FE2A09">
      <w:pPr>
        <w:jc w:val="both"/>
        <w:rPr>
          <w:rFonts w:ascii="Times New Roman" w:hAnsi="Times New Roman" w:cs="Times New Roman"/>
          <w:sz w:val="24"/>
          <w:szCs w:val="24"/>
        </w:rPr>
      </w:pPr>
    </w:p>
    <w:p w14:paraId="7C25D2C7" w14:textId="36CBA91B" w:rsidR="004D769F" w:rsidRPr="00111094" w:rsidRDefault="004D769F"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Es fundamental considerar el dinamismo de la “Lista”, la lista  de depósitos fiscales habilitados es dinámica, ya que la ARCA emite resoluciones periódicas de renovación o caducidad de habilitaciones (generalmente cada 10 años).</w:t>
      </w:r>
    </w:p>
    <w:p w14:paraId="52140604" w14:textId="49F09AE8" w:rsidR="004D769F" w:rsidRPr="00111094" w:rsidRDefault="004D769F"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También debemos tener en cuenta la operatividad, un depósito fiscal puede ser de tipo General (para todo tipo de carga) o Particular (para uso exclusivo de una empresa). Los mencionados suelen ser de carácter general, abiertos a distintos importadores/exportadores.</w:t>
      </w:r>
    </w:p>
    <w:p w14:paraId="1365F1C6" w14:textId="77777777" w:rsidR="00366EB0" w:rsidRPr="00F732FE" w:rsidRDefault="00366EB0" w:rsidP="00FE2A09">
      <w:pPr>
        <w:pStyle w:val="Ttulo2"/>
        <w:spacing w:line="480" w:lineRule="auto"/>
        <w:jc w:val="both"/>
        <w:rPr>
          <w:rFonts w:ascii="Times New Roman" w:hAnsi="Times New Roman" w:cs="Times New Roman"/>
        </w:rPr>
      </w:pPr>
      <w:bookmarkStart w:id="22" w:name="_Toc228778724"/>
      <w:r w:rsidRPr="00F732FE">
        <w:rPr>
          <w:rFonts w:ascii="Times New Roman" w:hAnsi="Times New Roman" w:cs="Times New Roman"/>
        </w:rPr>
        <w:t>Competencia Directa</w:t>
      </w:r>
      <w:bookmarkEnd w:id="22"/>
    </w:p>
    <w:p w14:paraId="293C0AA7" w14:textId="77777777" w:rsidR="004E33F3" w:rsidRPr="00111094" w:rsidRDefault="00366EB0"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La gran mayoría de los operadores mencionados son actores clave en la cadena de comercio exterior y sí están habilitados, o han gestionado recientemente la renovación de la habilitación, de depósitos fiscales en Argentina.</w:t>
      </w:r>
    </w:p>
    <w:tbl>
      <w:tblPr>
        <w:tblStyle w:val="GridTable4Accent1"/>
        <w:tblW w:w="9350" w:type="dxa"/>
        <w:tblLayout w:type="fixed"/>
        <w:tblLook w:val="04A0" w:firstRow="1" w:lastRow="0" w:firstColumn="1" w:lastColumn="0" w:noHBand="0" w:noVBand="1"/>
      </w:tblPr>
      <w:tblGrid>
        <w:gridCol w:w="1463"/>
        <w:gridCol w:w="1793"/>
        <w:gridCol w:w="1701"/>
        <w:gridCol w:w="1559"/>
        <w:gridCol w:w="2834"/>
      </w:tblGrid>
      <w:tr w:rsidR="004E33F3" w:rsidRPr="00111094" w14:paraId="363F40DD" w14:textId="77777777" w:rsidTr="00B41FA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17967248"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Operador / Nombre del Depósito</w:t>
            </w:r>
          </w:p>
        </w:tc>
        <w:tc>
          <w:tcPr>
            <w:tcW w:w="1793" w:type="dxa"/>
            <w:hideMark/>
          </w:tcPr>
          <w:p w14:paraId="01AAE4B7" w14:textId="77777777" w:rsidR="004E33F3" w:rsidRPr="00111094" w:rsidRDefault="004E33F3"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Ubicación General</w:t>
            </w:r>
          </w:p>
        </w:tc>
        <w:tc>
          <w:tcPr>
            <w:tcW w:w="1701" w:type="dxa"/>
            <w:hideMark/>
          </w:tcPr>
          <w:p w14:paraId="1414E892" w14:textId="2E3989A5" w:rsidR="004E33F3" w:rsidRPr="00111094" w:rsidRDefault="004E33F3"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Estado de Habilitación </w:t>
            </w:r>
          </w:p>
        </w:tc>
        <w:tc>
          <w:tcPr>
            <w:tcW w:w="1559" w:type="dxa"/>
            <w:hideMark/>
          </w:tcPr>
          <w:p w14:paraId="012AE357" w14:textId="706244EC" w:rsidR="004E33F3" w:rsidRPr="00111094" w:rsidRDefault="004E33F3"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Superficie (m2)</w:t>
            </w:r>
          </w:p>
        </w:tc>
        <w:tc>
          <w:tcPr>
            <w:tcW w:w="2834" w:type="dxa"/>
            <w:hideMark/>
          </w:tcPr>
          <w:p w14:paraId="656030DB" w14:textId="77777777" w:rsidR="004E33F3" w:rsidRPr="00111094" w:rsidRDefault="004E33F3"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Perfil de Clientes / Servicios</w:t>
            </w:r>
          </w:p>
        </w:tc>
      </w:tr>
      <w:tr w:rsidR="004E33F3" w:rsidRPr="00111094" w14:paraId="6BE2DF1E"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33A83487"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DEFISA (Depósitos Fiscales S.A.)</w:t>
            </w:r>
          </w:p>
        </w:tc>
        <w:tc>
          <w:tcPr>
            <w:tcW w:w="1793" w:type="dxa"/>
            <w:hideMark/>
          </w:tcPr>
          <w:p w14:paraId="56F3FB81"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(Puerto Sur/La Boca)</w:t>
            </w:r>
          </w:p>
        </w:tc>
        <w:tc>
          <w:tcPr>
            <w:tcW w:w="1701" w:type="dxa"/>
            <w:hideMark/>
          </w:tcPr>
          <w:p w14:paraId="6904633F"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 - Renovación periódica)</w:t>
            </w:r>
          </w:p>
        </w:tc>
        <w:tc>
          <w:tcPr>
            <w:tcW w:w="1559" w:type="dxa"/>
            <w:hideMark/>
          </w:tcPr>
          <w:p w14:paraId="68604A7D"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~16.103 m2</w:t>
            </w:r>
          </w:p>
        </w:tc>
        <w:tc>
          <w:tcPr>
            <w:tcW w:w="2834" w:type="dxa"/>
            <w:hideMark/>
          </w:tcPr>
          <w:p w14:paraId="51169F1C"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Consolidación/Desconsolidación (LCL), Servicios Portuarios.</w:t>
            </w:r>
          </w:p>
        </w:tc>
      </w:tr>
      <w:tr w:rsidR="004E33F3" w:rsidRPr="00111094" w14:paraId="56153851"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79967BF4"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DEFIBA S.A.</w:t>
            </w:r>
          </w:p>
        </w:tc>
        <w:tc>
          <w:tcPr>
            <w:tcW w:w="1793" w:type="dxa"/>
            <w:hideMark/>
          </w:tcPr>
          <w:p w14:paraId="1D1E3BCD"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(Puerto/Dársena Sur)</w:t>
            </w:r>
          </w:p>
        </w:tc>
        <w:tc>
          <w:tcPr>
            <w:tcW w:w="1701" w:type="dxa"/>
            <w:hideMark/>
          </w:tcPr>
          <w:p w14:paraId="2BE8DA33"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1F07AF3F"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~11.512 m2</w:t>
            </w:r>
          </w:p>
        </w:tc>
        <w:tc>
          <w:tcPr>
            <w:tcW w:w="2834" w:type="dxa"/>
            <w:hideMark/>
          </w:tcPr>
          <w:p w14:paraId="04DAB9C4"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en Contenedores (FCL), Mercadería de Importación/Exportación, Cargas de Proyecto.</w:t>
            </w:r>
          </w:p>
        </w:tc>
      </w:tr>
      <w:tr w:rsidR="004E33F3" w:rsidRPr="00111094" w14:paraId="33EC8893"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071E6A66"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SAF Logística Integral</w:t>
            </w:r>
          </w:p>
        </w:tc>
        <w:tc>
          <w:tcPr>
            <w:tcW w:w="1793" w:type="dxa"/>
            <w:hideMark/>
          </w:tcPr>
          <w:p w14:paraId="34E47EE8"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 GBA</w:t>
            </w:r>
          </w:p>
        </w:tc>
        <w:tc>
          <w:tcPr>
            <w:tcW w:w="1701" w:type="dxa"/>
            <w:hideMark/>
          </w:tcPr>
          <w:p w14:paraId="3CE5586F"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457E5F1C"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Varios miles de m2</w:t>
            </w:r>
          </w:p>
        </w:tc>
        <w:tc>
          <w:tcPr>
            <w:tcW w:w="2834" w:type="dxa"/>
            <w:hideMark/>
          </w:tcPr>
          <w:p w14:paraId="1C138546"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Almacenamiento, Distribución.</w:t>
            </w:r>
          </w:p>
        </w:tc>
      </w:tr>
      <w:tr w:rsidR="004E33F3" w:rsidRPr="00111094" w14:paraId="10EED1DD"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14404772"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LO PRIMO S.A.</w:t>
            </w:r>
          </w:p>
        </w:tc>
        <w:tc>
          <w:tcPr>
            <w:tcW w:w="1793" w:type="dxa"/>
            <w:hideMark/>
          </w:tcPr>
          <w:p w14:paraId="0101A44E"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(Zona Portuaria)</w:t>
            </w:r>
          </w:p>
        </w:tc>
        <w:tc>
          <w:tcPr>
            <w:tcW w:w="1701" w:type="dxa"/>
            <w:hideMark/>
          </w:tcPr>
          <w:p w14:paraId="3708E72E"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6B9994F2"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Superficie Significativa</w:t>
            </w:r>
          </w:p>
        </w:tc>
        <w:tc>
          <w:tcPr>
            <w:tcW w:w="2834" w:type="dxa"/>
            <w:hideMark/>
          </w:tcPr>
          <w:p w14:paraId="7DF3E6EB"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Depósito Temporal.</w:t>
            </w:r>
          </w:p>
        </w:tc>
      </w:tr>
      <w:tr w:rsidR="004E33F3" w:rsidRPr="00111094" w14:paraId="3EBC1FD7"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34F5D4F1"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M. Dodero (MDodero)</w:t>
            </w:r>
          </w:p>
        </w:tc>
        <w:tc>
          <w:tcPr>
            <w:tcW w:w="1793" w:type="dxa"/>
            <w:hideMark/>
          </w:tcPr>
          <w:p w14:paraId="55F6EA3B"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(Barracas) y Zona Norte (Tigre/Pacheco)</w:t>
            </w:r>
          </w:p>
        </w:tc>
        <w:tc>
          <w:tcPr>
            <w:tcW w:w="1701" w:type="dxa"/>
            <w:hideMark/>
          </w:tcPr>
          <w:p w14:paraId="7C84BA9D"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 Cámaras Frigoríficas)</w:t>
            </w:r>
          </w:p>
        </w:tc>
        <w:tc>
          <w:tcPr>
            <w:tcW w:w="1559" w:type="dxa"/>
            <w:hideMark/>
          </w:tcPr>
          <w:p w14:paraId="0AF8096E"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Múltiples Predios</w:t>
            </w:r>
          </w:p>
        </w:tc>
        <w:tc>
          <w:tcPr>
            <w:tcW w:w="2834" w:type="dxa"/>
            <w:hideMark/>
          </w:tcPr>
          <w:p w14:paraId="688E861E"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Frigoríficas, Cargas Generales, Consolidadores.</w:t>
            </w:r>
          </w:p>
        </w:tc>
      </w:tr>
      <w:tr w:rsidR="004E33F3" w:rsidRPr="00111094" w14:paraId="2C481E57"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521E4702"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Terminales Río de la Plata (TRP)</w:t>
            </w:r>
          </w:p>
        </w:tc>
        <w:tc>
          <w:tcPr>
            <w:tcW w:w="1793" w:type="dxa"/>
            <w:hideMark/>
          </w:tcPr>
          <w:p w14:paraId="6E96F1A3"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(Puerto, Terminales 1, 2, 3)</w:t>
            </w:r>
          </w:p>
        </w:tc>
        <w:tc>
          <w:tcPr>
            <w:tcW w:w="1701" w:type="dxa"/>
            <w:hideMark/>
          </w:tcPr>
          <w:p w14:paraId="2FC0F938"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(Terminales y DF)</w:t>
            </w:r>
          </w:p>
        </w:tc>
        <w:tc>
          <w:tcPr>
            <w:tcW w:w="1559" w:type="dxa"/>
            <w:hideMark/>
          </w:tcPr>
          <w:p w14:paraId="1925AEB1"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Muy Amplia (Grandes Playas y Naves)</w:t>
            </w:r>
          </w:p>
        </w:tc>
        <w:tc>
          <w:tcPr>
            <w:tcW w:w="2834" w:type="dxa"/>
            <w:hideMark/>
          </w:tcPr>
          <w:p w14:paraId="55AB6B81"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Grandes Líneas Marítimas, Contenedores, Cargas de Proyecto.</w:t>
            </w:r>
          </w:p>
        </w:tc>
      </w:tr>
      <w:tr w:rsidR="004E33F3" w:rsidRPr="00111094" w14:paraId="5481411D"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65C0A75A"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LOGEXPOR S.R.L.</w:t>
            </w:r>
          </w:p>
        </w:tc>
        <w:tc>
          <w:tcPr>
            <w:tcW w:w="1793" w:type="dxa"/>
            <w:hideMark/>
          </w:tcPr>
          <w:p w14:paraId="2AE106EE"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CABA (Barracas/Pompeya)</w:t>
            </w:r>
          </w:p>
        </w:tc>
        <w:tc>
          <w:tcPr>
            <w:tcW w:w="1701" w:type="dxa"/>
            <w:hideMark/>
          </w:tcPr>
          <w:p w14:paraId="15D3AD22"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74A5AE91"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Varios miles de m2</w:t>
            </w:r>
          </w:p>
        </w:tc>
        <w:tc>
          <w:tcPr>
            <w:tcW w:w="2834" w:type="dxa"/>
            <w:hideMark/>
          </w:tcPr>
          <w:p w14:paraId="1326D9E1"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Mercadería con requerimientos de Acondicionamiento (V.A.S.).</w:t>
            </w:r>
          </w:p>
        </w:tc>
      </w:tr>
      <w:tr w:rsidR="004E33F3" w:rsidRPr="00111094" w14:paraId="69774FAC"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7DABCE19"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TP Logística</w:t>
            </w:r>
          </w:p>
        </w:tc>
        <w:tc>
          <w:tcPr>
            <w:tcW w:w="1793" w:type="dxa"/>
            <w:hideMark/>
          </w:tcPr>
          <w:p w14:paraId="430E89BF"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Zona Norte (Gral. Pacheco)</w:t>
            </w:r>
          </w:p>
        </w:tc>
        <w:tc>
          <w:tcPr>
            <w:tcW w:w="1701" w:type="dxa"/>
            <w:hideMark/>
          </w:tcPr>
          <w:p w14:paraId="1FC7372F"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389CD4E6"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Superficie Significativa</w:t>
            </w:r>
          </w:p>
        </w:tc>
        <w:tc>
          <w:tcPr>
            <w:tcW w:w="2834" w:type="dxa"/>
            <w:hideMark/>
          </w:tcPr>
          <w:p w14:paraId="73A058B0"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Retail, Tecnología, Consumo Masivo, Distribución a todo el país.</w:t>
            </w:r>
          </w:p>
        </w:tc>
      </w:tr>
      <w:tr w:rsidR="004E33F3" w:rsidRPr="00111094" w14:paraId="276F981F"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21385D84"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lastRenderedPageBreak/>
              <w:t>Direxa S.A.</w:t>
            </w:r>
          </w:p>
        </w:tc>
        <w:tc>
          <w:tcPr>
            <w:tcW w:w="1793" w:type="dxa"/>
            <w:hideMark/>
          </w:tcPr>
          <w:p w14:paraId="0A68573D"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Zona Norte (Malvinas Argentinas)</w:t>
            </w:r>
          </w:p>
        </w:tc>
        <w:tc>
          <w:tcPr>
            <w:tcW w:w="1701" w:type="dxa"/>
            <w:hideMark/>
          </w:tcPr>
          <w:p w14:paraId="5FE7812C"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 - Renovación 10 años)</w:t>
            </w:r>
          </w:p>
        </w:tc>
        <w:tc>
          <w:tcPr>
            <w:tcW w:w="1559" w:type="dxa"/>
            <w:hideMark/>
          </w:tcPr>
          <w:p w14:paraId="4F534FCC"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Varios miles de m2</w:t>
            </w:r>
          </w:p>
        </w:tc>
        <w:tc>
          <w:tcPr>
            <w:tcW w:w="2834" w:type="dxa"/>
            <w:hideMark/>
          </w:tcPr>
          <w:p w14:paraId="4A2924A5"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Servicios de Valor Agregado (V.A.S.), Distribución.</w:t>
            </w:r>
          </w:p>
        </w:tc>
      </w:tr>
      <w:tr w:rsidR="004E33F3" w:rsidRPr="00111094" w14:paraId="4D040A92" w14:textId="77777777" w:rsidTr="00B41FAD">
        <w:trPr>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7F2BB05B"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Delta Dock S.A.</w:t>
            </w:r>
          </w:p>
        </w:tc>
        <w:tc>
          <w:tcPr>
            <w:tcW w:w="1793" w:type="dxa"/>
            <w:hideMark/>
          </w:tcPr>
          <w:p w14:paraId="4A197DC2"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Zona Norte (Zárate/Lima)</w:t>
            </w:r>
          </w:p>
        </w:tc>
        <w:tc>
          <w:tcPr>
            <w:tcW w:w="1701" w:type="dxa"/>
            <w:hideMark/>
          </w:tcPr>
          <w:p w14:paraId="4EFA4821"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 / Portuario)</w:t>
            </w:r>
          </w:p>
        </w:tc>
        <w:tc>
          <w:tcPr>
            <w:tcW w:w="1559" w:type="dxa"/>
            <w:hideMark/>
          </w:tcPr>
          <w:p w14:paraId="72ADECDB"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Extensa (Uno de los mayores del país)</w:t>
            </w:r>
          </w:p>
        </w:tc>
        <w:tc>
          <w:tcPr>
            <w:tcW w:w="2834" w:type="dxa"/>
            <w:hideMark/>
          </w:tcPr>
          <w:p w14:paraId="156489B8" w14:textId="77777777" w:rsidR="004E33F3" w:rsidRPr="00111094" w:rsidRDefault="004E33F3"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Automotrices (Vehículos y Autopartes), Cargas de Proyecto, Grandes Volúmenes Marítimos.</w:t>
            </w:r>
          </w:p>
        </w:tc>
      </w:tr>
      <w:tr w:rsidR="004E33F3" w:rsidRPr="00111094" w14:paraId="653541B5" w14:textId="77777777" w:rsidTr="00B41FA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63" w:type="dxa"/>
            <w:hideMark/>
          </w:tcPr>
          <w:p w14:paraId="2F165BC1" w14:textId="77777777" w:rsidR="004E33F3" w:rsidRPr="00111094" w:rsidRDefault="004E33F3"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Servitruck S.A.</w:t>
            </w:r>
          </w:p>
        </w:tc>
        <w:tc>
          <w:tcPr>
            <w:tcW w:w="1793" w:type="dxa"/>
            <w:hideMark/>
          </w:tcPr>
          <w:p w14:paraId="07CAD75B"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Zona Norte (Zárate)</w:t>
            </w:r>
          </w:p>
        </w:tc>
        <w:tc>
          <w:tcPr>
            <w:tcW w:w="1701" w:type="dxa"/>
            <w:hideMark/>
          </w:tcPr>
          <w:p w14:paraId="0BB4622D"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1559" w:type="dxa"/>
            <w:hideMark/>
          </w:tcPr>
          <w:p w14:paraId="222720F5"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Superficie Relevante</w:t>
            </w:r>
          </w:p>
        </w:tc>
        <w:tc>
          <w:tcPr>
            <w:tcW w:w="2834" w:type="dxa"/>
            <w:hideMark/>
          </w:tcPr>
          <w:p w14:paraId="52280ADA" w14:textId="77777777" w:rsidR="004E33F3" w:rsidRPr="00111094" w:rsidRDefault="004E33F3"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pesadas, Contenedores, Servicios vinculados a la industria.</w:t>
            </w:r>
          </w:p>
        </w:tc>
      </w:tr>
    </w:tbl>
    <w:p w14:paraId="761DA045" w14:textId="1DFB6316" w:rsidR="00366EB0" w:rsidRPr="00111094" w:rsidRDefault="004E33F3" w:rsidP="004E33F3">
      <w:pPr>
        <w:rPr>
          <w:rFonts w:ascii="Times New Roman" w:hAnsi="Times New Roman" w:cs="Times New Roman"/>
          <w:i/>
          <w:iCs/>
          <w:color w:val="808080" w:themeColor="background1" w:themeShade="80"/>
        </w:rPr>
      </w:pPr>
      <w:r w:rsidRPr="00111094">
        <w:rPr>
          <w:rFonts w:ascii="Times New Roman" w:hAnsi="Times New Roman" w:cs="Times New Roman"/>
          <w:i/>
          <w:iCs/>
          <w:color w:val="808080" w:themeColor="background1" w:themeShade="80"/>
        </w:rPr>
        <w:t>Nota: los datos de M2 son una estimación basada en las resoluciones de habilitación de la AFIP (que son públicas).</w:t>
      </w:r>
    </w:p>
    <w:p w14:paraId="749035B9" w14:textId="61AFDCE9" w:rsidR="004E33F3" w:rsidRPr="00111094" w:rsidRDefault="00B95C58"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Los siguientes operadores tienen habilitaciones para sus predios logísticos, que pueden estar en CABA, Zona Norte o en otras áreas estratégicas, prestando servicios generales o especializados.</w:t>
      </w:r>
    </w:p>
    <w:tbl>
      <w:tblPr>
        <w:tblStyle w:val="GridTable4Accent1"/>
        <w:tblW w:w="0" w:type="dxa"/>
        <w:tblLook w:val="04A0" w:firstRow="1" w:lastRow="0" w:firstColumn="1" w:lastColumn="0" w:noHBand="0" w:noVBand="1"/>
      </w:tblPr>
      <w:tblGrid>
        <w:gridCol w:w="1630"/>
        <w:gridCol w:w="2534"/>
        <w:gridCol w:w="2192"/>
        <w:gridCol w:w="3220"/>
      </w:tblGrid>
      <w:tr w:rsidR="00B95C58" w:rsidRPr="00111094" w14:paraId="7546A9FB" w14:textId="77777777" w:rsidTr="00B95C5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72A9D351"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Operador / Razón Social</w:t>
            </w:r>
          </w:p>
        </w:tc>
        <w:tc>
          <w:tcPr>
            <w:tcW w:w="0" w:type="auto"/>
            <w:hideMark/>
          </w:tcPr>
          <w:p w14:paraId="781CCFA5" w14:textId="77777777" w:rsidR="00B95C58" w:rsidRPr="00111094" w:rsidRDefault="00B95C58"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Habilitación como Depósito Fiscal (DF)</w:t>
            </w:r>
          </w:p>
        </w:tc>
        <w:tc>
          <w:tcPr>
            <w:tcW w:w="0" w:type="auto"/>
            <w:hideMark/>
          </w:tcPr>
          <w:p w14:paraId="0456EBA6" w14:textId="77777777" w:rsidR="00B95C58" w:rsidRPr="00111094" w:rsidRDefault="00B95C58"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Ubicación (Principal/Red)</w:t>
            </w:r>
          </w:p>
        </w:tc>
        <w:tc>
          <w:tcPr>
            <w:tcW w:w="0" w:type="auto"/>
            <w:hideMark/>
          </w:tcPr>
          <w:p w14:paraId="159AF8C7" w14:textId="77777777" w:rsidR="00B95C58" w:rsidRPr="00111094" w:rsidRDefault="00B95C58"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Perfil de Servicios</w:t>
            </w:r>
          </w:p>
        </w:tc>
      </w:tr>
      <w:tr w:rsidR="00B95C58" w:rsidRPr="00111094" w14:paraId="28E79A56" w14:textId="77777777" w:rsidTr="00B95C5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32F3EB29"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Loginter S.A.</w:t>
            </w:r>
          </w:p>
        </w:tc>
        <w:tc>
          <w:tcPr>
            <w:tcW w:w="0" w:type="auto"/>
            <w:hideMark/>
          </w:tcPr>
          <w:p w14:paraId="529149CD"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0" w:type="auto"/>
            <w:hideMark/>
          </w:tcPr>
          <w:p w14:paraId="2AC9295F"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GBA Sur (Dock Sud/Avellaneda)</w:t>
            </w:r>
          </w:p>
        </w:tc>
        <w:tc>
          <w:tcPr>
            <w:tcW w:w="0" w:type="auto"/>
            <w:hideMark/>
          </w:tcPr>
          <w:p w14:paraId="0244EA92"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Cargas Generales, Servicios Integrales de Logística.</w:t>
            </w:r>
          </w:p>
        </w:tc>
      </w:tr>
      <w:tr w:rsidR="00B95C58" w:rsidRPr="00111094" w14:paraId="00E6BFC4" w14:textId="77777777" w:rsidTr="00B95C58">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5818B108"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Celsur (Conosur S.A.)</w:t>
            </w:r>
          </w:p>
        </w:tc>
        <w:tc>
          <w:tcPr>
            <w:tcW w:w="0" w:type="auto"/>
            <w:hideMark/>
          </w:tcPr>
          <w:p w14:paraId="464C5DF1"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0" w:type="auto"/>
            <w:hideMark/>
          </w:tcPr>
          <w:p w14:paraId="7ABCBED0"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Red Nacional / Centros Logísticos</w:t>
            </w:r>
          </w:p>
        </w:tc>
        <w:tc>
          <w:tcPr>
            <w:tcW w:w="0" w:type="auto"/>
            <w:hideMark/>
          </w:tcPr>
          <w:p w14:paraId="35F130B7"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Almacenamiento, Distribución y Cadena de Suministro.</w:t>
            </w:r>
          </w:p>
        </w:tc>
      </w:tr>
      <w:tr w:rsidR="00B95C58" w:rsidRPr="00111094" w14:paraId="201EF36A" w14:textId="77777777" w:rsidTr="00B95C5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2F57692B"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OCASA</w:t>
            </w:r>
          </w:p>
        </w:tc>
        <w:tc>
          <w:tcPr>
            <w:tcW w:w="0" w:type="auto"/>
            <w:hideMark/>
          </w:tcPr>
          <w:p w14:paraId="476A5B7B"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Vigente/Operativa (Áreas fiscales)</w:t>
            </w:r>
          </w:p>
        </w:tc>
        <w:tc>
          <w:tcPr>
            <w:tcW w:w="0" w:type="auto"/>
            <w:hideMark/>
          </w:tcPr>
          <w:p w14:paraId="56446040"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Red Nacional / Courier</w:t>
            </w:r>
          </w:p>
        </w:tc>
        <w:tc>
          <w:tcPr>
            <w:tcW w:w="0" w:type="auto"/>
            <w:hideMark/>
          </w:tcPr>
          <w:p w14:paraId="182D6240"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Courier Internacional, Servicios Postales, Logística Integrada.</w:t>
            </w:r>
          </w:p>
        </w:tc>
      </w:tr>
      <w:tr w:rsidR="00B95C58" w:rsidRPr="00111094" w14:paraId="68A586DC" w14:textId="77777777" w:rsidTr="00B95C58">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5E6CEBE5"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Terramar Logística</w:t>
            </w:r>
          </w:p>
        </w:tc>
        <w:tc>
          <w:tcPr>
            <w:tcW w:w="0" w:type="auto"/>
            <w:hideMark/>
          </w:tcPr>
          <w:p w14:paraId="13A2877C"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Vigente (DF General)</w:t>
            </w:r>
          </w:p>
        </w:tc>
        <w:tc>
          <w:tcPr>
            <w:tcW w:w="0" w:type="auto"/>
            <w:hideMark/>
          </w:tcPr>
          <w:p w14:paraId="5D346AF9"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Interior (Ej: Córdoba)</w:t>
            </w:r>
          </w:p>
        </w:tc>
        <w:tc>
          <w:tcPr>
            <w:tcW w:w="0" w:type="auto"/>
            <w:hideMark/>
          </w:tcPr>
          <w:p w14:paraId="3EF8C4DF"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Logística del Interior, Cargas Generales.</w:t>
            </w:r>
          </w:p>
        </w:tc>
      </w:tr>
      <w:tr w:rsidR="00B95C58" w:rsidRPr="00111094" w14:paraId="242BCE55" w14:textId="77777777" w:rsidTr="00B95C5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31339CAF"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ID Logistics</w:t>
            </w:r>
          </w:p>
        </w:tc>
        <w:tc>
          <w:tcPr>
            <w:tcW w:w="0" w:type="auto"/>
            <w:hideMark/>
          </w:tcPr>
          <w:p w14:paraId="240EBB98"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Operativa (Gestiona espacios en DF)</w:t>
            </w:r>
          </w:p>
        </w:tc>
        <w:tc>
          <w:tcPr>
            <w:tcW w:w="0" w:type="auto"/>
            <w:hideMark/>
          </w:tcPr>
          <w:p w14:paraId="643F7DC6"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Red Nacional / 3PL</w:t>
            </w:r>
          </w:p>
        </w:tc>
        <w:tc>
          <w:tcPr>
            <w:tcW w:w="0" w:type="auto"/>
            <w:hideMark/>
          </w:tcPr>
          <w:p w14:paraId="72C900AC" w14:textId="77777777" w:rsidR="00B95C58" w:rsidRPr="00111094" w:rsidRDefault="00B95C58"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Logística de Terceros (3PL), Alta complejidad.</w:t>
            </w:r>
          </w:p>
        </w:tc>
      </w:tr>
      <w:tr w:rsidR="00B95C58" w:rsidRPr="00111094" w14:paraId="1ACBA5EC" w14:textId="77777777" w:rsidTr="00B95C58">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3F97527E" w14:textId="77777777" w:rsidR="00B95C58" w:rsidRPr="00111094" w:rsidRDefault="00B95C58"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Andreani</w:t>
            </w:r>
          </w:p>
        </w:tc>
        <w:tc>
          <w:tcPr>
            <w:tcW w:w="0" w:type="auto"/>
            <w:hideMark/>
          </w:tcPr>
          <w:p w14:paraId="2B448DC8"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Operativa (Áreas fiscales/Courier)</w:t>
            </w:r>
          </w:p>
        </w:tc>
        <w:tc>
          <w:tcPr>
            <w:tcW w:w="0" w:type="auto"/>
            <w:hideMark/>
          </w:tcPr>
          <w:p w14:paraId="7FFFFB9B"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Red Nacional / Courier</w:t>
            </w:r>
          </w:p>
        </w:tc>
        <w:tc>
          <w:tcPr>
            <w:tcW w:w="0" w:type="auto"/>
            <w:hideMark/>
          </w:tcPr>
          <w:p w14:paraId="1A64743A" w14:textId="77777777" w:rsidR="00B95C58" w:rsidRPr="00111094" w:rsidRDefault="00B95C58"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Courier y Paquetería Internacional.</w:t>
            </w:r>
          </w:p>
        </w:tc>
      </w:tr>
    </w:tbl>
    <w:p w14:paraId="423352A3" w14:textId="77777777" w:rsidR="00B95C58" w:rsidRPr="00111094" w:rsidRDefault="00B95C58" w:rsidP="00B95C58">
      <w:pPr>
        <w:rPr>
          <w:rFonts w:ascii="Times New Roman" w:hAnsi="Times New Roman" w:cs="Times New Roman"/>
          <w:sz w:val="24"/>
          <w:szCs w:val="24"/>
        </w:rPr>
      </w:pPr>
    </w:p>
    <w:p w14:paraId="41B4E713" w14:textId="557DCC2E" w:rsidR="001D3E75" w:rsidRPr="00111094" w:rsidRDefault="001D3E75" w:rsidP="00FE2A09">
      <w:pPr>
        <w:pStyle w:val="Ttulo2"/>
        <w:spacing w:before="0" w:line="480" w:lineRule="auto"/>
        <w:rPr>
          <w:rFonts w:ascii="Times New Roman" w:hAnsi="Times New Roman" w:cs="Times New Roman"/>
        </w:rPr>
      </w:pPr>
      <w:bookmarkStart w:id="23" w:name="_Toc228778725"/>
      <w:r w:rsidRPr="00111094">
        <w:rPr>
          <w:rFonts w:ascii="Times New Roman" w:hAnsi="Times New Roman" w:cs="Times New Roman"/>
        </w:rPr>
        <w:t>Volumen del mercado y tendencias</w:t>
      </w:r>
      <w:bookmarkEnd w:id="23"/>
    </w:p>
    <w:p w14:paraId="54119679" w14:textId="77777777" w:rsidR="001D3E75" w:rsidRPr="00111094" w:rsidRDefault="001D3E75"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Según el estudio de Key Market, el mercado argentino de operadores logísticos factura más de USD 5.200 millones anuales, con una participación creciente de los servicios integrados (3PL) que ya representan el 65% del total contratado por grandes empresas. Dentro del sector, los depósitos fiscales explican aproximadamente un 12% del volumen operativo de los principales operadores.</w:t>
      </w:r>
    </w:p>
    <w:p w14:paraId="77328DA8" w14:textId="358D1841" w:rsidR="001D3E75" w:rsidRPr="00111094" w:rsidRDefault="001D3E75"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En términos geográficos, Zona Norte del Gran Buenos Aires concentra cerca del 35% del volumen logístico nacional, con alta densidad de parques industriales, accesos a puertos y presencia de empresas multinacionales. Esto convierte a Pilar en zonas estratégicas para servicios logísticos asociados al comercio exterior.</w:t>
      </w:r>
    </w:p>
    <w:p w14:paraId="3CFBEE19" w14:textId="1473F014" w:rsidR="001D3E75" w:rsidRPr="00111094" w:rsidRDefault="001D3E75" w:rsidP="00FE2A09">
      <w:pPr>
        <w:spacing w:after="0"/>
        <w:ind w:firstLine="360"/>
        <w:jc w:val="both"/>
        <w:rPr>
          <w:rFonts w:ascii="Times New Roman" w:hAnsi="Times New Roman" w:cs="Times New Roman"/>
          <w:sz w:val="24"/>
          <w:szCs w:val="24"/>
        </w:rPr>
      </w:pPr>
      <w:r w:rsidRPr="00111094">
        <w:rPr>
          <w:rFonts w:ascii="Times New Roman" w:hAnsi="Times New Roman" w:cs="Times New Roman"/>
          <w:sz w:val="24"/>
          <w:szCs w:val="24"/>
        </w:rPr>
        <w:t>Entre las principales tendencias del sector se destacan:</w:t>
      </w:r>
    </w:p>
    <w:p w14:paraId="0C08288F" w14:textId="77777777" w:rsidR="001D3E75" w:rsidRPr="00111094" w:rsidRDefault="001D3E75" w:rsidP="00FE2A09">
      <w:pPr>
        <w:pStyle w:val="Prrafodelista"/>
        <w:numPr>
          <w:ilvl w:val="0"/>
          <w:numId w:val="21"/>
        </w:numPr>
        <w:spacing w:after="0"/>
        <w:jc w:val="both"/>
        <w:rPr>
          <w:rFonts w:ascii="Times New Roman" w:hAnsi="Times New Roman" w:cs="Times New Roman"/>
          <w:sz w:val="24"/>
          <w:szCs w:val="24"/>
        </w:rPr>
      </w:pPr>
      <w:r w:rsidRPr="00111094">
        <w:rPr>
          <w:rFonts w:ascii="Times New Roman" w:hAnsi="Times New Roman" w:cs="Times New Roman"/>
          <w:sz w:val="24"/>
          <w:szCs w:val="24"/>
        </w:rPr>
        <w:lastRenderedPageBreak/>
        <w:t>Consolidación de servicios 3PL/4PL.</w:t>
      </w:r>
    </w:p>
    <w:p w14:paraId="51CAD456" w14:textId="77777777" w:rsidR="001D3E75" w:rsidRPr="00111094" w:rsidRDefault="001D3E75" w:rsidP="00FE2A09">
      <w:pPr>
        <w:pStyle w:val="Prrafodelista"/>
        <w:numPr>
          <w:ilvl w:val="0"/>
          <w:numId w:val="21"/>
        </w:numPr>
        <w:spacing w:after="0"/>
        <w:jc w:val="both"/>
        <w:rPr>
          <w:rFonts w:ascii="Times New Roman" w:hAnsi="Times New Roman" w:cs="Times New Roman"/>
          <w:sz w:val="24"/>
          <w:szCs w:val="24"/>
        </w:rPr>
      </w:pPr>
      <w:r w:rsidRPr="00111094">
        <w:rPr>
          <w:rFonts w:ascii="Times New Roman" w:hAnsi="Times New Roman" w:cs="Times New Roman"/>
          <w:sz w:val="24"/>
          <w:szCs w:val="24"/>
        </w:rPr>
        <w:t>Mayor integración de tecnología en seguimiento y trazabilidad.</w:t>
      </w:r>
    </w:p>
    <w:p w14:paraId="434B5CE4" w14:textId="77777777" w:rsidR="001D3E75" w:rsidRPr="00111094" w:rsidRDefault="001D3E75" w:rsidP="00FE2A09">
      <w:pPr>
        <w:pStyle w:val="Prrafodelista"/>
        <w:numPr>
          <w:ilvl w:val="0"/>
          <w:numId w:val="21"/>
        </w:numPr>
        <w:jc w:val="both"/>
        <w:rPr>
          <w:rFonts w:ascii="Times New Roman" w:hAnsi="Times New Roman" w:cs="Times New Roman"/>
          <w:sz w:val="24"/>
          <w:szCs w:val="24"/>
        </w:rPr>
      </w:pPr>
      <w:r w:rsidRPr="00111094">
        <w:rPr>
          <w:rFonts w:ascii="Times New Roman" w:hAnsi="Times New Roman" w:cs="Times New Roman"/>
          <w:sz w:val="24"/>
          <w:szCs w:val="24"/>
        </w:rPr>
        <w:t>Flexibilización del régimen aduanero (AFIP redujo garantías en 2025).</w:t>
      </w:r>
    </w:p>
    <w:p w14:paraId="7F6E7A7E" w14:textId="2AB02A16" w:rsidR="001D3E75" w:rsidRPr="00111094" w:rsidRDefault="001D3E75" w:rsidP="00FE2A09">
      <w:pPr>
        <w:pStyle w:val="Prrafodelista"/>
        <w:numPr>
          <w:ilvl w:val="0"/>
          <w:numId w:val="21"/>
        </w:numPr>
        <w:jc w:val="both"/>
        <w:rPr>
          <w:rFonts w:ascii="Times New Roman" w:hAnsi="Times New Roman" w:cs="Times New Roman"/>
          <w:sz w:val="24"/>
          <w:szCs w:val="24"/>
        </w:rPr>
      </w:pPr>
      <w:r w:rsidRPr="00111094">
        <w:rPr>
          <w:rFonts w:ascii="Times New Roman" w:hAnsi="Times New Roman" w:cs="Times New Roman"/>
          <w:sz w:val="24"/>
          <w:szCs w:val="24"/>
        </w:rPr>
        <w:t>Externalización creciente de operaciones logísticas por parte de industrias no logísticas.</w:t>
      </w:r>
    </w:p>
    <w:p w14:paraId="59C675F5" w14:textId="77777777" w:rsidR="005B545C" w:rsidRPr="00111094" w:rsidRDefault="005B545C">
      <w:pPr>
        <w:rPr>
          <w:rFonts w:ascii="Times New Roman" w:eastAsiaTheme="majorEastAsia" w:hAnsi="Times New Roman" w:cs="Times New Roman"/>
          <w:b/>
          <w:bCs/>
          <w:color w:val="4F81BD" w:themeColor="accent1"/>
          <w:w w:val="70"/>
          <w:sz w:val="40"/>
          <w:szCs w:val="40"/>
        </w:rPr>
      </w:pPr>
      <w:r w:rsidRPr="00111094">
        <w:rPr>
          <w:rFonts w:ascii="Times New Roman" w:hAnsi="Times New Roman" w:cs="Times New Roman"/>
          <w:color w:val="4F81BD" w:themeColor="accent1"/>
          <w:w w:val="70"/>
          <w:sz w:val="40"/>
          <w:szCs w:val="40"/>
        </w:rPr>
        <w:br w:type="page"/>
      </w:r>
    </w:p>
    <w:p w14:paraId="1CCA6A99" w14:textId="6F4F0A94" w:rsidR="00656ED2" w:rsidRPr="00111094" w:rsidRDefault="000577D0"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24" w:name="_Toc228778726"/>
      <w:r w:rsidRPr="00111094">
        <w:rPr>
          <w:rFonts w:ascii="Times New Roman" w:hAnsi="Times New Roman" w:cs="Times New Roman"/>
          <w:color w:val="4F81BD" w:themeColor="accent1"/>
          <w:w w:val="70"/>
          <w:sz w:val="40"/>
          <w:szCs w:val="40"/>
        </w:rPr>
        <w:lastRenderedPageBreak/>
        <w:t xml:space="preserve">CAPÍTULO </w:t>
      </w:r>
      <w:r w:rsidR="00C0460F" w:rsidRPr="00111094">
        <w:rPr>
          <w:rFonts w:ascii="Times New Roman" w:hAnsi="Times New Roman" w:cs="Times New Roman"/>
          <w:color w:val="4F81BD" w:themeColor="accent1"/>
          <w:w w:val="70"/>
          <w:sz w:val="40"/>
          <w:szCs w:val="40"/>
        </w:rPr>
        <w:t>3</w:t>
      </w:r>
      <w:r w:rsidR="00656ED2" w:rsidRPr="00111094">
        <w:rPr>
          <w:rFonts w:ascii="Times New Roman" w:hAnsi="Times New Roman" w:cs="Times New Roman"/>
          <w:color w:val="4F81BD" w:themeColor="accent1"/>
          <w:w w:val="70"/>
          <w:sz w:val="40"/>
          <w:szCs w:val="40"/>
        </w:rPr>
        <w:t xml:space="preserve"> -</w:t>
      </w:r>
      <w:r w:rsidR="00C0460F" w:rsidRPr="00111094">
        <w:rPr>
          <w:rFonts w:ascii="Times New Roman" w:hAnsi="Times New Roman" w:cs="Times New Roman"/>
          <w:color w:val="4F81BD" w:themeColor="accent1"/>
          <w:w w:val="70"/>
          <w:sz w:val="40"/>
          <w:szCs w:val="40"/>
        </w:rPr>
        <w:t xml:space="preserve"> ANALISIS ESTRATEGICO</w:t>
      </w:r>
      <w:bookmarkEnd w:id="24"/>
      <w:r w:rsidR="00C0460F" w:rsidRPr="00111094">
        <w:rPr>
          <w:rFonts w:ascii="Times New Roman" w:hAnsi="Times New Roman" w:cs="Times New Roman"/>
          <w:color w:val="4F81BD" w:themeColor="accent1"/>
          <w:w w:val="70"/>
          <w:sz w:val="40"/>
          <w:szCs w:val="40"/>
        </w:rPr>
        <w:t xml:space="preserve"> </w:t>
      </w:r>
    </w:p>
    <w:p w14:paraId="09AC7CCE" w14:textId="703C4AAC" w:rsidR="0003135E" w:rsidRPr="00111094" w:rsidRDefault="0003135E" w:rsidP="007762D6">
      <w:pPr>
        <w:pStyle w:val="Ttulo2"/>
        <w:spacing w:line="480" w:lineRule="auto"/>
        <w:rPr>
          <w:rFonts w:ascii="Times New Roman" w:hAnsi="Times New Roman" w:cs="Times New Roman"/>
        </w:rPr>
      </w:pPr>
      <w:bookmarkStart w:id="25" w:name="_Toc228778727"/>
      <w:r w:rsidRPr="00111094">
        <w:rPr>
          <w:rFonts w:ascii="Times New Roman" w:hAnsi="Times New Roman" w:cs="Times New Roman"/>
        </w:rPr>
        <w:t>Análisis Interno</w:t>
      </w:r>
      <w:r w:rsidR="008C766F" w:rsidRPr="00111094">
        <w:rPr>
          <w:rFonts w:ascii="Times New Roman" w:hAnsi="Times New Roman" w:cs="Times New Roman"/>
        </w:rPr>
        <w:t xml:space="preserve"> de TASA Logistica</w:t>
      </w:r>
      <w:bookmarkEnd w:id="25"/>
      <w:r w:rsidR="008C766F" w:rsidRPr="00111094">
        <w:rPr>
          <w:rFonts w:ascii="Times New Roman" w:hAnsi="Times New Roman" w:cs="Times New Roman"/>
        </w:rPr>
        <w:t xml:space="preserve"> </w:t>
      </w:r>
    </w:p>
    <w:p w14:paraId="393CB23E" w14:textId="4D5D92BC" w:rsidR="0003135E" w:rsidRPr="00111094" w:rsidRDefault="0003135E"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TASA es una de las principales empresas argentinas de logística integral, con </w:t>
      </w:r>
      <w:r w:rsidR="00A96197" w:rsidRPr="00111094">
        <w:rPr>
          <w:rFonts w:ascii="Times New Roman" w:hAnsi="Times New Roman" w:cs="Times New Roman"/>
          <w:sz w:val="24"/>
          <w:szCs w:val="24"/>
        </w:rPr>
        <w:t xml:space="preserve">casi 90 </w:t>
      </w:r>
      <w:r w:rsidRPr="00111094">
        <w:rPr>
          <w:rFonts w:ascii="Times New Roman" w:hAnsi="Times New Roman" w:cs="Times New Roman"/>
          <w:sz w:val="24"/>
          <w:szCs w:val="24"/>
        </w:rPr>
        <w:t xml:space="preserve"> años de trayectoria en el país. Ofrece soluciones de almacenamiento, transporte, distribución y fulfillment para empresas de consumo masivo, alimentos, bebidas, cosmética, cuidado personal, retail y comercio electrónico.</w:t>
      </w:r>
    </w:p>
    <w:p w14:paraId="5F42FDE4" w14:textId="4DED9CC7" w:rsidR="00A96197" w:rsidRPr="00111094" w:rsidRDefault="00A96197"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Regionalizada en 2016, creciendo junto a un excepcional portafolio de clientes con quienes fomentamos alianzas estratégicas de largo plazo, diseñando soluciones logísticas a medida de cada negocio en Argentina, Chile, Paraguay y Uruguay.</w:t>
      </w:r>
    </w:p>
    <w:p w14:paraId="39CC1C69" w14:textId="434B7691" w:rsidR="00A96197" w:rsidRPr="00111094" w:rsidRDefault="00A96197"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Las empresas del grupos son:</w:t>
      </w:r>
    </w:p>
    <w:p w14:paraId="2DEF302C" w14:textId="7B8C5476" w:rsidR="00A96197" w:rsidRPr="00111094" w:rsidRDefault="00A96197" w:rsidP="00FE2A09">
      <w:pPr>
        <w:ind w:firstLine="720"/>
        <w:jc w:val="both"/>
        <w:rPr>
          <w:rFonts w:ascii="Times New Roman" w:hAnsi="Times New Roman" w:cs="Times New Roman"/>
          <w:sz w:val="24"/>
          <w:szCs w:val="24"/>
        </w:rPr>
      </w:pPr>
      <w:r w:rsidRPr="00111094">
        <w:rPr>
          <w:rFonts w:ascii="Times New Roman" w:hAnsi="Times New Roman" w:cs="Times New Roman"/>
          <w:noProof/>
          <w:sz w:val="24"/>
          <w:szCs w:val="24"/>
          <w:lang w:eastAsia="es-AR"/>
        </w:rPr>
        <w:drawing>
          <wp:inline distT="0" distB="0" distL="0" distR="0" wp14:anchorId="25AE9D4E" wp14:editId="7763F7D7">
            <wp:extent cx="5401733" cy="4984757"/>
            <wp:effectExtent l="0" t="0" r="0" b="0"/>
            <wp:docPr id="136115759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4680" cy="5015160"/>
                    </a:xfrm>
                    <a:prstGeom prst="rect">
                      <a:avLst/>
                    </a:prstGeom>
                    <a:noFill/>
                  </pic:spPr>
                </pic:pic>
              </a:graphicData>
            </a:graphic>
          </wp:inline>
        </w:drawing>
      </w:r>
    </w:p>
    <w:p w14:paraId="293A0FE8" w14:textId="77777777" w:rsidR="00BC0217" w:rsidRPr="00111094" w:rsidRDefault="00BC0217" w:rsidP="00FE2A09">
      <w:pPr>
        <w:ind w:firstLine="720"/>
        <w:jc w:val="both"/>
        <w:rPr>
          <w:rFonts w:ascii="Times New Roman" w:hAnsi="Times New Roman" w:cs="Times New Roman"/>
          <w:sz w:val="24"/>
          <w:szCs w:val="24"/>
        </w:rPr>
      </w:pPr>
    </w:p>
    <w:p w14:paraId="58EE2A2C" w14:textId="056DA349" w:rsidR="00BC0217" w:rsidRPr="00111094" w:rsidRDefault="00BC0217" w:rsidP="00FE2A09">
      <w:pPr>
        <w:spacing w:after="0"/>
        <w:ind w:firstLine="720"/>
        <w:jc w:val="both"/>
        <w:rPr>
          <w:rFonts w:ascii="Times New Roman" w:hAnsi="Times New Roman" w:cs="Times New Roman"/>
          <w:i/>
          <w:iCs/>
          <w:sz w:val="24"/>
          <w:szCs w:val="24"/>
        </w:rPr>
      </w:pPr>
      <w:r w:rsidRPr="00111094">
        <w:rPr>
          <w:rFonts w:ascii="Times New Roman" w:hAnsi="Times New Roman" w:cs="Times New Roman"/>
          <w:sz w:val="24"/>
          <w:szCs w:val="24"/>
        </w:rPr>
        <w:lastRenderedPageBreak/>
        <w:t xml:space="preserve">La </w:t>
      </w:r>
      <w:r w:rsidRPr="00111094">
        <w:rPr>
          <w:rFonts w:ascii="Times New Roman" w:hAnsi="Times New Roman" w:cs="Times New Roman"/>
          <w:b/>
          <w:bCs/>
          <w:sz w:val="24"/>
          <w:szCs w:val="24"/>
        </w:rPr>
        <w:t>VISIÓN</w:t>
      </w:r>
      <w:r w:rsidRPr="00111094">
        <w:rPr>
          <w:rFonts w:ascii="Times New Roman" w:hAnsi="Times New Roman" w:cs="Times New Roman"/>
          <w:sz w:val="24"/>
          <w:szCs w:val="24"/>
        </w:rPr>
        <w:t xml:space="preserve"> de la Empresa “</w:t>
      </w:r>
      <w:r w:rsidRPr="00111094">
        <w:rPr>
          <w:rFonts w:ascii="Times New Roman" w:hAnsi="Times New Roman" w:cs="Times New Roman"/>
          <w:i/>
          <w:iCs/>
          <w:sz w:val="24"/>
          <w:szCs w:val="24"/>
        </w:rPr>
        <w:t>Posicionarnos como el operador logístico líder en el mercado, utilizando la mejor tecnología. Ser considerados aliados estratégicos de nuestros clientes y desarrollar el compromiso, la creatividad y la excelencia de nuestra gente.”</w:t>
      </w:r>
    </w:p>
    <w:p w14:paraId="4836057D" w14:textId="56A0C5B0" w:rsidR="00BC0217" w:rsidRPr="00111094" w:rsidRDefault="00BC0217" w:rsidP="00FE2A09">
      <w:pPr>
        <w:spacing w:after="0"/>
        <w:ind w:firstLine="720"/>
        <w:jc w:val="both"/>
        <w:rPr>
          <w:rFonts w:ascii="Times New Roman" w:hAnsi="Times New Roman" w:cs="Times New Roman"/>
          <w:i/>
          <w:iCs/>
          <w:sz w:val="24"/>
          <w:szCs w:val="24"/>
        </w:rPr>
      </w:pPr>
      <w:r w:rsidRPr="00111094">
        <w:rPr>
          <w:rFonts w:ascii="Times New Roman" w:hAnsi="Times New Roman" w:cs="Times New Roman"/>
          <w:sz w:val="24"/>
          <w:szCs w:val="24"/>
        </w:rPr>
        <w:t xml:space="preserve">La </w:t>
      </w:r>
      <w:r w:rsidRPr="00111094">
        <w:rPr>
          <w:rFonts w:ascii="Times New Roman" w:hAnsi="Times New Roman" w:cs="Times New Roman"/>
          <w:b/>
          <w:bCs/>
          <w:i/>
          <w:iCs/>
          <w:sz w:val="24"/>
          <w:szCs w:val="24"/>
        </w:rPr>
        <w:t>MISIÓN</w:t>
      </w:r>
      <w:r w:rsidRPr="00111094">
        <w:rPr>
          <w:rFonts w:ascii="Times New Roman" w:hAnsi="Times New Roman" w:cs="Times New Roman"/>
          <w:sz w:val="24"/>
          <w:szCs w:val="24"/>
        </w:rPr>
        <w:t xml:space="preserve"> de la Empresa es </w:t>
      </w:r>
      <w:r w:rsidRPr="00111094">
        <w:rPr>
          <w:rFonts w:ascii="Times New Roman" w:hAnsi="Times New Roman" w:cs="Times New Roman"/>
          <w:i/>
          <w:iCs/>
          <w:sz w:val="24"/>
          <w:szCs w:val="24"/>
        </w:rPr>
        <w:t>“Diseñar, implementar y operar soluciones logísticas, asegurando los mejores estándares de calidad y sustentabilidad, siendo flexibles en la dinámica de los negocios y contribuyendo a la competitividad para nuestros clientes.”</w:t>
      </w:r>
    </w:p>
    <w:p w14:paraId="7B864638" w14:textId="08BEA3BA" w:rsidR="00BC0217" w:rsidRPr="00111094" w:rsidRDefault="00BC0217"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En la actualidad operamos 503.000 m2 de warehouses con tecnología avanzada, procesos certificados y soluciones personalizadas para cada negocio. Como servicios de valor agregado ofrecemos Copacking, etiquetados, armado de packs y más, con trazabilidad completa gracias a nuestro sistema WMS. En nuestras bases de Cross-Docking ofrecemos una red internacional de almacenamiento y despacho ágil, optimizando la logística en todo el país.</w:t>
      </w:r>
    </w:p>
    <w:p w14:paraId="2DE1D29F" w14:textId="342210A4" w:rsidR="0003135E" w:rsidRPr="00111094" w:rsidRDefault="0003135E"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empresa cuenta con terrenos e instalaciones propias en Pilar, lo que le otorga una ventaja comparativa para incorporar esta unidad de negocios sin necesidad de inversión inmobiliaria inicial.</w:t>
      </w:r>
    </w:p>
    <w:p w14:paraId="54F38E23" w14:textId="77777777" w:rsidR="00BC0217" w:rsidRPr="00111094" w:rsidRDefault="00BC0217"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TASA aún no opera bajo el régimen de depósito fiscal, lo que representa una </w:t>
      </w:r>
      <w:r w:rsidRPr="00111094">
        <w:rPr>
          <w:rFonts w:ascii="Times New Roman" w:hAnsi="Times New Roman" w:cs="Times New Roman"/>
          <w:b/>
          <w:bCs/>
          <w:i/>
          <w:iCs/>
          <w:sz w:val="24"/>
          <w:szCs w:val="24"/>
        </w:rPr>
        <w:t>brecha estratégica</w:t>
      </w:r>
      <w:r w:rsidRPr="00111094">
        <w:rPr>
          <w:rFonts w:ascii="Times New Roman" w:hAnsi="Times New Roman" w:cs="Times New Roman"/>
          <w:sz w:val="24"/>
          <w:szCs w:val="24"/>
        </w:rPr>
        <w:t xml:space="preserve"> frente a competidores que sí han avanzado en esta línea. Esta situación limita su capacidad de captar clientes importadores/exportadores que buscan una solución integral puerta-a-puerta con servicios aduaneros incluidos.</w:t>
      </w:r>
    </w:p>
    <w:p w14:paraId="5468AD08" w14:textId="77777777" w:rsidR="0003135E" w:rsidRPr="00111094" w:rsidRDefault="0003135E"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En términos de capacidades, TASA posee:</w:t>
      </w:r>
    </w:p>
    <w:p w14:paraId="27AF4E25" w14:textId="4132B84F" w:rsidR="0003135E" w:rsidRPr="00111094" w:rsidRDefault="0003135E" w:rsidP="00FE2A09">
      <w:pPr>
        <w:pStyle w:val="Prrafodelista"/>
        <w:numPr>
          <w:ilvl w:val="0"/>
          <w:numId w:val="9"/>
        </w:numPr>
        <w:spacing w:after="0"/>
        <w:ind w:left="709" w:firstLine="0"/>
        <w:jc w:val="both"/>
        <w:rPr>
          <w:rFonts w:ascii="Times New Roman" w:hAnsi="Times New Roman" w:cs="Times New Roman"/>
          <w:sz w:val="24"/>
          <w:szCs w:val="24"/>
        </w:rPr>
      </w:pPr>
      <w:r w:rsidRPr="00111094">
        <w:rPr>
          <w:rFonts w:ascii="Times New Roman" w:hAnsi="Times New Roman" w:cs="Times New Roman"/>
          <w:sz w:val="24"/>
          <w:szCs w:val="24"/>
        </w:rPr>
        <w:t>Infraestructura adaptable a los requisitos de AFIP (cercos perimetrales, seguridad,</w:t>
      </w:r>
      <w:r w:rsidR="001D3E75" w:rsidRPr="00111094">
        <w:rPr>
          <w:rFonts w:ascii="Times New Roman" w:hAnsi="Times New Roman" w:cs="Times New Roman"/>
          <w:sz w:val="24"/>
          <w:szCs w:val="24"/>
        </w:rPr>
        <w:br/>
        <w:t xml:space="preserve">             ac</w:t>
      </w:r>
      <w:r w:rsidRPr="00111094">
        <w:rPr>
          <w:rFonts w:ascii="Times New Roman" w:hAnsi="Times New Roman" w:cs="Times New Roman"/>
          <w:sz w:val="24"/>
          <w:szCs w:val="24"/>
        </w:rPr>
        <w:t>cesos).</w:t>
      </w:r>
    </w:p>
    <w:p w14:paraId="6FCE2F8E" w14:textId="0DB8FD04" w:rsidR="0003135E" w:rsidRPr="00111094" w:rsidRDefault="0003135E" w:rsidP="00FE2A09">
      <w:pPr>
        <w:pStyle w:val="Prrafodelista"/>
        <w:numPr>
          <w:ilvl w:val="0"/>
          <w:numId w:val="9"/>
        </w:num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Sistemas de desarrollo propio de gestión WMS con trazabilidad.</w:t>
      </w:r>
    </w:p>
    <w:p w14:paraId="1CD92A80" w14:textId="77777777" w:rsidR="0003135E" w:rsidRPr="00111094" w:rsidRDefault="0003135E" w:rsidP="00FE2A09">
      <w:pPr>
        <w:pStyle w:val="Prrafodelista"/>
        <w:numPr>
          <w:ilvl w:val="0"/>
          <w:numId w:val="9"/>
        </w:num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Experiencia en operaciones normadas (ej: productos regulados por ANMAT).</w:t>
      </w:r>
    </w:p>
    <w:p w14:paraId="01076720" w14:textId="77777777" w:rsidR="0003135E" w:rsidRPr="00111094" w:rsidRDefault="0003135E" w:rsidP="00FE2A09">
      <w:pPr>
        <w:pStyle w:val="Prrafodelista"/>
        <w:numPr>
          <w:ilvl w:val="0"/>
          <w:numId w:val="9"/>
        </w:num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Relación con despachantes, cámaras y organismos de control.</w:t>
      </w:r>
    </w:p>
    <w:p w14:paraId="2A00C386" w14:textId="77777777" w:rsidR="0003135E" w:rsidRPr="00111094" w:rsidRDefault="0003135E"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Por ello, la incorporación de un depósito fiscal en Pilar aparece como una oportunidad concreta para expandir el portafolio de servicios, mejorar su posicionamiento en el segmento de comercio exterior y potenciar la rentabilidad del negocio logístico.</w:t>
      </w:r>
    </w:p>
    <w:p w14:paraId="19CF1E38" w14:textId="009EE828" w:rsidR="008C766F" w:rsidRPr="00111094" w:rsidRDefault="00305718" w:rsidP="00FE2A09">
      <w:pPr>
        <w:pStyle w:val="Ttulo2"/>
        <w:jc w:val="both"/>
        <w:rPr>
          <w:rFonts w:ascii="Times New Roman" w:hAnsi="Times New Roman" w:cs="Times New Roman"/>
        </w:rPr>
      </w:pPr>
      <w:bookmarkStart w:id="26" w:name="_Toc228778728"/>
      <w:r w:rsidRPr="00111094">
        <w:rPr>
          <w:rFonts w:ascii="Times New Roman" w:hAnsi="Times New Roman" w:cs="Times New Roman"/>
        </w:rPr>
        <w:t>Análisis del entorno y diagnóstico estratégico</w:t>
      </w:r>
      <w:bookmarkEnd w:id="26"/>
    </w:p>
    <w:p w14:paraId="39C701A4" w14:textId="595E6DB8" w:rsidR="008C766F" w:rsidRPr="00111094" w:rsidRDefault="008C766F" w:rsidP="00FE2A09">
      <w:pPr>
        <w:pStyle w:val="Prrafodelista"/>
        <w:numPr>
          <w:ilvl w:val="0"/>
          <w:numId w:val="20"/>
        </w:numPr>
        <w:spacing w:after="0"/>
        <w:jc w:val="both"/>
        <w:rPr>
          <w:rFonts w:ascii="Times New Roman" w:hAnsi="Times New Roman" w:cs="Times New Roman"/>
          <w:b/>
          <w:bCs/>
        </w:rPr>
      </w:pPr>
      <w:r w:rsidRPr="00111094">
        <w:rPr>
          <w:rFonts w:ascii="Times New Roman" w:hAnsi="Times New Roman" w:cs="Times New Roman"/>
          <w:b/>
          <w:bCs/>
        </w:rPr>
        <w:t>Marco normativo del depósito fiscal en Argentina</w:t>
      </w:r>
    </w:p>
    <w:p w14:paraId="2296CC5E" w14:textId="77777777" w:rsidR="008C766F" w:rsidRPr="00111094" w:rsidRDefault="008C766F" w:rsidP="00FE2A09">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El régimen de depósitos fiscales está regulado por la Resolución General AFIP 4352/2018, que establece los requisitos técnicos, operativos y legales para que un operador pueda habilitar un predio bajo control aduanero. Los depósitos fiscales permiten almacenar mercadería no nacionalizada y operar con diferimiento de tributos, brindando ventajas a importadores/exportadores.</w:t>
      </w:r>
    </w:p>
    <w:p w14:paraId="21A63B0C" w14:textId="77777777" w:rsidR="008C766F" w:rsidRPr="00111094" w:rsidRDefault="008C766F"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Entre los requerimientos normativos se destacan:</w:t>
      </w:r>
    </w:p>
    <w:p w14:paraId="40167CA6"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t>Habilitación previa por parte de AFIP-DGA.</w:t>
      </w:r>
    </w:p>
    <w:p w14:paraId="7EB64C2C"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t>Condiciones de infraestructura específicas: cercos perimetrales, cámaras, accesos independientes, sensores, pisos industriales, sistemas de trazabilidad.</w:t>
      </w:r>
    </w:p>
    <w:p w14:paraId="1F61F9CF"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t>Gestión documental digital con trazabilidad aduanera.</w:t>
      </w:r>
    </w:p>
    <w:p w14:paraId="3AC60D3B"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lastRenderedPageBreak/>
        <w:t>Garantías aduaneras (según volumen y riesgo).</w:t>
      </w:r>
    </w:p>
    <w:p w14:paraId="398BBA49"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t>Presentación de manual operativo, planos y vínculos contractuales.</w:t>
      </w:r>
    </w:p>
    <w:p w14:paraId="158BC093" w14:textId="77777777" w:rsidR="008C766F" w:rsidRPr="00111094" w:rsidRDefault="008C766F" w:rsidP="00FE2A09">
      <w:pPr>
        <w:pStyle w:val="Prrafodelista"/>
        <w:numPr>
          <w:ilvl w:val="0"/>
          <w:numId w:val="10"/>
        </w:numPr>
        <w:ind w:left="1080"/>
        <w:jc w:val="both"/>
        <w:rPr>
          <w:rFonts w:ascii="Times New Roman" w:hAnsi="Times New Roman" w:cs="Times New Roman"/>
          <w:sz w:val="24"/>
          <w:szCs w:val="24"/>
        </w:rPr>
      </w:pPr>
      <w:r w:rsidRPr="00111094">
        <w:rPr>
          <w:rFonts w:ascii="Times New Roman" w:hAnsi="Times New Roman" w:cs="Times New Roman"/>
          <w:sz w:val="24"/>
          <w:szCs w:val="24"/>
        </w:rPr>
        <w:t>La normativa también distingue entre depósitos fiscales generales, particulares, exclusivos y provisorios, dependiendo del tipo de operación y titularidad.</w:t>
      </w:r>
    </w:p>
    <w:p w14:paraId="5B91016E" w14:textId="77777777" w:rsidR="00305718" w:rsidRPr="00111094" w:rsidRDefault="008C766F" w:rsidP="00FE2A09">
      <w:pPr>
        <w:pStyle w:val="Ttulo2"/>
        <w:rPr>
          <w:rFonts w:ascii="Times New Roman" w:hAnsi="Times New Roman" w:cs="Times New Roman"/>
        </w:rPr>
      </w:pPr>
      <w:bookmarkStart w:id="27" w:name="_Toc228778729"/>
      <w:r w:rsidRPr="00111094">
        <w:rPr>
          <w:rFonts w:ascii="Times New Roman" w:hAnsi="Times New Roman" w:cs="Times New Roman"/>
        </w:rPr>
        <w:t>Análisis del macroentorno – PESTEL</w:t>
      </w:r>
      <w:bookmarkEnd w:id="27"/>
    </w:p>
    <w:p w14:paraId="35642FA5" w14:textId="7D3376D1" w:rsidR="007B04D5" w:rsidRPr="00111094" w:rsidRDefault="00305718" w:rsidP="007E37CC">
      <w:pPr>
        <w:ind w:left="-142"/>
        <w:rPr>
          <w:rFonts w:ascii="Times New Roman" w:hAnsi="Times New Roman" w:cs="Times New Roman"/>
        </w:rPr>
      </w:pPr>
      <w:bookmarkStart w:id="28" w:name="_Toc201947068"/>
      <w:r w:rsidRPr="00111094">
        <w:rPr>
          <w:rFonts w:ascii="Times New Roman" w:hAnsi="Times New Roman" w:cs="Times New Roman"/>
          <w:noProof/>
          <w:lang w:eastAsia="es-AR"/>
        </w:rPr>
        <w:drawing>
          <wp:inline distT="0" distB="0" distL="0" distR="0" wp14:anchorId="3A6224F7" wp14:editId="1FB415E4">
            <wp:extent cx="6039293" cy="4427220"/>
            <wp:effectExtent l="0" t="38100" r="0" b="49530"/>
            <wp:docPr id="1476524935"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bookmarkEnd w:id="28"/>
    </w:p>
    <w:p w14:paraId="62E16370" w14:textId="7201443D" w:rsidR="008C766F" w:rsidRPr="00111094" w:rsidRDefault="008C766F" w:rsidP="00FE2A09">
      <w:pPr>
        <w:pStyle w:val="Ttulo2"/>
        <w:spacing w:before="0"/>
        <w:rPr>
          <w:rFonts w:ascii="Times New Roman" w:hAnsi="Times New Roman" w:cs="Times New Roman"/>
        </w:rPr>
      </w:pPr>
      <w:bookmarkStart w:id="29" w:name="_Toc228778730"/>
      <w:r w:rsidRPr="00111094">
        <w:rPr>
          <w:rFonts w:ascii="Times New Roman" w:hAnsi="Times New Roman" w:cs="Times New Roman"/>
        </w:rPr>
        <w:t>Análisis del microentorno - 5 fuerzas de Porter</w:t>
      </w:r>
      <w:bookmarkEnd w:id="29"/>
    </w:p>
    <w:tbl>
      <w:tblPr>
        <w:tblStyle w:val="GridTable4Accent1"/>
        <w:tblW w:w="9464" w:type="dxa"/>
        <w:tblLook w:val="04A0" w:firstRow="1" w:lastRow="0" w:firstColumn="1" w:lastColumn="0" w:noHBand="0" w:noVBand="1"/>
      </w:tblPr>
      <w:tblGrid>
        <w:gridCol w:w="3474"/>
        <w:gridCol w:w="1128"/>
        <w:gridCol w:w="4862"/>
      </w:tblGrid>
      <w:tr w:rsidR="007F7EFE" w:rsidRPr="00111094" w14:paraId="3B7C4DFC" w14:textId="77777777" w:rsidTr="007E37CC">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0" w:type="auto"/>
            <w:hideMark/>
          </w:tcPr>
          <w:p w14:paraId="71BC39AA" w14:textId="77777777" w:rsidR="007F7EFE" w:rsidRPr="00111094" w:rsidRDefault="007F7EFE" w:rsidP="007F7EFE">
            <w:pPr>
              <w:jc w:val="center"/>
              <w:rPr>
                <w:rFonts w:ascii="Times New Roman" w:eastAsia="Times New Roman" w:hAnsi="Times New Roman" w:cs="Times New Roman"/>
                <w:sz w:val="20"/>
                <w:szCs w:val="20"/>
                <w:lang w:eastAsia="es-MX"/>
              </w:rPr>
            </w:pPr>
            <w:r w:rsidRPr="00111094">
              <w:rPr>
                <w:rFonts w:ascii="Times New Roman" w:eastAsia="Times New Roman" w:hAnsi="Times New Roman" w:cs="Times New Roman"/>
                <w:sz w:val="20"/>
                <w:szCs w:val="20"/>
                <w:lang w:eastAsia="es-MX"/>
              </w:rPr>
              <w:t>Fuerza</w:t>
            </w:r>
          </w:p>
        </w:tc>
        <w:tc>
          <w:tcPr>
            <w:tcW w:w="0" w:type="auto"/>
            <w:hideMark/>
          </w:tcPr>
          <w:p w14:paraId="5CFD296A" w14:textId="77777777" w:rsidR="007F7EFE" w:rsidRPr="00111094" w:rsidRDefault="007F7EFE" w:rsidP="007F7EF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r w:rsidRPr="00111094">
              <w:rPr>
                <w:rFonts w:ascii="Times New Roman" w:eastAsia="Times New Roman" w:hAnsi="Times New Roman" w:cs="Times New Roman"/>
                <w:sz w:val="20"/>
                <w:szCs w:val="20"/>
                <w:lang w:eastAsia="es-MX"/>
              </w:rPr>
              <w:t>Intensidad</w:t>
            </w:r>
          </w:p>
        </w:tc>
        <w:tc>
          <w:tcPr>
            <w:tcW w:w="4862" w:type="dxa"/>
            <w:hideMark/>
          </w:tcPr>
          <w:p w14:paraId="772AAEAE" w14:textId="77777777" w:rsidR="007F7EFE" w:rsidRPr="00111094" w:rsidRDefault="007F7EFE" w:rsidP="007F7EF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MX"/>
              </w:rPr>
            </w:pPr>
            <w:r w:rsidRPr="00111094">
              <w:rPr>
                <w:rFonts w:ascii="Times New Roman" w:eastAsia="Times New Roman" w:hAnsi="Times New Roman" w:cs="Times New Roman"/>
                <w:sz w:val="20"/>
                <w:szCs w:val="20"/>
                <w:lang w:eastAsia="es-MX"/>
              </w:rPr>
              <w:t>Descripción</w:t>
            </w:r>
          </w:p>
        </w:tc>
      </w:tr>
      <w:tr w:rsidR="007F7EFE" w:rsidRPr="00111094" w14:paraId="18E935D3" w14:textId="77777777" w:rsidTr="007E37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AC8914B" w14:textId="77777777" w:rsidR="007F7EFE" w:rsidRPr="00111094" w:rsidRDefault="007F7EFE" w:rsidP="007F7EFE">
            <w:pPr>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Rivalidad entre competidores</w:t>
            </w:r>
          </w:p>
        </w:tc>
        <w:tc>
          <w:tcPr>
            <w:tcW w:w="0" w:type="auto"/>
            <w:hideMark/>
          </w:tcPr>
          <w:p w14:paraId="6B7AAE6E" w14:textId="77777777" w:rsidR="007F7EFE" w:rsidRPr="00111094" w:rsidRDefault="007F7EFE" w:rsidP="00CE3E3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Alta</w:t>
            </w:r>
          </w:p>
        </w:tc>
        <w:tc>
          <w:tcPr>
            <w:tcW w:w="4862" w:type="dxa"/>
            <w:hideMark/>
          </w:tcPr>
          <w:p w14:paraId="5C82970A" w14:textId="77777777" w:rsidR="007F7EFE" w:rsidRPr="00111094" w:rsidRDefault="007F7EFE" w:rsidP="007F7E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Alta competencia entre operadores logísticos 3PL y 4PL. Algunos ya poseen depósitos fiscales, lo que representa una ventaja competitiva.</w:t>
            </w:r>
          </w:p>
        </w:tc>
      </w:tr>
      <w:tr w:rsidR="007F7EFE" w:rsidRPr="00111094" w14:paraId="65C3F91F" w14:textId="77777777" w:rsidTr="007E37CC">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5C2954D" w14:textId="77777777" w:rsidR="007F7EFE" w:rsidRPr="00111094" w:rsidRDefault="007F7EFE" w:rsidP="007F7EFE">
            <w:pPr>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Amenaza de nuevos entrantes</w:t>
            </w:r>
          </w:p>
        </w:tc>
        <w:tc>
          <w:tcPr>
            <w:tcW w:w="0" w:type="auto"/>
            <w:hideMark/>
          </w:tcPr>
          <w:p w14:paraId="54E686E9" w14:textId="77777777" w:rsidR="007F7EFE" w:rsidRPr="00111094" w:rsidRDefault="007F7EFE" w:rsidP="00CE3E3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Media</w:t>
            </w:r>
          </w:p>
        </w:tc>
        <w:tc>
          <w:tcPr>
            <w:tcW w:w="4862" w:type="dxa"/>
            <w:hideMark/>
          </w:tcPr>
          <w:p w14:paraId="2AD26D9D" w14:textId="77777777" w:rsidR="007F7EFE" w:rsidRPr="00111094" w:rsidRDefault="007F7EFE" w:rsidP="007F7E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Alta barrera de entrada normativa y de inversión inicial, pero el contexto económico actual puede incentivar nuevos jugadores.</w:t>
            </w:r>
          </w:p>
        </w:tc>
      </w:tr>
      <w:tr w:rsidR="007F7EFE" w:rsidRPr="00111094" w14:paraId="78940508" w14:textId="77777777" w:rsidTr="007E37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A391957" w14:textId="77777777" w:rsidR="007F7EFE" w:rsidRPr="00111094" w:rsidRDefault="007F7EFE" w:rsidP="007F7EFE">
            <w:pPr>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Poder de negociación de los clientes</w:t>
            </w:r>
          </w:p>
        </w:tc>
        <w:tc>
          <w:tcPr>
            <w:tcW w:w="0" w:type="auto"/>
            <w:hideMark/>
          </w:tcPr>
          <w:p w14:paraId="6B8DFAD7" w14:textId="77777777" w:rsidR="007F7EFE" w:rsidRPr="00111094" w:rsidRDefault="007F7EFE" w:rsidP="00CE3E3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Alto</w:t>
            </w:r>
          </w:p>
        </w:tc>
        <w:tc>
          <w:tcPr>
            <w:tcW w:w="4862" w:type="dxa"/>
            <w:hideMark/>
          </w:tcPr>
          <w:p w14:paraId="40DCFAF3" w14:textId="77777777" w:rsidR="007F7EFE" w:rsidRPr="00111094" w:rsidRDefault="007F7EFE" w:rsidP="007F7E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Clientes grandes (multinacionales) exigen soluciones completas, precios competitivos y trazabilidad.</w:t>
            </w:r>
          </w:p>
        </w:tc>
      </w:tr>
      <w:tr w:rsidR="007F7EFE" w:rsidRPr="00111094" w14:paraId="3E2D72D7" w14:textId="77777777" w:rsidTr="007E37CC">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191EC0E" w14:textId="77777777" w:rsidR="007F7EFE" w:rsidRPr="00111094" w:rsidRDefault="007F7EFE" w:rsidP="007F7EFE">
            <w:pPr>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Poder de negociación de los proveedores</w:t>
            </w:r>
          </w:p>
        </w:tc>
        <w:tc>
          <w:tcPr>
            <w:tcW w:w="0" w:type="auto"/>
            <w:hideMark/>
          </w:tcPr>
          <w:p w14:paraId="3619C182" w14:textId="77777777" w:rsidR="007F7EFE" w:rsidRPr="00111094" w:rsidRDefault="007F7EFE" w:rsidP="00CE3E3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Medio</w:t>
            </w:r>
          </w:p>
        </w:tc>
        <w:tc>
          <w:tcPr>
            <w:tcW w:w="4862" w:type="dxa"/>
            <w:hideMark/>
          </w:tcPr>
          <w:p w14:paraId="15216BB3" w14:textId="77777777" w:rsidR="007F7EFE" w:rsidRPr="00111094" w:rsidRDefault="007F7EFE" w:rsidP="007F7E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Proveedores de infraestructura y servicios tecnológicos son clave. No hay fuerte concentración.</w:t>
            </w:r>
          </w:p>
        </w:tc>
      </w:tr>
      <w:tr w:rsidR="007F7EFE" w:rsidRPr="00111094" w14:paraId="4BB3B391" w14:textId="77777777" w:rsidTr="007E37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09B8083" w14:textId="77777777" w:rsidR="007F7EFE" w:rsidRPr="00111094" w:rsidRDefault="007F7EFE" w:rsidP="007F7EFE">
            <w:pPr>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Amenaza de productos sustitutos</w:t>
            </w:r>
          </w:p>
        </w:tc>
        <w:tc>
          <w:tcPr>
            <w:tcW w:w="0" w:type="auto"/>
            <w:hideMark/>
          </w:tcPr>
          <w:p w14:paraId="189E1CB3" w14:textId="77777777" w:rsidR="007F7EFE" w:rsidRPr="00111094" w:rsidRDefault="007F7EFE" w:rsidP="00CE3E3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Baja</w:t>
            </w:r>
          </w:p>
        </w:tc>
        <w:tc>
          <w:tcPr>
            <w:tcW w:w="4862" w:type="dxa"/>
            <w:hideMark/>
          </w:tcPr>
          <w:p w14:paraId="04BFC34A" w14:textId="77777777" w:rsidR="007F7EFE" w:rsidRPr="00111094" w:rsidRDefault="007F7EFE" w:rsidP="007F7EF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MX"/>
              </w:rPr>
            </w:pPr>
            <w:r w:rsidRPr="00111094">
              <w:rPr>
                <w:rFonts w:ascii="Times New Roman" w:eastAsia="Times New Roman" w:hAnsi="Times New Roman" w:cs="Times New Roman"/>
                <w:color w:val="000000"/>
                <w:sz w:val="20"/>
                <w:szCs w:val="20"/>
                <w:lang w:eastAsia="es-MX"/>
              </w:rPr>
              <w:t>No existen sustitutos directos al régimen de depósito fiscal en el comercio exterior argentino.</w:t>
            </w:r>
          </w:p>
        </w:tc>
      </w:tr>
    </w:tbl>
    <w:p w14:paraId="1C8DC313" w14:textId="337E47D3" w:rsidR="008C766F" w:rsidRPr="00111094" w:rsidRDefault="008C766F" w:rsidP="00FE2A09">
      <w:pPr>
        <w:pStyle w:val="Ttulo2"/>
        <w:spacing w:before="0"/>
        <w:rPr>
          <w:rFonts w:ascii="Times New Roman" w:hAnsi="Times New Roman" w:cs="Times New Roman"/>
        </w:rPr>
      </w:pPr>
      <w:bookmarkStart w:id="30" w:name="_Toc228778731"/>
      <w:r w:rsidRPr="00111094">
        <w:rPr>
          <w:rFonts w:ascii="Times New Roman" w:hAnsi="Times New Roman" w:cs="Times New Roman"/>
        </w:rPr>
        <w:lastRenderedPageBreak/>
        <w:t>Matriz F.O.D.A.</w:t>
      </w:r>
      <w:bookmarkEnd w:id="30"/>
    </w:p>
    <w:p w14:paraId="6B534C49" w14:textId="059C6210" w:rsidR="007F7EFE" w:rsidRPr="00111094" w:rsidRDefault="001D3E75" w:rsidP="00F51BD9">
      <w:pPr>
        <w:ind w:left="-851"/>
        <w:rPr>
          <w:rFonts w:ascii="Times New Roman" w:hAnsi="Times New Roman" w:cs="Times New Roman"/>
        </w:rPr>
      </w:pPr>
      <w:r w:rsidRPr="00111094">
        <w:rPr>
          <w:rFonts w:ascii="Times New Roman" w:hAnsi="Times New Roman" w:cs="Times New Roman"/>
          <w:noProof/>
          <w:lang w:eastAsia="es-AR"/>
        </w:rPr>
        <w:drawing>
          <wp:inline distT="0" distB="0" distL="0" distR="0" wp14:anchorId="5B6AAB6B" wp14:editId="74388A7F">
            <wp:extent cx="6888480" cy="2540000"/>
            <wp:effectExtent l="0" t="0" r="0" b="0"/>
            <wp:docPr id="33934943"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B790169" w14:textId="50691B90" w:rsidR="008C766F" w:rsidRPr="00111094" w:rsidRDefault="008C766F" w:rsidP="00FE2A09">
      <w:pPr>
        <w:pStyle w:val="Ttulo2"/>
        <w:jc w:val="both"/>
        <w:rPr>
          <w:rFonts w:ascii="Times New Roman" w:hAnsi="Times New Roman" w:cs="Times New Roman"/>
        </w:rPr>
      </w:pPr>
      <w:bookmarkStart w:id="31" w:name="_Toc228778732"/>
      <w:r w:rsidRPr="00111094">
        <w:rPr>
          <w:rFonts w:ascii="Times New Roman" w:hAnsi="Times New Roman" w:cs="Times New Roman"/>
        </w:rPr>
        <w:t>Relevamiento de la situación actual y diagnóstico</w:t>
      </w:r>
      <w:bookmarkEnd w:id="31"/>
    </w:p>
    <w:p w14:paraId="7C37EB0A" w14:textId="77777777" w:rsidR="008C766F" w:rsidRPr="00111094" w:rsidRDefault="008C766F"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análisis realizado muestra que TASA Logística posee ventajas competitivas clave (infraestructura propia, procesos certificados, capilaridad operativa), pero enfrenta una brecha estratégica al no contar actualmente con una unidad de negocios bajo régimen fiscal.</w:t>
      </w:r>
    </w:p>
    <w:p w14:paraId="39028853" w14:textId="77777777" w:rsidR="008C766F" w:rsidRPr="00111094" w:rsidRDefault="008C766F"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empresa cuenta con condiciones objetivas y estratégicas para desarrollar el proyecto en Pilar, destacándose:</w:t>
      </w:r>
    </w:p>
    <w:p w14:paraId="4BABE551" w14:textId="77777777" w:rsidR="008C766F" w:rsidRPr="00111094" w:rsidRDefault="008C766F" w:rsidP="00FE2A09">
      <w:pPr>
        <w:pStyle w:val="Prrafodelista"/>
        <w:numPr>
          <w:ilvl w:val="0"/>
          <w:numId w:val="11"/>
        </w:numPr>
        <w:spacing w:after="0"/>
        <w:jc w:val="both"/>
        <w:rPr>
          <w:rFonts w:ascii="Times New Roman" w:hAnsi="Times New Roman" w:cs="Times New Roman"/>
          <w:sz w:val="24"/>
          <w:szCs w:val="24"/>
        </w:rPr>
      </w:pPr>
      <w:r w:rsidRPr="00111094">
        <w:rPr>
          <w:rFonts w:ascii="Times New Roman" w:hAnsi="Times New Roman" w:cs="Times New Roman"/>
          <w:sz w:val="24"/>
          <w:szCs w:val="24"/>
        </w:rPr>
        <w:t>Espacios disponibles para reconversión o nueva habilitación.</w:t>
      </w:r>
    </w:p>
    <w:p w14:paraId="590AF27B" w14:textId="77777777" w:rsidR="008C766F" w:rsidRPr="00111094" w:rsidRDefault="008C766F" w:rsidP="00FE2A09">
      <w:pPr>
        <w:pStyle w:val="Prrafodelista"/>
        <w:numPr>
          <w:ilvl w:val="0"/>
          <w:numId w:val="11"/>
        </w:numPr>
        <w:spacing w:after="0"/>
        <w:jc w:val="both"/>
        <w:rPr>
          <w:rFonts w:ascii="Times New Roman" w:hAnsi="Times New Roman" w:cs="Times New Roman"/>
          <w:sz w:val="24"/>
          <w:szCs w:val="24"/>
        </w:rPr>
      </w:pPr>
      <w:r w:rsidRPr="00111094">
        <w:rPr>
          <w:rFonts w:ascii="Times New Roman" w:hAnsi="Times New Roman" w:cs="Times New Roman"/>
          <w:sz w:val="24"/>
          <w:szCs w:val="24"/>
        </w:rPr>
        <w:t>Flujo potencial de clientes vinculados a importación/exportación.</w:t>
      </w:r>
    </w:p>
    <w:p w14:paraId="29640E57" w14:textId="77777777" w:rsidR="008C766F" w:rsidRPr="00111094" w:rsidRDefault="008C766F" w:rsidP="00FE2A09">
      <w:pPr>
        <w:pStyle w:val="Prrafodelista"/>
        <w:numPr>
          <w:ilvl w:val="0"/>
          <w:numId w:val="11"/>
        </w:numPr>
        <w:spacing w:after="0"/>
        <w:jc w:val="both"/>
        <w:rPr>
          <w:rFonts w:ascii="Times New Roman" w:hAnsi="Times New Roman" w:cs="Times New Roman"/>
          <w:sz w:val="24"/>
          <w:szCs w:val="24"/>
        </w:rPr>
      </w:pPr>
      <w:r w:rsidRPr="00111094">
        <w:rPr>
          <w:rFonts w:ascii="Times New Roman" w:hAnsi="Times New Roman" w:cs="Times New Roman"/>
          <w:sz w:val="24"/>
          <w:szCs w:val="24"/>
        </w:rPr>
        <w:t>Relación con organismos y clientes que facilitaría la implementación.</w:t>
      </w:r>
    </w:p>
    <w:p w14:paraId="6D2C19A7" w14:textId="2D6A5982" w:rsidR="00C0460F" w:rsidRDefault="008C766F" w:rsidP="00FE2A0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diagnóstico estratégico indica que la incorporación del depósito fiscal no solo es viable, sino que podría representar un salto cualitativo en la oferta de servicios de TASA, mejorando su rentabilidad, captación de nuevos clientes y posicionamiento como operador logístico integral (3PL con servicios aduaneros).</w:t>
      </w:r>
    </w:p>
    <w:p w14:paraId="54D4528D" w14:textId="4CF3EEB1" w:rsidR="004D40C5" w:rsidRPr="00111094" w:rsidRDefault="004D40C5" w:rsidP="00FE2A09">
      <w:pPr>
        <w:spacing w:after="0"/>
        <w:ind w:firstLine="720"/>
        <w:jc w:val="both"/>
        <w:rPr>
          <w:rFonts w:ascii="Times New Roman" w:hAnsi="Times New Roman" w:cs="Times New Roman"/>
          <w:sz w:val="24"/>
          <w:szCs w:val="24"/>
        </w:rPr>
      </w:pPr>
      <w:r w:rsidRPr="004D40C5">
        <w:rPr>
          <w:rFonts w:ascii="Times New Roman" w:hAnsi="Times New Roman" w:cs="Times New Roman"/>
          <w:sz w:val="24"/>
          <w:szCs w:val="24"/>
        </w:rPr>
        <w:t>La evaluación financiera se realiza sobre el flujo de fondos libre del proyecto (Free Cash Flow unlevered), con el objetivo de analizar la creación de valor intrínseca del negocio, independientemente de la estructura de financiamiento</w:t>
      </w:r>
    </w:p>
    <w:p w14:paraId="27E04DAE" w14:textId="77777777" w:rsidR="005B545C" w:rsidRPr="00111094" w:rsidRDefault="005B545C">
      <w:pPr>
        <w:rPr>
          <w:rFonts w:ascii="Times New Roman" w:eastAsiaTheme="majorEastAsia" w:hAnsi="Times New Roman" w:cs="Times New Roman"/>
          <w:b/>
          <w:bCs/>
          <w:color w:val="4F81BD" w:themeColor="accent1"/>
          <w:w w:val="70"/>
          <w:sz w:val="40"/>
          <w:szCs w:val="40"/>
        </w:rPr>
      </w:pPr>
      <w:r w:rsidRPr="00111094">
        <w:rPr>
          <w:rFonts w:ascii="Times New Roman" w:hAnsi="Times New Roman" w:cs="Times New Roman"/>
          <w:color w:val="4F81BD" w:themeColor="accent1"/>
          <w:w w:val="70"/>
          <w:sz w:val="40"/>
          <w:szCs w:val="40"/>
        </w:rPr>
        <w:br w:type="page"/>
      </w:r>
    </w:p>
    <w:p w14:paraId="64EA2787" w14:textId="2DA82D58" w:rsidR="00656ED2" w:rsidRPr="00111094" w:rsidRDefault="00C0460F" w:rsidP="00FE2A09">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32" w:name="_Toc228778733"/>
      <w:r w:rsidRPr="00111094">
        <w:rPr>
          <w:rFonts w:ascii="Times New Roman" w:hAnsi="Times New Roman" w:cs="Times New Roman"/>
          <w:color w:val="4F81BD" w:themeColor="accent1"/>
          <w:w w:val="70"/>
          <w:sz w:val="40"/>
          <w:szCs w:val="40"/>
        </w:rPr>
        <w:lastRenderedPageBreak/>
        <w:t xml:space="preserve">CAPÍTULO </w:t>
      </w:r>
      <w:r w:rsidR="00656ED2" w:rsidRPr="00111094">
        <w:rPr>
          <w:rFonts w:ascii="Times New Roman" w:hAnsi="Times New Roman" w:cs="Times New Roman"/>
          <w:color w:val="4F81BD" w:themeColor="accent1"/>
          <w:w w:val="70"/>
          <w:sz w:val="40"/>
          <w:szCs w:val="40"/>
        </w:rPr>
        <w:t>4 -</w:t>
      </w:r>
      <w:r w:rsidRPr="00111094">
        <w:rPr>
          <w:rFonts w:ascii="Times New Roman" w:hAnsi="Times New Roman" w:cs="Times New Roman"/>
          <w:color w:val="4F81BD" w:themeColor="accent1"/>
          <w:w w:val="70"/>
          <w:sz w:val="40"/>
          <w:szCs w:val="40"/>
        </w:rPr>
        <w:t xml:space="preserve"> MARCO INVESTIGATIVO</w:t>
      </w:r>
      <w:bookmarkEnd w:id="32"/>
    </w:p>
    <w:p w14:paraId="49BF8F0B" w14:textId="77777777" w:rsidR="00C050BC" w:rsidRPr="00111094" w:rsidRDefault="00C050BC" w:rsidP="00FE2A09">
      <w:pPr>
        <w:pStyle w:val="Ttulo2"/>
        <w:spacing w:after="240"/>
        <w:jc w:val="both"/>
        <w:rPr>
          <w:rFonts w:ascii="Times New Roman" w:hAnsi="Times New Roman" w:cs="Times New Roman"/>
        </w:rPr>
      </w:pPr>
      <w:bookmarkStart w:id="33" w:name="_Toc228778734"/>
      <w:r w:rsidRPr="00111094">
        <w:rPr>
          <w:rFonts w:ascii="Times New Roman" w:hAnsi="Times New Roman" w:cs="Times New Roman"/>
        </w:rPr>
        <w:t>Enfoque metodológico</w:t>
      </w:r>
      <w:bookmarkEnd w:id="33"/>
    </w:p>
    <w:p w14:paraId="54DF6E0A" w14:textId="77777777" w:rsidR="00C050BC" w:rsidRPr="00111094" w:rsidRDefault="00C050BC" w:rsidP="00FE2A09">
      <w:pPr>
        <w:spacing w:before="240"/>
        <w:jc w:val="both"/>
        <w:rPr>
          <w:rFonts w:ascii="Times New Roman" w:hAnsi="Times New Roman" w:cs="Times New Roman"/>
          <w:sz w:val="24"/>
          <w:szCs w:val="24"/>
        </w:rPr>
      </w:pPr>
      <w:r w:rsidRPr="00111094">
        <w:rPr>
          <w:rFonts w:ascii="Times New Roman" w:hAnsi="Times New Roman" w:cs="Times New Roman"/>
          <w:sz w:val="24"/>
          <w:szCs w:val="24"/>
        </w:rPr>
        <w:t xml:space="preserve">El estudio se basa en un </w:t>
      </w:r>
      <w:r w:rsidRPr="00111094">
        <w:rPr>
          <w:rFonts w:ascii="Times New Roman" w:hAnsi="Times New Roman" w:cs="Times New Roman"/>
          <w:b/>
          <w:bCs/>
          <w:sz w:val="24"/>
          <w:szCs w:val="24"/>
        </w:rPr>
        <w:t>enfoque mixto</w:t>
      </w:r>
      <w:r w:rsidRPr="00111094">
        <w:rPr>
          <w:rFonts w:ascii="Times New Roman" w:hAnsi="Times New Roman" w:cs="Times New Roman"/>
          <w:sz w:val="24"/>
          <w:szCs w:val="24"/>
        </w:rPr>
        <w:t xml:space="preserve"> (cualitativo–cuantitativo), lo que permite abordar la complejidad del fenómeno desde múltiples dimensiones:</w:t>
      </w:r>
    </w:p>
    <w:p w14:paraId="1A8D55B2"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El componente cualitativo busca comprender percepciones, barreras, viabilidad normativa, operativa y comercial, a través de entrevistas, observación y análisis documental.</w:t>
      </w:r>
    </w:p>
    <w:p w14:paraId="3B1D3BE5"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El componente cuantitativo permitirá proyectar financieramente el negocio, estimar riesgos y oportunidades mediante herramientas como VAN, TIR y Payback, así como obtener información estructurada sobre la demanda potencial mediante encuestas.</w:t>
      </w:r>
    </w:p>
    <w:p w14:paraId="37E23965" w14:textId="77777777" w:rsidR="00C050BC" w:rsidRPr="00111094" w:rsidRDefault="00C050BC" w:rsidP="00FE2A09">
      <w:pPr>
        <w:pStyle w:val="Ttulo2"/>
        <w:spacing w:after="240"/>
        <w:jc w:val="both"/>
        <w:rPr>
          <w:rFonts w:ascii="Times New Roman" w:hAnsi="Times New Roman" w:cs="Times New Roman"/>
        </w:rPr>
      </w:pPr>
      <w:bookmarkStart w:id="34" w:name="_Toc228778735"/>
      <w:r w:rsidRPr="00111094">
        <w:rPr>
          <w:rFonts w:ascii="Times New Roman" w:hAnsi="Times New Roman" w:cs="Times New Roman"/>
        </w:rPr>
        <w:t>Diseño de investigación</w:t>
      </w:r>
      <w:bookmarkEnd w:id="34"/>
    </w:p>
    <w:p w14:paraId="7CC0AC95" w14:textId="77777777" w:rsidR="00C050BC" w:rsidRPr="00111094" w:rsidRDefault="00C050BC" w:rsidP="00FE2A09">
      <w:pPr>
        <w:spacing w:before="240"/>
        <w:jc w:val="both"/>
        <w:rPr>
          <w:rFonts w:ascii="Times New Roman" w:hAnsi="Times New Roman" w:cs="Times New Roman"/>
          <w:sz w:val="24"/>
          <w:szCs w:val="24"/>
        </w:rPr>
      </w:pPr>
      <w:r w:rsidRPr="00111094">
        <w:rPr>
          <w:rFonts w:ascii="Times New Roman" w:hAnsi="Times New Roman" w:cs="Times New Roman"/>
          <w:sz w:val="24"/>
          <w:szCs w:val="24"/>
        </w:rPr>
        <w:t xml:space="preserve">Se adoptará un diseño de tipo </w:t>
      </w:r>
      <w:r w:rsidRPr="00111094">
        <w:rPr>
          <w:rFonts w:ascii="Times New Roman" w:hAnsi="Times New Roman" w:cs="Times New Roman"/>
          <w:b/>
          <w:bCs/>
          <w:sz w:val="24"/>
          <w:szCs w:val="24"/>
        </w:rPr>
        <w:t>estudio de caso único</w:t>
      </w:r>
      <w:r w:rsidRPr="00111094">
        <w:rPr>
          <w:rFonts w:ascii="Times New Roman" w:hAnsi="Times New Roman" w:cs="Times New Roman"/>
          <w:sz w:val="24"/>
          <w:szCs w:val="24"/>
        </w:rPr>
        <w:t>, centrado en la empresa TASA Logística, evaluando su capacidad, oportunidad y condiciones para incorporar un depósito fiscal. El diseño se complementa con:</w:t>
      </w:r>
    </w:p>
    <w:p w14:paraId="06A9C89E"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Benchmarking de competidores que ya ofrecen este tipo de servicios.</w:t>
      </w:r>
    </w:p>
    <w:p w14:paraId="3A820BDF"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Análisis del entorno macro y microeconómico, así como normativo.</w:t>
      </w:r>
    </w:p>
    <w:p w14:paraId="2A0E45E0"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Trabajo de campo primario, tanto cualitativo como cuantitativo.</w:t>
      </w:r>
    </w:p>
    <w:p w14:paraId="55C019A1" w14:textId="77777777" w:rsidR="00C050BC" w:rsidRPr="00111094" w:rsidRDefault="00C050BC" w:rsidP="00FE2A09">
      <w:pPr>
        <w:pStyle w:val="Ttulo2"/>
        <w:spacing w:after="240"/>
        <w:jc w:val="both"/>
        <w:rPr>
          <w:rFonts w:ascii="Times New Roman" w:hAnsi="Times New Roman" w:cs="Times New Roman"/>
        </w:rPr>
      </w:pPr>
      <w:bookmarkStart w:id="35" w:name="_Toc228778736"/>
      <w:r w:rsidRPr="00111094">
        <w:rPr>
          <w:rFonts w:ascii="Times New Roman" w:hAnsi="Times New Roman" w:cs="Times New Roman"/>
        </w:rPr>
        <w:t>Unidad de análisis</w:t>
      </w:r>
      <w:bookmarkEnd w:id="35"/>
    </w:p>
    <w:p w14:paraId="45A40D87" w14:textId="071D78FA" w:rsidR="00C050BC" w:rsidRPr="00111094" w:rsidRDefault="00C050BC" w:rsidP="00FE2A09">
      <w:pPr>
        <w:jc w:val="both"/>
        <w:rPr>
          <w:rFonts w:ascii="Times New Roman" w:hAnsi="Times New Roman" w:cs="Times New Roman"/>
          <w:sz w:val="24"/>
          <w:szCs w:val="24"/>
        </w:rPr>
      </w:pPr>
      <w:r w:rsidRPr="00111094">
        <w:rPr>
          <w:rFonts w:ascii="Times New Roman" w:hAnsi="Times New Roman" w:cs="Times New Roman"/>
          <w:sz w:val="24"/>
          <w:szCs w:val="24"/>
        </w:rPr>
        <w:t>La unidad de análisis es la operación de TASA en Zona Norte (Pilar), considerando tanto sus recursos actuales (infraestructura, procesos, know-how), como su mercado objetivo (clientes actuales y potenciales del comercio exterior).</w:t>
      </w:r>
    </w:p>
    <w:p w14:paraId="6007AC73" w14:textId="5EF03839" w:rsidR="00C050BC" w:rsidRPr="00111094" w:rsidRDefault="00C050BC" w:rsidP="00FE2A09">
      <w:pPr>
        <w:pStyle w:val="Ttulo2"/>
        <w:spacing w:after="240"/>
        <w:jc w:val="both"/>
        <w:rPr>
          <w:rFonts w:ascii="Times New Roman" w:hAnsi="Times New Roman" w:cs="Times New Roman"/>
        </w:rPr>
      </w:pPr>
      <w:bookmarkStart w:id="36" w:name="_Toc228778737"/>
      <w:r w:rsidRPr="00111094">
        <w:rPr>
          <w:rFonts w:ascii="Times New Roman" w:hAnsi="Times New Roman" w:cs="Times New Roman"/>
        </w:rPr>
        <w:t>Población y muestra</w:t>
      </w:r>
      <w:bookmarkEnd w:id="36"/>
    </w:p>
    <w:p w14:paraId="216FA360" w14:textId="77777777" w:rsidR="00C050BC" w:rsidRPr="00111094" w:rsidRDefault="00C050BC" w:rsidP="00FE2A09">
      <w:pPr>
        <w:jc w:val="both"/>
        <w:rPr>
          <w:rFonts w:ascii="Times New Roman" w:hAnsi="Times New Roman" w:cs="Times New Roman"/>
          <w:sz w:val="24"/>
          <w:szCs w:val="24"/>
        </w:rPr>
      </w:pPr>
      <w:r w:rsidRPr="00111094">
        <w:rPr>
          <w:rFonts w:ascii="Times New Roman" w:hAnsi="Times New Roman" w:cs="Times New Roman"/>
          <w:sz w:val="24"/>
          <w:szCs w:val="24"/>
        </w:rPr>
        <w:t>La muestra es no probabilística por criterio, definida de forma intencionada en función de su relevancia estratégica para el caso. Incluye:</w:t>
      </w:r>
    </w:p>
    <w:p w14:paraId="52DB6D6B"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Actores internos: directivos y gerentes de TASA de áreas clave (Comercial, Operaciones, Legales, Proyectos).</w:t>
      </w:r>
    </w:p>
    <w:p w14:paraId="47019004"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Clientes actuales y potenciales que operen en comercio exterior.</w:t>
      </w:r>
    </w:p>
    <w:p w14:paraId="21FEC3BE" w14:textId="77777777" w:rsidR="00C050BC" w:rsidRPr="00111094" w:rsidRDefault="00C050BC"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Expertos externos en normativa aduanera, habilitaciones, depósitos fiscales y comercio exterior (despachantes, abogados, exfuncionarios).</w:t>
      </w:r>
    </w:p>
    <w:p w14:paraId="0C60F7F9" w14:textId="4C0BED49" w:rsidR="00C050BC" w:rsidRPr="00111094" w:rsidRDefault="00C050BC" w:rsidP="00FE2A09">
      <w:pPr>
        <w:pStyle w:val="Ttulo2"/>
        <w:spacing w:after="240"/>
        <w:jc w:val="both"/>
        <w:rPr>
          <w:rFonts w:ascii="Times New Roman" w:hAnsi="Times New Roman" w:cs="Times New Roman"/>
        </w:rPr>
      </w:pPr>
      <w:bookmarkStart w:id="37" w:name="_Toc228778738"/>
      <w:r w:rsidRPr="00111094">
        <w:rPr>
          <w:rFonts w:ascii="Times New Roman" w:hAnsi="Times New Roman" w:cs="Times New Roman"/>
        </w:rPr>
        <w:lastRenderedPageBreak/>
        <w:t>Técnicas de recolección de datos</w:t>
      </w:r>
      <w:bookmarkEnd w:id="37"/>
    </w:p>
    <w:p w14:paraId="7F15CB84" w14:textId="0D2DF5E2" w:rsidR="00C050BC" w:rsidRPr="00111094" w:rsidRDefault="00C050BC" w:rsidP="00FE2A09">
      <w:pPr>
        <w:pStyle w:val="Ttulo3"/>
        <w:ind w:firstLine="360"/>
        <w:jc w:val="both"/>
        <w:rPr>
          <w:rFonts w:ascii="Times New Roman" w:hAnsi="Times New Roman" w:cs="Times New Roman"/>
          <w:i/>
          <w:iCs/>
          <w:sz w:val="24"/>
          <w:szCs w:val="24"/>
        </w:rPr>
      </w:pPr>
      <w:bookmarkStart w:id="38" w:name="_Toc228778739"/>
      <w:r w:rsidRPr="00111094">
        <w:rPr>
          <w:rFonts w:ascii="Times New Roman" w:hAnsi="Times New Roman" w:cs="Times New Roman"/>
          <w:i/>
          <w:iCs/>
          <w:sz w:val="24"/>
          <w:szCs w:val="24"/>
        </w:rPr>
        <w:t>Cualitativas</w:t>
      </w:r>
      <w:bookmarkEnd w:id="38"/>
    </w:p>
    <w:p w14:paraId="022D92C6" w14:textId="77777777" w:rsidR="00C050BC" w:rsidRPr="00111094" w:rsidRDefault="00C050BC" w:rsidP="00FE2A09">
      <w:pPr>
        <w:numPr>
          <w:ilvl w:val="0"/>
          <w:numId w:val="26"/>
        </w:numPr>
        <w:jc w:val="both"/>
        <w:rPr>
          <w:rFonts w:ascii="Times New Roman" w:hAnsi="Times New Roman" w:cs="Times New Roman"/>
          <w:sz w:val="24"/>
          <w:szCs w:val="24"/>
        </w:rPr>
      </w:pPr>
      <w:r w:rsidRPr="00111094">
        <w:rPr>
          <w:rFonts w:ascii="Times New Roman" w:hAnsi="Times New Roman" w:cs="Times New Roman"/>
          <w:b/>
          <w:bCs/>
          <w:sz w:val="24"/>
          <w:szCs w:val="24"/>
        </w:rPr>
        <w:t>Entrevistas en profundidad</w:t>
      </w:r>
      <w:r w:rsidRPr="00111094">
        <w:rPr>
          <w:rFonts w:ascii="Times New Roman" w:hAnsi="Times New Roman" w:cs="Times New Roman"/>
          <w:sz w:val="24"/>
          <w:szCs w:val="24"/>
        </w:rPr>
        <w:t xml:space="preserve"> (semiestructuradas):</w:t>
      </w:r>
    </w:p>
    <w:p w14:paraId="21A60317" w14:textId="77777777" w:rsidR="005D3ABE"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Objetivo: conocer percepciones, validar riesgos, detectar oportunidades, entender procesos habilitantes.</w:t>
      </w:r>
    </w:p>
    <w:p w14:paraId="0BDC1014" w14:textId="4D72779B"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 xml:space="preserve">Actores: </w:t>
      </w:r>
      <w:r w:rsidR="005B229C" w:rsidRPr="00111094">
        <w:rPr>
          <w:rFonts w:ascii="Times New Roman" w:hAnsi="Times New Roman" w:cs="Times New Roman"/>
          <w:sz w:val="24"/>
          <w:szCs w:val="24"/>
        </w:rPr>
        <w:t>Directores y G</w:t>
      </w:r>
      <w:r w:rsidRPr="00111094">
        <w:rPr>
          <w:rFonts w:ascii="Times New Roman" w:hAnsi="Times New Roman" w:cs="Times New Roman"/>
          <w:sz w:val="24"/>
          <w:szCs w:val="24"/>
        </w:rPr>
        <w:t>erentes de TASA, clientes estratégicos, asesores externos.</w:t>
      </w:r>
    </w:p>
    <w:p w14:paraId="14619999"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Herramienta: guía de entrevista basada en los objetivos de investigación.</w:t>
      </w:r>
    </w:p>
    <w:p w14:paraId="7F4E3D3F" w14:textId="77777777" w:rsidR="00C050BC" w:rsidRPr="00111094" w:rsidRDefault="00C050BC" w:rsidP="00FE2A09">
      <w:pPr>
        <w:numPr>
          <w:ilvl w:val="0"/>
          <w:numId w:val="26"/>
        </w:numPr>
        <w:jc w:val="both"/>
        <w:rPr>
          <w:rFonts w:ascii="Times New Roman" w:hAnsi="Times New Roman" w:cs="Times New Roman"/>
          <w:sz w:val="24"/>
          <w:szCs w:val="24"/>
        </w:rPr>
      </w:pPr>
      <w:r w:rsidRPr="00111094">
        <w:rPr>
          <w:rFonts w:ascii="Times New Roman" w:hAnsi="Times New Roman" w:cs="Times New Roman"/>
          <w:b/>
          <w:bCs/>
          <w:sz w:val="24"/>
          <w:szCs w:val="24"/>
        </w:rPr>
        <w:t>Análisis documental</w:t>
      </w:r>
      <w:r w:rsidRPr="00111094">
        <w:rPr>
          <w:rFonts w:ascii="Times New Roman" w:hAnsi="Times New Roman" w:cs="Times New Roman"/>
          <w:sz w:val="24"/>
          <w:szCs w:val="24"/>
        </w:rPr>
        <w:t>:</w:t>
      </w:r>
    </w:p>
    <w:p w14:paraId="7790A2B4"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Fuentes: Resoluciones AFIP (RG 4352/18), manuales técnicos, jurisprudencia, informes de benchmarking, documentación interna de TASA.</w:t>
      </w:r>
    </w:p>
    <w:p w14:paraId="02BEC74F" w14:textId="77777777" w:rsidR="00C050BC" w:rsidRPr="00111094" w:rsidRDefault="00C050BC" w:rsidP="00FE2A09">
      <w:pPr>
        <w:numPr>
          <w:ilvl w:val="0"/>
          <w:numId w:val="26"/>
        </w:numPr>
        <w:jc w:val="both"/>
        <w:rPr>
          <w:rFonts w:ascii="Times New Roman" w:hAnsi="Times New Roman" w:cs="Times New Roman"/>
          <w:sz w:val="24"/>
          <w:szCs w:val="24"/>
        </w:rPr>
      </w:pPr>
      <w:r w:rsidRPr="00111094">
        <w:rPr>
          <w:rFonts w:ascii="Times New Roman" w:hAnsi="Times New Roman" w:cs="Times New Roman"/>
          <w:b/>
          <w:bCs/>
          <w:sz w:val="24"/>
          <w:szCs w:val="24"/>
        </w:rPr>
        <w:t>Observación directa</w:t>
      </w:r>
      <w:r w:rsidRPr="00111094">
        <w:rPr>
          <w:rFonts w:ascii="Times New Roman" w:hAnsi="Times New Roman" w:cs="Times New Roman"/>
          <w:sz w:val="24"/>
          <w:szCs w:val="24"/>
        </w:rPr>
        <w:t>:</w:t>
      </w:r>
    </w:p>
    <w:p w14:paraId="6BF0D52C" w14:textId="55F0575D"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Recorridos técnicos por predios de Pilar.</w:t>
      </w:r>
    </w:p>
    <w:p w14:paraId="112EF106"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Relevamiento del espacio físico, accesos, infraestructura, y condiciones operativas.</w:t>
      </w:r>
    </w:p>
    <w:p w14:paraId="6BF8E5A5" w14:textId="2124DAE4" w:rsidR="00C050BC" w:rsidRPr="00111094" w:rsidRDefault="00C050BC" w:rsidP="00FE2A09">
      <w:pPr>
        <w:pStyle w:val="Ttulo3"/>
        <w:ind w:firstLine="360"/>
        <w:jc w:val="both"/>
        <w:rPr>
          <w:rFonts w:ascii="Times New Roman" w:hAnsi="Times New Roman" w:cs="Times New Roman"/>
          <w:i/>
          <w:iCs/>
          <w:sz w:val="24"/>
          <w:szCs w:val="24"/>
        </w:rPr>
      </w:pPr>
      <w:bookmarkStart w:id="39" w:name="_Toc228778740"/>
      <w:r w:rsidRPr="00111094">
        <w:rPr>
          <w:rFonts w:ascii="Times New Roman" w:hAnsi="Times New Roman" w:cs="Times New Roman"/>
          <w:i/>
          <w:iCs/>
          <w:sz w:val="24"/>
          <w:szCs w:val="24"/>
        </w:rPr>
        <w:t>Cuantitativas</w:t>
      </w:r>
      <w:bookmarkEnd w:id="39"/>
    </w:p>
    <w:p w14:paraId="468ED9C3" w14:textId="77777777" w:rsidR="00C050BC" w:rsidRPr="00111094" w:rsidRDefault="00C050BC" w:rsidP="00FE2A09">
      <w:pPr>
        <w:numPr>
          <w:ilvl w:val="0"/>
          <w:numId w:val="27"/>
        </w:numPr>
        <w:jc w:val="both"/>
        <w:rPr>
          <w:rFonts w:ascii="Times New Roman" w:hAnsi="Times New Roman" w:cs="Times New Roman"/>
          <w:sz w:val="24"/>
          <w:szCs w:val="24"/>
        </w:rPr>
      </w:pPr>
      <w:r w:rsidRPr="00111094">
        <w:rPr>
          <w:rFonts w:ascii="Times New Roman" w:hAnsi="Times New Roman" w:cs="Times New Roman"/>
          <w:b/>
          <w:bCs/>
          <w:sz w:val="24"/>
          <w:szCs w:val="24"/>
        </w:rPr>
        <w:t>Encuesta autoadministrada a clientes actuales y potenciales</w:t>
      </w:r>
      <w:r w:rsidRPr="00111094">
        <w:rPr>
          <w:rFonts w:ascii="Times New Roman" w:hAnsi="Times New Roman" w:cs="Times New Roman"/>
          <w:sz w:val="24"/>
          <w:szCs w:val="24"/>
        </w:rPr>
        <w:t>:</w:t>
      </w:r>
    </w:p>
    <w:p w14:paraId="7144DA30"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Objetivo: conocer el nivel de interés, expectativas y disposición a contratar el servicio.</w:t>
      </w:r>
    </w:p>
    <w:p w14:paraId="79736729"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Distribución: formato digital.</w:t>
      </w:r>
    </w:p>
    <w:p w14:paraId="5B497652"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Variables: uso actual de depósitos fiscales, atributos valorados, predisposición a cambio de operador, características de carga, disposición a pagar.</w:t>
      </w:r>
    </w:p>
    <w:p w14:paraId="2C4D0D52" w14:textId="77777777" w:rsidR="00C050BC" w:rsidRPr="00111094" w:rsidRDefault="00C050BC" w:rsidP="00FE2A09">
      <w:pPr>
        <w:numPr>
          <w:ilvl w:val="0"/>
          <w:numId w:val="27"/>
        </w:numPr>
        <w:jc w:val="both"/>
        <w:rPr>
          <w:rFonts w:ascii="Times New Roman" w:hAnsi="Times New Roman" w:cs="Times New Roman"/>
          <w:sz w:val="24"/>
          <w:szCs w:val="24"/>
        </w:rPr>
      </w:pPr>
      <w:r w:rsidRPr="00111094">
        <w:rPr>
          <w:rFonts w:ascii="Times New Roman" w:hAnsi="Times New Roman" w:cs="Times New Roman"/>
          <w:b/>
          <w:bCs/>
          <w:sz w:val="24"/>
          <w:szCs w:val="24"/>
        </w:rPr>
        <w:t>Análisis financiero proyectado</w:t>
      </w:r>
      <w:r w:rsidRPr="00111094">
        <w:rPr>
          <w:rFonts w:ascii="Times New Roman" w:hAnsi="Times New Roman" w:cs="Times New Roman"/>
          <w:sz w:val="24"/>
          <w:szCs w:val="24"/>
        </w:rPr>
        <w:t>:</w:t>
      </w:r>
    </w:p>
    <w:p w14:paraId="2304BAFD"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Objetivo: estimar viabilidad económica de la unidad de negocio.</w:t>
      </w:r>
    </w:p>
    <w:p w14:paraId="0786383B"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Herramientas: proyecciones de ingresos y egresos, análisis de inversión inicial, cálculo de VAN, TIR, Payback.</w:t>
      </w:r>
    </w:p>
    <w:p w14:paraId="4327EB60" w14:textId="77777777" w:rsidR="00C050BC" w:rsidRPr="00111094" w:rsidRDefault="00C050BC" w:rsidP="00FE2A09">
      <w:pPr>
        <w:pStyle w:val="Prrafodelista"/>
        <w:numPr>
          <w:ilvl w:val="1"/>
          <w:numId w:val="11"/>
        </w:numPr>
        <w:jc w:val="both"/>
        <w:rPr>
          <w:rFonts w:ascii="Times New Roman" w:hAnsi="Times New Roman" w:cs="Times New Roman"/>
          <w:sz w:val="24"/>
          <w:szCs w:val="24"/>
        </w:rPr>
      </w:pPr>
      <w:r w:rsidRPr="00111094">
        <w:rPr>
          <w:rFonts w:ascii="Times New Roman" w:hAnsi="Times New Roman" w:cs="Times New Roman"/>
          <w:sz w:val="24"/>
          <w:szCs w:val="24"/>
        </w:rPr>
        <w:t>Escenarios: base, optimista y pesimista.</w:t>
      </w:r>
    </w:p>
    <w:p w14:paraId="08977877" w14:textId="4A8D8397" w:rsidR="00C050BC" w:rsidRPr="00111094" w:rsidRDefault="00C050BC" w:rsidP="00FE2A09">
      <w:pPr>
        <w:pStyle w:val="Ttulo2"/>
        <w:spacing w:after="240"/>
        <w:jc w:val="both"/>
        <w:rPr>
          <w:rFonts w:ascii="Times New Roman" w:hAnsi="Times New Roman" w:cs="Times New Roman"/>
        </w:rPr>
      </w:pPr>
      <w:bookmarkStart w:id="40" w:name="_Toc228778741"/>
      <w:r w:rsidRPr="00111094">
        <w:rPr>
          <w:rFonts w:ascii="Times New Roman" w:hAnsi="Times New Roman" w:cs="Times New Roman"/>
        </w:rPr>
        <w:t>Coherencia con la hipótesis y los objetivos</w:t>
      </w:r>
      <w:bookmarkEnd w:id="40"/>
    </w:p>
    <w:p w14:paraId="35F51937" w14:textId="77777777" w:rsidR="00C050BC" w:rsidRPr="00111094" w:rsidRDefault="00C050BC" w:rsidP="00FE2A09">
      <w:pPr>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La metodología propuesta permite </w:t>
      </w:r>
      <w:r w:rsidRPr="00111094">
        <w:rPr>
          <w:rFonts w:ascii="Times New Roman" w:hAnsi="Times New Roman" w:cs="Times New Roman"/>
          <w:b/>
          <w:bCs/>
          <w:sz w:val="24"/>
          <w:szCs w:val="24"/>
        </w:rPr>
        <w:t>responder a la pregunta de investigación</w:t>
      </w:r>
      <w:r w:rsidRPr="00111094">
        <w:rPr>
          <w:rFonts w:ascii="Times New Roman" w:hAnsi="Times New Roman" w:cs="Times New Roman"/>
          <w:sz w:val="24"/>
          <w:szCs w:val="24"/>
        </w:rPr>
        <w:t xml:space="preserve"> y poner a prueba la hipótesis sobre la oportunidad estratégica y rentabilidad de incorporar un depósito fiscal. Asimismo, proporciona una base sólida para el diagnóstico, el análisis financiero y la toma de decisión empresarial.</w:t>
      </w:r>
    </w:p>
    <w:p w14:paraId="33FA73C8" w14:textId="77777777" w:rsidR="008E4BAC" w:rsidRPr="00111094" w:rsidRDefault="008E4BAC" w:rsidP="00FE2A09">
      <w:pPr>
        <w:pStyle w:val="Ttulo2"/>
        <w:spacing w:after="240"/>
        <w:jc w:val="both"/>
        <w:rPr>
          <w:rFonts w:ascii="Times New Roman" w:hAnsi="Times New Roman" w:cs="Times New Roman"/>
        </w:rPr>
      </w:pPr>
      <w:bookmarkStart w:id="41" w:name="_Toc228778742"/>
      <w:r w:rsidRPr="00111094">
        <w:rPr>
          <w:rFonts w:ascii="Times New Roman" w:hAnsi="Times New Roman" w:cs="Times New Roman"/>
        </w:rPr>
        <w:lastRenderedPageBreak/>
        <w:t>Guía de Entrevista en Profundidad</w:t>
      </w:r>
      <w:bookmarkEnd w:id="41"/>
    </w:p>
    <w:p w14:paraId="2A3885DE" w14:textId="77777777" w:rsidR="008E4BAC" w:rsidRDefault="008E4BAC" w:rsidP="00FE2A09">
      <w:pPr>
        <w:pStyle w:val="NormalWeb"/>
        <w:ind w:firstLine="720"/>
        <w:jc w:val="both"/>
        <w:rPr>
          <w:lang w:val="es-AR"/>
        </w:rPr>
      </w:pPr>
      <w:r w:rsidRPr="00111094">
        <w:rPr>
          <w:rStyle w:val="Textoennegrita"/>
          <w:lang w:val="es-AR"/>
        </w:rPr>
        <w:t>Objetivo:</w:t>
      </w:r>
      <w:r w:rsidRPr="00111094">
        <w:rPr>
          <w:lang w:val="es-AR"/>
        </w:rPr>
        <w:t xml:space="preserve"> comprender percepciones estratégicas, oportunidades, barreras y validación operativa del modelo de depósito fiscal desde tres perfiles clave.</w:t>
      </w:r>
    </w:p>
    <w:p w14:paraId="0DA4313C" w14:textId="77777777" w:rsidR="002D3EB1" w:rsidRPr="00111094" w:rsidRDefault="002D3EB1" w:rsidP="00FE2A09">
      <w:pPr>
        <w:pStyle w:val="NormalWeb"/>
        <w:ind w:firstLine="720"/>
        <w:jc w:val="both"/>
        <w:rPr>
          <w:lang w:val="es-AR"/>
        </w:rPr>
      </w:pPr>
    </w:p>
    <w:tbl>
      <w:tblPr>
        <w:tblStyle w:val="Tablaconcuadrcula"/>
        <w:tblW w:w="0" w:type="auto"/>
        <w:tblLook w:val="04A0" w:firstRow="1" w:lastRow="0" w:firstColumn="1" w:lastColumn="0" w:noHBand="0" w:noVBand="1"/>
      </w:tblPr>
      <w:tblGrid>
        <w:gridCol w:w="9500"/>
      </w:tblGrid>
      <w:tr w:rsidR="008E4BAC" w:rsidRPr="00111094" w14:paraId="2AD9FC98" w14:textId="77777777" w:rsidTr="00E26FF8">
        <w:tc>
          <w:tcPr>
            <w:tcW w:w="9500" w:type="dxa"/>
          </w:tcPr>
          <w:p w14:paraId="557450B1" w14:textId="77777777" w:rsidR="008E4BAC" w:rsidRPr="002D3EB1" w:rsidRDefault="008E4BAC" w:rsidP="002D3EB1">
            <w:pPr>
              <w:ind w:left="360"/>
              <w:rPr>
                <w:rFonts w:ascii="Times New Roman" w:hAnsi="Times New Roman" w:cs="Times New Roman"/>
                <w:b/>
                <w:bCs/>
                <w:sz w:val="20"/>
                <w:szCs w:val="20"/>
              </w:rPr>
            </w:pPr>
            <w:r w:rsidRPr="002D3EB1">
              <w:rPr>
                <w:rFonts w:ascii="Times New Roman" w:hAnsi="Times New Roman" w:cs="Times New Roman"/>
                <w:b/>
                <w:bCs/>
                <w:sz w:val="20"/>
                <w:szCs w:val="20"/>
              </w:rPr>
              <w:t>A) Directivos de TASA Logística</w:t>
            </w:r>
          </w:p>
          <w:p w14:paraId="6A48753C"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¿Cuál es la visión estratégica de TASA respecto a la incorporación de nuevos servicios logísticos como el depósito fiscal?</w:t>
            </w:r>
          </w:p>
          <w:p w14:paraId="78C65DF4"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¿Qué factores internos cree que favorecen o dificultan la implementación?</w:t>
            </w:r>
          </w:p>
          <w:p w14:paraId="6D0F4DB4"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¿Cómo evalúan la demanda real de este servicio en su cartera de clientes actuales?</w:t>
            </w:r>
          </w:p>
          <w:p w14:paraId="7F24DA2A"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¿Qué recursos (infraestructura, personas, tecnología) considera que ya tienen cubiertos?</w:t>
            </w:r>
          </w:p>
          <w:p w14:paraId="43D26D20"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¿Qué riesgos observan desde lo normativo o comercial?</w:t>
            </w:r>
          </w:p>
          <w:p w14:paraId="7AB145CE" w14:textId="77777777" w:rsidR="008E4BAC" w:rsidRPr="002D3EB1" w:rsidRDefault="008E4BAC" w:rsidP="002D3EB1">
            <w:pPr>
              <w:numPr>
                <w:ilvl w:val="0"/>
                <w:numId w:val="23"/>
              </w:numPr>
              <w:rPr>
                <w:rFonts w:ascii="Times New Roman" w:hAnsi="Times New Roman" w:cs="Times New Roman"/>
                <w:sz w:val="20"/>
                <w:szCs w:val="20"/>
              </w:rPr>
            </w:pPr>
            <w:r w:rsidRPr="002D3EB1">
              <w:rPr>
                <w:rFonts w:ascii="Times New Roman" w:hAnsi="Times New Roman" w:cs="Times New Roman"/>
                <w:sz w:val="20"/>
                <w:szCs w:val="20"/>
              </w:rPr>
              <w:t>¿Qué impacto esperan lograr en ingresos o posicionamiento?</w:t>
            </w:r>
          </w:p>
          <w:p w14:paraId="7DCFE03A" w14:textId="77777777" w:rsidR="008E4BAC" w:rsidRPr="002D3EB1" w:rsidRDefault="008E4BAC" w:rsidP="002D3EB1">
            <w:pPr>
              <w:ind w:left="720"/>
              <w:rPr>
                <w:rFonts w:ascii="Times New Roman" w:hAnsi="Times New Roman" w:cs="Times New Roman"/>
                <w:sz w:val="20"/>
                <w:szCs w:val="20"/>
              </w:rPr>
            </w:pPr>
            <w:r w:rsidRPr="002D3EB1">
              <w:rPr>
                <w:rFonts w:ascii="Times New Roman" w:hAnsi="Times New Roman" w:cs="Times New Roman"/>
                <w:color w:val="EE0000"/>
                <w:sz w:val="20"/>
                <w:szCs w:val="20"/>
              </w:rPr>
              <w:t>(*) PREGUNTAS GUIAS, SEGÚN EL PERFIL Y ROL DEL ENTREVISTADO DE ADECUAN LAS PREGUNTAS BUSCANDO UN ENFOQUE GOLBAL CONSIDERANDO ROLES OPERATIVOS, IT, FINANZAS Y OTRAS AREAS DE LA COMPAÑÍA.</w:t>
            </w:r>
            <w:r w:rsidRPr="002D3EB1">
              <w:rPr>
                <w:rFonts w:ascii="Times New Roman" w:hAnsi="Times New Roman" w:cs="Times New Roman"/>
                <w:color w:val="EE0000"/>
                <w:sz w:val="20"/>
                <w:szCs w:val="20"/>
              </w:rPr>
              <w:br/>
            </w:r>
          </w:p>
        </w:tc>
      </w:tr>
      <w:tr w:rsidR="008E4BAC" w:rsidRPr="00111094" w14:paraId="4CC0C671" w14:textId="77777777" w:rsidTr="00E26FF8">
        <w:tc>
          <w:tcPr>
            <w:tcW w:w="9500" w:type="dxa"/>
          </w:tcPr>
          <w:p w14:paraId="07BC1FE0" w14:textId="77777777" w:rsidR="008E4BAC" w:rsidRPr="002D3EB1" w:rsidRDefault="008E4BAC" w:rsidP="002D3EB1">
            <w:pPr>
              <w:ind w:left="360"/>
              <w:rPr>
                <w:rFonts w:ascii="Times New Roman" w:hAnsi="Times New Roman" w:cs="Times New Roman"/>
                <w:sz w:val="20"/>
                <w:szCs w:val="20"/>
              </w:rPr>
            </w:pPr>
            <w:r w:rsidRPr="002D3EB1">
              <w:rPr>
                <w:rFonts w:ascii="Times New Roman" w:hAnsi="Times New Roman" w:cs="Times New Roman"/>
                <w:b/>
                <w:bCs/>
                <w:sz w:val="20"/>
                <w:szCs w:val="20"/>
              </w:rPr>
              <w:t>B) Clientes actuales o potenciales (Importadores/Exportadores)</w:t>
            </w:r>
          </w:p>
          <w:p w14:paraId="571F80E2"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¿Cómo es su experiencia actual con operadores logísticos en comercio exterior?</w:t>
            </w:r>
          </w:p>
          <w:p w14:paraId="6EA033E4"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¿Utiliza depósitos fiscales? ¿Qué ventajas y dificultades ha encontrado?</w:t>
            </w:r>
          </w:p>
          <w:p w14:paraId="12F3B136"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¿Qué valora más al momento de elegir un operador con servicios aduaneros?</w:t>
            </w:r>
          </w:p>
          <w:p w14:paraId="29E21001"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¿Estaría dispuesto a consolidar servicios en un único operador si eso mejora eficiencia?</w:t>
            </w:r>
          </w:p>
          <w:p w14:paraId="608CB05B"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¿Qué expectativas tendría si TASA ofreciera depósito fiscal en Pilar?</w:t>
            </w:r>
          </w:p>
          <w:p w14:paraId="10568387" w14:textId="77777777" w:rsidR="008E4BAC" w:rsidRPr="002D3EB1" w:rsidRDefault="008E4BAC" w:rsidP="002D3EB1">
            <w:pPr>
              <w:numPr>
                <w:ilvl w:val="0"/>
                <w:numId w:val="24"/>
              </w:numPr>
              <w:rPr>
                <w:rFonts w:ascii="Times New Roman" w:hAnsi="Times New Roman" w:cs="Times New Roman"/>
                <w:sz w:val="20"/>
                <w:szCs w:val="20"/>
              </w:rPr>
            </w:pPr>
            <w:r w:rsidRPr="002D3EB1">
              <w:rPr>
                <w:rFonts w:ascii="Times New Roman" w:hAnsi="Times New Roman" w:cs="Times New Roman"/>
                <w:sz w:val="20"/>
                <w:szCs w:val="20"/>
              </w:rPr>
              <w:t>¿Qué lo haría elegir o no elegir ese servicio?</w:t>
            </w:r>
          </w:p>
          <w:p w14:paraId="62009E2B" w14:textId="77777777" w:rsidR="008E4BAC" w:rsidRPr="002D3EB1" w:rsidRDefault="008E4BAC" w:rsidP="002D3EB1">
            <w:pPr>
              <w:rPr>
                <w:rFonts w:ascii="Times New Roman" w:hAnsi="Times New Roman" w:cs="Times New Roman"/>
                <w:b/>
                <w:bCs/>
                <w:sz w:val="20"/>
                <w:szCs w:val="20"/>
              </w:rPr>
            </w:pPr>
          </w:p>
        </w:tc>
      </w:tr>
      <w:tr w:rsidR="008E4BAC" w:rsidRPr="00111094" w14:paraId="6A974706" w14:textId="77777777" w:rsidTr="00E26FF8">
        <w:tc>
          <w:tcPr>
            <w:tcW w:w="9500" w:type="dxa"/>
          </w:tcPr>
          <w:p w14:paraId="1A89A955" w14:textId="77777777" w:rsidR="008E4BAC" w:rsidRPr="002D3EB1" w:rsidRDefault="008E4BAC" w:rsidP="002D3EB1">
            <w:pPr>
              <w:ind w:left="360"/>
              <w:rPr>
                <w:rFonts w:ascii="Times New Roman" w:hAnsi="Times New Roman" w:cs="Times New Roman"/>
                <w:b/>
                <w:bCs/>
                <w:sz w:val="20"/>
                <w:szCs w:val="20"/>
              </w:rPr>
            </w:pPr>
            <w:r w:rsidRPr="002D3EB1">
              <w:rPr>
                <w:rFonts w:ascii="Times New Roman" w:hAnsi="Times New Roman" w:cs="Times New Roman"/>
                <w:b/>
                <w:bCs/>
                <w:sz w:val="20"/>
                <w:szCs w:val="20"/>
              </w:rPr>
              <w:t xml:space="preserve">C) </w:t>
            </w:r>
            <w:bookmarkStart w:id="42" w:name="_Hlk212409644"/>
            <w:r w:rsidRPr="002D3EB1">
              <w:rPr>
                <w:rFonts w:ascii="Times New Roman" w:hAnsi="Times New Roman" w:cs="Times New Roman"/>
                <w:b/>
                <w:bCs/>
                <w:sz w:val="20"/>
                <w:szCs w:val="20"/>
              </w:rPr>
              <w:t>Expertos externos (Despachantes, abogados aduaneros, exfuncionarios)</w:t>
            </w:r>
            <w:bookmarkEnd w:id="42"/>
          </w:p>
          <w:p w14:paraId="2E31D1E9" w14:textId="6F018829" w:rsidR="008E4BAC" w:rsidRPr="002D3EB1" w:rsidRDefault="008E4BAC" w:rsidP="002D3EB1">
            <w:pPr>
              <w:numPr>
                <w:ilvl w:val="0"/>
                <w:numId w:val="25"/>
              </w:numPr>
              <w:rPr>
                <w:rFonts w:ascii="Times New Roman" w:hAnsi="Times New Roman" w:cs="Times New Roman"/>
                <w:sz w:val="20"/>
                <w:szCs w:val="20"/>
              </w:rPr>
            </w:pPr>
            <w:r w:rsidRPr="002D3EB1">
              <w:rPr>
                <w:rFonts w:ascii="Times New Roman" w:hAnsi="Times New Roman" w:cs="Times New Roman"/>
                <w:sz w:val="20"/>
                <w:szCs w:val="20"/>
              </w:rPr>
              <w:t>¿Qué requisitos críticos deben tener en cuenta las empresas que buscan habilitar un depósito fiscal?</w:t>
            </w:r>
          </w:p>
          <w:p w14:paraId="303B6906" w14:textId="1A3B0613" w:rsidR="00B95C58" w:rsidRPr="002D3EB1" w:rsidRDefault="008E4BAC" w:rsidP="002D3EB1">
            <w:pPr>
              <w:numPr>
                <w:ilvl w:val="0"/>
                <w:numId w:val="25"/>
              </w:numPr>
              <w:rPr>
                <w:rFonts w:ascii="Times New Roman" w:hAnsi="Times New Roman" w:cs="Times New Roman"/>
                <w:sz w:val="20"/>
                <w:szCs w:val="20"/>
              </w:rPr>
            </w:pPr>
            <w:r w:rsidRPr="002D3EB1">
              <w:rPr>
                <w:rFonts w:ascii="Times New Roman" w:hAnsi="Times New Roman" w:cs="Times New Roman"/>
                <w:sz w:val="20"/>
                <w:szCs w:val="20"/>
              </w:rPr>
              <w:t>¿Qué errores comunes ve en proyectos de este tipo?</w:t>
            </w:r>
          </w:p>
          <w:p w14:paraId="0AB7395B" w14:textId="77777777" w:rsidR="008E4BAC" w:rsidRPr="002D3EB1" w:rsidRDefault="008E4BAC" w:rsidP="002D3EB1">
            <w:pPr>
              <w:numPr>
                <w:ilvl w:val="0"/>
                <w:numId w:val="25"/>
              </w:numPr>
              <w:rPr>
                <w:rFonts w:ascii="Times New Roman" w:hAnsi="Times New Roman" w:cs="Times New Roman"/>
                <w:sz w:val="20"/>
                <w:szCs w:val="20"/>
              </w:rPr>
            </w:pPr>
            <w:r w:rsidRPr="002D3EB1">
              <w:rPr>
                <w:rFonts w:ascii="Times New Roman" w:hAnsi="Times New Roman" w:cs="Times New Roman"/>
                <w:sz w:val="20"/>
                <w:szCs w:val="20"/>
              </w:rPr>
              <w:t>¿Qué desafíos regulatorios o aduaneros ve en Zona Norte?</w:t>
            </w:r>
          </w:p>
          <w:p w14:paraId="3220150D" w14:textId="77777777" w:rsidR="008E4BAC" w:rsidRPr="002D3EB1" w:rsidRDefault="008E4BAC" w:rsidP="002D3EB1">
            <w:pPr>
              <w:numPr>
                <w:ilvl w:val="0"/>
                <w:numId w:val="25"/>
              </w:numPr>
              <w:rPr>
                <w:rFonts w:ascii="Times New Roman" w:hAnsi="Times New Roman" w:cs="Times New Roman"/>
                <w:sz w:val="20"/>
                <w:szCs w:val="20"/>
              </w:rPr>
            </w:pPr>
            <w:r w:rsidRPr="002D3EB1">
              <w:rPr>
                <w:rFonts w:ascii="Times New Roman" w:hAnsi="Times New Roman" w:cs="Times New Roman"/>
                <w:sz w:val="20"/>
                <w:szCs w:val="20"/>
              </w:rPr>
              <w:t>¿Cómo observa la evolución del régimen de depósitos fiscales en los últimos años?</w:t>
            </w:r>
          </w:p>
          <w:p w14:paraId="13D46805" w14:textId="77777777" w:rsidR="008E4BAC" w:rsidRPr="002D3EB1" w:rsidRDefault="008E4BAC" w:rsidP="002D3EB1">
            <w:pPr>
              <w:numPr>
                <w:ilvl w:val="0"/>
                <w:numId w:val="25"/>
              </w:numPr>
              <w:rPr>
                <w:rFonts w:ascii="Times New Roman" w:hAnsi="Times New Roman" w:cs="Times New Roman"/>
                <w:sz w:val="20"/>
                <w:szCs w:val="20"/>
              </w:rPr>
            </w:pPr>
            <w:r w:rsidRPr="002D3EB1">
              <w:rPr>
                <w:rFonts w:ascii="Times New Roman" w:hAnsi="Times New Roman" w:cs="Times New Roman"/>
                <w:sz w:val="20"/>
                <w:szCs w:val="20"/>
              </w:rPr>
              <w:t>¿Qué factores hacen rentable o no a esta unidad de negocios en el contexto actual?</w:t>
            </w:r>
          </w:p>
          <w:p w14:paraId="56A7488E" w14:textId="77777777" w:rsidR="008E4BAC" w:rsidRPr="002D3EB1" w:rsidRDefault="008E4BAC" w:rsidP="002D3EB1">
            <w:pPr>
              <w:ind w:left="360"/>
              <w:rPr>
                <w:rFonts w:ascii="Times New Roman" w:hAnsi="Times New Roman" w:cs="Times New Roman"/>
                <w:b/>
                <w:bCs/>
                <w:sz w:val="20"/>
                <w:szCs w:val="20"/>
              </w:rPr>
            </w:pPr>
          </w:p>
        </w:tc>
      </w:tr>
    </w:tbl>
    <w:p w14:paraId="488CB068" w14:textId="77777777" w:rsidR="008E4BAC" w:rsidRPr="00111094" w:rsidRDefault="008E4BAC" w:rsidP="008E4BAC">
      <w:pPr>
        <w:spacing w:before="240"/>
        <w:rPr>
          <w:rFonts w:ascii="Times New Roman" w:hAnsi="Times New Roman" w:cs="Times New Roman"/>
          <w:sz w:val="24"/>
          <w:szCs w:val="24"/>
        </w:rPr>
      </w:pPr>
    </w:p>
    <w:p w14:paraId="0372BB1A" w14:textId="77777777" w:rsidR="0073450D" w:rsidRPr="00111094" w:rsidRDefault="0073450D" w:rsidP="00FE2A09">
      <w:pPr>
        <w:pStyle w:val="Ttulo2"/>
        <w:spacing w:after="240"/>
        <w:jc w:val="both"/>
        <w:rPr>
          <w:rFonts w:ascii="Times New Roman" w:hAnsi="Times New Roman" w:cs="Times New Roman"/>
        </w:rPr>
      </w:pPr>
      <w:bookmarkStart w:id="43" w:name="_Toc228778743"/>
      <w:r w:rsidRPr="00111094">
        <w:rPr>
          <w:rFonts w:ascii="Times New Roman" w:hAnsi="Times New Roman" w:cs="Times New Roman"/>
        </w:rPr>
        <w:t>Encuesta a Clientes Actuales y Potenciales (Importadores/Exportadores)</w:t>
      </w:r>
      <w:bookmarkEnd w:id="43"/>
    </w:p>
    <w:p w14:paraId="6380994D" w14:textId="77777777" w:rsidR="0073450D" w:rsidRPr="00111094" w:rsidRDefault="0073450D" w:rsidP="00FE2A09">
      <w:pPr>
        <w:spacing w:before="240"/>
        <w:ind w:firstLine="720"/>
        <w:jc w:val="both"/>
        <w:rPr>
          <w:rFonts w:ascii="Times New Roman" w:hAnsi="Times New Roman" w:cs="Times New Roman"/>
          <w:sz w:val="24"/>
          <w:szCs w:val="24"/>
        </w:rPr>
      </w:pPr>
      <w:r w:rsidRPr="00111094">
        <w:rPr>
          <w:rFonts w:ascii="Times New Roman" w:hAnsi="Times New Roman" w:cs="Times New Roman"/>
          <w:b/>
          <w:bCs/>
          <w:sz w:val="24"/>
          <w:szCs w:val="24"/>
        </w:rPr>
        <w:t>Objetivo:</w:t>
      </w:r>
      <w:r w:rsidRPr="00111094">
        <w:rPr>
          <w:rFonts w:ascii="Times New Roman" w:hAnsi="Times New Roman" w:cs="Times New Roman"/>
          <w:sz w:val="24"/>
          <w:szCs w:val="24"/>
        </w:rPr>
        <w:t xml:space="preserve"> conocer el interés, necesidades y percepción del valor de un servicio logístico con depósito fiscal integrado en Zona Norte.</w:t>
      </w:r>
    </w:p>
    <w:p w14:paraId="57861C67" w14:textId="77777777" w:rsidR="0073450D" w:rsidRPr="00111094" w:rsidRDefault="0073450D" w:rsidP="00FE2A09">
      <w:pPr>
        <w:spacing w:before="240"/>
        <w:ind w:firstLine="720"/>
        <w:jc w:val="both"/>
        <w:rPr>
          <w:rFonts w:ascii="Times New Roman" w:hAnsi="Times New Roman" w:cs="Times New Roman"/>
          <w:sz w:val="24"/>
          <w:szCs w:val="24"/>
        </w:rPr>
      </w:pPr>
      <w:r w:rsidRPr="00111094">
        <w:rPr>
          <w:rFonts w:ascii="Times New Roman" w:hAnsi="Times New Roman" w:cs="Times New Roman"/>
          <w:b/>
          <w:bCs/>
          <w:sz w:val="24"/>
          <w:szCs w:val="24"/>
        </w:rPr>
        <w:t>Tipo de encuesta:</w:t>
      </w:r>
      <w:r w:rsidRPr="00111094">
        <w:rPr>
          <w:rFonts w:ascii="Times New Roman" w:hAnsi="Times New Roman" w:cs="Times New Roman"/>
          <w:sz w:val="24"/>
          <w:szCs w:val="24"/>
        </w:rPr>
        <w:t xml:space="preserve"> breve, autoadministrada, modalidad online.</w:t>
      </w:r>
    </w:p>
    <w:tbl>
      <w:tblPr>
        <w:tblStyle w:val="Tablaconcuadrcula"/>
        <w:tblW w:w="0" w:type="auto"/>
        <w:tblLook w:val="04A0" w:firstRow="1" w:lastRow="0" w:firstColumn="1" w:lastColumn="0" w:noHBand="0" w:noVBand="1"/>
      </w:tblPr>
      <w:tblGrid>
        <w:gridCol w:w="9500"/>
      </w:tblGrid>
      <w:tr w:rsidR="00C46EC8" w:rsidRPr="002D3EB1" w14:paraId="42F76BE8" w14:textId="77777777">
        <w:tc>
          <w:tcPr>
            <w:tcW w:w="9500" w:type="dxa"/>
          </w:tcPr>
          <w:p w14:paraId="28F36AFD" w14:textId="77777777" w:rsidR="00C46EC8" w:rsidRPr="002D3EB1" w:rsidRDefault="00C46EC8" w:rsidP="002D3EB1">
            <w:pPr>
              <w:spacing w:line="276" w:lineRule="auto"/>
              <w:ind w:left="720"/>
              <w:rPr>
                <w:rFonts w:ascii="Times New Roman" w:hAnsi="Times New Roman" w:cs="Times New Roman"/>
                <w:b/>
                <w:bCs/>
                <w:sz w:val="20"/>
                <w:szCs w:val="20"/>
              </w:rPr>
            </w:pPr>
            <w:r w:rsidRPr="002D3EB1">
              <w:rPr>
                <w:rFonts w:ascii="Times New Roman" w:hAnsi="Times New Roman" w:cs="Times New Roman"/>
                <w:b/>
                <w:bCs/>
                <w:i/>
                <w:iCs/>
                <w:sz w:val="20"/>
                <w:szCs w:val="20"/>
              </w:rPr>
              <w:t>ENCUESTA PROPUESTA</w:t>
            </w:r>
            <w:r w:rsidRPr="002D3EB1">
              <w:rPr>
                <w:rFonts w:ascii="Times New Roman" w:hAnsi="Times New Roman" w:cs="Times New Roman"/>
                <w:b/>
                <w:bCs/>
                <w:sz w:val="20"/>
                <w:szCs w:val="20"/>
              </w:rPr>
              <w:t xml:space="preserve"> (10 preguntas)</w:t>
            </w:r>
          </w:p>
          <w:p w14:paraId="1D5C3F3C" w14:textId="77777777" w:rsidR="00C46EC8" w:rsidRPr="002D3EB1" w:rsidRDefault="00C46EC8" w:rsidP="002D3EB1">
            <w:pPr>
              <w:spacing w:line="276" w:lineRule="auto"/>
              <w:ind w:left="720"/>
              <w:rPr>
                <w:rFonts w:ascii="Times New Roman" w:hAnsi="Times New Roman" w:cs="Times New Roman"/>
                <w:sz w:val="20"/>
                <w:szCs w:val="20"/>
              </w:rPr>
            </w:pPr>
            <w:r w:rsidRPr="002D3EB1">
              <w:rPr>
                <w:rFonts w:ascii="Times New Roman" w:hAnsi="Times New Roman" w:cs="Times New Roman"/>
                <w:b/>
                <w:bCs/>
                <w:sz w:val="20"/>
                <w:szCs w:val="20"/>
              </w:rPr>
              <w:t xml:space="preserve">Introducción para el encuestado: </w:t>
            </w:r>
            <w:r w:rsidRPr="002D3EB1">
              <w:rPr>
                <w:rFonts w:ascii="Times New Roman" w:hAnsi="Times New Roman" w:cs="Times New Roman"/>
                <w:i/>
                <w:iCs/>
                <w:sz w:val="20"/>
                <w:szCs w:val="20"/>
              </w:rPr>
              <w:t>Estimado/a, TASA Logística está evaluando incorporar un servicio de Depósito Fiscal en su predio de Pilar. Queremos conocer tu opinión y experiencia como usuario de servicios logísticos y de comercio exterior. Esta encuesta es confidencial y se usará solo con fines de análisis interno estratégico.</w:t>
            </w:r>
          </w:p>
          <w:p w14:paraId="76F293AC"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¿Su empresa actualmente realiza operaciones de importación y/o exportación?</w:t>
            </w:r>
          </w:p>
          <w:p w14:paraId="53181423"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importamos.</w:t>
            </w:r>
          </w:p>
          <w:p w14:paraId="5DC956DC"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lastRenderedPageBreak/>
              <w:t>Sí, exportamos.</w:t>
            </w:r>
          </w:p>
          <w:p w14:paraId="10160F17"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Ambas.</w:t>
            </w:r>
          </w:p>
          <w:p w14:paraId="394D9EAD"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No.</w:t>
            </w:r>
          </w:p>
          <w:p w14:paraId="71CD2AF6"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¿Utiliza actualmente un depósito fiscal?</w:t>
            </w:r>
          </w:p>
          <w:p w14:paraId="66F61095"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propio.</w:t>
            </w:r>
          </w:p>
          <w:p w14:paraId="08E70FA8"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tercerizado.</w:t>
            </w:r>
          </w:p>
          <w:p w14:paraId="2350463F"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No.</w:t>
            </w:r>
          </w:p>
          <w:p w14:paraId="59A3AACA" w14:textId="62E45FE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¿Qué factores considera más relevantes al contratar un depósito fiscal?</w:t>
            </w:r>
            <w:r w:rsidRPr="002D3EB1">
              <w:rPr>
                <w:rFonts w:ascii="Times New Roman" w:hAnsi="Times New Roman" w:cs="Times New Roman"/>
                <w:sz w:val="20"/>
                <w:szCs w:val="20"/>
              </w:rPr>
              <w:t xml:space="preserve"> (</w:t>
            </w:r>
            <w:r w:rsidR="008B7EA1" w:rsidRPr="002D3EB1">
              <w:rPr>
                <w:rFonts w:ascii="Times New Roman" w:hAnsi="Times New Roman" w:cs="Times New Roman"/>
                <w:sz w:val="20"/>
                <w:szCs w:val="20"/>
              </w:rPr>
              <w:t>puede seleccionar más de una opción</w:t>
            </w:r>
            <w:r w:rsidRPr="002D3EB1">
              <w:rPr>
                <w:rFonts w:ascii="Times New Roman" w:hAnsi="Times New Roman" w:cs="Times New Roman"/>
                <w:sz w:val="20"/>
                <w:szCs w:val="20"/>
              </w:rPr>
              <w:t>)</w:t>
            </w:r>
          </w:p>
          <w:p w14:paraId="76DBE14B"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Ubicación.</w:t>
            </w:r>
          </w:p>
          <w:p w14:paraId="6C5EF93F" w14:textId="4DE137B0"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Rapidez e</w:t>
            </w:r>
            <w:r w:rsidR="008B7EA1" w:rsidRPr="002D3EB1">
              <w:rPr>
                <w:rFonts w:ascii="Times New Roman" w:hAnsi="Times New Roman" w:cs="Times New Roman"/>
                <w:sz w:val="20"/>
                <w:szCs w:val="20"/>
              </w:rPr>
              <w:t>n</w:t>
            </w:r>
            <w:r w:rsidRPr="002D3EB1">
              <w:rPr>
                <w:rFonts w:ascii="Times New Roman" w:hAnsi="Times New Roman" w:cs="Times New Roman"/>
                <w:sz w:val="20"/>
                <w:szCs w:val="20"/>
              </w:rPr>
              <w:t xml:space="preserve"> las operaciones aduaneras.</w:t>
            </w:r>
          </w:p>
          <w:p w14:paraId="128CE199"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Costo del servicio.</w:t>
            </w:r>
          </w:p>
          <w:p w14:paraId="41B759DD"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Integración con servicios logísticos (almacenaje, transporte).</w:t>
            </w:r>
          </w:p>
          <w:p w14:paraId="31FF3E5D"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Tecnología y trazabilidad.</w:t>
            </w:r>
          </w:p>
          <w:p w14:paraId="28084FC7"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Seguridad y cumplimiento normativo.</w:t>
            </w:r>
          </w:p>
          <w:p w14:paraId="61E93E89"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¿Cuán importante sería para su empresa contar con un operador logístico que integre depósito fiscal + almacenamiento + distribución en una única solución?</w:t>
            </w:r>
          </w:p>
          <w:p w14:paraId="4C110548"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Muy importante.</w:t>
            </w:r>
          </w:p>
          <w:p w14:paraId="44046A21"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Bastante importante.</w:t>
            </w:r>
          </w:p>
          <w:p w14:paraId="78685F0F"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Poco importante.</w:t>
            </w:r>
          </w:p>
          <w:p w14:paraId="5713B1F1"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No lo considero relevante.</w:t>
            </w:r>
          </w:p>
          <w:p w14:paraId="299E4F2E"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¿Contrataría el servicio de depósito fiscal en Zona Norte si estuviera disponible?</w:t>
            </w:r>
          </w:p>
          <w:p w14:paraId="39506F61"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seguramente.</w:t>
            </w:r>
          </w:p>
          <w:p w14:paraId="5DCDA3A5"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dependiendo del precio.</w:t>
            </w:r>
          </w:p>
          <w:p w14:paraId="350BCEC1"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Tal vez, necesito más información.</w:t>
            </w:r>
          </w:p>
          <w:p w14:paraId="2107857A"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No lo consideraría.</w:t>
            </w:r>
          </w:p>
          <w:p w14:paraId="3898581C" w14:textId="77777777" w:rsidR="00C46EC8" w:rsidRPr="002D3EB1" w:rsidRDefault="00C46EC8" w:rsidP="002D3EB1">
            <w:pPr>
              <w:numPr>
                <w:ilvl w:val="0"/>
                <w:numId w:val="22"/>
              </w:numPr>
              <w:rPr>
                <w:rFonts w:ascii="Times New Roman" w:hAnsi="Times New Roman" w:cs="Times New Roman"/>
                <w:sz w:val="20"/>
                <w:szCs w:val="20"/>
              </w:rPr>
            </w:pPr>
            <w:r w:rsidRPr="002D3EB1">
              <w:rPr>
                <w:rFonts w:ascii="Times New Roman" w:hAnsi="Times New Roman" w:cs="Times New Roman"/>
                <w:b/>
                <w:bCs/>
                <w:sz w:val="20"/>
                <w:szCs w:val="20"/>
              </w:rPr>
              <w:t>¿Qué problemas experimenta actualmente con su operador de depósito fiscal (si aplica)</w:t>
            </w:r>
          </w:p>
          <w:p w14:paraId="47790C41" w14:textId="77777777" w:rsidR="00C46EC8" w:rsidRPr="002D3EB1" w:rsidRDefault="00C46EC8" w:rsidP="002D3EB1">
            <w:pPr>
              <w:spacing w:line="276" w:lineRule="auto"/>
              <w:ind w:left="720" w:firstLine="720"/>
              <w:rPr>
                <w:rFonts w:ascii="Times New Roman" w:hAnsi="Times New Roman" w:cs="Times New Roman"/>
                <w:sz w:val="20"/>
                <w:szCs w:val="20"/>
              </w:rPr>
            </w:pPr>
            <w:r w:rsidRPr="002D3EB1">
              <w:rPr>
                <w:rFonts w:ascii="Times New Roman" w:hAnsi="Times New Roman" w:cs="Times New Roman"/>
                <w:sz w:val="20"/>
                <w:szCs w:val="20"/>
              </w:rPr>
              <w:t>(Respuesta abierta)</w:t>
            </w:r>
          </w:p>
          <w:p w14:paraId="09D7EA8A" w14:textId="77777777" w:rsidR="00C46EC8" w:rsidRPr="002D3EB1" w:rsidRDefault="00C46EC8" w:rsidP="002D3EB1">
            <w:pPr>
              <w:numPr>
                <w:ilvl w:val="0"/>
                <w:numId w:val="22"/>
              </w:numPr>
              <w:rPr>
                <w:rFonts w:ascii="Times New Roman" w:hAnsi="Times New Roman" w:cs="Times New Roman"/>
                <w:sz w:val="20"/>
                <w:szCs w:val="20"/>
              </w:rPr>
            </w:pPr>
            <w:r w:rsidRPr="002D3EB1">
              <w:rPr>
                <w:rFonts w:ascii="Times New Roman" w:hAnsi="Times New Roman" w:cs="Times New Roman"/>
                <w:b/>
                <w:bCs/>
                <w:sz w:val="20"/>
                <w:szCs w:val="20"/>
              </w:rPr>
              <w:t>¿Qué tipo de productos maneja su empresa?</w:t>
            </w:r>
          </w:p>
          <w:p w14:paraId="3B4D6A34" w14:textId="77777777" w:rsidR="00C46EC8" w:rsidRPr="002D3EB1" w:rsidRDefault="00C46EC8" w:rsidP="002D3EB1">
            <w:pPr>
              <w:spacing w:line="276" w:lineRule="auto"/>
              <w:ind w:left="1440"/>
              <w:rPr>
                <w:rFonts w:ascii="Times New Roman" w:hAnsi="Times New Roman" w:cs="Times New Roman"/>
                <w:sz w:val="20"/>
                <w:szCs w:val="20"/>
              </w:rPr>
            </w:pPr>
            <w:r w:rsidRPr="002D3EB1">
              <w:rPr>
                <w:rFonts w:ascii="Times New Roman" w:hAnsi="Times New Roman" w:cs="Times New Roman"/>
                <w:sz w:val="20"/>
                <w:szCs w:val="20"/>
              </w:rPr>
              <w:t>(Respuesta abierta: ej. alimentos, cosmética, productos químicos, electrodomésticos, etc.)</w:t>
            </w:r>
          </w:p>
          <w:p w14:paraId="23F01DF7"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¿Qué volumen promedio maneja mensualmente en importaciones/exportaciones?</w:t>
            </w:r>
          </w:p>
          <w:p w14:paraId="4DBA54BC"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Menos de 10 contenedores.</w:t>
            </w:r>
          </w:p>
          <w:p w14:paraId="00519F7F"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Entre 10 y 50 contenedores.</w:t>
            </w:r>
          </w:p>
          <w:p w14:paraId="56606D87" w14:textId="77777777"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Más de 50 contenedores.</w:t>
            </w:r>
          </w:p>
          <w:p w14:paraId="4C56BC32" w14:textId="77777777" w:rsidR="00C46EC8" w:rsidRPr="002D3EB1" w:rsidRDefault="00C46EC8" w:rsidP="002D3EB1">
            <w:pPr>
              <w:numPr>
                <w:ilvl w:val="0"/>
                <w:numId w:val="22"/>
              </w:numPr>
              <w:rPr>
                <w:rFonts w:ascii="Times New Roman" w:hAnsi="Times New Roman" w:cs="Times New Roman"/>
                <w:sz w:val="20"/>
                <w:szCs w:val="20"/>
              </w:rPr>
            </w:pPr>
            <w:r w:rsidRPr="002D3EB1">
              <w:rPr>
                <w:rFonts w:ascii="Times New Roman" w:hAnsi="Times New Roman" w:cs="Times New Roman"/>
                <w:b/>
                <w:bCs/>
                <w:sz w:val="20"/>
                <w:szCs w:val="20"/>
              </w:rPr>
              <w:t>¿Qué valor agregado esperaría de un operador como TASA si incorporara un depósito fiscal?</w:t>
            </w:r>
          </w:p>
          <w:p w14:paraId="367E9E76" w14:textId="77777777" w:rsidR="00C46EC8" w:rsidRPr="002D3EB1" w:rsidRDefault="00C46EC8" w:rsidP="002D3EB1">
            <w:pPr>
              <w:spacing w:line="276" w:lineRule="auto"/>
              <w:ind w:left="720" w:firstLine="720"/>
              <w:rPr>
                <w:rFonts w:ascii="Times New Roman" w:hAnsi="Times New Roman" w:cs="Times New Roman"/>
                <w:sz w:val="20"/>
                <w:szCs w:val="20"/>
              </w:rPr>
            </w:pPr>
            <w:r w:rsidRPr="002D3EB1">
              <w:rPr>
                <w:rFonts w:ascii="Times New Roman" w:hAnsi="Times New Roman" w:cs="Times New Roman"/>
                <w:sz w:val="20"/>
                <w:szCs w:val="20"/>
              </w:rPr>
              <w:t>(Respuesta abierta)</w:t>
            </w:r>
          </w:p>
          <w:p w14:paraId="3291D59B" w14:textId="77777777" w:rsidR="00C46EC8" w:rsidRPr="002D3EB1" w:rsidRDefault="00C46EC8" w:rsidP="002D3EB1">
            <w:pPr>
              <w:numPr>
                <w:ilvl w:val="0"/>
                <w:numId w:val="22"/>
              </w:numPr>
              <w:spacing w:line="276" w:lineRule="auto"/>
              <w:rPr>
                <w:rFonts w:ascii="Times New Roman" w:hAnsi="Times New Roman" w:cs="Times New Roman"/>
                <w:sz w:val="20"/>
                <w:szCs w:val="20"/>
              </w:rPr>
            </w:pPr>
            <w:r w:rsidRPr="002D3EB1">
              <w:rPr>
                <w:rFonts w:ascii="Times New Roman" w:hAnsi="Times New Roman" w:cs="Times New Roman"/>
                <w:b/>
                <w:bCs/>
                <w:sz w:val="20"/>
                <w:szCs w:val="20"/>
              </w:rPr>
              <w:t>¿Estaría dispuesto a participar de una entrevista para profundizar estos temas?</w:t>
            </w:r>
          </w:p>
          <w:p w14:paraId="52BD4B1D" w14:textId="7CF8C74A" w:rsidR="00C46EC8" w:rsidRPr="002D3EB1" w:rsidRDefault="00C46EC8" w:rsidP="002D3EB1">
            <w:pPr>
              <w:pStyle w:val="Prrafodelista"/>
              <w:numPr>
                <w:ilvl w:val="1"/>
                <w:numId w:val="11"/>
              </w:numPr>
              <w:rPr>
                <w:rFonts w:ascii="Times New Roman" w:hAnsi="Times New Roman" w:cs="Times New Roman"/>
                <w:sz w:val="20"/>
                <w:szCs w:val="20"/>
              </w:rPr>
            </w:pPr>
            <w:r w:rsidRPr="002D3EB1">
              <w:rPr>
                <w:rFonts w:ascii="Times New Roman" w:hAnsi="Times New Roman" w:cs="Times New Roman"/>
                <w:sz w:val="20"/>
                <w:szCs w:val="20"/>
              </w:rPr>
              <w:t>Sí / No (dejar email de contacto)</w:t>
            </w:r>
          </w:p>
        </w:tc>
      </w:tr>
    </w:tbl>
    <w:p w14:paraId="6D75BDD2" w14:textId="63E77190" w:rsidR="005B545C" w:rsidRPr="002D3EB1" w:rsidRDefault="005B545C">
      <w:pPr>
        <w:rPr>
          <w:rFonts w:ascii="Times New Roman" w:eastAsiaTheme="majorEastAsia" w:hAnsi="Times New Roman" w:cs="Times New Roman"/>
          <w:b/>
          <w:bCs/>
          <w:color w:val="4F81BD" w:themeColor="accent1"/>
          <w:w w:val="70"/>
          <w:sz w:val="24"/>
          <w:szCs w:val="24"/>
        </w:rPr>
      </w:pPr>
    </w:p>
    <w:p w14:paraId="482F2689" w14:textId="77777777" w:rsidR="002D3EB1" w:rsidRDefault="002D3EB1">
      <w:pPr>
        <w:rPr>
          <w:rFonts w:ascii="Times New Roman" w:eastAsiaTheme="majorEastAsia" w:hAnsi="Times New Roman" w:cs="Times New Roman"/>
          <w:b/>
          <w:bCs/>
          <w:color w:val="4F81BD" w:themeColor="accent1"/>
          <w:w w:val="70"/>
          <w:sz w:val="40"/>
          <w:szCs w:val="40"/>
        </w:rPr>
      </w:pPr>
      <w:r>
        <w:rPr>
          <w:rFonts w:ascii="Times New Roman" w:hAnsi="Times New Roman" w:cs="Times New Roman"/>
          <w:color w:val="4F81BD" w:themeColor="accent1"/>
          <w:w w:val="70"/>
          <w:sz w:val="40"/>
          <w:szCs w:val="40"/>
        </w:rPr>
        <w:br w:type="page"/>
      </w:r>
    </w:p>
    <w:p w14:paraId="136ADB25" w14:textId="6F025977" w:rsidR="00656ED2" w:rsidRPr="00111094" w:rsidRDefault="00C0460F" w:rsidP="00FE2A09">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44" w:name="_Toc228778744"/>
      <w:r w:rsidRPr="00111094">
        <w:rPr>
          <w:rFonts w:ascii="Times New Roman" w:hAnsi="Times New Roman" w:cs="Times New Roman"/>
          <w:color w:val="4F81BD" w:themeColor="accent1"/>
          <w:w w:val="70"/>
          <w:sz w:val="40"/>
          <w:szCs w:val="40"/>
        </w:rPr>
        <w:lastRenderedPageBreak/>
        <w:t>CAPÌTULO 5</w:t>
      </w:r>
      <w:r w:rsidR="00656ED2" w:rsidRPr="00111094">
        <w:rPr>
          <w:rFonts w:ascii="Times New Roman" w:hAnsi="Times New Roman" w:cs="Times New Roman"/>
          <w:color w:val="4F81BD" w:themeColor="accent1"/>
          <w:w w:val="70"/>
          <w:sz w:val="40"/>
          <w:szCs w:val="40"/>
        </w:rPr>
        <w:t xml:space="preserve"> -</w:t>
      </w:r>
      <w:r w:rsidRPr="00111094">
        <w:rPr>
          <w:rFonts w:ascii="Times New Roman" w:hAnsi="Times New Roman" w:cs="Times New Roman"/>
          <w:color w:val="4F81BD" w:themeColor="accent1"/>
          <w:w w:val="70"/>
          <w:sz w:val="40"/>
          <w:szCs w:val="40"/>
        </w:rPr>
        <w:t xml:space="preserve"> RELEVAMIENTO TRABAJO DE CAMPO</w:t>
      </w:r>
      <w:bookmarkEnd w:id="44"/>
      <w:r w:rsidRPr="00111094">
        <w:rPr>
          <w:rFonts w:ascii="Times New Roman" w:hAnsi="Times New Roman" w:cs="Times New Roman"/>
          <w:color w:val="4F81BD" w:themeColor="accent1"/>
          <w:w w:val="70"/>
          <w:sz w:val="40"/>
          <w:szCs w:val="40"/>
        </w:rPr>
        <w:t xml:space="preserve"> </w:t>
      </w:r>
    </w:p>
    <w:p w14:paraId="7CD51876" w14:textId="4C481369" w:rsidR="00C0460F" w:rsidRPr="00111094" w:rsidRDefault="00C46EC8" w:rsidP="00FE2A09">
      <w:pPr>
        <w:spacing w:before="240"/>
        <w:ind w:firstLine="720"/>
        <w:jc w:val="both"/>
        <w:rPr>
          <w:rFonts w:ascii="Times New Roman" w:hAnsi="Times New Roman" w:cs="Times New Roman"/>
          <w:sz w:val="24"/>
          <w:szCs w:val="24"/>
        </w:rPr>
      </w:pPr>
      <w:r w:rsidRPr="00111094">
        <w:rPr>
          <w:rFonts w:ascii="Times New Roman" w:hAnsi="Times New Roman" w:cs="Times New Roman"/>
          <w:sz w:val="24"/>
          <w:szCs w:val="24"/>
        </w:rPr>
        <w:t>El trabajo de campo constituye una instancia clave para validar la viabilidad técnica, normativa y comercial del proyecto de incorporación de un depósito fiscal por parte de TASA en su predio de Pilar. Bajo un enfoque metodológico mixto (cualitativo–cuantitativo), se planificó una serie de actividades destinadas a obtener información directa de los actores clave involucrados en la cadena logística y aduanera.</w:t>
      </w:r>
    </w:p>
    <w:p w14:paraId="6F2A1A95" w14:textId="77777777" w:rsidR="00C46EC8" w:rsidRPr="00111094" w:rsidRDefault="00C46EC8" w:rsidP="00FE2A09">
      <w:pPr>
        <w:spacing w:before="240"/>
        <w:ind w:firstLine="720"/>
        <w:jc w:val="both"/>
        <w:rPr>
          <w:rFonts w:ascii="Times New Roman" w:hAnsi="Times New Roman" w:cs="Times New Roman"/>
          <w:b/>
          <w:bCs/>
          <w:sz w:val="24"/>
          <w:szCs w:val="24"/>
        </w:rPr>
      </w:pPr>
      <w:r w:rsidRPr="00111094">
        <w:rPr>
          <w:rFonts w:ascii="Times New Roman" w:hAnsi="Times New Roman" w:cs="Times New Roman"/>
          <w:b/>
          <w:bCs/>
          <w:sz w:val="24"/>
          <w:szCs w:val="24"/>
        </w:rPr>
        <w:t>Objetivos del trabajo de campo</w:t>
      </w:r>
    </w:p>
    <w:p w14:paraId="3D4AA7E9" w14:textId="77777777" w:rsidR="00C46EC8" w:rsidRPr="00111094" w:rsidRDefault="00C46EC8"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Relevar percepciones, barreras y oportunidades desde la perspectiva de los tomadores de decisión internos de TASA.</w:t>
      </w:r>
    </w:p>
    <w:p w14:paraId="74187121" w14:textId="77777777" w:rsidR="00C46EC8" w:rsidRPr="00111094" w:rsidRDefault="00C46EC8"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Validar la demanda potencial y las preferencias del mercado (clientes actuales y potenciales).</w:t>
      </w:r>
    </w:p>
    <w:p w14:paraId="68B8F6DF" w14:textId="77777777" w:rsidR="00C46EC8" w:rsidRPr="00111094" w:rsidRDefault="00C46EC8"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Identificar buenas prácticas, desafíos normativos y lecciones aprendidas a partir de referentes del sector.</w:t>
      </w:r>
    </w:p>
    <w:p w14:paraId="1AE3BAD5" w14:textId="77777777" w:rsidR="00C46EC8" w:rsidRPr="00111094" w:rsidRDefault="00C46EC8"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Evaluar la factibilidad operativa y técnica del predio de Pilar mediante observación directa.</w:t>
      </w:r>
    </w:p>
    <w:p w14:paraId="2D832D7C" w14:textId="77777777" w:rsidR="00C46EC8" w:rsidRPr="00111094" w:rsidRDefault="00C46EC8" w:rsidP="00FE2A09">
      <w:pPr>
        <w:pStyle w:val="Prrafodelista"/>
        <w:numPr>
          <w:ilvl w:val="0"/>
          <w:numId w:val="11"/>
        </w:numPr>
        <w:jc w:val="both"/>
        <w:rPr>
          <w:rFonts w:ascii="Times New Roman" w:hAnsi="Times New Roman" w:cs="Times New Roman"/>
          <w:sz w:val="24"/>
          <w:szCs w:val="24"/>
        </w:rPr>
      </w:pPr>
      <w:r w:rsidRPr="00111094">
        <w:rPr>
          <w:rFonts w:ascii="Times New Roman" w:hAnsi="Times New Roman" w:cs="Times New Roman"/>
          <w:sz w:val="24"/>
          <w:szCs w:val="24"/>
        </w:rPr>
        <w:t>Recolectar insumos para la formulación y simulación del modelo financiero del proyecto.</w:t>
      </w:r>
    </w:p>
    <w:p w14:paraId="6825BF9A" w14:textId="233033FA" w:rsidR="0066444A" w:rsidRPr="00111094" w:rsidRDefault="002041EF" w:rsidP="00FE2A09">
      <w:pPr>
        <w:pStyle w:val="Ttulo2"/>
        <w:spacing w:after="240"/>
        <w:jc w:val="both"/>
        <w:rPr>
          <w:rFonts w:ascii="Times New Roman" w:hAnsi="Times New Roman" w:cs="Times New Roman"/>
        </w:rPr>
      </w:pPr>
      <w:bookmarkStart w:id="45" w:name="_Toc228778745"/>
      <w:r w:rsidRPr="00111094">
        <w:rPr>
          <w:rFonts w:ascii="Times New Roman" w:hAnsi="Times New Roman" w:cs="Times New Roman"/>
        </w:rPr>
        <w:t>Resultados</w:t>
      </w:r>
      <w:r w:rsidR="0066444A" w:rsidRPr="00111094">
        <w:rPr>
          <w:rFonts w:ascii="Times New Roman" w:hAnsi="Times New Roman" w:cs="Times New Roman"/>
        </w:rPr>
        <w:t xml:space="preserve"> </w:t>
      </w:r>
      <w:r w:rsidRPr="00111094">
        <w:rPr>
          <w:rFonts w:ascii="Times New Roman" w:hAnsi="Times New Roman" w:cs="Times New Roman"/>
        </w:rPr>
        <w:t>Cualitativo</w:t>
      </w:r>
      <w:bookmarkEnd w:id="45"/>
    </w:p>
    <w:p w14:paraId="32866FCA" w14:textId="02A3FCCC" w:rsidR="00D1495D" w:rsidRPr="00111094" w:rsidRDefault="00D1495D" w:rsidP="00FE2A09">
      <w:pPr>
        <w:pStyle w:val="Ttulo3"/>
        <w:ind w:firstLine="360"/>
        <w:jc w:val="both"/>
        <w:rPr>
          <w:rFonts w:ascii="Times New Roman" w:hAnsi="Times New Roman" w:cs="Times New Roman"/>
          <w:i/>
          <w:iCs/>
          <w:sz w:val="24"/>
          <w:szCs w:val="24"/>
        </w:rPr>
      </w:pPr>
      <w:bookmarkStart w:id="46" w:name="_Toc228778746"/>
      <w:r w:rsidRPr="00111094">
        <w:rPr>
          <w:rFonts w:ascii="Times New Roman" w:hAnsi="Times New Roman" w:cs="Times New Roman"/>
          <w:i/>
          <w:iCs/>
          <w:sz w:val="24"/>
          <w:szCs w:val="24"/>
        </w:rPr>
        <w:t xml:space="preserve">Hallazgos transversales </w:t>
      </w:r>
      <w:r w:rsidR="00990545" w:rsidRPr="00111094">
        <w:rPr>
          <w:rFonts w:ascii="Times New Roman" w:hAnsi="Times New Roman" w:cs="Times New Roman"/>
          <w:i/>
          <w:iCs/>
          <w:sz w:val="24"/>
          <w:szCs w:val="24"/>
        </w:rPr>
        <w:t>–</w:t>
      </w:r>
      <w:r w:rsidR="0066444A" w:rsidRPr="00111094">
        <w:rPr>
          <w:rFonts w:ascii="Times New Roman" w:hAnsi="Times New Roman" w:cs="Times New Roman"/>
          <w:i/>
          <w:iCs/>
          <w:sz w:val="24"/>
          <w:szCs w:val="24"/>
        </w:rPr>
        <w:t xml:space="preserve"> Entrevistas a Directores y Gerentes de TASA</w:t>
      </w:r>
      <w:bookmarkEnd w:id="46"/>
    </w:p>
    <w:p w14:paraId="2A2DFF14" w14:textId="225221FA" w:rsidR="00D1495D" w:rsidRPr="00111094" w:rsidRDefault="00D1495D" w:rsidP="00FE2A09">
      <w:pPr>
        <w:pStyle w:val="Prrafodelista"/>
        <w:numPr>
          <w:ilvl w:val="0"/>
          <w:numId w:val="28"/>
        </w:numPr>
        <w:jc w:val="both"/>
        <w:rPr>
          <w:rFonts w:ascii="Times New Roman" w:hAnsi="Times New Roman" w:cs="Times New Roman"/>
          <w:sz w:val="24"/>
          <w:szCs w:val="24"/>
        </w:rPr>
      </w:pPr>
      <w:r w:rsidRPr="00111094">
        <w:rPr>
          <w:rFonts w:ascii="Times New Roman" w:hAnsi="Times New Roman" w:cs="Times New Roman"/>
          <w:b/>
          <w:bCs/>
          <w:sz w:val="24"/>
          <w:szCs w:val="24"/>
        </w:rPr>
        <w:t xml:space="preserve">Visión estratégica compartida: </w:t>
      </w:r>
      <w:r w:rsidRPr="00111094">
        <w:rPr>
          <w:rFonts w:ascii="Times New Roman" w:hAnsi="Times New Roman" w:cs="Times New Roman"/>
          <w:sz w:val="24"/>
          <w:szCs w:val="24"/>
        </w:rPr>
        <w:t>Todos coinciden en que el depósito fiscal es una extensión natural del portafolio y un diferenciador clave frente a competidores.</w:t>
      </w:r>
    </w:p>
    <w:p w14:paraId="5EB4F330" w14:textId="77777777" w:rsidR="00D1495D" w:rsidRPr="00111094" w:rsidRDefault="00D1495D" w:rsidP="00FE2A09">
      <w:pPr>
        <w:pStyle w:val="Prrafodelista"/>
        <w:numPr>
          <w:ilvl w:val="0"/>
          <w:numId w:val="28"/>
        </w:numPr>
        <w:jc w:val="both"/>
        <w:rPr>
          <w:rFonts w:ascii="Times New Roman" w:hAnsi="Times New Roman" w:cs="Times New Roman"/>
          <w:sz w:val="24"/>
          <w:szCs w:val="24"/>
        </w:rPr>
      </w:pPr>
      <w:r w:rsidRPr="00111094">
        <w:rPr>
          <w:rFonts w:ascii="Times New Roman" w:hAnsi="Times New Roman" w:cs="Times New Roman"/>
          <w:b/>
          <w:bCs/>
          <w:sz w:val="24"/>
          <w:szCs w:val="24"/>
        </w:rPr>
        <w:t>Fortalezas internas:</w:t>
      </w:r>
    </w:p>
    <w:p w14:paraId="26B67DBD" w14:textId="77777777"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Infraestructura disponible en Pilar.</w:t>
      </w:r>
    </w:p>
    <w:p w14:paraId="649F52D0" w14:textId="08A46B56"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Procesos normados (ANMAT, ISO, SENASA).</w:t>
      </w:r>
      <w:r w:rsidR="0000111E" w:rsidRPr="00111094">
        <w:rPr>
          <w:rFonts w:ascii="Times New Roman" w:hAnsi="Times New Roman" w:cs="Times New Roman"/>
          <w:sz w:val="24"/>
          <w:szCs w:val="24"/>
        </w:rPr>
        <w:t xml:space="preserve"> </w:t>
      </w:r>
    </w:p>
    <w:p w14:paraId="54F3A4AA" w14:textId="77777777"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Sistemas propios de IT (WMS/TMS con trazabilidad).</w:t>
      </w:r>
      <w:r w:rsidR="0000111E" w:rsidRPr="00111094">
        <w:rPr>
          <w:rFonts w:ascii="Times New Roman" w:hAnsi="Times New Roman" w:cs="Times New Roman"/>
          <w:sz w:val="24"/>
          <w:szCs w:val="24"/>
        </w:rPr>
        <w:t xml:space="preserve"> </w:t>
      </w:r>
    </w:p>
    <w:p w14:paraId="054B1966" w14:textId="77777777"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Relaciones sólidas con clientes multinacionales.</w:t>
      </w:r>
    </w:p>
    <w:p w14:paraId="2479F42D" w14:textId="761E590C" w:rsidR="00D1495D" w:rsidRPr="00111094" w:rsidRDefault="00D1495D" w:rsidP="00FE2A09">
      <w:pPr>
        <w:pStyle w:val="Prrafodelista"/>
        <w:numPr>
          <w:ilvl w:val="0"/>
          <w:numId w:val="28"/>
        </w:numPr>
        <w:jc w:val="both"/>
        <w:rPr>
          <w:rFonts w:ascii="Times New Roman" w:hAnsi="Times New Roman" w:cs="Times New Roman"/>
          <w:b/>
          <w:bCs/>
          <w:sz w:val="24"/>
          <w:szCs w:val="24"/>
        </w:rPr>
      </w:pPr>
      <w:r w:rsidRPr="00111094">
        <w:rPr>
          <w:rFonts w:ascii="Times New Roman" w:hAnsi="Times New Roman" w:cs="Times New Roman"/>
          <w:b/>
          <w:bCs/>
          <w:sz w:val="24"/>
          <w:szCs w:val="24"/>
        </w:rPr>
        <w:t xml:space="preserve"> Principales riesgos:</w:t>
      </w:r>
    </w:p>
    <w:p w14:paraId="75991C57"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Alcanzar volumen mínimo en los primeros 18–24 meses.</w:t>
      </w:r>
    </w:p>
    <w:p w14:paraId="0DE12614"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Inversión inicial muy alta (USD 18–22 millones).</w:t>
      </w:r>
    </w:p>
    <w:p w14:paraId="3919C802" w14:textId="77777777"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Complejidad normativa y certificaciones aduaneras.</w:t>
      </w:r>
    </w:p>
    <w:p w14:paraId="3B12A23C" w14:textId="09A27972"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Escasez de talento especializado en aduana.</w:t>
      </w:r>
    </w:p>
    <w:p w14:paraId="54E69FF4" w14:textId="00325C6E" w:rsidR="00D1495D" w:rsidRPr="00111094" w:rsidRDefault="00D1495D" w:rsidP="00FE2A09">
      <w:pPr>
        <w:pStyle w:val="Prrafodelista"/>
        <w:numPr>
          <w:ilvl w:val="0"/>
          <w:numId w:val="28"/>
        </w:numPr>
        <w:jc w:val="both"/>
        <w:rPr>
          <w:rFonts w:ascii="Times New Roman" w:hAnsi="Times New Roman" w:cs="Times New Roman"/>
          <w:b/>
          <w:bCs/>
          <w:sz w:val="24"/>
          <w:szCs w:val="24"/>
        </w:rPr>
      </w:pPr>
      <w:r w:rsidRPr="00111094">
        <w:rPr>
          <w:rFonts w:ascii="Times New Roman" w:hAnsi="Times New Roman" w:cs="Times New Roman"/>
          <w:b/>
          <w:bCs/>
          <w:sz w:val="24"/>
          <w:szCs w:val="24"/>
        </w:rPr>
        <w:t>Impacto esperado:</w:t>
      </w:r>
    </w:p>
    <w:p w14:paraId="2E932A69"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Contribución de +8–10% en facturación en 3 años.</w:t>
      </w:r>
    </w:p>
    <w:p w14:paraId="5ECEBEA8"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Payback estimado en 4–5 años si se supera 60% de ocupación.</w:t>
      </w:r>
    </w:p>
    <w:p w14:paraId="71626CEB" w14:textId="77777777"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Posicionamiento de TASA como operador integral con servicios aduaneros, un diferencial en el mercado argentino.</w:t>
      </w:r>
    </w:p>
    <w:p w14:paraId="73BD5EB0" w14:textId="62F879B8" w:rsidR="00D1495D" w:rsidRPr="00111094" w:rsidRDefault="00D1495D" w:rsidP="00FE2A09">
      <w:pPr>
        <w:pStyle w:val="Prrafodelista"/>
        <w:numPr>
          <w:ilvl w:val="0"/>
          <w:numId w:val="28"/>
        </w:numPr>
        <w:jc w:val="both"/>
        <w:rPr>
          <w:rFonts w:ascii="Times New Roman" w:hAnsi="Times New Roman" w:cs="Times New Roman"/>
          <w:b/>
          <w:bCs/>
          <w:sz w:val="24"/>
          <w:szCs w:val="24"/>
        </w:rPr>
      </w:pPr>
      <w:r w:rsidRPr="00111094">
        <w:rPr>
          <w:rFonts w:ascii="Times New Roman" w:hAnsi="Times New Roman" w:cs="Times New Roman"/>
          <w:b/>
          <w:bCs/>
          <w:sz w:val="24"/>
          <w:szCs w:val="24"/>
        </w:rPr>
        <w:t>Condiciones críticas de éxito:</w:t>
      </w:r>
    </w:p>
    <w:p w14:paraId="42E66EFD"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lastRenderedPageBreak/>
        <w:t>Captar clientes ancla antes del lanzamiento (ej. Nestlé, Sony, Natura, Ferrero).</w:t>
      </w:r>
    </w:p>
    <w:p w14:paraId="1D3CACDD"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Integración tecnológica robusta con Aduana y clientes.</w:t>
      </w:r>
    </w:p>
    <w:p w14:paraId="3BC062AB" w14:textId="77777777" w:rsidR="00D1495D"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Capacitación temprana y retención de talento aduanero.</w:t>
      </w:r>
    </w:p>
    <w:p w14:paraId="3C7AD44E" w14:textId="5E301DF1" w:rsidR="0000111E" w:rsidRPr="00111094" w:rsidRDefault="00D1495D" w:rsidP="00FE2A09">
      <w:pPr>
        <w:pStyle w:val="Prrafodelista"/>
        <w:numPr>
          <w:ilvl w:val="0"/>
          <w:numId w:val="29"/>
        </w:numPr>
        <w:jc w:val="both"/>
        <w:rPr>
          <w:rFonts w:ascii="Times New Roman" w:hAnsi="Times New Roman" w:cs="Times New Roman"/>
          <w:sz w:val="24"/>
          <w:szCs w:val="24"/>
        </w:rPr>
      </w:pPr>
      <w:r w:rsidRPr="00111094">
        <w:rPr>
          <w:rFonts w:ascii="Times New Roman" w:hAnsi="Times New Roman" w:cs="Times New Roman"/>
          <w:sz w:val="24"/>
          <w:szCs w:val="24"/>
        </w:rPr>
        <w:t>Estrategia comercial orientada a eficiencia y compliance, más que a precios bajos.</w:t>
      </w:r>
    </w:p>
    <w:p w14:paraId="4A59C1C9" w14:textId="7901937E" w:rsidR="00990545" w:rsidRPr="00111094" w:rsidRDefault="00990545"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 xml:space="preserve">Matriz de codificación temática </w:t>
      </w:r>
    </w:p>
    <w:tbl>
      <w:tblPr>
        <w:tblStyle w:val="GridTable4Accent1"/>
        <w:tblW w:w="0" w:type="auto"/>
        <w:tblLook w:val="04A0" w:firstRow="1" w:lastRow="0" w:firstColumn="1" w:lastColumn="0" w:noHBand="0" w:noVBand="1"/>
      </w:tblPr>
      <w:tblGrid>
        <w:gridCol w:w="1838"/>
        <w:gridCol w:w="5103"/>
        <w:gridCol w:w="2409"/>
      </w:tblGrid>
      <w:tr w:rsidR="0000111E" w:rsidRPr="00111094" w14:paraId="327A934A" w14:textId="77777777" w:rsidTr="00001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61DE01E6" w14:textId="77777777" w:rsidR="0000111E" w:rsidRPr="00111094" w:rsidRDefault="0000111E"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Categoría</w:t>
            </w:r>
          </w:p>
        </w:tc>
        <w:tc>
          <w:tcPr>
            <w:tcW w:w="5103" w:type="dxa"/>
            <w:hideMark/>
          </w:tcPr>
          <w:p w14:paraId="1CFBB7E9" w14:textId="77777777" w:rsidR="0000111E" w:rsidRPr="00111094" w:rsidRDefault="0000111E"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Hallazgos recurrentes</w:t>
            </w:r>
          </w:p>
        </w:tc>
        <w:tc>
          <w:tcPr>
            <w:tcW w:w="2409" w:type="dxa"/>
            <w:hideMark/>
          </w:tcPr>
          <w:p w14:paraId="7FCB39EF" w14:textId="58589170" w:rsidR="0000111E" w:rsidRPr="00111094" w:rsidRDefault="0000111E"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Fuentes </w:t>
            </w:r>
          </w:p>
        </w:tc>
      </w:tr>
      <w:tr w:rsidR="0000111E" w:rsidRPr="00111094" w14:paraId="23DD73BA" w14:textId="77777777" w:rsidTr="000011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23715554" w14:textId="77777777" w:rsidR="0000111E" w:rsidRPr="00111094" w:rsidRDefault="0000111E"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Oportunidades</w:t>
            </w:r>
          </w:p>
        </w:tc>
        <w:tc>
          <w:tcPr>
            <w:tcW w:w="5103" w:type="dxa"/>
            <w:hideMark/>
          </w:tcPr>
          <w:p w14:paraId="4DE32A04" w14:textId="77777777" w:rsidR="0000111E" w:rsidRPr="00111094" w:rsidRDefault="0000111E"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Diferenciación estratégica, ampliación de cartera multinacional, fidelización de clientes actuales.</w:t>
            </w:r>
          </w:p>
        </w:tc>
        <w:tc>
          <w:tcPr>
            <w:tcW w:w="2409" w:type="dxa"/>
            <w:hideMark/>
          </w:tcPr>
          <w:p w14:paraId="1ECFC5A1" w14:textId="77777777" w:rsidR="0000111E" w:rsidRPr="00111094" w:rsidRDefault="0000111E"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Directores + Gerentes de Negocios</w:t>
            </w:r>
          </w:p>
        </w:tc>
      </w:tr>
      <w:tr w:rsidR="0000111E" w:rsidRPr="00111094" w14:paraId="57D8F00B" w14:textId="77777777" w:rsidTr="0000111E">
        <w:tc>
          <w:tcPr>
            <w:cnfStyle w:val="001000000000" w:firstRow="0" w:lastRow="0" w:firstColumn="1" w:lastColumn="0" w:oddVBand="0" w:evenVBand="0" w:oddHBand="0" w:evenHBand="0" w:firstRowFirstColumn="0" w:firstRowLastColumn="0" w:lastRowFirstColumn="0" w:lastRowLastColumn="0"/>
            <w:tcW w:w="1838" w:type="dxa"/>
            <w:hideMark/>
          </w:tcPr>
          <w:p w14:paraId="01AD6FEE" w14:textId="77777777" w:rsidR="0000111E" w:rsidRPr="00111094" w:rsidRDefault="0000111E"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Riesgos</w:t>
            </w:r>
          </w:p>
        </w:tc>
        <w:tc>
          <w:tcPr>
            <w:tcW w:w="5103" w:type="dxa"/>
            <w:hideMark/>
          </w:tcPr>
          <w:p w14:paraId="75ABAA44" w14:textId="77777777" w:rsidR="0000111E" w:rsidRPr="00111094" w:rsidRDefault="0000111E"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Inversión inicial elevada, complejidad regulatoria, curva de aprendizaje en aduana, falta de volumen inicial.</w:t>
            </w:r>
          </w:p>
        </w:tc>
        <w:tc>
          <w:tcPr>
            <w:tcW w:w="2409" w:type="dxa"/>
            <w:hideMark/>
          </w:tcPr>
          <w:p w14:paraId="55AFE45F" w14:textId="77777777" w:rsidR="0000111E" w:rsidRPr="00111094" w:rsidRDefault="0000111E"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Finanzas, Operaciones, RRHH</w:t>
            </w:r>
          </w:p>
        </w:tc>
      </w:tr>
      <w:tr w:rsidR="0000111E" w:rsidRPr="00111094" w14:paraId="7EB5C837" w14:textId="77777777" w:rsidTr="000011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87DC68A" w14:textId="77777777" w:rsidR="0000111E" w:rsidRPr="00111094" w:rsidRDefault="0000111E"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Expectativas</w:t>
            </w:r>
          </w:p>
        </w:tc>
        <w:tc>
          <w:tcPr>
            <w:tcW w:w="5103" w:type="dxa"/>
            <w:hideMark/>
          </w:tcPr>
          <w:p w14:paraId="4C366F3A" w14:textId="77777777" w:rsidR="0000111E" w:rsidRPr="00111094" w:rsidRDefault="0000111E"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Rapidez en liberación, trazabilidad total, integración fiscal + logística nacional, compliance riguroso.</w:t>
            </w:r>
          </w:p>
        </w:tc>
        <w:tc>
          <w:tcPr>
            <w:tcW w:w="2409" w:type="dxa"/>
            <w:hideMark/>
          </w:tcPr>
          <w:p w14:paraId="5F55EEC4" w14:textId="77777777" w:rsidR="0000111E" w:rsidRPr="00111094" w:rsidRDefault="0000111E"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IT, Transporte, Gerentes de Negocios</w:t>
            </w:r>
          </w:p>
        </w:tc>
      </w:tr>
      <w:tr w:rsidR="0000111E" w:rsidRPr="00111094" w14:paraId="2A9D2372" w14:textId="77777777" w:rsidTr="0000111E">
        <w:tc>
          <w:tcPr>
            <w:cnfStyle w:val="001000000000" w:firstRow="0" w:lastRow="0" w:firstColumn="1" w:lastColumn="0" w:oddVBand="0" w:evenVBand="0" w:oddHBand="0" w:evenHBand="0" w:firstRowFirstColumn="0" w:firstRowLastColumn="0" w:lastRowFirstColumn="0" w:lastRowLastColumn="0"/>
            <w:tcW w:w="1838" w:type="dxa"/>
            <w:hideMark/>
          </w:tcPr>
          <w:p w14:paraId="1ECEDF38" w14:textId="77777777" w:rsidR="0000111E" w:rsidRPr="00111094" w:rsidRDefault="0000111E"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Condiciones de elección</w:t>
            </w:r>
          </w:p>
        </w:tc>
        <w:tc>
          <w:tcPr>
            <w:tcW w:w="5103" w:type="dxa"/>
            <w:hideMark/>
          </w:tcPr>
          <w:p w14:paraId="015616ED" w14:textId="77777777" w:rsidR="0000111E" w:rsidRPr="00111094" w:rsidRDefault="0000111E"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Clientes ancla que aseguren ocupación (Nestlé, Sony, Natura, Ferrero). Tarifas competitivas pero con foco en seguridad y eficiencia.</w:t>
            </w:r>
          </w:p>
        </w:tc>
        <w:tc>
          <w:tcPr>
            <w:tcW w:w="2409" w:type="dxa"/>
            <w:hideMark/>
          </w:tcPr>
          <w:p w14:paraId="5EBA42AF" w14:textId="77777777" w:rsidR="0000111E" w:rsidRPr="00111094" w:rsidRDefault="0000111E"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Gerentes de Negocios, Finanzas</w:t>
            </w:r>
          </w:p>
        </w:tc>
      </w:tr>
    </w:tbl>
    <w:p w14:paraId="5E8E192D" w14:textId="46EA1816" w:rsidR="0000111E" w:rsidRPr="00CE1129" w:rsidRDefault="00CE1129" w:rsidP="00FE2A0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 xml:space="preserve">Nota. Elaboración propia sobre la base de </w:t>
      </w:r>
      <w:r w:rsidR="00490476">
        <w:rPr>
          <w:rFonts w:ascii="Times New Roman" w:hAnsi="Times New Roman" w:cs="Times New Roman"/>
          <w:i/>
          <w:iCs/>
          <w:color w:val="A6A6A6" w:themeColor="background1" w:themeShade="A6"/>
          <w:sz w:val="20"/>
          <w:szCs w:val="20"/>
        </w:rPr>
        <w:t>investigación.</w:t>
      </w:r>
    </w:p>
    <w:p w14:paraId="3F90BA05" w14:textId="77777777" w:rsidR="00DE75E4" w:rsidRPr="00111094" w:rsidRDefault="00DE75E4" w:rsidP="00FE2A09">
      <w:pPr>
        <w:pStyle w:val="Ttulo3"/>
        <w:ind w:firstLine="360"/>
        <w:jc w:val="both"/>
        <w:rPr>
          <w:rFonts w:ascii="Times New Roman" w:hAnsi="Times New Roman" w:cs="Times New Roman"/>
          <w:i/>
          <w:iCs/>
          <w:sz w:val="24"/>
          <w:szCs w:val="24"/>
        </w:rPr>
      </w:pPr>
      <w:bookmarkStart w:id="47" w:name="_Toc228778747"/>
      <w:r w:rsidRPr="00111094">
        <w:rPr>
          <w:rFonts w:ascii="Times New Roman" w:hAnsi="Times New Roman" w:cs="Times New Roman"/>
          <w:i/>
          <w:iCs/>
          <w:sz w:val="24"/>
          <w:szCs w:val="24"/>
        </w:rPr>
        <w:t>Hallazgos transversales – Clientes estratégicos</w:t>
      </w:r>
      <w:bookmarkEnd w:id="47"/>
    </w:p>
    <w:p w14:paraId="2E3D2237" w14:textId="77777777" w:rsidR="00DE75E4" w:rsidRPr="00111094" w:rsidRDefault="00DE75E4" w:rsidP="00FE2A09">
      <w:pPr>
        <w:numPr>
          <w:ilvl w:val="0"/>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Experiencia actual con operadores</w:t>
      </w:r>
    </w:p>
    <w:p w14:paraId="7A566DFF"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La mayoría trabaja con depósitos fiscales de operadores internacionales.</w:t>
      </w:r>
    </w:p>
    <w:p w14:paraId="60C6BD8E"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Problemas frecuentes: demoras aduaneras, burocracia, costos elevados y poca integración tecnológica.</w:t>
      </w:r>
    </w:p>
    <w:p w14:paraId="4362DC68" w14:textId="77777777" w:rsidR="00DE75E4" w:rsidRPr="00111094" w:rsidRDefault="00DE75E4" w:rsidP="00FE2A09">
      <w:pPr>
        <w:numPr>
          <w:ilvl w:val="0"/>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Uso y valoración de depósitos fiscales</w:t>
      </w:r>
    </w:p>
    <w:p w14:paraId="42AE6A3B"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Ventajas: diferimiento de tributos, consolidación de cargas, flexibilidad financiera.</w:t>
      </w:r>
    </w:p>
    <w:p w14:paraId="382E3B37"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Dificultades: falta de espacio en picos de demanda, sobrecostos, rigidez operativa.</w:t>
      </w:r>
    </w:p>
    <w:p w14:paraId="60A28864" w14:textId="77777777" w:rsidR="00DE75E4" w:rsidRPr="00111094" w:rsidRDefault="00DE75E4" w:rsidP="00FE2A09">
      <w:pPr>
        <w:numPr>
          <w:ilvl w:val="0"/>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Factores críticos de elección</w:t>
      </w:r>
    </w:p>
    <w:p w14:paraId="5657553E"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Rapidez en liberación.</w:t>
      </w:r>
    </w:p>
    <w:p w14:paraId="6F6E2175"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Trazabilidad e integración tecnológica con ERPs y sistemas de Aduana.</w:t>
      </w:r>
    </w:p>
    <w:p w14:paraId="6F0681F5"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Compliance estricto para sectores sensibles (cosmética, electrónica, alimentos, automotriz).</w:t>
      </w:r>
    </w:p>
    <w:p w14:paraId="67B488F7"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Tarifas competitivas</w:t>
      </w:r>
      <w:r w:rsidRPr="00111094">
        <w:rPr>
          <w:rFonts w:ascii="Times New Roman" w:hAnsi="Times New Roman" w:cs="Times New Roman"/>
          <w:sz w:val="24"/>
          <w:szCs w:val="24"/>
        </w:rPr>
        <w:t>.</w:t>
      </w:r>
    </w:p>
    <w:p w14:paraId="13F75A67" w14:textId="77777777" w:rsidR="00DE75E4" w:rsidRPr="00111094" w:rsidRDefault="00DE75E4" w:rsidP="00FE2A09">
      <w:pPr>
        <w:numPr>
          <w:ilvl w:val="0"/>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Expectativas hacia TASA</w:t>
      </w:r>
    </w:p>
    <w:p w14:paraId="1353DFC3"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Que sea un operador local competitivo con estándares globales.</w:t>
      </w:r>
    </w:p>
    <w:p w14:paraId="13BBF41D"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Que integre fiscal + almacenaje + transporte + e-commerce en un solo contrato.</w:t>
      </w:r>
    </w:p>
    <w:p w14:paraId="2C90BFD3"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Que garantice flexibilidad en capacidad (Importadora Sudamericana, Chango Más).</w:t>
      </w:r>
    </w:p>
    <w:p w14:paraId="481BB979" w14:textId="77777777" w:rsidR="00DE75E4" w:rsidRPr="00111094" w:rsidRDefault="00DE75E4" w:rsidP="00FE2A09">
      <w:pPr>
        <w:numPr>
          <w:ilvl w:val="0"/>
          <w:numId w:val="30"/>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Condiciones de adopción / rechazo</w:t>
      </w:r>
    </w:p>
    <w:p w14:paraId="6AA73D28" w14:textId="77777777" w:rsidR="00DE75E4" w:rsidRPr="0011109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Lo elegirían si TASA asegura cumplimiento normativo, visibilidad tecnológica, costos competitivos y clientes ancla.</w:t>
      </w:r>
    </w:p>
    <w:p w14:paraId="2CE21E72" w14:textId="77777777" w:rsidR="00DE75E4" w:rsidRDefault="00DE75E4" w:rsidP="00FE2A09">
      <w:pPr>
        <w:numPr>
          <w:ilvl w:val="1"/>
          <w:numId w:val="30"/>
        </w:numPr>
        <w:spacing w:after="0"/>
        <w:jc w:val="both"/>
        <w:rPr>
          <w:rFonts w:ascii="Times New Roman" w:hAnsi="Times New Roman" w:cs="Times New Roman"/>
          <w:sz w:val="24"/>
          <w:szCs w:val="24"/>
        </w:rPr>
      </w:pPr>
      <w:r w:rsidRPr="00111094">
        <w:rPr>
          <w:rFonts w:ascii="Times New Roman" w:hAnsi="Times New Roman" w:cs="Times New Roman"/>
          <w:sz w:val="24"/>
          <w:szCs w:val="24"/>
        </w:rPr>
        <w:t>No lo elegirían si perciben demoras en habilitación, sobrecostos o falta de expertise inicial.</w:t>
      </w:r>
    </w:p>
    <w:p w14:paraId="235CE497" w14:textId="77777777" w:rsidR="002D3EB1" w:rsidRPr="00111094" w:rsidRDefault="002D3EB1" w:rsidP="002D3EB1">
      <w:pPr>
        <w:spacing w:after="0"/>
        <w:ind w:left="1440"/>
        <w:jc w:val="both"/>
        <w:rPr>
          <w:rFonts w:ascii="Times New Roman" w:hAnsi="Times New Roman" w:cs="Times New Roman"/>
          <w:sz w:val="24"/>
          <w:szCs w:val="24"/>
        </w:rPr>
      </w:pPr>
    </w:p>
    <w:p w14:paraId="73AD534A" w14:textId="3F1F976A" w:rsidR="0066444A" w:rsidRPr="00111094" w:rsidRDefault="0066444A"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 xml:space="preserve">Matriz de codificación temática </w:t>
      </w:r>
    </w:p>
    <w:tbl>
      <w:tblPr>
        <w:tblStyle w:val="GridTable4Accent1"/>
        <w:tblW w:w="0" w:type="auto"/>
        <w:tblLook w:val="04A0" w:firstRow="1" w:lastRow="0" w:firstColumn="1" w:lastColumn="0" w:noHBand="0" w:noVBand="1"/>
      </w:tblPr>
      <w:tblGrid>
        <w:gridCol w:w="2020"/>
        <w:gridCol w:w="4722"/>
        <w:gridCol w:w="2834"/>
      </w:tblGrid>
      <w:tr w:rsidR="0066444A" w:rsidRPr="00111094" w14:paraId="28261800" w14:textId="77777777" w:rsidTr="00B41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C83AB0" w14:textId="77777777" w:rsidR="0066444A" w:rsidRPr="00111094" w:rsidRDefault="0066444A"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Categoría</w:t>
            </w:r>
          </w:p>
        </w:tc>
        <w:tc>
          <w:tcPr>
            <w:tcW w:w="4722" w:type="dxa"/>
            <w:hideMark/>
          </w:tcPr>
          <w:p w14:paraId="6C801F6B" w14:textId="77777777" w:rsidR="0066444A" w:rsidRPr="00111094" w:rsidRDefault="0066444A"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Hallazgos recurrentes</w:t>
            </w:r>
          </w:p>
        </w:tc>
        <w:tc>
          <w:tcPr>
            <w:tcW w:w="2834" w:type="dxa"/>
            <w:hideMark/>
          </w:tcPr>
          <w:p w14:paraId="0A422F88" w14:textId="77777777" w:rsidR="0066444A" w:rsidRPr="00111094" w:rsidRDefault="0066444A"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Entrevistas</w:t>
            </w:r>
          </w:p>
        </w:tc>
      </w:tr>
      <w:tr w:rsidR="0066444A" w:rsidRPr="00111094" w14:paraId="619471FA" w14:textId="77777777" w:rsidTr="00B4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737630" w14:textId="77777777" w:rsidR="0066444A" w:rsidRPr="00111094" w:rsidRDefault="0066444A"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Oportunidades</w:t>
            </w:r>
          </w:p>
        </w:tc>
        <w:tc>
          <w:tcPr>
            <w:tcW w:w="4722" w:type="dxa"/>
            <w:hideMark/>
          </w:tcPr>
          <w:p w14:paraId="608A067F" w14:textId="77777777" w:rsidR="0066444A" w:rsidRPr="00111094" w:rsidRDefault="0066444A"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Posibilidad de consolidar importaciones en Pilar, diferir tributos, captar grandes volúmenes de retail y consumo.</w:t>
            </w:r>
          </w:p>
        </w:tc>
        <w:tc>
          <w:tcPr>
            <w:tcW w:w="2834" w:type="dxa"/>
            <w:hideMark/>
          </w:tcPr>
          <w:p w14:paraId="2A282808" w14:textId="77777777" w:rsidR="0066444A" w:rsidRPr="00111094" w:rsidRDefault="0066444A"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L’Oréal, Nestlé, Chango Más, Natura</w:t>
            </w:r>
          </w:p>
        </w:tc>
      </w:tr>
      <w:tr w:rsidR="0066444A" w:rsidRPr="00111094" w14:paraId="6E543C6A" w14:textId="77777777" w:rsidTr="00B41FAD">
        <w:tc>
          <w:tcPr>
            <w:cnfStyle w:val="001000000000" w:firstRow="0" w:lastRow="0" w:firstColumn="1" w:lastColumn="0" w:oddVBand="0" w:evenVBand="0" w:oddHBand="0" w:evenHBand="0" w:firstRowFirstColumn="0" w:firstRowLastColumn="0" w:lastRowFirstColumn="0" w:lastRowLastColumn="0"/>
            <w:tcW w:w="0" w:type="auto"/>
            <w:hideMark/>
          </w:tcPr>
          <w:p w14:paraId="16E57112" w14:textId="77777777" w:rsidR="0066444A" w:rsidRPr="00111094" w:rsidRDefault="0066444A"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Riesgos</w:t>
            </w:r>
          </w:p>
        </w:tc>
        <w:tc>
          <w:tcPr>
            <w:tcW w:w="4722" w:type="dxa"/>
            <w:hideMark/>
          </w:tcPr>
          <w:p w14:paraId="7B2F6C91" w14:textId="77777777" w:rsidR="0066444A" w:rsidRPr="00111094" w:rsidRDefault="0066444A"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Demoras en habilitación, falta de espacio en picos, costos altos, curva de aprendizaje de TASA en aduana.</w:t>
            </w:r>
          </w:p>
        </w:tc>
        <w:tc>
          <w:tcPr>
            <w:tcW w:w="2834" w:type="dxa"/>
            <w:hideMark/>
          </w:tcPr>
          <w:p w14:paraId="6564FD3F" w14:textId="77777777" w:rsidR="0066444A" w:rsidRPr="00111094" w:rsidRDefault="0066444A"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Johnson Controls, Importadora Sudamericana, Sony</w:t>
            </w:r>
          </w:p>
        </w:tc>
      </w:tr>
      <w:tr w:rsidR="0066444A" w:rsidRPr="00111094" w14:paraId="3590CA23" w14:textId="77777777" w:rsidTr="00B4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9EA93E" w14:textId="77777777" w:rsidR="0066444A" w:rsidRPr="00111094" w:rsidRDefault="0066444A"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Expectativas</w:t>
            </w:r>
          </w:p>
        </w:tc>
        <w:tc>
          <w:tcPr>
            <w:tcW w:w="4722" w:type="dxa"/>
            <w:hideMark/>
          </w:tcPr>
          <w:p w14:paraId="51CF7761" w14:textId="77777777" w:rsidR="0066444A" w:rsidRPr="00111094" w:rsidRDefault="0066444A"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Rapidez, trazabilidad total, integración fiscal + almacenaje + transporte, compliance riguroso.</w:t>
            </w:r>
          </w:p>
        </w:tc>
        <w:tc>
          <w:tcPr>
            <w:tcW w:w="2834" w:type="dxa"/>
            <w:hideMark/>
          </w:tcPr>
          <w:p w14:paraId="1F23A57F" w14:textId="77777777" w:rsidR="0066444A" w:rsidRPr="00111094" w:rsidRDefault="0066444A"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Ledvance, Mann+Hummel, Sony</w:t>
            </w:r>
          </w:p>
        </w:tc>
      </w:tr>
      <w:tr w:rsidR="0066444A" w:rsidRPr="00111094" w14:paraId="5E8FDD42" w14:textId="77777777" w:rsidTr="00B41FAD">
        <w:tc>
          <w:tcPr>
            <w:cnfStyle w:val="001000000000" w:firstRow="0" w:lastRow="0" w:firstColumn="1" w:lastColumn="0" w:oddVBand="0" w:evenVBand="0" w:oddHBand="0" w:evenHBand="0" w:firstRowFirstColumn="0" w:firstRowLastColumn="0" w:lastRowFirstColumn="0" w:lastRowLastColumn="0"/>
            <w:tcW w:w="0" w:type="auto"/>
            <w:hideMark/>
          </w:tcPr>
          <w:p w14:paraId="0EA761C2" w14:textId="77777777" w:rsidR="0066444A" w:rsidRPr="00111094" w:rsidRDefault="0066444A"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Condiciones de elección</w:t>
            </w:r>
          </w:p>
        </w:tc>
        <w:tc>
          <w:tcPr>
            <w:tcW w:w="4722" w:type="dxa"/>
            <w:hideMark/>
          </w:tcPr>
          <w:p w14:paraId="465DF611" w14:textId="77777777" w:rsidR="0066444A" w:rsidRPr="00111094" w:rsidRDefault="0066444A"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Clientes ancla multinacionales (Nestlé, Natura, Sony, Ferrero) que aseguren volumen. Tarifas competitivas como condición.</w:t>
            </w:r>
          </w:p>
        </w:tc>
        <w:tc>
          <w:tcPr>
            <w:tcW w:w="2834" w:type="dxa"/>
            <w:hideMark/>
          </w:tcPr>
          <w:p w14:paraId="1DB5B28F" w14:textId="77777777" w:rsidR="0066444A" w:rsidRPr="00111094" w:rsidRDefault="0066444A"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Todos los clientes</w:t>
            </w:r>
          </w:p>
        </w:tc>
      </w:tr>
    </w:tbl>
    <w:p w14:paraId="45D5F1DD"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 xml:space="preserve">Nota. Elaboración propia sobre la base de </w:t>
      </w:r>
      <w:r>
        <w:rPr>
          <w:rFonts w:ascii="Times New Roman" w:hAnsi="Times New Roman" w:cs="Times New Roman"/>
          <w:i/>
          <w:iCs/>
          <w:color w:val="A6A6A6" w:themeColor="background1" w:themeShade="A6"/>
          <w:sz w:val="20"/>
          <w:szCs w:val="20"/>
        </w:rPr>
        <w:t>investigación.</w:t>
      </w:r>
    </w:p>
    <w:p w14:paraId="5FD209A5" w14:textId="13494E66" w:rsidR="003329EB" w:rsidRPr="00111094" w:rsidRDefault="003329EB" w:rsidP="00FE2A09">
      <w:pPr>
        <w:pStyle w:val="Ttulo3"/>
        <w:ind w:firstLine="360"/>
        <w:jc w:val="both"/>
        <w:rPr>
          <w:rFonts w:ascii="Times New Roman" w:hAnsi="Times New Roman" w:cs="Times New Roman"/>
          <w:i/>
          <w:iCs/>
          <w:sz w:val="24"/>
          <w:szCs w:val="24"/>
        </w:rPr>
      </w:pPr>
      <w:bookmarkStart w:id="48" w:name="_Toc228778748"/>
      <w:r w:rsidRPr="00111094">
        <w:rPr>
          <w:rFonts w:ascii="Times New Roman" w:hAnsi="Times New Roman" w:cs="Times New Roman"/>
          <w:i/>
          <w:iCs/>
          <w:sz w:val="24"/>
          <w:szCs w:val="24"/>
        </w:rPr>
        <w:t>Hallazgos transversales – Asesores Externos</w:t>
      </w:r>
      <w:bookmarkEnd w:id="48"/>
    </w:p>
    <w:p w14:paraId="5E78D987" w14:textId="77777777"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Requisitos Críticos para la Habilitación de un Depósito Fiscal</w:t>
      </w:r>
    </w:p>
    <w:p w14:paraId="4C9AFA37" w14:textId="5BE759DF"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Los especialistas coinciden en que la planificación integral del proyecto desde la etapa fiscal, legal y operativa es el factor más determinante para su éxito.</w:t>
      </w:r>
    </w:p>
    <w:p w14:paraId="78F913FD" w14:textId="77777777" w:rsidR="00555B12"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Se destacan como condiciones críticas:</w:t>
      </w:r>
    </w:p>
    <w:p w14:paraId="25913F8B" w14:textId="2B2E87B8"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Cumplimiento de la normativa AFIP–DGA (RG 4352/2018) con presentación completa de memoria técnica, planos, seguros y garantías.</w:t>
      </w:r>
    </w:p>
    <w:p w14:paraId="503F784F" w14:textId="7777777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Infraestructura segura y trazable, incluyendo cercos, cámaras, controles de acceso y sistemas WMS integrados con Aduana.</w:t>
      </w:r>
    </w:p>
    <w:p w14:paraId="0355FFEB" w14:textId="7777777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Solidez fiscal y societaria del operador, con estructura impositiva clara y planificación de tributos nacionales y provinciales.</w:t>
      </w:r>
    </w:p>
    <w:p w14:paraId="779A92A9" w14:textId="7777777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Personal técnico especializado en aduana, compliance y comercio exterior.</w:t>
      </w:r>
    </w:p>
    <w:p w14:paraId="1CB9660F"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Se subraya la necesidad de coordinación interjurisdiccional (municipio, provincia y DGA) en la Zona Norte, debido a exigencias urbanas y ambientales más estrictas.</w:t>
      </w:r>
    </w:p>
    <w:p w14:paraId="305ACAE8" w14:textId="15CB7552"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Errores Frecuentes Identificados</w:t>
      </w:r>
    </w:p>
    <w:p w14:paraId="4108B943"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Iniciar obras o inversiones sin acuerdo previo con la DGA o sin haber cerrado la etapa de inspección técnica.</w:t>
      </w:r>
    </w:p>
    <w:p w14:paraId="47AF34D3" w14:textId="77777777" w:rsidR="00555B12"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Subestimar la carga impositiva indirecta (IVA, Ingresos Brutos, Ganancias) y los costos de garantías aduaneras.</w:t>
      </w:r>
    </w:p>
    <w:p w14:paraId="306F2164" w14:textId="3C4F424C"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Presentaciones incompletas o desactualizadas de planos y documentación técnica.</w:t>
      </w:r>
    </w:p>
    <w:p w14:paraId="43929855"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Falta de integración tecnológica temprana entre sistemas logísticos y plataformas aduaneras (VUCEA, SIM).</w:t>
      </w:r>
    </w:p>
    <w:p w14:paraId="715C6B41"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Ausencia de un despachante o asesor técnico especializado desde el diseño del proyecto, lo que genera demoras o rechazos de habilitación.</w:t>
      </w:r>
    </w:p>
    <w:p w14:paraId="6017FD32"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Errores contractuales: no prever cláusulas de contingencia, penalidades o seguros de responsabilidad aduanera.</w:t>
      </w:r>
    </w:p>
    <w:p w14:paraId="6205C1A9" w14:textId="037DF7D3"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Desafíos Regulatorios y Aduaneros en Zona Norte</w:t>
      </w:r>
    </w:p>
    <w:p w14:paraId="5BEDC011"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lastRenderedPageBreak/>
        <w:t>Saturación de parques industriales y mayor control ambiental y de tránsito por parte de municipios.</w:t>
      </w:r>
    </w:p>
    <w:p w14:paraId="2CF03C3B"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Necesidad de infraestructura vial acorde al movimiento de camiones y acceso fluido a autopistas (Panamericana, Ruta 8 y 9).</w:t>
      </w:r>
    </w:p>
    <w:p w14:paraId="10AB94D1"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Escasez de terrenos habilitados con zonificación compatible con depósitos fiscales.</w:t>
      </w:r>
    </w:p>
    <w:p w14:paraId="30E1D0F4"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Coordinación aduana–transporte–almacén como elemento crítico para evitar congestión y costos de espera.</w:t>
      </w:r>
    </w:p>
    <w:p w14:paraId="19BC5195"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Mayores exigencias de trazabilidad y compliance digital en la región por cercanía al AMBA y concentración de multinacionales.</w:t>
      </w:r>
    </w:p>
    <w:p w14:paraId="578A1938" w14:textId="1213808F"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Evolución del Régimen de Depósitos Fiscales</w:t>
      </w:r>
    </w:p>
    <w:p w14:paraId="705ABE50"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Todos los expertos coinciden en que el régimen ha evolucionado hacia modelos integrales y tecnológicos, donde el depósito fiscal ya no es sólo un espacio de almacenamiento sino parte de la cadena de valor del comercio exterior.</w:t>
      </w:r>
    </w:p>
    <w:p w14:paraId="1D3BBC1D"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Se observa una transición de depósitos “puros” a centros logísticos aduaneros integrados, con servicios de valor agregado (fulfillment, etiquetado, copacking, trazabilidad online).</w:t>
      </w:r>
    </w:p>
    <w:p w14:paraId="497CDF7A"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La exigencia de compliance y de auditorías periódicas aumentó considerablemente, impulsada por la digitalización de AFIP y la fiscalización de clientes globales.</w:t>
      </w:r>
    </w:p>
    <w:p w14:paraId="5A83B766"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A nivel normativo, se identifica un endurecimiento de los controles post-habilitación: la DGA exige mantener las condiciones originales del expediente y reportes electrónicos constantes.</w:t>
      </w:r>
    </w:p>
    <w:p w14:paraId="7D3226BE" w14:textId="7AAC035B"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Factores que Determinan la Rentabilidad</w:t>
      </w:r>
    </w:p>
    <w:p w14:paraId="4E732344"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La rentabilidad depende de la escala y diversificación de clientes, el nivel de ocupación del depósito (mínimo 60 %), y la eficiencia operativa basada en automatización y tecnología.</w:t>
      </w:r>
    </w:p>
    <w:p w14:paraId="15E05029"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Integración con transporte y distribución: reduce costos de manipulación y genera valor agregado para los clientes.</w:t>
      </w:r>
    </w:p>
    <w:p w14:paraId="7E231FAF" w14:textId="77777777" w:rsidR="00555B12"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Certificaciones y cumplimiento normativo (compliance, seguridad, trazabilidad) pueden convertirse en un diferencial competitivo que habilita tarifas premium</w:t>
      </w:r>
      <w:r w:rsidR="00555B12" w:rsidRPr="00111094">
        <w:rPr>
          <w:rFonts w:ascii="Times New Roman" w:hAnsi="Times New Roman" w:cs="Times New Roman"/>
          <w:sz w:val="24"/>
          <w:szCs w:val="24"/>
        </w:rPr>
        <w:t>.</w:t>
      </w:r>
    </w:p>
    <w:p w14:paraId="4A4FA1EF" w14:textId="7068C38E"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Riesgos que afectan la rentabilidad:</w:t>
      </w:r>
    </w:p>
    <w:p w14:paraId="39F5515B" w14:textId="77777777" w:rsidR="00555B12"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Largos plazos de habilitación.</w:t>
      </w:r>
    </w:p>
    <w:p w14:paraId="3C85A761" w14:textId="2B4CBCD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Altos costos fijos (garantías, seguros, TI).</w:t>
      </w:r>
    </w:p>
    <w:p w14:paraId="4D5A992C" w14:textId="7777777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Falta de clientes ancla o baja rotación de mercadería.</w:t>
      </w:r>
    </w:p>
    <w:p w14:paraId="1AE2D546" w14:textId="77777777" w:rsidR="00EC6C18" w:rsidRPr="00111094" w:rsidRDefault="00EC6C18" w:rsidP="00FE2A09">
      <w:pPr>
        <w:numPr>
          <w:ilvl w:val="2"/>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Escasa capacitación del personal en normativa aduanera.</w:t>
      </w:r>
    </w:p>
    <w:p w14:paraId="64C823EA" w14:textId="7410E61A"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Condiciones Clave para el Éxito</w:t>
      </w:r>
    </w:p>
    <w:p w14:paraId="197C85CC"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Diseño de un plan de habilitación por etapas, con un piloto operativo inicial (cliente ancla) antes del escalado.</w:t>
      </w:r>
    </w:p>
    <w:p w14:paraId="15842256"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lastRenderedPageBreak/>
        <w:t>Integración total de sistemas (WMS–TMS–ERP–Aduana) para trazabilidad y control documental en tiempo real.</w:t>
      </w:r>
    </w:p>
    <w:p w14:paraId="0F00DAFC"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Estructura contractual sólida entre operador, cliente y Aduana que defina responsabilidades, penalidades y cobertura de seguros.</w:t>
      </w:r>
    </w:p>
    <w:p w14:paraId="0ABB050F"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Programa interno de auditoría y compliance continuo, con reportes de stock, vencimientos y garantías actualizadas.</w:t>
      </w:r>
    </w:p>
    <w:p w14:paraId="6359DE06"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Aprovechamiento de incentivos fiscales y provinciales vinculados a generación de empleo, sustentabilidad o inversión logística.</w:t>
      </w:r>
    </w:p>
    <w:p w14:paraId="7A45EE57" w14:textId="77777777" w:rsidR="00EC6C18" w:rsidRPr="00111094" w:rsidRDefault="00EC6C18" w:rsidP="00FE2A09">
      <w:pPr>
        <w:numPr>
          <w:ilvl w:val="1"/>
          <w:numId w:val="31"/>
        </w:numPr>
        <w:spacing w:after="0"/>
        <w:jc w:val="both"/>
        <w:rPr>
          <w:rFonts w:ascii="Times New Roman" w:hAnsi="Times New Roman" w:cs="Times New Roman"/>
          <w:sz w:val="24"/>
          <w:szCs w:val="24"/>
        </w:rPr>
      </w:pPr>
      <w:r w:rsidRPr="00111094">
        <w:rPr>
          <w:rFonts w:ascii="Times New Roman" w:hAnsi="Times New Roman" w:cs="Times New Roman"/>
          <w:sz w:val="24"/>
          <w:szCs w:val="24"/>
        </w:rPr>
        <w:t>Participación activa de asesores externos especializados (BDO, despachantes, FADEEAC, ex DGA) desde la etapa de diseño hasta la puesta en marcha.</w:t>
      </w:r>
    </w:p>
    <w:p w14:paraId="058C2ED4" w14:textId="08FAA020" w:rsidR="00EC6C18" w:rsidRPr="00111094" w:rsidRDefault="00EC6C18" w:rsidP="00FE2A09">
      <w:pPr>
        <w:numPr>
          <w:ilvl w:val="0"/>
          <w:numId w:val="31"/>
        </w:numPr>
        <w:spacing w:after="0"/>
        <w:jc w:val="both"/>
        <w:rPr>
          <w:rFonts w:ascii="Times New Roman" w:hAnsi="Times New Roman" w:cs="Times New Roman"/>
          <w:b/>
          <w:bCs/>
          <w:sz w:val="24"/>
          <w:szCs w:val="24"/>
        </w:rPr>
      </w:pPr>
      <w:r w:rsidRPr="00111094">
        <w:rPr>
          <w:rFonts w:ascii="Times New Roman" w:hAnsi="Times New Roman" w:cs="Times New Roman"/>
          <w:b/>
          <w:bCs/>
          <w:sz w:val="24"/>
          <w:szCs w:val="24"/>
        </w:rPr>
        <w:t>Conclusión General del Relevamiento</w:t>
      </w:r>
    </w:p>
    <w:p w14:paraId="3EB8CDF9" w14:textId="77777777" w:rsidR="00EC6C18" w:rsidRPr="00111094" w:rsidRDefault="00EC6C18" w:rsidP="00FE2A09">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Los asesores externos coinciden en que la viabilidad y rentabilidad del depósito fiscal en Zona Norte dependen más de la planificación integral, la gestión de riesgos y el cumplimiento normativo que de la ubicación en sí misma.</w:t>
      </w:r>
    </w:p>
    <w:p w14:paraId="68C8A077" w14:textId="52C299B4" w:rsidR="00EC6C18" w:rsidRPr="00111094" w:rsidRDefault="00EC6C18" w:rsidP="00FE2A09">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TASA Logística se encuentra en una posición favorable por su infraestructura y experiencia operativa, pero deberá invertir en talento especializado, tecnología y asesoramiento permanente para alcanzar estándares de clase mundial.</w:t>
      </w:r>
    </w:p>
    <w:p w14:paraId="6D044068" w14:textId="77777777" w:rsidR="00C6004C" w:rsidRPr="00111094" w:rsidRDefault="00C6004C"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 xml:space="preserve">Matriz de codificación temática </w:t>
      </w:r>
    </w:p>
    <w:tbl>
      <w:tblPr>
        <w:tblStyle w:val="GridTable4Accent1"/>
        <w:tblW w:w="9364" w:type="dxa"/>
        <w:tblLook w:val="04A0" w:firstRow="1" w:lastRow="0" w:firstColumn="1" w:lastColumn="0" w:noHBand="0" w:noVBand="1"/>
      </w:tblPr>
      <w:tblGrid>
        <w:gridCol w:w="1980"/>
        <w:gridCol w:w="5812"/>
        <w:gridCol w:w="1572"/>
      </w:tblGrid>
      <w:tr w:rsidR="00B65531" w:rsidRPr="00111094" w14:paraId="1B0463EA" w14:textId="77777777" w:rsidTr="00B41FAD">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980" w:type="dxa"/>
            <w:hideMark/>
          </w:tcPr>
          <w:p w14:paraId="0A8F3F9E" w14:textId="77777777" w:rsidR="00B65531" w:rsidRPr="00111094" w:rsidRDefault="00B65531" w:rsidP="00B41FAD">
            <w:pPr>
              <w:spacing w:line="276" w:lineRule="auto"/>
              <w:rPr>
                <w:rFonts w:ascii="Times New Roman" w:hAnsi="Times New Roman" w:cs="Times New Roman"/>
                <w:sz w:val="20"/>
                <w:szCs w:val="20"/>
              </w:rPr>
            </w:pPr>
            <w:r w:rsidRPr="00111094">
              <w:rPr>
                <w:rFonts w:ascii="Times New Roman" w:hAnsi="Times New Roman" w:cs="Times New Roman"/>
                <w:sz w:val="20"/>
                <w:szCs w:val="20"/>
              </w:rPr>
              <w:t>Categoría</w:t>
            </w:r>
          </w:p>
        </w:tc>
        <w:tc>
          <w:tcPr>
            <w:tcW w:w="5812" w:type="dxa"/>
            <w:hideMark/>
          </w:tcPr>
          <w:p w14:paraId="34885436" w14:textId="77777777" w:rsidR="00B65531" w:rsidRPr="00111094" w:rsidRDefault="00B65531"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Hallazgos recurrentes</w:t>
            </w:r>
          </w:p>
        </w:tc>
        <w:tc>
          <w:tcPr>
            <w:tcW w:w="1572" w:type="dxa"/>
            <w:hideMark/>
          </w:tcPr>
          <w:p w14:paraId="6D135DDA" w14:textId="3E9A8CE0" w:rsidR="00B65531" w:rsidRPr="00111094" w:rsidRDefault="00B65531" w:rsidP="00B41FA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Impacto</w:t>
            </w:r>
          </w:p>
        </w:tc>
      </w:tr>
      <w:tr w:rsidR="00B65531" w:rsidRPr="00111094" w14:paraId="1A9F9AFF" w14:textId="77777777" w:rsidTr="00B41FAD">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1279DB42" w14:textId="06E14399" w:rsidR="00B65531" w:rsidRPr="00111094" w:rsidRDefault="00B65531" w:rsidP="00B41FAD">
            <w:pPr>
              <w:spacing w:line="276" w:lineRule="auto"/>
              <w:rPr>
                <w:rFonts w:ascii="Times New Roman" w:hAnsi="Times New Roman" w:cs="Times New Roman"/>
                <w:sz w:val="20"/>
                <w:szCs w:val="20"/>
              </w:rPr>
            </w:pPr>
            <w:r w:rsidRPr="00111094">
              <w:rPr>
                <w:rFonts w:ascii="Times New Roman" w:hAnsi="Times New Roman" w:cs="Times New Roman"/>
                <w:color w:val="000000"/>
                <w:sz w:val="20"/>
                <w:szCs w:val="20"/>
              </w:rPr>
              <w:t>Requisitos críticos</w:t>
            </w:r>
          </w:p>
        </w:tc>
        <w:tc>
          <w:tcPr>
            <w:tcW w:w="5812" w:type="dxa"/>
            <w:vAlign w:val="center"/>
          </w:tcPr>
          <w:p w14:paraId="67DD1EE2" w14:textId="0AEAEA46" w:rsidR="00B65531" w:rsidRPr="00111094" w:rsidRDefault="00B65531"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Cumplimiento estricto de normativa AFIP-DGA (RG 4352/18); infraestructura segura y trazable; coordinación municipal, provincial y aduanera; personal especializado; planificación tributaria integral.</w:t>
            </w:r>
          </w:p>
        </w:tc>
        <w:tc>
          <w:tcPr>
            <w:tcW w:w="1572" w:type="dxa"/>
            <w:vAlign w:val="center"/>
          </w:tcPr>
          <w:p w14:paraId="28F6AEE0" w14:textId="712A40EA" w:rsidR="00B65531" w:rsidRPr="00111094" w:rsidRDefault="00B65531"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Alto</w:t>
            </w:r>
          </w:p>
        </w:tc>
      </w:tr>
      <w:tr w:rsidR="00B65531" w:rsidRPr="00111094" w14:paraId="5AC3F9B7" w14:textId="77777777" w:rsidTr="00B41FAD">
        <w:trPr>
          <w:trHeight w:val="519"/>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7809F762" w14:textId="7D0947C4" w:rsidR="00B65531" w:rsidRPr="00111094" w:rsidRDefault="00B65531" w:rsidP="00B41FAD">
            <w:pPr>
              <w:spacing w:line="276" w:lineRule="auto"/>
              <w:rPr>
                <w:rFonts w:ascii="Times New Roman" w:hAnsi="Times New Roman" w:cs="Times New Roman"/>
                <w:sz w:val="20"/>
                <w:szCs w:val="20"/>
              </w:rPr>
            </w:pPr>
            <w:r w:rsidRPr="00111094">
              <w:rPr>
                <w:rFonts w:ascii="Times New Roman" w:hAnsi="Times New Roman" w:cs="Times New Roman"/>
                <w:color w:val="000000"/>
                <w:sz w:val="20"/>
                <w:szCs w:val="20"/>
              </w:rPr>
              <w:t>Errores frecuentes</w:t>
            </w:r>
          </w:p>
        </w:tc>
        <w:tc>
          <w:tcPr>
            <w:tcW w:w="5812" w:type="dxa"/>
            <w:vAlign w:val="center"/>
          </w:tcPr>
          <w:p w14:paraId="31646722" w14:textId="681326A8" w:rsidR="00B65531" w:rsidRPr="00111094" w:rsidRDefault="00B65531"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Iniciar obras sin aprobación DGA; subestimar impuestos y costos de garantías; documentación incompleta; falta de integración TI; ausencia de asesor técnico o contractual desde el inicio.</w:t>
            </w:r>
          </w:p>
        </w:tc>
        <w:tc>
          <w:tcPr>
            <w:tcW w:w="1572" w:type="dxa"/>
            <w:vAlign w:val="center"/>
          </w:tcPr>
          <w:p w14:paraId="73D558FE" w14:textId="41BEEFFF" w:rsidR="00B65531" w:rsidRPr="00111094" w:rsidRDefault="00B65531"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Alto</w:t>
            </w:r>
          </w:p>
        </w:tc>
      </w:tr>
      <w:tr w:rsidR="00B65531" w:rsidRPr="00111094" w14:paraId="5227E031" w14:textId="77777777" w:rsidTr="00B41FAD">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09135979" w14:textId="5509D1DE" w:rsidR="00B65531" w:rsidRPr="00111094" w:rsidRDefault="00B65531" w:rsidP="00B41FAD">
            <w:pPr>
              <w:rPr>
                <w:rFonts w:ascii="Times New Roman" w:hAnsi="Times New Roman" w:cs="Times New Roman"/>
                <w:sz w:val="20"/>
                <w:szCs w:val="20"/>
              </w:rPr>
            </w:pPr>
            <w:r w:rsidRPr="00111094">
              <w:rPr>
                <w:rFonts w:ascii="Times New Roman" w:hAnsi="Times New Roman" w:cs="Times New Roman"/>
                <w:color w:val="000000"/>
                <w:sz w:val="20"/>
                <w:szCs w:val="20"/>
              </w:rPr>
              <w:t>Desafíos regulatorios Zona Norte</w:t>
            </w:r>
          </w:p>
        </w:tc>
        <w:tc>
          <w:tcPr>
            <w:tcW w:w="5812" w:type="dxa"/>
            <w:vAlign w:val="center"/>
          </w:tcPr>
          <w:p w14:paraId="465C1EAB" w14:textId="430AF6DF" w:rsidR="00B65531" w:rsidRPr="00111094" w:rsidRDefault="00B65531" w:rsidP="00B41F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Saturación industrial, mayores exigencias ambientales y de tránsito; escasez de terrenos habilitados; necesidad de infraestructura vial y coordinación aduana–transporte–almacén.</w:t>
            </w:r>
          </w:p>
        </w:tc>
        <w:tc>
          <w:tcPr>
            <w:tcW w:w="1572" w:type="dxa"/>
            <w:vAlign w:val="center"/>
          </w:tcPr>
          <w:p w14:paraId="57116A4D" w14:textId="46EC055B" w:rsidR="00B65531" w:rsidRPr="00111094" w:rsidRDefault="00B65531" w:rsidP="00B41F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Medio–Alto</w:t>
            </w:r>
          </w:p>
        </w:tc>
      </w:tr>
      <w:tr w:rsidR="00B65531" w:rsidRPr="00111094" w14:paraId="713E84D5" w14:textId="77777777" w:rsidTr="00B41FAD">
        <w:trPr>
          <w:trHeight w:val="252"/>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5ED097EF" w14:textId="67965D7B" w:rsidR="00B65531" w:rsidRPr="00111094" w:rsidRDefault="00B65531" w:rsidP="00B41FAD">
            <w:pPr>
              <w:rPr>
                <w:rFonts w:ascii="Times New Roman" w:hAnsi="Times New Roman" w:cs="Times New Roman"/>
                <w:sz w:val="20"/>
                <w:szCs w:val="20"/>
              </w:rPr>
            </w:pPr>
            <w:r w:rsidRPr="00111094">
              <w:rPr>
                <w:rFonts w:ascii="Times New Roman" w:hAnsi="Times New Roman" w:cs="Times New Roman"/>
                <w:color w:val="000000"/>
                <w:sz w:val="20"/>
                <w:szCs w:val="20"/>
              </w:rPr>
              <w:t>Evolución del régimen</w:t>
            </w:r>
          </w:p>
        </w:tc>
        <w:tc>
          <w:tcPr>
            <w:tcW w:w="5812" w:type="dxa"/>
            <w:vAlign w:val="center"/>
          </w:tcPr>
          <w:p w14:paraId="03618764" w14:textId="16AD8F4C" w:rsidR="00B65531" w:rsidRPr="00111094" w:rsidRDefault="00B65531" w:rsidP="00B41F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Transición de depósitos “puros” a centros logísticos integrados; incremento de exigencias de trazabilidad y auditorías; digitalización AFIP; mayor fiscalización post-habilitación.</w:t>
            </w:r>
          </w:p>
        </w:tc>
        <w:tc>
          <w:tcPr>
            <w:tcW w:w="1572" w:type="dxa"/>
            <w:vAlign w:val="center"/>
          </w:tcPr>
          <w:p w14:paraId="4F93B974" w14:textId="582A8DB7" w:rsidR="00B65531" w:rsidRPr="00111094" w:rsidRDefault="00B65531" w:rsidP="00B41F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Alto</w:t>
            </w:r>
          </w:p>
        </w:tc>
      </w:tr>
      <w:tr w:rsidR="00B65531" w:rsidRPr="00111094" w14:paraId="7043A29E" w14:textId="77777777" w:rsidTr="00B41FAD">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4574F4EF" w14:textId="738B9B44" w:rsidR="00B65531" w:rsidRPr="00111094" w:rsidRDefault="00B65531" w:rsidP="00B41FAD">
            <w:pPr>
              <w:rPr>
                <w:rFonts w:ascii="Times New Roman" w:hAnsi="Times New Roman" w:cs="Times New Roman"/>
                <w:sz w:val="20"/>
                <w:szCs w:val="20"/>
              </w:rPr>
            </w:pPr>
            <w:r w:rsidRPr="00111094">
              <w:rPr>
                <w:rFonts w:ascii="Times New Roman" w:hAnsi="Times New Roman" w:cs="Times New Roman"/>
                <w:color w:val="000000"/>
                <w:sz w:val="20"/>
                <w:szCs w:val="20"/>
              </w:rPr>
              <w:t>Factores de rentabilidad</w:t>
            </w:r>
          </w:p>
        </w:tc>
        <w:tc>
          <w:tcPr>
            <w:tcW w:w="5812" w:type="dxa"/>
            <w:vAlign w:val="center"/>
          </w:tcPr>
          <w:p w14:paraId="32E55555" w14:textId="1B5F18A0" w:rsidR="00B65531" w:rsidRPr="00111094" w:rsidRDefault="00B65531" w:rsidP="00B41F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11094">
              <w:rPr>
                <w:rFonts w:ascii="Times New Roman" w:hAnsi="Times New Roman" w:cs="Times New Roman"/>
                <w:color w:val="000000"/>
                <w:sz w:val="20"/>
                <w:szCs w:val="20"/>
              </w:rPr>
              <w:t>Escala mínima de ocupación ≥ 60 %; diversificación de clientes; eficiencia operativa; automatización; integración con transporte; cumplimiento y certificaciones como valor agregado.</w:t>
            </w:r>
          </w:p>
        </w:tc>
        <w:tc>
          <w:tcPr>
            <w:tcW w:w="1572" w:type="dxa"/>
            <w:vAlign w:val="center"/>
          </w:tcPr>
          <w:p w14:paraId="230775EC" w14:textId="5021578C" w:rsidR="00B65531" w:rsidRPr="00111094" w:rsidRDefault="00B65531" w:rsidP="00B41F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Muy alto</w:t>
            </w:r>
          </w:p>
        </w:tc>
      </w:tr>
      <w:tr w:rsidR="00B65531" w:rsidRPr="00111094" w14:paraId="02F3EE5C" w14:textId="77777777" w:rsidTr="00B41FAD">
        <w:trPr>
          <w:trHeight w:val="252"/>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DC276F7" w14:textId="2A2883B5" w:rsidR="00B65531" w:rsidRPr="00111094" w:rsidRDefault="00B65531" w:rsidP="00B41FAD">
            <w:pPr>
              <w:rPr>
                <w:rFonts w:ascii="Times New Roman" w:hAnsi="Times New Roman" w:cs="Times New Roman"/>
                <w:sz w:val="20"/>
                <w:szCs w:val="20"/>
              </w:rPr>
            </w:pPr>
            <w:r w:rsidRPr="00111094">
              <w:rPr>
                <w:rFonts w:ascii="Times New Roman" w:hAnsi="Times New Roman" w:cs="Times New Roman"/>
                <w:color w:val="000000"/>
                <w:sz w:val="20"/>
                <w:szCs w:val="20"/>
              </w:rPr>
              <w:t>Condiciones de éxito</w:t>
            </w:r>
          </w:p>
        </w:tc>
        <w:tc>
          <w:tcPr>
            <w:tcW w:w="5812" w:type="dxa"/>
            <w:vAlign w:val="center"/>
          </w:tcPr>
          <w:p w14:paraId="585ACD67" w14:textId="2A406694" w:rsidR="00B65531" w:rsidRPr="00111094" w:rsidRDefault="00B65531" w:rsidP="00B41F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Habilitación por etapas con cliente ancla; integración total WMS–TMS–ERP–Aduana; estructura contractual sólida; programa de auditoría y compliance continuo; incentivos fiscales.</w:t>
            </w:r>
          </w:p>
        </w:tc>
        <w:tc>
          <w:tcPr>
            <w:tcW w:w="1572" w:type="dxa"/>
            <w:vAlign w:val="center"/>
          </w:tcPr>
          <w:p w14:paraId="2E86C302" w14:textId="2308D83A" w:rsidR="00B65531" w:rsidRPr="00111094" w:rsidRDefault="00B65531" w:rsidP="00B41F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Muy alto</w:t>
            </w:r>
          </w:p>
        </w:tc>
      </w:tr>
      <w:tr w:rsidR="00B65531" w:rsidRPr="00111094" w14:paraId="42DB3503" w14:textId="77777777" w:rsidTr="00B41FAD">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2B4FBB9F" w14:textId="255BE83D" w:rsidR="00B65531" w:rsidRPr="00111094" w:rsidRDefault="00B65531" w:rsidP="00B41FAD">
            <w:pPr>
              <w:spacing w:line="276" w:lineRule="auto"/>
              <w:rPr>
                <w:rFonts w:ascii="Times New Roman" w:hAnsi="Times New Roman" w:cs="Times New Roman"/>
                <w:sz w:val="20"/>
                <w:szCs w:val="20"/>
              </w:rPr>
            </w:pPr>
            <w:r w:rsidRPr="00111094">
              <w:rPr>
                <w:rFonts w:ascii="Times New Roman" w:hAnsi="Times New Roman" w:cs="Times New Roman"/>
                <w:color w:val="000000"/>
                <w:sz w:val="20"/>
                <w:szCs w:val="20"/>
              </w:rPr>
              <w:t>Riesgos identificados</w:t>
            </w:r>
          </w:p>
        </w:tc>
        <w:tc>
          <w:tcPr>
            <w:tcW w:w="5812" w:type="dxa"/>
            <w:vAlign w:val="center"/>
          </w:tcPr>
          <w:p w14:paraId="2CDD89F2" w14:textId="51E9245B" w:rsidR="00B65531" w:rsidRPr="00111094" w:rsidRDefault="00B65531"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Altos costos fijos y de habilitación; baja ocupación inicial; falta de expertise aduanero interno; demoras en trámites; incumplimientos post-habilitación.</w:t>
            </w:r>
          </w:p>
        </w:tc>
        <w:tc>
          <w:tcPr>
            <w:tcW w:w="1572" w:type="dxa"/>
            <w:vAlign w:val="center"/>
          </w:tcPr>
          <w:p w14:paraId="4A01D1D2" w14:textId="782499BC" w:rsidR="00B65531" w:rsidRPr="00111094" w:rsidRDefault="00B65531"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Alto</w:t>
            </w:r>
          </w:p>
        </w:tc>
      </w:tr>
      <w:tr w:rsidR="00B65531" w:rsidRPr="00111094" w14:paraId="798D4C90" w14:textId="77777777" w:rsidTr="00B41FAD">
        <w:trPr>
          <w:trHeight w:val="519"/>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E8D981E" w14:textId="2F2AC9F8" w:rsidR="00B65531" w:rsidRPr="00111094" w:rsidRDefault="00B65531" w:rsidP="00B41FAD">
            <w:pPr>
              <w:spacing w:line="276" w:lineRule="auto"/>
              <w:rPr>
                <w:rFonts w:ascii="Times New Roman" w:hAnsi="Times New Roman" w:cs="Times New Roman"/>
                <w:sz w:val="20"/>
                <w:szCs w:val="20"/>
              </w:rPr>
            </w:pPr>
            <w:r w:rsidRPr="00111094">
              <w:rPr>
                <w:rFonts w:ascii="Times New Roman" w:hAnsi="Times New Roman" w:cs="Times New Roman"/>
                <w:color w:val="000000"/>
                <w:sz w:val="20"/>
                <w:szCs w:val="20"/>
              </w:rPr>
              <w:t>Oportunidades</w:t>
            </w:r>
          </w:p>
        </w:tc>
        <w:tc>
          <w:tcPr>
            <w:tcW w:w="5812" w:type="dxa"/>
            <w:vAlign w:val="center"/>
          </w:tcPr>
          <w:p w14:paraId="4911A38B" w14:textId="1792EE90" w:rsidR="00B65531" w:rsidRPr="00111094" w:rsidRDefault="00B65531"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Alta demanda en Zona Norte por operadores integrales; posibilidad de captar multinacionales que buscan trazabilidad y eficiencia; incentivos fiscales provinciales; posicionamiento diferencial de TASA como operador 3PL con régimen aduanero.</w:t>
            </w:r>
          </w:p>
        </w:tc>
        <w:tc>
          <w:tcPr>
            <w:tcW w:w="1572" w:type="dxa"/>
            <w:vAlign w:val="center"/>
          </w:tcPr>
          <w:p w14:paraId="44BBF405" w14:textId="7AD6B804" w:rsidR="00B65531" w:rsidRPr="00111094" w:rsidRDefault="00B65531" w:rsidP="00B41FA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color w:val="000000"/>
                <w:sz w:val="20"/>
                <w:szCs w:val="20"/>
              </w:rPr>
              <w:t>Muy alto</w:t>
            </w:r>
          </w:p>
        </w:tc>
      </w:tr>
    </w:tbl>
    <w:p w14:paraId="5E9BB133" w14:textId="77777777" w:rsidR="001A1FCA" w:rsidRPr="00111094" w:rsidRDefault="001A1FCA" w:rsidP="00FE2A09">
      <w:pPr>
        <w:pStyle w:val="Ttulo3"/>
        <w:ind w:firstLine="360"/>
        <w:jc w:val="both"/>
        <w:rPr>
          <w:rFonts w:ascii="Times New Roman" w:hAnsi="Times New Roman" w:cs="Times New Roman"/>
          <w:i/>
          <w:iCs/>
          <w:sz w:val="24"/>
          <w:szCs w:val="24"/>
        </w:rPr>
      </w:pPr>
      <w:bookmarkStart w:id="49" w:name="_Toc228778749"/>
      <w:r w:rsidRPr="00111094">
        <w:rPr>
          <w:rFonts w:ascii="Times New Roman" w:hAnsi="Times New Roman" w:cs="Times New Roman"/>
          <w:i/>
          <w:iCs/>
          <w:sz w:val="24"/>
          <w:szCs w:val="24"/>
        </w:rPr>
        <w:lastRenderedPageBreak/>
        <w:t>Resultados de la Encuesta Simulada – Proyecto Depósito Fiscal TASA Logística</w:t>
      </w:r>
      <w:bookmarkEnd w:id="49"/>
    </w:p>
    <w:p w14:paraId="15E9D423" w14:textId="49E9FCD4" w:rsidR="001A1FCA" w:rsidRPr="00111094" w:rsidRDefault="001A1FCA" w:rsidP="00FE2A09">
      <w:pPr>
        <w:spacing w:after="0"/>
        <w:jc w:val="both"/>
        <w:rPr>
          <w:rFonts w:ascii="Times New Roman" w:hAnsi="Times New Roman" w:cs="Times New Roman"/>
          <w:sz w:val="24"/>
          <w:szCs w:val="24"/>
        </w:rPr>
      </w:pPr>
      <w:r w:rsidRPr="00111094">
        <w:rPr>
          <w:rFonts w:ascii="Times New Roman" w:hAnsi="Times New Roman" w:cs="Times New Roman"/>
          <w:sz w:val="24"/>
          <w:szCs w:val="24"/>
        </w:rPr>
        <w:t>Este informe presenta el procesamiento de las encuestas clientes o potenciales clientes, los resultados permiten analizar tendencias y validar la viabilidad comercial y operativa del Depósito Fiscal en Zona Norte propuesto por TASA Logística.</w:t>
      </w:r>
    </w:p>
    <w:p w14:paraId="275C8C7A" w14:textId="63FB027A" w:rsidR="00C6004C" w:rsidRPr="00111094" w:rsidRDefault="001A1FCA" w:rsidP="00FE2A09">
      <w:p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El análisis de 86 encuestas muestra una fuerte coincidencia con los hallazgos cualitativos de </w:t>
      </w:r>
      <w:r w:rsidR="008E18D7" w:rsidRPr="00111094">
        <w:rPr>
          <w:rFonts w:ascii="Times New Roman" w:hAnsi="Times New Roman" w:cs="Times New Roman"/>
          <w:sz w:val="24"/>
          <w:szCs w:val="24"/>
        </w:rPr>
        <w:t>las encuestas</w:t>
      </w:r>
      <w:r w:rsidRPr="00111094">
        <w:rPr>
          <w:rFonts w:ascii="Times New Roman" w:hAnsi="Times New Roman" w:cs="Times New Roman"/>
          <w:sz w:val="24"/>
          <w:szCs w:val="24"/>
        </w:rPr>
        <w:t>. Predomina el interés por soluciones logísticas integradas, el uso extendido de depósitos fiscales tercerizados, y una percepción de alto valor en operadores que integren aduana, almacenaje y distribución.</w:t>
      </w:r>
    </w:p>
    <w:p w14:paraId="4B1DF524" w14:textId="77777777" w:rsidR="008E18D7" w:rsidRPr="00111094" w:rsidRDefault="008E18D7" w:rsidP="00FE2A09">
      <w:pPr>
        <w:pStyle w:val="Ttulo2"/>
        <w:spacing w:after="240"/>
        <w:jc w:val="both"/>
        <w:rPr>
          <w:rFonts w:ascii="Times New Roman" w:hAnsi="Times New Roman" w:cs="Times New Roman"/>
        </w:rPr>
      </w:pPr>
      <w:bookmarkStart w:id="50" w:name="_Toc228778750"/>
      <w:r w:rsidRPr="00111094">
        <w:rPr>
          <w:rFonts w:ascii="Times New Roman" w:hAnsi="Times New Roman" w:cs="Times New Roman"/>
        </w:rPr>
        <w:t>Resultados Cuantitativos</w:t>
      </w:r>
      <w:bookmarkEnd w:id="50"/>
    </w:p>
    <w:p w14:paraId="38594676" w14:textId="77777777" w:rsidR="001D7E54" w:rsidRPr="00111094"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Operaciones actuales de comercio exterior: </w:t>
      </w:r>
      <w:r w:rsidRPr="00111094">
        <w:rPr>
          <w:rFonts w:ascii="Times New Roman" w:hAnsi="Times New Roman" w:cs="Times New Roman"/>
          <w:sz w:val="24"/>
          <w:szCs w:val="24"/>
        </w:rPr>
        <w:t>Predominan las empresas que realizan tanto importaciones como exportaciones (45%) y las que importan exclusivamente (30%). Esto confirma que el público objetivo de TASA opera dentro del comercio internacional y tiene potencial para utilizar un depósito fiscal.</w:t>
      </w:r>
    </w:p>
    <w:p w14:paraId="0CB23C35" w14:textId="5CD02647" w:rsidR="00067CF1" w:rsidRPr="00111094" w:rsidRDefault="00067CF1" w:rsidP="00FE2A09">
      <w:pPr>
        <w:spacing w:after="0"/>
        <w:jc w:val="both"/>
        <w:rPr>
          <w:rFonts w:ascii="Times New Roman" w:hAnsi="Times New Roman" w:cs="Times New Roman"/>
          <w:sz w:val="24"/>
          <w:szCs w:val="24"/>
        </w:rPr>
      </w:pPr>
      <w:r w:rsidRPr="00111094">
        <w:rPr>
          <w:rFonts w:ascii="Times New Roman" w:hAnsi="Times New Roman" w:cs="Times New Roman"/>
          <w:noProof/>
          <w:sz w:val="24"/>
          <w:szCs w:val="24"/>
          <w:lang w:eastAsia="es-AR"/>
        </w:rPr>
        <w:drawing>
          <wp:inline distT="0" distB="0" distL="0" distR="0" wp14:anchorId="1C879313" wp14:editId="7598559B">
            <wp:extent cx="5486400" cy="2438400"/>
            <wp:effectExtent l="0" t="0" r="0" b="0"/>
            <wp:docPr id="941100097"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88A0318" w14:textId="20ECCDC8" w:rsidR="008E18D7" w:rsidRPr="00111094" w:rsidRDefault="008E18D7" w:rsidP="00FE2A09">
      <w:pPr>
        <w:spacing w:after="0"/>
        <w:jc w:val="both"/>
        <w:rPr>
          <w:rFonts w:ascii="Times New Roman" w:hAnsi="Times New Roman" w:cs="Times New Roman"/>
          <w:sz w:val="24"/>
          <w:szCs w:val="24"/>
        </w:rPr>
      </w:pPr>
    </w:p>
    <w:p w14:paraId="3DF0E238" w14:textId="153DFB68" w:rsidR="00067CF1" w:rsidRPr="00111094"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Uso actual de Depósito Fiscal: </w:t>
      </w:r>
      <w:r w:rsidRPr="00111094">
        <w:rPr>
          <w:rFonts w:ascii="Times New Roman" w:hAnsi="Times New Roman" w:cs="Times New Roman"/>
          <w:sz w:val="24"/>
          <w:szCs w:val="24"/>
        </w:rPr>
        <w:t xml:space="preserve">El 73% de las empresas encuestadas ya utiliza un depósito fiscal, de las cuales la mayoría lo hace de forma tercerizada. Esto demuestra una alta madurez en el uso del régimen y una oportunidad para TASA de capturar participación mediante </w:t>
      </w:r>
      <w:r w:rsidRPr="00111094">
        <w:rPr>
          <w:rFonts w:ascii="Times New Roman" w:hAnsi="Times New Roman" w:cs="Times New Roman"/>
          <w:sz w:val="24"/>
          <w:szCs w:val="24"/>
        </w:rPr>
        <w:lastRenderedPageBreak/>
        <w:t>una propuesta integrada.</w:t>
      </w:r>
      <w:r w:rsidR="00067CF1" w:rsidRPr="00111094">
        <w:rPr>
          <w:rFonts w:ascii="Times New Roman" w:hAnsi="Times New Roman" w:cs="Times New Roman"/>
          <w:noProof/>
          <w:sz w:val="24"/>
          <w:szCs w:val="24"/>
          <w:lang w:eastAsia="es-AR"/>
        </w:rPr>
        <w:drawing>
          <wp:inline distT="0" distB="0" distL="0" distR="0" wp14:anchorId="6B3EA2E0" wp14:editId="61200336">
            <wp:extent cx="5486400" cy="2590800"/>
            <wp:effectExtent l="0" t="0" r="0" b="0"/>
            <wp:docPr id="201906704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D130E1A" w14:textId="08653D8D" w:rsidR="00C6004C" w:rsidRPr="00111094" w:rsidRDefault="00C6004C" w:rsidP="00FE2A09">
      <w:pPr>
        <w:spacing w:after="0"/>
        <w:ind w:left="720"/>
        <w:jc w:val="both"/>
        <w:rPr>
          <w:rFonts w:ascii="Times New Roman" w:hAnsi="Times New Roman" w:cs="Times New Roman"/>
          <w:b/>
          <w:bCs/>
          <w:sz w:val="24"/>
          <w:szCs w:val="24"/>
        </w:rPr>
      </w:pPr>
    </w:p>
    <w:p w14:paraId="375295AE" w14:textId="07E0D7BA" w:rsidR="00067CF1" w:rsidRPr="00111094" w:rsidRDefault="008E18D7" w:rsidP="00FE2A09">
      <w:pPr>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Factores de elección al contratar un Depósito Fiscal (múltiple): </w:t>
      </w:r>
      <w:r w:rsidRPr="00111094">
        <w:rPr>
          <w:rFonts w:ascii="Times New Roman" w:hAnsi="Times New Roman" w:cs="Times New Roman"/>
          <w:sz w:val="24"/>
          <w:szCs w:val="24"/>
        </w:rPr>
        <w:t>Los principales factores valorados son la rapidez operativa, la integración logística (almacenaje + transporte), la tecnología y trazabilidad, y el cumplimiento normativo. Estos atributos coinciden con la estrategia competitiva de TASA y refuerzan el posicionamiento como operador integral.</w:t>
      </w:r>
      <w:r w:rsidR="00067CF1" w:rsidRPr="00111094">
        <w:rPr>
          <w:rFonts w:ascii="Times New Roman" w:hAnsi="Times New Roman" w:cs="Times New Roman"/>
          <w:noProof/>
          <w:sz w:val="24"/>
          <w:szCs w:val="24"/>
          <w:lang w:eastAsia="es-AR"/>
        </w:rPr>
        <w:drawing>
          <wp:inline distT="0" distB="0" distL="0" distR="0" wp14:anchorId="3F1BDD13" wp14:editId="101FB500">
            <wp:extent cx="5681133" cy="2971800"/>
            <wp:effectExtent l="0" t="0" r="15240" b="0"/>
            <wp:docPr id="134749071"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6BBDD94" w14:textId="57C0A9C6" w:rsidR="00067CF1" w:rsidRPr="00111094"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Importancia de contar con operador integrado: </w:t>
      </w:r>
      <w:r w:rsidRPr="00111094">
        <w:rPr>
          <w:rFonts w:ascii="Times New Roman" w:hAnsi="Times New Roman" w:cs="Times New Roman"/>
          <w:sz w:val="24"/>
          <w:szCs w:val="24"/>
        </w:rPr>
        <w:t xml:space="preserve">Más del 90% de los encuestados considera 'Muy importante' o 'Bastante importante' que el operador integre Depósito Fiscal, almacenaje y distribución en una única solución. Esto valida directamente la propuesta 3PL + DF </w:t>
      </w:r>
      <w:r w:rsidRPr="00111094">
        <w:rPr>
          <w:rFonts w:ascii="Times New Roman" w:hAnsi="Times New Roman" w:cs="Times New Roman"/>
          <w:sz w:val="24"/>
          <w:szCs w:val="24"/>
        </w:rPr>
        <w:lastRenderedPageBreak/>
        <w:t>de TASA.</w:t>
      </w:r>
      <w:r w:rsidR="00067CF1" w:rsidRPr="00111094">
        <w:rPr>
          <w:rFonts w:ascii="Times New Roman" w:hAnsi="Times New Roman" w:cs="Times New Roman"/>
          <w:noProof/>
          <w:sz w:val="24"/>
          <w:szCs w:val="24"/>
          <w:lang w:eastAsia="es-AR"/>
        </w:rPr>
        <w:drawing>
          <wp:inline distT="0" distB="0" distL="0" distR="0" wp14:anchorId="6BE115D4" wp14:editId="4CF899CB">
            <wp:extent cx="5486400" cy="2857500"/>
            <wp:effectExtent l="0" t="0" r="0" b="0"/>
            <wp:docPr id="1648485778"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245C600" w14:textId="34DF42B8" w:rsidR="008E18D7" w:rsidRPr="00111094" w:rsidRDefault="008E18D7" w:rsidP="008E18D7">
      <w:pPr>
        <w:spacing w:after="0"/>
        <w:ind w:firstLine="720"/>
        <w:rPr>
          <w:rFonts w:ascii="Times New Roman" w:hAnsi="Times New Roman" w:cs="Times New Roman"/>
          <w:b/>
          <w:bCs/>
          <w:sz w:val="24"/>
          <w:szCs w:val="24"/>
        </w:rPr>
      </w:pPr>
    </w:p>
    <w:p w14:paraId="70421046" w14:textId="5FAAFE9D" w:rsidR="001D7E54" w:rsidRPr="00111094" w:rsidRDefault="008E18D7" w:rsidP="00FE2A09">
      <w:pPr>
        <w:spacing w:after="0"/>
        <w:ind w:firstLine="720"/>
        <w:jc w:val="both"/>
        <w:rPr>
          <w:rFonts w:ascii="Times New Roman" w:hAnsi="Times New Roman" w:cs="Times New Roman"/>
          <w:b/>
          <w:bCs/>
          <w:sz w:val="24"/>
          <w:szCs w:val="24"/>
        </w:rPr>
      </w:pPr>
      <w:r w:rsidRPr="00111094">
        <w:rPr>
          <w:rFonts w:ascii="Times New Roman" w:hAnsi="Times New Roman" w:cs="Times New Roman"/>
          <w:b/>
          <w:bCs/>
          <w:sz w:val="24"/>
          <w:szCs w:val="24"/>
        </w:rPr>
        <w:t xml:space="preserve">Intención de contratar Depósito Fiscal en Zona Norte: </w:t>
      </w:r>
      <w:r w:rsidRPr="00111094">
        <w:rPr>
          <w:rFonts w:ascii="Times New Roman" w:hAnsi="Times New Roman" w:cs="Times New Roman"/>
          <w:sz w:val="24"/>
          <w:szCs w:val="24"/>
        </w:rPr>
        <w:t>La intención de contratación es alta: el 81% de las empresas afirma que 'Sí, seguramente' o 'Sí, dependiendo del precio' contrataría el servicio en Zona Norte. La variable de decisión más sensible es el pricing y los SLA ofrecidos.</w:t>
      </w:r>
      <w:r w:rsidR="001D7E54" w:rsidRPr="00111094">
        <w:rPr>
          <w:rFonts w:ascii="Times New Roman" w:hAnsi="Times New Roman" w:cs="Times New Roman"/>
          <w:noProof/>
          <w:sz w:val="24"/>
          <w:szCs w:val="24"/>
          <w:lang w:eastAsia="es-AR"/>
        </w:rPr>
        <w:drawing>
          <wp:inline distT="0" distB="0" distL="0" distR="0" wp14:anchorId="46BF4AA2" wp14:editId="6154146C">
            <wp:extent cx="5486400" cy="3009900"/>
            <wp:effectExtent l="0" t="0" r="0" b="0"/>
            <wp:docPr id="378852588"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41895DD" w14:textId="37D4F0FB" w:rsidR="008E18D7" w:rsidRPr="00111094" w:rsidRDefault="008E18D7" w:rsidP="00FE2A09">
      <w:pPr>
        <w:spacing w:after="0"/>
        <w:ind w:firstLine="720"/>
        <w:jc w:val="both"/>
        <w:rPr>
          <w:rFonts w:ascii="Times New Roman" w:hAnsi="Times New Roman" w:cs="Times New Roman"/>
          <w:sz w:val="24"/>
          <w:szCs w:val="24"/>
        </w:rPr>
      </w:pPr>
    </w:p>
    <w:p w14:paraId="3669311C" w14:textId="77777777" w:rsidR="00F306BC" w:rsidRPr="00111094"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Volumen mensual de importaciones/exportaciones: </w:t>
      </w:r>
      <w:r w:rsidRPr="00111094">
        <w:rPr>
          <w:rFonts w:ascii="Times New Roman" w:hAnsi="Times New Roman" w:cs="Times New Roman"/>
          <w:sz w:val="24"/>
          <w:szCs w:val="24"/>
        </w:rPr>
        <w:t xml:space="preserve">El 64% de los encuestados maneja entre 10 y 50 contenedores mensuales, mientras que un 19% supera los 50 contenedores. Estos volúmenes confirman la existencia de clientes ancla con operaciones de escala suficiente para </w:t>
      </w:r>
      <w:r w:rsidR="00F306BC" w:rsidRPr="00111094">
        <w:rPr>
          <w:rFonts w:ascii="Times New Roman" w:hAnsi="Times New Roman" w:cs="Times New Roman"/>
          <w:sz w:val="24"/>
          <w:szCs w:val="24"/>
        </w:rPr>
        <w:t>g</w:t>
      </w:r>
      <w:r w:rsidRPr="00111094">
        <w:rPr>
          <w:rFonts w:ascii="Times New Roman" w:hAnsi="Times New Roman" w:cs="Times New Roman"/>
          <w:sz w:val="24"/>
          <w:szCs w:val="24"/>
        </w:rPr>
        <w:t>arantizar ocupación del depósito.</w:t>
      </w:r>
    </w:p>
    <w:p w14:paraId="4F3CFEDB" w14:textId="024F4726" w:rsidR="008E18D7" w:rsidRPr="00111094" w:rsidRDefault="001D7E54" w:rsidP="008E18D7">
      <w:pPr>
        <w:spacing w:after="0"/>
        <w:ind w:firstLine="720"/>
        <w:rPr>
          <w:rFonts w:ascii="Times New Roman" w:hAnsi="Times New Roman" w:cs="Times New Roman"/>
          <w:b/>
          <w:bCs/>
          <w:sz w:val="24"/>
          <w:szCs w:val="24"/>
        </w:rPr>
      </w:pPr>
      <w:r w:rsidRPr="00111094">
        <w:rPr>
          <w:rFonts w:ascii="Times New Roman" w:hAnsi="Times New Roman" w:cs="Times New Roman"/>
          <w:sz w:val="24"/>
          <w:szCs w:val="24"/>
        </w:rPr>
        <w:lastRenderedPageBreak/>
        <w:br/>
      </w:r>
      <w:r w:rsidRPr="00111094">
        <w:rPr>
          <w:rFonts w:ascii="Times New Roman" w:hAnsi="Times New Roman" w:cs="Times New Roman"/>
          <w:noProof/>
          <w:sz w:val="24"/>
          <w:szCs w:val="24"/>
          <w:lang w:eastAsia="es-AR"/>
        </w:rPr>
        <w:drawing>
          <wp:inline distT="0" distB="0" distL="0" distR="0" wp14:anchorId="626908E0" wp14:editId="5FB6ED42">
            <wp:extent cx="5486400" cy="2800350"/>
            <wp:effectExtent l="0" t="0" r="0" b="0"/>
            <wp:docPr id="135350154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20A07B9" w14:textId="373503D5" w:rsidR="008E18D7" w:rsidRPr="00111094" w:rsidRDefault="008E18D7" w:rsidP="008E18D7">
      <w:pPr>
        <w:spacing w:after="0"/>
        <w:ind w:firstLine="720"/>
        <w:rPr>
          <w:rFonts w:ascii="Times New Roman" w:hAnsi="Times New Roman" w:cs="Times New Roman"/>
          <w:sz w:val="24"/>
          <w:szCs w:val="24"/>
        </w:rPr>
      </w:pPr>
    </w:p>
    <w:p w14:paraId="2DECA761" w14:textId="3A3B7ADB" w:rsidR="008E18D7" w:rsidRPr="00111094" w:rsidRDefault="008E18D7"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Preguntas Abiertas</w:t>
      </w:r>
    </w:p>
    <w:p w14:paraId="725DF27D" w14:textId="64E369A4" w:rsidR="002D3EB1"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Problemas con el Operador Actual: </w:t>
      </w:r>
      <w:r w:rsidRPr="00111094">
        <w:rPr>
          <w:rFonts w:ascii="Times New Roman" w:hAnsi="Times New Roman" w:cs="Times New Roman"/>
          <w:sz w:val="24"/>
          <w:szCs w:val="24"/>
        </w:rPr>
        <w:t>El análisis temático de las respuestas abiertas permitió identificar l</w:t>
      </w:r>
      <w:r w:rsidR="001D7E54" w:rsidRPr="00111094">
        <w:rPr>
          <w:rFonts w:ascii="Times New Roman" w:hAnsi="Times New Roman" w:cs="Times New Roman"/>
          <w:sz w:val="24"/>
          <w:szCs w:val="24"/>
        </w:rPr>
        <w:t>os principales puntos críticos son demoras, burocracia y falta de trazabilidad, lo que confirma las debilidades estructurales de los operadores actuales.</w:t>
      </w:r>
    </w:p>
    <w:tbl>
      <w:tblPr>
        <w:tblStyle w:val="GridTable4Accent1"/>
        <w:tblW w:w="9493" w:type="dxa"/>
        <w:tblLook w:val="04A0" w:firstRow="1" w:lastRow="0" w:firstColumn="1" w:lastColumn="0" w:noHBand="0" w:noVBand="1"/>
      </w:tblPr>
      <w:tblGrid>
        <w:gridCol w:w="7083"/>
        <w:gridCol w:w="2410"/>
      </w:tblGrid>
      <w:tr w:rsidR="001D7E54" w:rsidRPr="00111094" w14:paraId="660E1A32" w14:textId="77777777" w:rsidTr="00F306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hideMark/>
          </w:tcPr>
          <w:p w14:paraId="0CA33C27" w14:textId="77777777" w:rsidR="001D7E54" w:rsidRPr="00111094" w:rsidRDefault="001D7E54" w:rsidP="00390DD7">
            <w:pPr>
              <w:spacing w:line="276" w:lineRule="auto"/>
              <w:ind w:firstLine="164"/>
              <w:rPr>
                <w:rFonts w:ascii="Times New Roman" w:hAnsi="Times New Roman" w:cs="Times New Roman"/>
                <w:sz w:val="20"/>
                <w:szCs w:val="20"/>
              </w:rPr>
            </w:pPr>
            <w:r w:rsidRPr="00111094">
              <w:rPr>
                <w:rFonts w:ascii="Times New Roman" w:hAnsi="Times New Roman" w:cs="Times New Roman"/>
                <w:sz w:val="20"/>
                <w:szCs w:val="20"/>
              </w:rPr>
              <w:t>Tema principal</w:t>
            </w:r>
          </w:p>
        </w:tc>
        <w:tc>
          <w:tcPr>
            <w:tcW w:w="2410" w:type="dxa"/>
            <w:hideMark/>
          </w:tcPr>
          <w:p w14:paraId="6D475ED6" w14:textId="77777777" w:rsidR="001D7E54" w:rsidRPr="00111094" w:rsidRDefault="001D7E54" w:rsidP="00390DD7">
            <w:pPr>
              <w:spacing w:line="276" w:lineRule="auto"/>
              <w:ind w:firstLine="96"/>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Nº menciones</w:t>
            </w:r>
          </w:p>
        </w:tc>
      </w:tr>
      <w:tr w:rsidR="001D7E54" w:rsidRPr="00111094" w14:paraId="23D3D69D" w14:textId="77777777" w:rsidTr="00F306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hideMark/>
          </w:tcPr>
          <w:p w14:paraId="460FE414"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Demoras/burocracia e inspecciones</w:t>
            </w:r>
          </w:p>
        </w:tc>
        <w:tc>
          <w:tcPr>
            <w:tcW w:w="2410" w:type="dxa"/>
            <w:hideMark/>
          </w:tcPr>
          <w:p w14:paraId="6AADAD07" w14:textId="77777777" w:rsidR="001D7E54" w:rsidRPr="00111094" w:rsidRDefault="001D7E54" w:rsidP="00390DD7">
            <w:pPr>
              <w:spacing w:line="276" w:lineRule="auto"/>
              <w:ind w:firstLine="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22</w:t>
            </w:r>
          </w:p>
        </w:tc>
      </w:tr>
      <w:tr w:rsidR="001D7E54" w:rsidRPr="00111094" w14:paraId="4B03A75F" w14:textId="77777777" w:rsidTr="00F306BC">
        <w:tc>
          <w:tcPr>
            <w:cnfStyle w:val="001000000000" w:firstRow="0" w:lastRow="0" w:firstColumn="1" w:lastColumn="0" w:oddVBand="0" w:evenVBand="0" w:oddHBand="0" w:evenHBand="0" w:firstRowFirstColumn="0" w:firstRowLastColumn="0" w:lastRowFirstColumn="0" w:lastRowLastColumn="0"/>
            <w:tcW w:w="7083" w:type="dxa"/>
            <w:hideMark/>
          </w:tcPr>
          <w:p w14:paraId="10DCFC30"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Costos o recargos no transparentes</w:t>
            </w:r>
          </w:p>
        </w:tc>
        <w:tc>
          <w:tcPr>
            <w:tcW w:w="2410" w:type="dxa"/>
            <w:hideMark/>
          </w:tcPr>
          <w:p w14:paraId="08C364EE" w14:textId="77777777" w:rsidR="001D7E54" w:rsidRPr="00111094" w:rsidRDefault="001D7E54" w:rsidP="00390DD7">
            <w:pPr>
              <w:spacing w:line="276" w:lineRule="auto"/>
              <w:ind w:firstLine="9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18</w:t>
            </w:r>
          </w:p>
        </w:tc>
      </w:tr>
      <w:tr w:rsidR="001D7E54" w:rsidRPr="00111094" w14:paraId="480B08B3" w14:textId="77777777" w:rsidTr="00F306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hideMark/>
          </w:tcPr>
          <w:p w14:paraId="6638C818"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Falta de espacio / capacidad en picos</w:t>
            </w:r>
          </w:p>
        </w:tc>
        <w:tc>
          <w:tcPr>
            <w:tcW w:w="2410" w:type="dxa"/>
            <w:hideMark/>
          </w:tcPr>
          <w:p w14:paraId="2B611FBB" w14:textId="77777777" w:rsidR="001D7E54" w:rsidRPr="00111094" w:rsidRDefault="001D7E54" w:rsidP="00390DD7">
            <w:pPr>
              <w:spacing w:line="276" w:lineRule="auto"/>
              <w:ind w:firstLine="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14</w:t>
            </w:r>
          </w:p>
        </w:tc>
      </w:tr>
      <w:tr w:rsidR="001D7E54" w:rsidRPr="00111094" w14:paraId="670492E7" w14:textId="77777777" w:rsidTr="00F306BC">
        <w:tc>
          <w:tcPr>
            <w:cnfStyle w:val="001000000000" w:firstRow="0" w:lastRow="0" w:firstColumn="1" w:lastColumn="0" w:oddVBand="0" w:evenVBand="0" w:oddHBand="0" w:evenHBand="0" w:firstRowFirstColumn="0" w:firstRowLastColumn="0" w:lastRowFirstColumn="0" w:lastRowLastColumn="0"/>
            <w:tcW w:w="7083" w:type="dxa"/>
            <w:hideMark/>
          </w:tcPr>
          <w:p w14:paraId="6A59849B"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Falta de integración tecnológica / trazabilidad</w:t>
            </w:r>
          </w:p>
        </w:tc>
        <w:tc>
          <w:tcPr>
            <w:tcW w:w="2410" w:type="dxa"/>
            <w:hideMark/>
          </w:tcPr>
          <w:p w14:paraId="07411663" w14:textId="77777777" w:rsidR="001D7E54" w:rsidRPr="00111094" w:rsidRDefault="001D7E54" w:rsidP="00390DD7">
            <w:pPr>
              <w:spacing w:line="276" w:lineRule="auto"/>
              <w:ind w:firstLine="9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12</w:t>
            </w:r>
          </w:p>
        </w:tc>
      </w:tr>
      <w:tr w:rsidR="001D7E54" w:rsidRPr="00111094" w14:paraId="49D317D5" w14:textId="77777777" w:rsidTr="00F306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hideMark/>
          </w:tcPr>
          <w:p w14:paraId="358497F0"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Coordinación insuficiente aduana-transporte</w:t>
            </w:r>
          </w:p>
        </w:tc>
        <w:tc>
          <w:tcPr>
            <w:tcW w:w="2410" w:type="dxa"/>
            <w:hideMark/>
          </w:tcPr>
          <w:p w14:paraId="3AC59ADE" w14:textId="77777777" w:rsidR="001D7E54" w:rsidRPr="00111094" w:rsidRDefault="001D7E54" w:rsidP="00390DD7">
            <w:pPr>
              <w:spacing w:line="276" w:lineRule="auto"/>
              <w:ind w:firstLine="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11</w:t>
            </w:r>
          </w:p>
        </w:tc>
      </w:tr>
      <w:tr w:rsidR="001D7E54" w:rsidRPr="00111094" w14:paraId="626BE9E9" w14:textId="77777777" w:rsidTr="00F306BC">
        <w:tc>
          <w:tcPr>
            <w:cnfStyle w:val="001000000000" w:firstRow="0" w:lastRow="0" w:firstColumn="1" w:lastColumn="0" w:oddVBand="0" w:evenVBand="0" w:oddHBand="0" w:evenHBand="0" w:firstRowFirstColumn="0" w:firstRowLastColumn="0" w:lastRowFirstColumn="0" w:lastRowLastColumn="0"/>
            <w:tcW w:w="7083" w:type="dxa"/>
            <w:hideMark/>
          </w:tcPr>
          <w:p w14:paraId="42461069" w14:textId="77777777" w:rsidR="001D7E54" w:rsidRPr="00111094" w:rsidRDefault="001D7E54" w:rsidP="00390DD7">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Rigidez en requisitos y documentación</w:t>
            </w:r>
          </w:p>
        </w:tc>
        <w:tc>
          <w:tcPr>
            <w:tcW w:w="2410" w:type="dxa"/>
            <w:hideMark/>
          </w:tcPr>
          <w:p w14:paraId="14F0514E" w14:textId="77777777" w:rsidR="001D7E54" w:rsidRPr="00111094" w:rsidRDefault="001D7E54" w:rsidP="00390DD7">
            <w:pPr>
              <w:spacing w:line="276" w:lineRule="auto"/>
              <w:ind w:firstLine="9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9</w:t>
            </w:r>
          </w:p>
        </w:tc>
      </w:tr>
    </w:tbl>
    <w:p w14:paraId="3BAC87D2"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 xml:space="preserve">Nota. Elaboración propia sobre la base de </w:t>
      </w:r>
      <w:r>
        <w:rPr>
          <w:rFonts w:ascii="Times New Roman" w:hAnsi="Times New Roman" w:cs="Times New Roman"/>
          <w:i/>
          <w:iCs/>
          <w:color w:val="A6A6A6" w:themeColor="background1" w:themeShade="A6"/>
          <w:sz w:val="20"/>
          <w:szCs w:val="20"/>
        </w:rPr>
        <w:t>investigación.</w:t>
      </w:r>
    </w:p>
    <w:p w14:paraId="23BD8C50" w14:textId="03589711" w:rsidR="004E4011" w:rsidRPr="00111094" w:rsidRDefault="008E18D7" w:rsidP="00490476">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Valor Agregado Esperado de TASA Logística: </w:t>
      </w:r>
      <w:r w:rsidRPr="00111094">
        <w:rPr>
          <w:rFonts w:ascii="Times New Roman" w:hAnsi="Times New Roman" w:cs="Times New Roman"/>
          <w:sz w:val="24"/>
          <w:szCs w:val="24"/>
        </w:rPr>
        <w:t>Los encuestados expresaron su expectativa de que TASA Logística</w:t>
      </w:r>
      <w:r w:rsidR="00390DD7" w:rsidRPr="00111094">
        <w:rPr>
          <w:rFonts w:ascii="Times New Roman" w:hAnsi="Times New Roman" w:cs="Times New Roman"/>
          <w:sz w:val="24"/>
          <w:szCs w:val="24"/>
        </w:rPr>
        <w:t xml:space="preserve"> se diferencie como operador integral, tecnológico y ágil, con fuerte foco en visibilidad y cumplimiento.</w:t>
      </w:r>
    </w:p>
    <w:tbl>
      <w:tblPr>
        <w:tblStyle w:val="GridTable4Accent1"/>
        <w:tblW w:w="9493" w:type="dxa"/>
        <w:tblLook w:val="04A0" w:firstRow="1" w:lastRow="0" w:firstColumn="1" w:lastColumn="0" w:noHBand="0" w:noVBand="1"/>
      </w:tblPr>
      <w:tblGrid>
        <w:gridCol w:w="2972"/>
        <w:gridCol w:w="6521"/>
      </w:tblGrid>
      <w:tr w:rsidR="004E4011" w:rsidRPr="00111094" w14:paraId="13AB829D" w14:textId="77777777" w:rsidTr="00B41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53B682C" w14:textId="59BFC794" w:rsidR="004E4011" w:rsidRPr="00111094" w:rsidRDefault="00B41FAD" w:rsidP="00B41FAD">
            <w:pPr>
              <w:spacing w:line="276" w:lineRule="auto"/>
              <w:ind w:firstLine="164"/>
              <w:rPr>
                <w:rFonts w:ascii="Times New Roman" w:hAnsi="Times New Roman" w:cs="Times New Roman"/>
                <w:sz w:val="20"/>
                <w:szCs w:val="20"/>
              </w:rPr>
            </w:pPr>
            <w:r w:rsidRPr="00111094">
              <w:rPr>
                <w:rFonts w:ascii="Times New Roman" w:hAnsi="Times New Roman" w:cs="Times New Roman"/>
                <w:sz w:val="20"/>
                <w:szCs w:val="20"/>
              </w:rPr>
              <w:t>Ejes</w:t>
            </w:r>
          </w:p>
        </w:tc>
        <w:tc>
          <w:tcPr>
            <w:tcW w:w="6521" w:type="dxa"/>
            <w:hideMark/>
          </w:tcPr>
          <w:p w14:paraId="43183B66" w14:textId="5FD9949A" w:rsidR="004E4011" w:rsidRPr="00111094" w:rsidRDefault="00B41FAD" w:rsidP="00B41FAD">
            <w:pPr>
              <w:spacing w:line="276" w:lineRule="auto"/>
              <w:ind w:firstLine="16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Hallazgos claves</w:t>
            </w:r>
          </w:p>
        </w:tc>
      </w:tr>
      <w:tr w:rsidR="004E4011" w:rsidRPr="00111094" w14:paraId="1D7113B6" w14:textId="77777777" w:rsidTr="00B4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5BE6A3F" w14:textId="2BF41BAE" w:rsidR="004E4011" w:rsidRPr="00111094" w:rsidRDefault="00B41FAD" w:rsidP="00B55770">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Perfil del encuestado</w:t>
            </w:r>
          </w:p>
        </w:tc>
        <w:tc>
          <w:tcPr>
            <w:tcW w:w="6521" w:type="dxa"/>
          </w:tcPr>
          <w:p w14:paraId="64FEC8FA" w14:textId="497928F1" w:rsidR="004E4011" w:rsidRPr="00111094" w:rsidRDefault="00B41FAD" w:rsidP="00B55770">
            <w:pPr>
              <w:spacing w:line="276" w:lineRule="auto"/>
              <w:ind w:firstLine="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Empresas con operaciones de comercio exterior consolidadas</w:t>
            </w:r>
          </w:p>
        </w:tc>
      </w:tr>
      <w:tr w:rsidR="004E4011" w:rsidRPr="00111094" w14:paraId="318E381A" w14:textId="77777777" w:rsidTr="00B41FAD">
        <w:tc>
          <w:tcPr>
            <w:cnfStyle w:val="001000000000" w:firstRow="0" w:lastRow="0" w:firstColumn="1" w:lastColumn="0" w:oddVBand="0" w:evenVBand="0" w:oddHBand="0" w:evenHBand="0" w:firstRowFirstColumn="0" w:firstRowLastColumn="0" w:lastRowFirstColumn="0" w:lastRowLastColumn="0"/>
            <w:tcW w:w="2972" w:type="dxa"/>
          </w:tcPr>
          <w:p w14:paraId="160DEE62" w14:textId="24FC88A5" w:rsidR="004E4011" w:rsidRPr="00111094" w:rsidRDefault="00B41FAD" w:rsidP="00B55770">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Situación actual</w:t>
            </w:r>
          </w:p>
        </w:tc>
        <w:tc>
          <w:tcPr>
            <w:tcW w:w="6521" w:type="dxa"/>
          </w:tcPr>
          <w:p w14:paraId="2F7EE119" w14:textId="36392625" w:rsidR="004E4011" w:rsidRPr="00111094" w:rsidRDefault="00B41FAD" w:rsidP="00B55770">
            <w:pPr>
              <w:spacing w:line="276" w:lineRule="auto"/>
              <w:ind w:firstLine="9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Uso generalizado de depósitos fiscales tercerizado</w:t>
            </w:r>
          </w:p>
        </w:tc>
      </w:tr>
      <w:tr w:rsidR="004E4011" w:rsidRPr="00111094" w14:paraId="41F49882" w14:textId="77777777" w:rsidTr="00B4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80B03E1" w14:textId="3CDC2A18" w:rsidR="004E4011" w:rsidRPr="00111094" w:rsidRDefault="00B41FAD" w:rsidP="00B55770">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Drivers de elección</w:t>
            </w:r>
            <w:r w:rsidRPr="00111094">
              <w:rPr>
                <w:rFonts w:ascii="Times New Roman" w:hAnsi="Times New Roman" w:cs="Times New Roman"/>
                <w:b w:val="0"/>
                <w:bCs w:val="0"/>
                <w:sz w:val="20"/>
                <w:szCs w:val="20"/>
              </w:rPr>
              <w:tab/>
            </w:r>
          </w:p>
        </w:tc>
        <w:tc>
          <w:tcPr>
            <w:tcW w:w="6521" w:type="dxa"/>
          </w:tcPr>
          <w:p w14:paraId="19A09EB0" w14:textId="4855E607" w:rsidR="004E4011" w:rsidRPr="00111094" w:rsidRDefault="00B41FAD" w:rsidP="00B41FA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  Rapidez, tecnología, seguridad e integración logística</w:t>
            </w:r>
          </w:p>
        </w:tc>
      </w:tr>
      <w:tr w:rsidR="004E4011" w:rsidRPr="00111094" w14:paraId="01E26ED3" w14:textId="77777777" w:rsidTr="00B41FAD">
        <w:tc>
          <w:tcPr>
            <w:cnfStyle w:val="001000000000" w:firstRow="0" w:lastRow="0" w:firstColumn="1" w:lastColumn="0" w:oddVBand="0" w:evenVBand="0" w:oddHBand="0" w:evenHBand="0" w:firstRowFirstColumn="0" w:firstRowLastColumn="0" w:lastRowFirstColumn="0" w:lastRowLastColumn="0"/>
            <w:tcW w:w="2972" w:type="dxa"/>
          </w:tcPr>
          <w:p w14:paraId="5F8B9382" w14:textId="1CA4BD7B" w:rsidR="004E4011" w:rsidRPr="00111094" w:rsidRDefault="00B41FAD" w:rsidP="00B55770">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Expectativas hacia TASA</w:t>
            </w:r>
          </w:p>
        </w:tc>
        <w:tc>
          <w:tcPr>
            <w:tcW w:w="6521" w:type="dxa"/>
          </w:tcPr>
          <w:p w14:paraId="08A6CBBB" w14:textId="1B87EB2D" w:rsidR="004E4011" w:rsidRPr="00111094" w:rsidRDefault="00B41FAD" w:rsidP="00B55770">
            <w:pPr>
              <w:spacing w:line="276" w:lineRule="auto"/>
              <w:ind w:firstLine="9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Operador integral con trazabilidad, agilidad y cumplimiento</w:t>
            </w:r>
          </w:p>
        </w:tc>
      </w:tr>
      <w:tr w:rsidR="004E4011" w:rsidRPr="00111094" w14:paraId="520E9AB3" w14:textId="77777777" w:rsidTr="00B4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6C2365E" w14:textId="60480D0A" w:rsidR="004E4011" w:rsidRPr="00111094" w:rsidRDefault="00B41FAD" w:rsidP="00B55770">
            <w:pPr>
              <w:spacing w:line="276" w:lineRule="auto"/>
              <w:ind w:firstLine="164"/>
              <w:rPr>
                <w:rFonts w:ascii="Times New Roman" w:hAnsi="Times New Roman" w:cs="Times New Roman"/>
                <w:b w:val="0"/>
                <w:bCs w:val="0"/>
                <w:sz w:val="20"/>
                <w:szCs w:val="20"/>
              </w:rPr>
            </w:pPr>
            <w:r w:rsidRPr="00111094">
              <w:rPr>
                <w:rFonts w:ascii="Times New Roman" w:hAnsi="Times New Roman" w:cs="Times New Roman"/>
                <w:b w:val="0"/>
                <w:bCs w:val="0"/>
                <w:sz w:val="20"/>
                <w:szCs w:val="20"/>
              </w:rPr>
              <w:t xml:space="preserve">Oportunidad </w:t>
            </w:r>
          </w:p>
        </w:tc>
        <w:tc>
          <w:tcPr>
            <w:tcW w:w="6521" w:type="dxa"/>
          </w:tcPr>
          <w:p w14:paraId="43ACAA50" w14:textId="78ED2482" w:rsidR="004E4011" w:rsidRPr="00111094" w:rsidRDefault="00B41FAD" w:rsidP="00B55770">
            <w:pPr>
              <w:spacing w:line="276" w:lineRule="auto"/>
              <w:ind w:firstLine="9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Alta disposición a contratar el servicio en Zona Norte (81%)</w:t>
            </w:r>
          </w:p>
        </w:tc>
      </w:tr>
    </w:tbl>
    <w:p w14:paraId="78A81C86"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 xml:space="preserve">Nota. Elaboración propia sobre la base de </w:t>
      </w:r>
      <w:r>
        <w:rPr>
          <w:rFonts w:ascii="Times New Roman" w:hAnsi="Times New Roman" w:cs="Times New Roman"/>
          <w:i/>
          <w:iCs/>
          <w:color w:val="A6A6A6" w:themeColor="background1" w:themeShade="A6"/>
          <w:sz w:val="20"/>
          <w:szCs w:val="20"/>
        </w:rPr>
        <w:t>investigación.</w:t>
      </w:r>
    </w:p>
    <w:p w14:paraId="3B96FE69" w14:textId="2B13591C" w:rsidR="008E18D7" w:rsidRPr="00111094" w:rsidRDefault="008E18D7" w:rsidP="00FE2A0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Conclusiones Generales: </w:t>
      </w:r>
      <w:r w:rsidRPr="00111094">
        <w:rPr>
          <w:rFonts w:ascii="Times New Roman" w:hAnsi="Times New Roman" w:cs="Times New Roman"/>
          <w:sz w:val="24"/>
          <w:szCs w:val="24"/>
        </w:rPr>
        <w:t xml:space="preserve">Los resultados de la encuesta validan la hipótesis central del proyecto: la incorporación de un Depósito Fiscal por parte de TASA Logística en Zona Norte es viable y responde a una demanda concreta del mercado. La mayoría de las empresas encuestadas </w:t>
      </w:r>
      <w:r w:rsidRPr="00111094">
        <w:rPr>
          <w:rFonts w:ascii="Times New Roman" w:hAnsi="Times New Roman" w:cs="Times New Roman"/>
          <w:sz w:val="24"/>
          <w:szCs w:val="24"/>
        </w:rPr>
        <w:lastRenderedPageBreak/>
        <w:t>manifiesta interés en un modelo de operador integral, priorizando rapidez, tecnología, trazabilidad y cumplimiento normativo. Las evidencias cuantitativas y cualitativas refuerzan la oportunidad de posicionar a TASA como un 3PL con servicios aduaneros integrados.</w:t>
      </w:r>
    </w:p>
    <w:p w14:paraId="28C6322B" w14:textId="77777777" w:rsidR="000254C4" w:rsidRPr="00111094" w:rsidRDefault="000254C4"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 xml:space="preserve">Análisis Documental </w:t>
      </w:r>
    </w:p>
    <w:p w14:paraId="42AF6395" w14:textId="14FCFC8A" w:rsidR="000254C4" w:rsidRPr="00111094" w:rsidRDefault="002041EF" w:rsidP="00FE2A09">
      <w:pPr>
        <w:spacing w:after="0"/>
        <w:jc w:val="both"/>
        <w:rPr>
          <w:rFonts w:ascii="Times New Roman" w:hAnsi="Times New Roman" w:cs="Times New Roman"/>
          <w:sz w:val="24"/>
          <w:szCs w:val="24"/>
        </w:rPr>
      </w:pPr>
      <w:r w:rsidRPr="00111094">
        <w:rPr>
          <w:rFonts w:ascii="Times New Roman" w:hAnsi="Times New Roman" w:cs="Times New Roman"/>
          <w:b/>
          <w:bCs/>
          <w:sz w:val="24"/>
          <w:szCs w:val="24"/>
        </w:rPr>
        <w:t>Objetivo</w:t>
      </w:r>
      <w:r w:rsidRPr="00111094">
        <w:rPr>
          <w:rFonts w:ascii="Times New Roman" w:hAnsi="Times New Roman" w:cs="Times New Roman"/>
          <w:sz w:val="24"/>
          <w:szCs w:val="24"/>
        </w:rPr>
        <w:t>: consolidar y sintetizar la evidencia normativa, técnica y de mercado que sustenta la viabilidad de incorporar una unidad de Depósito Fiscal en Zona Norte por parte de TASA Logística.</w:t>
      </w:r>
    </w:p>
    <w:p w14:paraId="07785796" w14:textId="6447554D" w:rsidR="002041EF" w:rsidRPr="00111094" w:rsidRDefault="002041EF"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Fuentes Normativas – AFIP–DGA (RG 4352/18 y complementarias)</w:t>
      </w:r>
    </w:p>
    <w:p w14:paraId="74224F67" w14:textId="2463EDCE" w:rsidR="002D3EB1" w:rsidRDefault="002041EF" w:rsidP="00490476">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Síntesis de requerimientos recurrentes observados en la normativa para habilitación y operación de Depósitos Fiscales. Se listan a modo de guía práctica para diseño, puesta en marcha y control interno.</w:t>
      </w:r>
    </w:p>
    <w:p w14:paraId="1E5A1E7A" w14:textId="77777777" w:rsidR="00490476" w:rsidRDefault="00490476" w:rsidP="00490476">
      <w:pPr>
        <w:spacing w:after="0"/>
        <w:ind w:left="720"/>
        <w:jc w:val="both"/>
        <w:rPr>
          <w:rFonts w:ascii="Times New Roman" w:hAnsi="Times New Roman" w:cs="Times New Roman"/>
          <w:sz w:val="24"/>
          <w:szCs w:val="24"/>
        </w:rPr>
      </w:pPr>
    </w:p>
    <w:p w14:paraId="4F620C17" w14:textId="77777777" w:rsidR="00490476" w:rsidRDefault="00490476" w:rsidP="00490476">
      <w:pPr>
        <w:spacing w:after="0"/>
        <w:ind w:left="720"/>
        <w:jc w:val="both"/>
        <w:rPr>
          <w:rFonts w:ascii="Times New Roman" w:hAnsi="Times New Roman" w:cs="Times New Roman"/>
          <w:sz w:val="24"/>
          <w:szCs w:val="24"/>
        </w:rPr>
      </w:pPr>
    </w:p>
    <w:p w14:paraId="04FA3C09" w14:textId="77777777" w:rsidR="00490476" w:rsidRDefault="00490476" w:rsidP="00490476">
      <w:pPr>
        <w:spacing w:after="0"/>
        <w:ind w:left="720"/>
        <w:jc w:val="both"/>
        <w:rPr>
          <w:rFonts w:ascii="Times New Roman" w:hAnsi="Times New Roman" w:cs="Times New Roman"/>
          <w:sz w:val="24"/>
          <w:szCs w:val="24"/>
        </w:rPr>
      </w:pPr>
    </w:p>
    <w:p w14:paraId="6E277C32" w14:textId="77777777" w:rsidR="00490476" w:rsidRPr="00111094" w:rsidRDefault="00490476" w:rsidP="00490476">
      <w:pPr>
        <w:spacing w:after="0"/>
        <w:ind w:left="720"/>
        <w:jc w:val="both"/>
        <w:rPr>
          <w:rFonts w:ascii="Times New Roman" w:hAnsi="Times New Roman" w:cs="Times New Roman"/>
          <w:sz w:val="24"/>
          <w:szCs w:val="24"/>
        </w:rPr>
      </w:pPr>
    </w:p>
    <w:tbl>
      <w:tblPr>
        <w:tblStyle w:val="GridTable4Accent1"/>
        <w:tblW w:w="9493" w:type="dxa"/>
        <w:tblLook w:val="04A0" w:firstRow="1" w:lastRow="0" w:firstColumn="1" w:lastColumn="0" w:noHBand="0" w:noVBand="1"/>
      </w:tblPr>
      <w:tblGrid>
        <w:gridCol w:w="2122"/>
        <w:gridCol w:w="3638"/>
        <w:gridCol w:w="3733"/>
      </w:tblGrid>
      <w:tr w:rsidR="002041EF" w:rsidRPr="00111094" w14:paraId="691B76AF" w14:textId="77777777" w:rsidTr="003D3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4F44996B"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Eje Normativo</w:t>
            </w:r>
          </w:p>
        </w:tc>
        <w:tc>
          <w:tcPr>
            <w:tcW w:w="3638" w:type="dxa"/>
            <w:hideMark/>
          </w:tcPr>
          <w:p w14:paraId="15BE86D9"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Requerimiento / Buenas Prácticas</w:t>
            </w:r>
          </w:p>
        </w:tc>
        <w:tc>
          <w:tcPr>
            <w:tcW w:w="3733" w:type="dxa"/>
            <w:hideMark/>
          </w:tcPr>
          <w:p w14:paraId="4947F8AA"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Implicancias para TASA</w:t>
            </w:r>
          </w:p>
        </w:tc>
      </w:tr>
      <w:tr w:rsidR="002041EF" w:rsidRPr="00111094" w14:paraId="649E3838"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5DA50B1D"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Habilitación y expediente</w:t>
            </w:r>
          </w:p>
        </w:tc>
        <w:tc>
          <w:tcPr>
            <w:tcW w:w="3638" w:type="dxa"/>
            <w:hideMark/>
          </w:tcPr>
          <w:p w14:paraId="3E788253"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Memoria técnica, planos aprobados, dominio/uso del suelo compatible, pólizas/seguros, constitución de garantías, identificación de responsables.</w:t>
            </w:r>
          </w:p>
          <w:p w14:paraId="1FA834D3" w14:textId="77777777" w:rsidR="00F306BC" w:rsidRPr="00111094" w:rsidRDefault="00F306BC"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733" w:type="dxa"/>
            <w:hideMark/>
          </w:tcPr>
          <w:p w14:paraId="12FF3B9A"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Preparar paquete técnico-jurídico; alinear con municipio y provincia; asegurar garantías y seguros vigentes.</w:t>
            </w:r>
          </w:p>
        </w:tc>
      </w:tr>
      <w:tr w:rsidR="002041EF" w:rsidRPr="00111094" w14:paraId="2FF861BA" w14:textId="77777777" w:rsidTr="003D387B">
        <w:tc>
          <w:tcPr>
            <w:cnfStyle w:val="001000000000" w:firstRow="0" w:lastRow="0" w:firstColumn="1" w:lastColumn="0" w:oddVBand="0" w:evenVBand="0" w:oddHBand="0" w:evenHBand="0" w:firstRowFirstColumn="0" w:firstRowLastColumn="0" w:lastRowFirstColumn="0" w:lastRowLastColumn="0"/>
            <w:tcW w:w="2122" w:type="dxa"/>
            <w:hideMark/>
          </w:tcPr>
          <w:p w14:paraId="24DF9BCE"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Infraestructura y seguridad física</w:t>
            </w:r>
          </w:p>
        </w:tc>
        <w:tc>
          <w:tcPr>
            <w:tcW w:w="3638" w:type="dxa"/>
            <w:hideMark/>
          </w:tcPr>
          <w:p w14:paraId="3793F027"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Perímetro controlado, CCTV continuo, control de accesos, iluminación, áreas segregadas (mercadería en DF vs nacionalizada), balanzas, zonas de inspección.</w:t>
            </w:r>
          </w:p>
          <w:p w14:paraId="3168F10C"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733" w:type="dxa"/>
            <w:hideMark/>
          </w:tcPr>
          <w:p w14:paraId="21F43094"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Diseñar layout con segregación física; dimensionar CCTV, control de accesos y registro de eventos.</w:t>
            </w:r>
          </w:p>
        </w:tc>
      </w:tr>
      <w:tr w:rsidR="002041EF" w:rsidRPr="00111094" w14:paraId="7BB7A97E"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66C9ECBE"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Sistemas y trazabilidad (IT)</w:t>
            </w:r>
          </w:p>
        </w:tc>
        <w:tc>
          <w:tcPr>
            <w:tcW w:w="3638" w:type="dxa"/>
            <w:hideMark/>
          </w:tcPr>
          <w:p w14:paraId="6B8C1C7F"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Sistema integrado con Aduana para registro de entradas/salidas, inventarios por ítem/lote/ubicación; interoperabilidad con VUCEA/SIM; auditoría de logs.</w:t>
            </w:r>
          </w:p>
        </w:tc>
        <w:tc>
          <w:tcPr>
            <w:tcW w:w="3733" w:type="dxa"/>
            <w:hideMark/>
          </w:tcPr>
          <w:p w14:paraId="792E2E6B"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Integrar WMS/TMS con interfaces y trazabilidad en tiempo real; políticas de backup y continuidad.</w:t>
            </w:r>
          </w:p>
        </w:tc>
      </w:tr>
      <w:tr w:rsidR="002041EF" w:rsidRPr="00111094" w14:paraId="3FB86209" w14:textId="77777777" w:rsidTr="003D387B">
        <w:tc>
          <w:tcPr>
            <w:cnfStyle w:val="001000000000" w:firstRow="0" w:lastRow="0" w:firstColumn="1" w:lastColumn="0" w:oddVBand="0" w:evenVBand="0" w:oddHBand="0" w:evenHBand="0" w:firstRowFirstColumn="0" w:firstRowLastColumn="0" w:lastRowFirstColumn="0" w:lastRowLastColumn="0"/>
            <w:tcW w:w="2122" w:type="dxa"/>
            <w:hideMark/>
          </w:tcPr>
          <w:p w14:paraId="4FEE32E5"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Procedimientos operativos</w:t>
            </w:r>
          </w:p>
        </w:tc>
        <w:tc>
          <w:tcPr>
            <w:tcW w:w="3638" w:type="dxa"/>
            <w:hideMark/>
          </w:tcPr>
          <w:p w14:paraId="20C98D5A"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Manual de procedimientos para recepción, verificación, guarda, nacionalización, devolución/traslado; gestión de discrepancias; custodia documental.</w:t>
            </w:r>
          </w:p>
          <w:p w14:paraId="0023593B"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733" w:type="dxa"/>
            <w:hideMark/>
          </w:tcPr>
          <w:p w14:paraId="6722DE55"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Estandarizar SOPs y entrenar al personal; preparar instructivos y evidencias.</w:t>
            </w:r>
          </w:p>
        </w:tc>
      </w:tr>
      <w:tr w:rsidR="002041EF" w:rsidRPr="00111094" w14:paraId="574B059B"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1F95BE80"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Control y auditoría</w:t>
            </w:r>
          </w:p>
        </w:tc>
        <w:tc>
          <w:tcPr>
            <w:tcW w:w="3638" w:type="dxa"/>
            <w:hideMark/>
          </w:tcPr>
          <w:p w14:paraId="4EB9F610"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Registros y reportes periódicos, conciliaciones de stock, auditorías internas, atención de inspecciones, conservación de documentación.</w:t>
            </w:r>
          </w:p>
        </w:tc>
        <w:tc>
          <w:tcPr>
            <w:tcW w:w="3733" w:type="dxa"/>
            <w:hideMark/>
          </w:tcPr>
          <w:p w14:paraId="4F219B2E"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Implementar plan de auditoría interna y KPIs de cumplimiento; tableros para desvíos.</w:t>
            </w:r>
          </w:p>
        </w:tc>
      </w:tr>
      <w:tr w:rsidR="002041EF" w:rsidRPr="00111094" w14:paraId="0897CCA6" w14:textId="77777777" w:rsidTr="003D387B">
        <w:tc>
          <w:tcPr>
            <w:cnfStyle w:val="001000000000" w:firstRow="0" w:lastRow="0" w:firstColumn="1" w:lastColumn="0" w:oddVBand="0" w:evenVBand="0" w:oddHBand="0" w:evenHBand="0" w:firstRowFirstColumn="0" w:firstRowLastColumn="0" w:lastRowFirstColumn="0" w:lastRowLastColumn="0"/>
            <w:tcW w:w="2122" w:type="dxa"/>
            <w:hideMark/>
          </w:tcPr>
          <w:p w14:paraId="7422F99A"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Sanciones y régimen disciplinario</w:t>
            </w:r>
          </w:p>
        </w:tc>
        <w:tc>
          <w:tcPr>
            <w:tcW w:w="3638" w:type="dxa"/>
            <w:hideMark/>
          </w:tcPr>
          <w:p w14:paraId="174E74CB" w14:textId="77777777" w:rsidR="00F306BC"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Causales de suspensión/revocación ante incumplimientos; deber de mantener condiciones originales de habilitación</w:t>
            </w:r>
          </w:p>
          <w:p w14:paraId="7CCE712B" w14:textId="6F40782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w:t>
            </w:r>
          </w:p>
        </w:tc>
        <w:tc>
          <w:tcPr>
            <w:tcW w:w="3733" w:type="dxa"/>
            <w:hideMark/>
          </w:tcPr>
          <w:p w14:paraId="16D871F0"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Gestión de riesgos y monitoreo continuo para evitar no conformidades; matriz de contingencias.</w:t>
            </w:r>
          </w:p>
        </w:tc>
      </w:tr>
    </w:tbl>
    <w:p w14:paraId="4292A238" w14:textId="359CAB5B" w:rsidR="002041EF" w:rsidRPr="00111094" w:rsidRDefault="002041EF"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Manuales Técnicos y Estándares</w:t>
      </w:r>
    </w:p>
    <w:p w14:paraId="0E6614BD" w14:textId="77777777" w:rsidR="002041EF" w:rsidRPr="00111094" w:rsidRDefault="002041EF" w:rsidP="00FE2A09">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Referenciales técnicos y de gestión recomendados para robustecer el diseño y la operación del Depósito Fiscal.</w:t>
      </w:r>
    </w:p>
    <w:p w14:paraId="642C9195" w14:textId="77777777" w:rsidR="00F306BC" w:rsidRPr="00111094" w:rsidRDefault="00F306BC" w:rsidP="003D387B">
      <w:pPr>
        <w:spacing w:after="0"/>
        <w:ind w:left="720"/>
        <w:rPr>
          <w:rFonts w:ascii="Times New Roman" w:hAnsi="Times New Roman" w:cs="Times New Roman"/>
          <w:sz w:val="24"/>
          <w:szCs w:val="24"/>
        </w:rPr>
      </w:pPr>
    </w:p>
    <w:tbl>
      <w:tblPr>
        <w:tblStyle w:val="GridTable4Accent1"/>
        <w:tblW w:w="9493" w:type="dxa"/>
        <w:tblLook w:val="04A0" w:firstRow="1" w:lastRow="0" w:firstColumn="1" w:lastColumn="0" w:noHBand="0" w:noVBand="1"/>
      </w:tblPr>
      <w:tblGrid>
        <w:gridCol w:w="2547"/>
        <w:gridCol w:w="3213"/>
        <w:gridCol w:w="3733"/>
      </w:tblGrid>
      <w:tr w:rsidR="002041EF" w:rsidRPr="00111094" w14:paraId="49E522F7" w14:textId="77777777" w:rsidTr="004E4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7D365AB1"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Fuente / Estándar</w:t>
            </w:r>
          </w:p>
        </w:tc>
        <w:tc>
          <w:tcPr>
            <w:tcW w:w="3213" w:type="dxa"/>
            <w:hideMark/>
          </w:tcPr>
          <w:p w14:paraId="294235CF"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Contenido relevante</w:t>
            </w:r>
          </w:p>
        </w:tc>
        <w:tc>
          <w:tcPr>
            <w:tcW w:w="3733" w:type="dxa"/>
            <w:hideMark/>
          </w:tcPr>
          <w:p w14:paraId="6C170343"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Aplicación en el proyecto</w:t>
            </w:r>
          </w:p>
        </w:tc>
      </w:tr>
      <w:tr w:rsidR="002041EF" w:rsidRPr="00111094" w14:paraId="2851FA6A"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767B40DC" w14:textId="0910D0E0" w:rsidR="00F306BC"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Manual de Procedimientos de Depósitos Fiscales (lineamientos sectoriales)</w:t>
            </w:r>
          </w:p>
        </w:tc>
        <w:tc>
          <w:tcPr>
            <w:tcW w:w="3213" w:type="dxa"/>
            <w:hideMark/>
          </w:tcPr>
          <w:p w14:paraId="71741DAC"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Buenas prácticas en layout, zonas de inspección, etiquetado, segregación, puntos de control y circuitos documentales.</w:t>
            </w:r>
          </w:p>
        </w:tc>
        <w:tc>
          <w:tcPr>
            <w:tcW w:w="3733" w:type="dxa"/>
            <w:hideMark/>
          </w:tcPr>
          <w:p w14:paraId="0EA3431A"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Base para SOPs, capacitación y auditorías internas.</w:t>
            </w:r>
          </w:p>
        </w:tc>
      </w:tr>
      <w:tr w:rsidR="002041EF" w:rsidRPr="00111094" w14:paraId="3639C9E7" w14:textId="77777777" w:rsidTr="004E4011">
        <w:tc>
          <w:tcPr>
            <w:cnfStyle w:val="001000000000" w:firstRow="0" w:lastRow="0" w:firstColumn="1" w:lastColumn="0" w:oddVBand="0" w:evenVBand="0" w:oddHBand="0" w:evenHBand="0" w:firstRowFirstColumn="0" w:firstRowLastColumn="0" w:lastRowFirstColumn="0" w:lastRowLastColumn="0"/>
            <w:tcW w:w="2547" w:type="dxa"/>
            <w:hideMark/>
          </w:tcPr>
          <w:p w14:paraId="6C00704C"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ISO 9001 – Gestión de calidad</w:t>
            </w:r>
          </w:p>
        </w:tc>
        <w:tc>
          <w:tcPr>
            <w:tcW w:w="3213" w:type="dxa"/>
            <w:hideMark/>
          </w:tcPr>
          <w:p w14:paraId="31B90073" w14:textId="6529DAB1" w:rsidR="00F306BC"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Gestión por procesos, control documental, mejora continua y gestión de no conformidades.</w:t>
            </w:r>
          </w:p>
          <w:p w14:paraId="67E111DD"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733" w:type="dxa"/>
            <w:hideMark/>
          </w:tcPr>
          <w:p w14:paraId="407727AC"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Sistema de gestión para DF; soporte a auditorías y a requisitos de clientes multinacionales.</w:t>
            </w:r>
          </w:p>
        </w:tc>
      </w:tr>
      <w:tr w:rsidR="002041EF" w:rsidRPr="00111094" w14:paraId="0441B674"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679E886E" w14:textId="11B7B6C8" w:rsidR="00F306BC"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ISO 28000 – Seguridad de la cadena de suministro</w:t>
            </w:r>
          </w:p>
          <w:p w14:paraId="62036348" w14:textId="77777777" w:rsidR="00F306BC" w:rsidRPr="00111094" w:rsidRDefault="00F306BC" w:rsidP="002041EF">
            <w:pPr>
              <w:rPr>
                <w:rFonts w:ascii="Times New Roman" w:hAnsi="Times New Roman" w:cs="Times New Roman"/>
                <w:sz w:val="20"/>
                <w:szCs w:val="20"/>
              </w:rPr>
            </w:pPr>
          </w:p>
        </w:tc>
        <w:tc>
          <w:tcPr>
            <w:tcW w:w="3213" w:type="dxa"/>
            <w:hideMark/>
          </w:tcPr>
          <w:p w14:paraId="37049C1F"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Gestión de riesgos de seguridad física y logística; controles y métricas.</w:t>
            </w:r>
          </w:p>
        </w:tc>
        <w:tc>
          <w:tcPr>
            <w:tcW w:w="3733" w:type="dxa"/>
            <w:hideMark/>
          </w:tcPr>
          <w:p w14:paraId="46E6185E"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Mapa de riesgos, controles de acceso, trazabilidad y continuidad operativa.</w:t>
            </w:r>
          </w:p>
        </w:tc>
      </w:tr>
      <w:tr w:rsidR="002041EF" w:rsidRPr="00111094" w14:paraId="39E79D77" w14:textId="77777777" w:rsidTr="004E4011">
        <w:tc>
          <w:tcPr>
            <w:cnfStyle w:val="001000000000" w:firstRow="0" w:lastRow="0" w:firstColumn="1" w:lastColumn="0" w:oddVBand="0" w:evenVBand="0" w:oddHBand="0" w:evenHBand="0" w:firstRowFirstColumn="0" w:firstRowLastColumn="0" w:lastRowFirstColumn="0" w:lastRowLastColumn="0"/>
            <w:tcW w:w="2547" w:type="dxa"/>
            <w:hideMark/>
          </w:tcPr>
          <w:p w14:paraId="0ABEE818" w14:textId="273723AD" w:rsidR="00F306BC"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Marco SAFE (OMA) / Operador Económico Autorizado (OEA)</w:t>
            </w:r>
          </w:p>
          <w:p w14:paraId="68012D9F" w14:textId="77777777" w:rsidR="00F306BC" w:rsidRPr="00111094" w:rsidRDefault="00F306BC" w:rsidP="002041EF">
            <w:pPr>
              <w:rPr>
                <w:rFonts w:ascii="Times New Roman" w:hAnsi="Times New Roman" w:cs="Times New Roman"/>
                <w:sz w:val="20"/>
                <w:szCs w:val="20"/>
              </w:rPr>
            </w:pPr>
          </w:p>
        </w:tc>
        <w:tc>
          <w:tcPr>
            <w:tcW w:w="3213" w:type="dxa"/>
            <w:hideMark/>
          </w:tcPr>
          <w:p w14:paraId="1040106B" w14:textId="4FEBE182"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Seguridad y facilitación del comercio internacional; confianza aduana-privado</w:t>
            </w:r>
          </w:p>
        </w:tc>
        <w:tc>
          <w:tcPr>
            <w:tcW w:w="3733" w:type="dxa"/>
            <w:hideMark/>
          </w:tcPr>
          <w:p w14:paraId="04C2A2AE"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Hoja de ruta para madurar hacia OEA; ventaja competitiva en clientes globales.</w:t>
            </w:r>
          </w:p>
        </w:tc>
      </w:tr>
      <w:tr w:rsidR="002041EF" w:rsidRPr="00111094" w14:paraId="69112184"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526EAB1D" w14:textId="09606976" w:rsidR="00F306BC"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Guías de integración WMS–Aduana (APIs/EDI)</w:t>
            </w:r>
          </w:p>
          <w:p w14:paraId="0590B72D" w14:textId="77777777" w:rsidR="00F306BC" w:rsidRPr="00111094" w:rsidRDefault="00F306BC" w:rsidP="002041EF">
            <w:pPr>
              <w:rPr>
                <w:rFonts w:ascii="Times New Roman" w:hAnsi="Times New Roman" w:cs="Times New Roman"/>
                <w:sz w:val="20"/>
                <w:szCs w:val="20"/>
              </w:rPr>
            </w:pPr>
          </w:p>
        </w:tc>
        <w:tc>
          <w:tcPr>
            <w:tcW w:w="3213" w:type="dxa"/>
            <w:hideMark/>
          </w:tcPr>
          <w:p w14:paraId="1BCFDDC4"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Mensajería de eventos, stock, posición aduanera, lotes y auditoría de logs.</w:t>
            </w:r>
          </w:p>
        </w:tc>
        <w:tc>
          <w:tcPr>
            <w:tcW w:w="3733" w:type="dxa"/>
            <w:hideMark/>
          </w:tcPr>
          <w:p w14:paraId="107B6652"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Diseño técnico de interfaces y tableros de trazabilidad en tiempo real.</w:t>
            </w:r>
          </w:p>
        </w:tc>
      </w:tr>
    </w:tbl>
    <w:p w14:paraId="513FBAF7" w14:textId="05198768" w:rsidR="002041EF" w:rsidRPr="00111094" w:rsidRDefault="002041EF" w:rsidP="00FE2A09">
      <w:pPr>
        <w:pStyle w:val="Ttulo4"/>
        <w:numPr>
          <w:ilvl w:val="0"/>
          <w:numId w:val="17"/>
        </w:numPr>
        <w:jc w:val="both"/>
        <w:rPr>
          <w:rFonts w:ascii="Times New Roman" w:hAnsi="Times New Roman" w:cs="Times New Roman"/>
        </w:rPr>
      </w:pPr>
      <w:r w:rsidRPr="00111094">
        <w:rPr>
          <w:rFonts w:ascii="Times New Roman" w:hAnsi="Times New Roman" w:cs="Times New Roman"/>
        </w:rPr>
        <w:t>Jurisprudencia Relevante (síntesis operativa)</w:t>
      </w:r>
    </w:p>
    <w:p w14:paraId="14F472CB" w14:textId="77777777" w:rsidR="002041EF" w:rsidRPr="00111094" w:rsidRDefault="002041EF" w:rsidP="00FE2A09">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Casos y criterios doctrinarios/administrativos frecuentes que impactan en la gestión de depósitos fiscales. Se formulan como lecciones aprendidas para prevenir contingencias.</w:t>
      </w:r>
    </w:p>
    <w:p w14:paraId="702D5CAD" w14:textId="77777777" w:rsidR="00F306BC" w:rsidRPr="00111094" w:rsidRDefault="00F306BC" w:rsidP="003D387B">
      <w:pPr>
        <w:spacing w:after="0"/>
        <w:ind w:left="720"/>
        <w:rPr>
          <w:rFonts w:ascii="Times New Roman" w:hAnsi="Times New Roman" w:cs="Times New Roman"/>
          <w:sz w:val="24"/>
          <w:szCs w:val="24"/>
        </w:rPr>
      </w:pPr>
    </w:p>
    <w:tbl>
      <w:tblPr>
        <w:tblStyle w:val="GridTable4Accent1"/>
        <w:tblW w:w="9493" w:type="dxa"/>
        <w:tblLook w:val="04A0" w:firstRow="1" w:lastRow="0" w:firstColumn="1" w:lastColumn="0" w:noHBand="0" w:noVBand="1"/>
      </w:tblPr>
      <w:tblGrid>
        <w:gridCol w:w="2122"/>
        <w:gridCol w:w="3638"/>
        <w:gridCol w:w="3733"/>
      </w:tblGrid>
      <w:tr w:rsidR="002041EF" w:rsidRPr="00111094" w14:paraId="1D0B5B3A" w14:textId="77777777" w:rsidTr="004E4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00E4A027"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Tema / Criterio</w:t>
            </w:r>
          </w:p>
        </w:tc>
        <w:tc>
          <w:tcPr>
            <w:tcW w:w="3638" w:type="dxa"/>
            <w:hideMark/>
          </w:tcPr>
          <w:p w14:paraId="5DE0B9CE"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Aprendizaje operativo</w:t>
            </w:r>
          </w:p>
        </w:tc>
        <w:tc>
          <w:tcPr>
            <w:tcW w:w="3733" w:type="dxa"/>
            <w:hideMark/>
          </w:tcPr>
          <w:p w14:paraId="1144F22D"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Acción preventiva sugerida</w:t>
            </w:r>
          </w:p>
        </w:tc>
      </w:tr>
      <w:tr w:rsidR="002041EF" w:rsidRPr="00111094" w14:paraId="5F657002"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40FA9766" w14:textId="77777777" w:rsidR="002041EF"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Discrepancias de inventario (faltantes/sobrantes)</w:t>
            </w:r>
          </w:p>
          <w:p w14:paraId="57B7805C" w14:textId="77777777" w:rsidR="00F306BC" w:rsidRPr="00111094" w:rsidRDefault="00F306BC" w:rsidP="002041EF">
            <w:pPr>
              <w:rPr>
                <w:rFonts w:ascii="Times New Roman" w:hAnsi="Times New Roman" w:cs="Times New Roman"/>
                <w:sz w:val="20"/>
                <w:szCs w:val="20"/>
              </w:rPr>
            </w:pPr>
          </w:p>
        </w:tc>
        <w:tc>
          <w:tcPr>
            <w:tcW w:w="3638" w:type="dxa"/>
            <w:hideMark/>
          </w:tcPr>
          <w:p w14:paraId="35C41D6B"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Responsabilidad del operador por custodia y exactitud de registros.</w:t>
            </w:r>
          </w:p>
        </w:tc>
        <w:tc>
          <w:tcPr>
            <w:tcW w:w="3733" w:type="dxa"/>
            <w:hideMark/>
          </w:tcPr>
          <w:p w14:paraId="3FA95D19"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Conciliaciones diarias; doble conteo en recepción; investigación de desvíos.</w:t>
            </w:r>
          </w:p>
        </w:tc>
      </w:tr>
      <w:tr w:rsidR="002041EF" w:rsidRPr="00111094" w14:paraId="7E1D5DBD" w14:textId="77777777" w:rsidTr="004E4011">
        <w:tc>
          <w:tcPr>
            <w:cnfStyle w:val="001000000000" w:firstRow="0" w:lastRow="0" w:firstColumn="1" w:lastColumn="0" w:oddVBand="0" w:evenVBand="0" w:oddHBand="0" w:evenHBand="0" w:firstRowFirstColumn="0" w:firstRowLastColumn="0" w:lastRowFirstColumn="0" w:lastRowLastColumn="0"/>
            <w:tcW w:w="2122" w:type="dxa"/>
            <w:hideMark/>
          </w:tcPr>
          <w:p w14:paraId="5186D418"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Vencimiento de garantías/seguros</w:t>
            </w:r>
          </w:p>
        </w:tc>
        <w:tc>
          <w:tcPr>
            <w:tcW w:w="3638" w:type="dxa"/>
            <w:hideMark/>
          </w:tcPr>
          <w:p w14:paraId="3C836E9E"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Riesgo de suspensión o sanción por incumplimiento formal.</w:t>
            </w:r>
          </w:p>
        </w:tc>
        <w:tc>
          <w:tcPr>
            <w:tcW w:w="3733" w:type="dxa"/>
            <w:hideMark/>
          </w:tcPr>
          <w:p w14:paraId="4151F3CD"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Calendario de vencimientos y alertas automáticas; revisión mensual con Finanzas.</w:t>
            </w:r>
          </w:p>
          <w:p w14:paraId="19376B55"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041EF" w:rsidRPr="00111094" w14:paraId="573E0F9E"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47A20EE6" w14:textId="688EFBF2"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Documentación incompleta / errores en declaraciones</w:t>
            </w:r>
          </w:p>
        </w:tc>
        <w:tc>
          <w:tcPr>
            <w:tcW w:w="3638" w:type="dxa"/>
            <w:hideMark/>
          </w:tcPr>
          <w:p w14:paraId="08746272"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Puede derivar en multas y demoras de liberación.</w:t>
            </w:r>
          </w:p>
          <w:p w14:paraId="0DED2A07" w14:textId="77777777" w:rsidR="00F306BC" w:rsidRPr="00111094" w:rsidRDefault="00F306BC"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F22757B" w14:textId="77777777" w:rsidR="00F306BC" w:rsidRPr="00111094" w:rsidRDefault="00F306BC"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733" w:type="dxa"/>
            <w:hideMark/>
          </w:tcPr>
          <w:p w14:paraId="5801C70D"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Checklist documental previo a cada movimiento; rol de control independiente.</w:t>
            </w:r>
          </w:p>
        </w:tc>
      </w:tr>
      <w:tr w:rsidR="002041EF" w:rsidRPr="00111094" w14:paraId="50E76526" w14:textId="77777777" w:rsidTr="004E4011">
        <w:tc>
          <w:tcPr>
            <w:cnfStyle w:val="001000000000" w:firstRow="0" w:lastRow="0" w:firstColumn="1" w:lastColumn="0" w:oddVBand="0" w:evenVBand="0" w:oddHBand="0" w:evenHBand="0" w:firstRowFirstColumn="0" w:firstRowLastColumn="0" w:lastRowFirstColumn="0" w:lastRowLastColumn="0"/>
            <w:tcW w:w="2122" w:type="dxa"/>
            <w:hideMark/>
          </w:tcPr>
          <w:p w14:paraId="02EA0EB2"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Cambio no registrado en layout/condiciones habilitadas</w:t>
            </w:r>
          </w:p>
        </w:tc>
        <w:tc>
          <w:tcPr>
            <w:tcW w:w="3638" w:type="dxa"/>
            <w:hideMark/>
          </w:tcPr>
          <w:p w14:paraId="578202F4"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La aduana exige mantener condiciones del expediente; cambios sin aviso generan observaciones.</w:t>
            </w:r>
          </w:p>
          <w:p w14:paraId="68428486"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733" w:type="dxa"/>
            <w:hideMark/>
          </w:tcPr>
          <w:p w14:paraId="5AE2FBEC"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Gestión de cambios con evaluación de impacto y notificación previa a DGA.</w:t>
            </w:r>
          </w:p>
        </w:tc>
      </w:tr>
    </w:tbl>
    <w:p w14:paraId="58204988" w14:textId="77777777" w:rsidR="002041EF" w:rsidRPr="00111094" w:rsidRDefault="002041EF" w:rsidP="00DE4E91">
      <w:pPr>
        <w:pStyle w:val="Ttulo4"/>
        <w:numPr>
          <w:ilvl w:val="0"/>
          <w:numId w:val="17"/>
        </w:numPr>
        <w:jc w:val="both"/>
        <w:rPr>
          <w:rFonts w:ascii="Times New Roman" w:hAnsi="Times New Roman" w:cs="Times New Roman"/>
        </w:rPr>
      </w:pPr>
      <w:r w:rsidRPr="00111094">
        <w:rPr>
          <w:rFonts w:ascii="Times New Roman" w:hAnsi="Times New Roman" w:cs="Times New Roman"/>
        </w:rPr>
        <w:t>4. Benchmarking Sectorial</w:t>
      </w:r>
    </w:p>
    <w:p w14:paraId="68849516" w14:textId="42B2C503" w:rsidR="006F4697" w:rsidRPr="00111094" w:rsidRDefault="002041EF" w:rsidP="00DE4E91">
      <w:pPr>
        <w:spacing w:after="0"/>
        <w:ind w:left="720"/>
        <w:jc w:val="both"/>
        <w:rPr>
          <w:rFonts w:ascii="Times New Roman" w:hAnsi="Times New Roman" w:cs="Times New Roman"/>
          <w:sz w:val="24"/>
          <w:szCs w:val="24"/>
        </w:rPr>
      </w:pPr>
      <w:r w:rsidRPr="00111094">
        <w:rPr>
          <w:rFonts w:ascii="Times New Roman" w:hAnsi="Times New Roman" w:cs="Times New Roman"/>
          <w:sz w:val="24"/>
          <w:szCs w:val="24"/>
        </w:rPr>
        <w:t>Comparativa de prácticas y atributos relevantes observados en operadores con servicios aduaneros y depósitos fiscales en Argentina (referencias públicas) y en plazas comparables. Se sintetiza en factores clave.</w:t>
      </w:r>
    </w:p>
    <w:p w14:paraId="75FAC482" w14:textId="77777777" w:rsidR="006F4697" w:rsidRPr="00111094" w:rsidRDefault="006F4697" w:rsidP="003D387B">
      <w:pPr>
        <w:spacing w:after="0"/>
        <w:ind w:left="720"/>
        <w:rPr>
          <w:rFonts w:ascii="Times New Roman" w:hAnsi="Times New Roman" w:cs="Times New Roman"/>
          <w:sz w:val="24"/>
          <w:szCs w:val="24"/>
        </w:rPr>
      </w:pPr>
    </w:p>
    <w:tbl>
      <w:tblPr>
        <w:tblStyle w:val="GridTable4Accent1"/>
        <w:tblW w:w="9493" w:type="dxa"/>
        <w:tblLook w:val="04A0" w:firstRow="1" w:lastRow="0" w:firstColumn="1" w:lastColumn="0" w:noHBand="0" w:noVBand="1"/>
      </w:tblPr>
      <w:tblGrid>
        <w:gridCol w:w="2160"/>
        <w:gridCol w:w="2513"/>
        <w:gridCol w:w="2268"/>
        <w:gridCol w:w="2552"/>
      </w:tblGrid>
      <w:tr w:rsidR="002041EF" w:rsidRPr="00111094" w14:paraId="27E91EED" w14:textId="77777777" w:rsidTr="003D3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6354209E"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Factor comparado</w:t>
            </w:r>
          </w:p>
        </w:tc>
        <w:tc>
          <w:tcPr>
            <w:tcW w:w="2513" w:type="dxa"/>
            <w:hideMark/>
          </w:tcPr>
          <w:p w14:paraId="2D7435B3"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Mejor práctica observada</w:t>
            </w:r>
          </w:p>
        </w:tc>
        <w:tc>
          <w:tcPr>
            <w:tcW w:w="2268" w:type="dxa"/>
            <w:hideMark/>
          </w:tcPr>
          <w:p w14:paraId="5E3CE7DF"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Brecha típica del mercado</w:t>
            </w:r>
          </w:p>
        </w:tc>
        <w:tc>
          <w:tcPr>
            <w:tcW w:w="2552" w:type="dxa"/>
            <w:hideMark/>
          </w:tcPr>
          <w:p w14:paraId="619839AA"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Línea de acción para TASA</w:t>
            </w:r>
          </w:p>
        </w:tc>
      </w:tr>
      <w:tr w:rsidR="002041EF" w:rsidRPr="00111094" w14:paraId="6A76E882"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355440B7"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Tiempo de liberación (SLA)</w:t>
            </w:r>
          </w:p>
        </w:tc>
        <w:tc>
          <w:tcPr>
            <w:tcW w:w="2513" w:type="dxa"/>
            <w:hideMark/>
          </w:tcPr>
          <w:p w14:paraId="5526BF88" w14:textId="2E0C3E86" w:rsidR="00F306BC"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Ventanas/slots y prevalidación documental; </w:t>
            </w:r>
            <w:r w:rsidRPr="00111094">
              <w:rPr>
                <w:rFonts w:ascii="Times New Roman" w:hAnsi="Times New Roman" w:cs="Times New Roman"/>
                <w:sz w:val="20"/>
                <w:szCs w:val="20"/>
              </w:rPr>
              <w:lastRenderedPageBreak/>
              <w:t>tableros con ETA y estado aduanero.</w:t>
            </w:r>
          </w:p>
          <w:p w14:paraId="7C43856B" w14:textId="77777777" w:rsidR="00F306BC" w:rsidRPr="00111094" w:rsidRDefault="00F306BC"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268" w:type="dxa"/>
            <w:hideMark/>
          </w:tcPr>
          <w:p w14:paraId="45624B03"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lastRenderedPageBreak/>
              <w:t>Demoras por coordinación depósito–</w:t>
            </w:r>
            <w:r w:rsidRPr="00111094">
              <w:rPr>
                <w:rFonts w:ascii="Times New Roman" w:hAnsi="Times New Roman" w:cs="Times New Roman"/>
                <w:sz w:val="20"/>
                <w:szCs w:val="20"/>
              </w:rPr>
              <w:lastRenderedPageBreak/>
              <w:t>transporte–aduana.</w:t>
            </w:r>
          </w:p>
        </w:tc>
        <w:tc>
          <w:tcPr>
            <w:tcW w:w="2552" w:type="dxa"/>
            <w:hideMark/>
          </w:tcPr>
          <w:p w14:paraId="66E496B7"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lastRenderedPageBreak/>
              <w:t xml:space="preserve">Implementar 'Control Tower' y pre-check documental con </w:t>
            </w:r>
            <w:r w:rsidRPr="00111094">
              <w:rPr>
                <w:rFonts w:ascii="Times New Roman" w:hAnsi="Times New Roman" w:cs="Times New Roman"/>
                <w:sz w:val="20"/>
                <w:szCs w:val="20"/>
              </w:rPr>
              <w:lastRenderedPageBreak/>
              <w:t>despachante.</w:t>
            </w:r>
          </w:p>
        </w:tc>
      </w:tr>
      <w:tr w:rsidR="002041EF" w:rsidRPr="00111094" w14:paraId="002828BC" w14:textId="77777777" w:rsidTr="003D387B">
        <w:tc>
          <w:tcPr>
            <w:cnfStyle w:val="001000000000" w:firstRow="0" w:lastRow="0" w:firstColumn="1" w:lastColumn="0" w:oddVBand="0" w:evenVBand="0" w:oddHBand="0" w:evenHBand="0" w:firstRowFirstColumn="0" w:firstRowLastColumn="0" w:lastRowFirstColumn="0" w:lastRowLastColumn="0"/>
            <w:tcW w:w="2160" w:type="dxa"/>
            <w:hideMark/>
          </w:tcPr>
          <w:p w14:paraId="6EC2B0FE"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lastRenderedPageBreak/>
              <w:t>Integración tecnológica</w:t>
            </w:r>
          </w:p>
        </w:tc>
        <w:tc>
          <w:tcPr>
            <w:tcW w:w="2513" w:type="dxa"/>
            <w:hideMark/>
          </w:tcPr>
          <w:p w14:paraId="5FBAE1A1" w14:textId="26C75A12" w:rsidR="00F306BC"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APIs WMS-ERP-Aduana con eventos y trazabilidad por ítem/lote.</w:t>
            </w:r>
          </w:p>
          <w:p w14:paraId="3E0D0473"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hideMark/>
          </w:tcPr>
          <w:p w14:paraId="14707324"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Cortes de información y reportes manuales.</w:t>
            </w:r>
          </w:p>
        </w:tc>
        <w:tc>
          <w:tcPr>
            <w:tcW w:w="2552" w:type="dxa"/>
            <w:hideMark/>
          </w:tcPr>
          <w:p w14:paraId="38FDEADE"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Desarrollar APIs y dashboards cliente; logs auditables.</w:t>
            </w:r>
          </w:p>
        </w:tc>
      </w:tr>
      <w:tr w:rsidR="002041EF" w:rsidRPr="00111094" w14:paraId="1D13FF72"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1FAF5EDC"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Capacidad en picos</w:t>
            </w:r>
          </w:p>
        </w:tc>
        <w:tc>
          <w:tcPr>
            <w:tcW w:w="2513" w:type="dxa"/>
            <w:hideMark/>
          </w:tcPr>
          <w:p w14:paraId="793ED7DC" w14:textId="48D731A4" w:rsidR="00F306BC"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Gestión flexible de espacio y staffing; contratos con capacidad elástica.</w:t>
            </w:r>
          </w:p>
          <w:p w14:paraId="25D6D7FF" w14:textId="77777777" w:rsidR="00F306BC" w:rsidRPr="00111094" w:rsidRDefault="00F306BC"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268" w:type="dxa"/>
            <w:hideMark/>
          </w:tcPr>
          <w:p w14:paraId="3E290ABC"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Falta de slots y saturación.</w:t>
            </w:r>
          </w:p>
        </w:tc>
        <w:tc>
          <w:tcPr>
            <w:tcW w:w="2552" w:type="dxa"/>
            <w:hideMark/>
          </w:tcPr>
          <w:p w14:paraId="478D9182"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Plan de elasticidad (layout modular + bolsa de horas).</w:t>
            </w:r>
          </w:p>
        </w:tc>
      </w:tr>
      <w:tr w:rsidR="002041EF" w:rsidRPr="00111094" w14:paraId="4CF93504" w14:textId="77777777" w:rsidTr="003D387B">
        <w:tc>
          <w:tcPr>
            <w:cnfStyle w:val="001000000000" w:firstRow="0" w:lastRow="0" w:firstColumn="1" w:lastColumn="0" w:oddVBand="0" w:evenVBand="0" w:oddHBand="0" w:evenHBand="0" w:firstRowFirstColumn="0" w:firstRowLastColumn="0" w:lastRowFirstColumn="0" w:lastRowLastColumn="0"/>
            <w:tcW w:w="2160" w:type="dxa"/>
            <w:hideMark/>
          </w:tcPr>
          <w:p w14:paraId="233B7C60"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Compliance y seguridad</w:t>
            </w:r>
          </w:p>
        </w:tc>
        <w:tc>
          <w:tcPr>
            <w:tcW w:w="2513" w:type="dxa"/>
            <w:hideMark/>
          </w:tcPr>
          <w:p w14:paraId="4DA9642B" w14:textId="029836E6" w:rsidR="00F306BC"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Certificaciones (ISO, OEA) y auditorías periódicas.</w:t>
            </w:r>
          </w:p>
          <w:p w14:paraId="3C1F3F0D"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68" w:type="dxa"/>
            <w:hideMark/>
          </w:tcPr>
          <w:p w14:paraId="15C296D7"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Enfoque reactivo ante inspecciones.</w:t>
            </w:r>
          </w:p>
        </w:tc>
        <w:tc>
          <w:tcPr>
            <w:tcW w:w="2552" w:type="dxa"/>
            <w:hideMark/>
          </w:tcPr>
          <w:p w14:paraId="652163A9"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Programa de compliance y auditoría interna trimestral.</w:t>
            </w:r>
          </w:p>
        </w:tc>
      </w:tr>
    </w:tbl>
    <w:p w14:paraId="0F73C681" w14:textId="34B2071B" w:rsidR="002041EF" w:rsidRPr="00111094" w:rsidRDefault="002041EF" w:rsidP="00DE4E91">
      <w:pPr>
        <w:pStyle w:val="Ttulo4"/>
        <w:numPr>
          <w:ilvl w:val="0"/>
          <w:numId w:val="17"/>
        </w:numPr>
        <w:jc w:val="both"/>
        <w:rPr>
          <w:rFonts w:ascii="Times New Roman" w:hAnsi="Times New Roman" w:cs="Times New Roman"/>
        </w:rPr>
      </w:pPr>
      <w:r w:rsidRPr="00111094">
        <w:rPr>
          <w:rFonts w:ascii="Times New Roman" w:hAnsi="Times New Roman" w:cs="Times New Roman"/>
        </w:rPr>
        <w:t>Otras Fuentes Complementarias</w:t>
      </w:r>
    </w:p>
    <w:p w14:paraId="6792F37D" w14:textId="62AF6224" w:rsidR="002041EF" w:rsidRPr="00111094" w:rsidRDefault="002041EF"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Listado de fuentes sugeridas para fortalecer el repositorio documental del proyecto:</w:t>
      </w:r>
    </w:p>
    <w:p w14:paraId="0B93FE32" w14:textId="196D1ED2" w:rsidR="002041EF" w:rsidRPr="00111094" w:rsidRDefault="002041EF" w:rsidP="00DE4E91">
      <w:pPr>
        <w:pStyle w:val="Prrafodelista"/>
        <w:numPr>
          <w:ilvl w:val="1"/>
          <w:numId w:val="33"/>
        </w:num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Estadísticas FADEEAC (ICT) para proyecciones de costos de transporte vinculados al </w:t>
      </w:r>
      <w:r w:rsidR="00795904" w:rsidRPr="00111094">
        <w:rPr>
          <w:rFonts w:ascii="Times New Roman" w:hAnsi="Times New Roman" w:cs="Times New Roman"/>
          <w:sz w:val="24"/>
          <w:szCs w:val="24"/>
        </w:rPr>
        <w:t xml:space="preserve">Depósitos </w:t>
      </w:r>
      <w:r w:rsidRPr="00111094">
        <w:rPr>
          <w:rFonts w:ascii="Times New Roman" w:hAnsi="Times New Roman" w:cs="Times New Roman"/>
          <w:sz w:val="24"/>
          <w:szCs w:val="24"/>
        </w:rPr>
        <w:t>F</w:t>
      </w:r>
      <w:r w:rsidR="00795904" w:rsidRPr="00111094">
        <w:rPr>
          <w:rFonts w:ascii="Times New Roman" w:hAnsi="Times New Roman" w:cs="Times New Roman"/>
          <w:sz w:val="24"/>
          <w:szCs w:val="24"/>
        </w:rPr>
        <w:t>iscales</w:t>
      </w:r>
      <w:r w:rsidRPr="00111094">
        <w:rPr>
          <w:rFonts w:ascii="Times New Roman" w:hAnsi="Times New Roman" w:cs="Times New Roman"/>
          <w:sz w:val="24"/>
          <w:szCs w:val="24"/>
        </w:rPr>
        <w:t>.</w:t>
      </w:r>
    </w:p>
    <w:p w14:paraId="478B7A56" w14:textId="77777777" w:rsidR="002041EF" w:rsidRPr="00111094" w:rsidRDefault="002041EF" w:rsidP="00DE4E91">
      <w:pPr>
        <w:pStyle w:val="Prrafodelista"/>
        <w:numPr>
          <w:ilvl w:val="1"/>
          <w:numId w:val="33"/>
        </w:numPr>
        <w:spacing w:after="0"/>
        <w:jc w:val="both"/>
        <w:rPr>
          <w:rFonts w:ascii="Times New Roman" w:hAnsi="Times New Roman" w:cs="Times New Roman"/>
          <w:sz w:val="24"/>
          <w:szCs w:val="24"/>
        </w:rPr>
      </w:pPr>
      <w:r w:rsidRPr="00111094">
        <w:rPr>
          <w:rFonts w:ascii="Times New Roman" w:hAnsi="Times New Roman" w:cs="Times New Roman"/>
          <w:sz w:val="24"/>
          <w:szCs w:val="24"/>
        </w:rPr>
        <w:t>Informes CEDOL sobre tendencias de operadores logísticos y demanda de servicios integrados.</w:t>
      </w:r>
    </w:p>
    <w:p w14:paraId="4CE11B98" w14:textId="77777777" w:rsidR="002041EF" w:rsidRPr="00111094" w:rsidRDefault="002041EF" w:rsidP="00DE4E91">
      <w:pPr>
        <w:pStyle w:val="Prrafodelista"/>
        <w:numPr>
          <w:ilvl w:val="1"/>
          <w:numId w:val="33"/>
        </w:numPr>
        <w:spacing w:after="0"/>
        <w:jc w:val="both"/>
        <w:rPr>
          <w:rFonts w:ascii="Times New Roman" w:hAnsi="Times New Roman" w:cs="Times New Roman"/>
          <w:sz w:val="24"/>
          <w:szCs w:val="24"/>
        </w:rPr>
      </w:pPr>
      <w:r w:rsidRPr="00111094">
        <w:rPr>
          <w:rFonts w:ascii="Times New Roman" w:hAnsi="Times New Roman" w:cs="Times New Roman"/>
          <w:sz w:val="24"/>
          <w:szCs w:val="24"/>
        </w:rPr>
        <w:t>Reportes de terminales portuarias y Zona Franca La Plata (capacidad, tiempos, tarifas públicas).</w:t>
      </w:r>
    </w:p>
    <w:p w14:paraId="72EC74B3" w14:textId="64F5828B" w:rsidR="002041EF" w:rsidRPr="00111094" w:rsidRDefault="002041EF" w:rsidP="00DE4E91">
      <w:pPr>
        <w:pStyle w:val="Prrafodelista"/>
        <w:numPr>
          <w:ilvl w:val="1"/>
          <w:numId w:val="33"/>
        </w:num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Publicaciones </w:t>
      </w:r>
      <w:r w:rsidR="00795904" w:rsidRPr="00111094">
        <w:rPr>
          <w:rFonts w:ascii="Times New Roman" w:hAnsi="Times New Roman" w:cs="Times New Roman"/>
          <w:sz w:val="24"/>
          <w:szCs w:val="24"/>
        </w:rPr>
        <w:t>d</w:t>
      </w:r>
      <w:r w:rsidR="00795904" w:rsidRPr="00111094">
        <w:rPr>
          <w:rFonts w:ascii="Times New Roman" w:hAnsi="Times New Roman" w:cs="Times New Roman"/>
        </w:rPr>
        <w:t xml:space="preserve"> </w:t>
      </w:r>
      <w:r w:rsidR="00795904" w:rsidRPr="00111094">
        <w:rPr>
          <w:rFonts w:ascii="Times New Roman" w:hAnsi="Times New Roman" w:cs="Times New Roman"/>
          <w:sz w:val="24"/>
          <w:szCs w:val="24"/>
        </w:rPr>
        <w:t xml:space="preserve">Organización Mundial de Aduanas (OMA) </w:t>
      </w:r>
      <w:r w:rsidRPr="00111094">
        <w:rPr>
          <w:rFonts w:ascii="Times New Roman" w:hAnsi="Times New Roman" w:cs="Times New Roman"/>
          <w:sz w:val="24"/>
          <w:szCs w:val="24"/>
        </w:rPr>
        <w:t>/</w:t>
      </w:r>
      <w:r w:rsidR="00795904" w:rsidRPr="00111094">
        <w:rPr>
          <w:rFonts w:ascii="Times New Roman" w:hAnsi="Times New Roman" w:cs="Times New Roman"/>
          <w:sz w:val="24"/>
          <w:szCs w:val="24"/>
        </w:rPr>
        <w:t xml:space="preserve"> Organización Mundial del Comercio (OMC) </w:t>
      </w:r>
      <w:r w:rsidRPr="00111094">
        <w:rPr>
          <w:rFonts w:ascii="Times New Roman" w:hAnsi="Times New Roman" w:cs="Times New Roman"/>
          <w:sz w:val="24"/>
          <w:szCs w:val="24"/>
        </w:rPr>
        <w:t>sobre facilitación del comercio y digitalización aduanera.</w:t>
      </w:r>
    </w:p>
    <w:p w14:paraId="7445F91A" w14:textId="77777777" w:rsidR="002041EF" w:rsidRPr="00111094" w:rsidRDefault="002041EF" w:rsidP="00DE4E91">
      <w:pPr>
        <w:pStyle w:val="Prrafodelista"/>
        <w:numPr>
          <w:ilvl w:val="1"/>
          <w:numId w:val="33"/>
        </w:numPr>
        <w:spacing w:after="0"/>
        <w:jc w:val="both"/>
        <w:rPr>
          <w:rFonts w:ascii="Times New Roman" w:hAnsi="Times New Roman" w:cs="Times New Roman"/>
          <w:sz w:val="24"/>
          <w:szCs w:val="24"/>
        </w:rPr>
      </w:pPr>
      <w:r w:rsidRPr="00111094">
        <w:rPr>
          <w:rFonts w:ascii="Times New Roman" w:hAnsi="Times New Roman" w:cs="Times New Roman"/>
          <w:sz w:val="24"/>
          <w:szCs w:val="24"/>
        </w:rPr>
        <w:t>Lineamientos ANMAT/SENASA para categorías reguladas (si aplica a clientes objetivo).</w:t>
      </w:r>
    </w:p>
    <w:p w14:paraId="3B7240DF" w14:textId="13051277" w:rsidR="002041EF" w:rsidRPr="00111094" w:rsidRDefault="002041EF" w:rsidP="00DE4E91">
      <w:pPr>
        <w:pStyle w:val="Ttulo4"/>
        <w:numPr>
          <w:ilvl w:val="0"/>
          <w:numId w:val="17"/>
        </w:numPr>
        <w:jc w:val="both"/>
        <w:rPr>
          <w:rFonts w:ascii="Times New Roman" w:hAnsi="Times New Roman" w:cs="Times New Roman"/>
        </w:rPr>
      </w:pPr>
      <w:r w:rsidRPr="00111094">
        <w:rPr>
          <w:rFonts w:ascii="Times New Roman" w:hAnsi="Times New Roman" w:cs="Times New Roman"/>
        </w:rPr>
        <w:t>Checklist de Cumplimiento para la Puesta en Marcha</w:t>
      </w:r>
    </w:p>
    <w:p w14:paraId="292F908B"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Expediente de habilitación completo (memoria, planos, seguros, garantías) presentado y con tracking.</w:t>
      </w:r>
    </w:p>
    <w:p w14:paraId="20C8DCB2"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Layout segregado (DF vs nacionalizado) y zonas de inspección definidas.</w:t>
      </w:r>
    </w:p>
    <w:p w14:paraId="54C754FB"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CCTV + control de accesos operativos y con política de resguardo de grabaciones.</w:t>
      </w:r>
    </w:p>
    <w:p w14:paraId="7E14037C"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WMS integrado con Aduana y clientes (APIs), con logs y auditoría activa.</w:t>
      </w:r>
    </w:p>
    <w:p w14:paraId="60D6B83C"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SOPs aprobados: recepción, guarda, nacionalización, discrepancias, traslados, devoluciones.</w:t>
      </w:r>
    </w:p>
    <w:p w14:paraId="2866D04E"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Plan de capacitación inicial y recurrente (aduana, compliance, seguridad).</w:t>
      </w:r>
    </w:p>
    <w:p w14:paraId="0B521981"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Plan de auditoría interna trimestral y tablero de KPIs de cumplimiento.</w:t>
      </w:r>
    </w:p>
    <w:p w14:paraId="67A9232E" w14:textId="77777777" w:rsidR="002041EF" w:rsidRPr="00111094" w:rsidRDefault="002041EF" w:rsidP="00DE4E91">
      <w:pPr>
        <w:pStyle w:val="Prrafodelista"/>
        <w:numPr>
          <w:ilvl w:val="0"/>
          <w:numId w:val="32"/>
        </w:numPr>
        <w:spacing w:after="0"/>
        <w:jc w:val="both"/>
        <w:rPr>
          <w:rFonts w:ascii="Times New Roman" w:hAnsi="Times New Roman" w:cs="Times New Roman"/>
          <w:sz w:val="24"/>
          <w:szCs w:val="24"/>
        </w:rPr>
      </w:pPr>
      <w:r w:rsidRPr="00111094">
        <w:rPr>
          <w:rFonts w:ascii="Times New Roman" w:hAnsi="Times New Roman" w:cs="Times New Roman"/>
          <w:sz w:val="24"/>
          <w:szCs w:val="24"/>
        </w:rPr>
        <w:t>Acuerdos marco con clientes ancla y SLA de liberación documentados.</w:t>
      </w:r>
    </w:p>
    <w:p w14:paraId="5EB79A30" w14:textId="5B46DFEC" w:rsidR="002041EF" w:rsidRPr="00111094" w:rsidRDefault="002041EF" w:rsidP="00127EE1">
      <w:pPr>
        <w:pStyle w:val="Ttulo4"/>
        <w:numPr>
          <w:ilvl w:val="0"/>
          <w:numId w:val="17"/>
        </w:numPr>
        <w:rPr>
          <w:rFonts w:ascii="Times New Roman" w:hAnsi="Times New Roman" w:cs="Times New Roman"/>
        </w:rPr>
      </w:pPr>
      <w:r w:rsidRPr="00111094">
        <w:rPr>
          <w:rFonts w:ascii="Times New Roman" w:hAnsi="Times New Roman" w:cs="Times New Roman"/>
        </w:rPr>
        <w:t>Matriz de Riesgos Normativos y Operativos (extracto)</w:t>
      </w:r>
    </w:p>
    <w:tbl>
      <w:tblPr>
        <w:tblStyle w:val="GridTable4Accent1"/>
        <w:tblW w:w="9493" w:type="dxa"/>
        <w:tblLook w:val="04A0" w:firstRow="1" w:lastRow="0" w:firstColumn="1" w:lastColumn="0" w:noHBand="0" w:noVBand="1"/>
      </w:tblPr>
      <w:tblGrid>
        <w:gridCol w:w="2830"/>
        <w:gridCol w:w="1490"/>
        <w:gridCol w:w="1487"/>
        <w:gridCol w:w="3686"/>
      </w:tblGrid>
      <w:tr w:rsidR="002041EF" w:rsidRPr="00111094" w14:paraId="45B321CA" w14:textId="77777777" w:rsidTr="003D3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4A314A7"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Riesgo</w:t>
            </w:r>
          </w:p>
        </w:tc>
        <w:tc>
          <w:tcPr>
            <w:tcW w:w="1490" w:type="dxa"/>
            <w:hideMark/>
          </w:tcPr>
          <w:p w14:paraId="3F5C361E"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Prob.</w:t>
            </w:r>
          </w:p>
        </w:tc>
        <w:tc>
          <w:tcPr>
            <w:tcW w:w="1487" w:type="dxa"/>
            <w:hideMark/>
          </w:tcPr>
          <w:p w14:paraId="4F94E282"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Impacto</w:t>
            </w:r>
          </w:p>
        </w:tc>
        <w:tc>
          <w:tcPr>
            <w:tcW w:w="3686" w:type="dxa"/>
            <w:hideMark/>
          </w:tcPr>
          <w:p w14:paraId="1DC26541" w14:textId="77777777" w:rsidR="002041EF" w:rsidRPr="00111094" w:rsidRDefault="002041EF" w:rsidP="002041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Mitigación</w:t>
            </w:r>
          </w:p>
        </w:tc>
      </w:tr>
      <w:tr w:rsidR="002041EF" w:rsidRPr="00111094" w14:paraId="52445CAC"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7269CB4C" w14:textId="77777777" w:rsidR="002041EF"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Demoras en habilitación por observaciones del expediente</w:t>
            </w:r>
          </w:p>
          <w:p w14:paraId="04241E8C" w14:textId="77777777" w:rsidR="00F306BC" w:rsidRPr="00111094" w:rsidRDefault="00F306BC" w:rsidP="002041EF">
            <w:pPr>
              <w:rPr>
                <w:rFonts w:ascii="Times New Roman" w:hAnsi="Times New Roman" w:cs="Times New Roman"/>
                <w:sz w:val="20"/>
                <w:szCs w:val="20"/>
              </w:rPr>
            </w:pPr>
          </w:p>
        </w:tc>
        <w:tc>
          <w:tcPr>
            <w:tcW w:w="1490" w:type="dxa"/>
            <w:hideMark/>
          </w:tcPr>
          <w:p w14:paraId="78B4A45E"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lastRenderedPageBreak/>
              <w:t>Media</w:t>
            </w:r>
          </w:p>
        </w:tc>
        <w:tc>
          <w:tcPr>
            <w:tcW w:w="1487" w:type="dxa"/>
            <w:hideMark/>
          </w:tcPr>
          <w:p w14:paraId="45129D3D"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Alta</w:t>
            </w:r>
          </w:p>
        </w:tc>
        <w:tc>
          <w:tcPr>
            <w:tcW w:w="3686" w:type="dxa"/>
            <w:hideMark/>
          </w:tcPr>
          <w:p w14:paraId="762706FF"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Pre-check con despachante/abogado; cronograma de subsanaciones.</w:t>
            </w:r>
          </w:p>
        </w:tc>
      </w:tr>
      <w:tr w:rsidR="002041EF" w:rsidRPr="00111094" w14:paraId="1B9465FC" w14:textId="77777777" w:rsidTr="003D387B">
        <w:tc>
          <w:tcPr>
            <w:cnfStyle w:val="001000000000" w:firstRow="0" w:lastRow="0" w:firstColumn="1" w:lastColumn="0" w:oddVBand="0" w:evenVBand="0" w:oddHBand="0" w:evenHBand="0" w:firstRowFirstColumn="0" w:firstRowLastColumn="0" w:lastRowFirstColumn="0" w:lastRowLastColumn="0"/>
            <w:tcW w:w="2830" w:type="dxa"/>
            <w:hideMark/>
          </w:tcPr>
          <w:p w14:paraId="736D7C8D" w14:textId="77777777" w:rsidR="002041EF"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lastRenderedPageBreak/>
              <w:t>Fallas de trazabilidad / integración TI</w:t>
            </w:r>
          </w:p>
          <w:p w14:paraId="23A40C07" w14:textId="77777777" w:rsidR="00F306BC" w:rsidRPr="00111094" w:rsidRDefault="00F306BC" w:rsidP="002041EF">
            <w:pPr>
              <w:rPr>
                <w:rFonts w:ascii="Times New Roman" w:hAnsi="Times New Roman" w:cs="Times New Roman"/>
                <w:sz w:val="20"/>
                <w:szCs w:val="20"/>
              </w:rPr>
            </w:pPr>
          </w:p>
        </w:tc>
        <w:tc>
          <w:tcPr>
            <w:tcW w:w="1490" w:type="dxa"/>
            <w:hideMark/>
          </w:tcPr>
          <w:p w14:paraId="676E1E57"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Media</w:t>
            </w:r>
          </w:p>
        </w:tc>
        <w:tc>
          <w:tcPr>
            <w:tcW w:w="1487" w:type="dxa"/>
            <w:hideMark/>
          </w:tcPr>
          <w:p w14:paraId="068ED97C"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Alta</w:t>
            </w:r>
          </w:p>
        </w:tc>
        <w:tc>
          <w:tcPr>
            <w:tcW w:w="3686" w:type="dxa"/>
            <w:hideMark/>
          </w:tcPr>
          <w:p w14:paraId="313A1069"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Pruebas de integración, entorno piloto, back-ups y monitoreo.</w:t>
            </w:r>
          </w:p>
        </w:tc>
      </w:tr>
      <w:tr w:rsidR="002041EF" w:rsidRPr="00111094" w14:paraId="2DEB6F4E"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01899950" w14:textId="77777777" w:rsidR="002041EF"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No conformidades en inspecciones</w:t>
            </w:r>
          </w:p>
          <w:p w14:paraId="27194638" w14:textId="77777777" w:rsidR="00F306BC" w:rsidRPr="00111094" w:rsidRDefault="00F306BC" w:rsidP="002041EF">
            <w:pPr>
              <w:rPr>
                <w:rFonts w:ascii="Times New Roman" w:hAnsi="Times New Roman" w:cs="Times New Roman"/>
                <w:sz w:val="20"/>
                <w:szCs w:val="20"/>
              </w:rPr>
            </w:pPr>
          </w:p>
        </w:tc>
        <w:tc>
          <w:tcPr>
            <w:tcW w:w="1490" w:type="dxa"/>
            <w:hideMark/>
          </w:tcPr>
          <w:p w14:paraId="0FA7ABBD"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Baja-Media</w:t>
            </w:r>
          </w:p>
        </w:tc>
        <w:tc>
          <w:tcPr>
            <w:tcW w:w="1487" w:type="dxa"/>
            <w:hideMark/>
          </w:tcPr>
          <w:p w14:paraId="2E741986"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Alta</w:t>
            </w:r>
          </w:p>
        </w:tc>
        <w:tc>
          <w:tcPr>
            <w:tcW w:w="3686" w:type="dxa"/>
            <w:hideMark/>
          </w:tcPr>
          <w:p w14:paraId="3703F56F"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Auditoría interna y simulacros de inspección.</w:t>
            </w:r>
          </w:p>
        </w:tc>
      </w:tr>
      <w:tr w:rsidR="002041EF" w:rsidRPr="00111094" w14:paraId="3AEF5359" w14:textId="77777777" w:rsidTr="003D387B">
        <w:tc>
          <w:tcPr>
            <w:cnfStyle w:val="001000000000" w:firstRow="0" w:lastRow="0" w:firstColumn="1" w:lastColumn="0" w:oddVBand="0" w:evenVBand="0" w:oddHBand="0" w:evenHBand="0" w:firstRowFirstColumn="0" w:firstRowLastColumn="0" w:lastRowFirstColumn="0" w:lastRowLastColumn="0"/>
            <w:tcW w:w="2830" w:type="dxa"/>
            <w:hideMark/>
          </w:tcPr>
          <w:p w14:paraId="3C19BDDB" w14:textId="77777777" w:rsidR="002041EF" w:rsidRPr="00111094" w:rsidRDefault="002041EF" w:rsidP="002041EF">
            <w:pPr>
              <w:rPr>
                <w:rFonts w:ascii="Times New Roman" w:hAnsi="Times New Roman" w:cs="Times New Roman"/>
                <w:sz w:val="20"/>
                <w:szCs w:val="20"/>
              </w:rPr>
            </w:pPr>
            <w:r w:rsidRPr="00111094">
              <w:rPr>
                <w:rFonts w:ascii="Times New Roman" w:hAnsi="Times New Roman" w:cs="Times New Roman"/>
                <w:sz w:val="20"/>
                <w:szCs w:val="20"/>
              </w:rPr>
              <w:t>Saturación operativa en picos</w:t>
            </w:r>
          </w:p>
        </w:tc>
        <w:tc>
          <w:tcPr>
            <w:tcW w:w="1490" w:type="dxa"/>
            <w:hideMark/>
          </w:tcPr>
          <w:p w14:paraId="42954F14"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Media</w:t>
            </w:r>
          </w:p>
        </w:tc>
        <w:tc>
          <w:tcPr>
            <w:tcW w:w="1487" w:type="dxa"/>
            <w:hideMark/>
          </w:tcPr>
          <w:p w14:paraId="750787E8"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Media-Alta</w:t>
            </w:r>
          </w:p>
        </w:tc>
        <w:tc>
          <w:tcPr>
            <w:tcW w:w="3686" w:type="dxa"/>
            <w:hideMark/>
          </w:tcPr>
          <w:p w14:paraId="34FB59A8" w14:textId="77777777" w:rsidR="002041EF" w:rsidRPr="00111094" w:rsidRDefault="002041EF"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Capacidad elástica, slots, acuerdos de overflow.</w:t>
            </w:r>
          </w:p>
          <w:p w14:paraId="3CF5C0B9" w14:textId="77777777" w:rsidR="00F306BC" w:rsidRPr="00111094" w:rsidRDefault="00F306BC" w:rsidP="002041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041EF" w:rsidRPr="00111094" w14:paraId="4DA9B2BD" w14:textId="77777777" w:rsidTr="003D3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0C0455AB" w14:textId="77777777" w:rsidR="002041EF" w:rsidRPr="00111094" w:rsidRDefault="002041EF" w:rsidP="002041EF">
            <w:pPr>
              <w:rPr>
                <w:rFonts w:ascii="Times New Roman" w:hAnsi="Times New Roman" w:cs="Times New Roman"/>
                <w:b w:val="0"/>
                <w:bCs w:val="0"/>
                <w:sz w:val="20"/>
                <w:szCs w:val="20"/>
              </w:rPr>
            </w:pPr>
            <w:r w:rsidRPr="00111094">
              <w:rPr>
                <w:rFonts w:ascii="Times New Roman" w:hAnsi="Times New Roman" w:cs="Times New Roman"/>
                <w:sz w:val="20"/>
                <w:szCs w:val="20"/>
              </w:rPr>
              <w:t>Vencimiento de garantías/seguros</w:t>
            </w:r>
          </w:p>
          <w:p w14:paraId="0A5D4484" w14:textId="77777777" w:rsidR="00F306BC" w:rsidRPr="00111094" w:rsidRDefault="00F306BC" w:rsidP="002041EF">
            <w:pPr>
              <w:rPr>
                <w:rFonts w:ascii="Times New Roman" w:hAnsi="Times New Roman" w:cs="Times New Roman"/>
                <w:sz w:val="20"/>
                <w:szCs w:val="20"/>
              </w:rPr>
            </w:pPr>
          </w:p>
        </w:tc>
        <w:tc>
          <w:tcPr>
            <w:tcW w:w="1490" w:type="dxa"/>
            <w:hideMark/>
          </w:tcPr>
          <w:p w14:paraId="371A44DC"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Baja</w:t>
            </w:r>
          </w:p>
        </w:tc>
        <w:tc>
          <w:tcPr>
            <w:tcW w:w="1487" w:type="dxa"/>
            <w:hideMark/>
          </w:tcPr>
          <w:p w14:paraId="05D07BA6"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Alta</w:t>
            </w:r>
          </w:p>
        </w:tc>
        <w:tc>
          <w:tcPr>
            <w:tcW w:w="3686" w:type="dxa"/>
            <w:hideMark/>
          </w:tcPr>
          <w:p w14:paraId="2A244CF9" w14:textId="77777777" w:rsidR="002041EF" w:rsidRPr="00111094" w:rsidRDefault="002041EF" w:rsidP="002041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Alertas automáticas y control mensual con Finanzas.</w:t>
            </w:r>
          </w:p>
        </w:tc>
      </w:tr>
    </w:tbl>
    <w:p w14:paraId="023AE50A" w14:textId="77777777" w:rsidR="002041EF" w:rsidRPr="00111094" w:rsidRDefault="002041EF" w:rsidP="002041EF">
      <w:pPr>
        <w:spacing w:after="0"/>
        <w:rPr>
          <w:rFonts w:ascii="Times New Roman" w:hAnsi="Times New Roman" w:cs="Times New Roman"/>
          <w:sz w:val="24"/>
          <w:szCs w:val="24"/>
        </w:rPr>
      </w:pPr>
    </w:p>
    <w:p w14:paraId="6F32C174" w14:textId="77777777" w:rsidR="00795904" w:rsidRPr="00111094" w:rsidRDefault="009C019D" w:rsidP="002D3EB1">
      <w:pPr>
        <w:pStyle w:val="Ttulo2"/>
        <w:spacing w:before="0"/>
        <w:jc w:val="both"/>
        <w:rPr>
          <w:rFonts w:ascii="Times New Roman" w:hAnsi="Times New Roman" w:cs="Times New Roman"/>
        </w:rPr>
      </w:pPr>
      <w:bookmarkStart w:id="51" w:name="_Toc228778751"/>
      <w:r w:rsidRPr="00111094">
        <w:rPr>
          <w:rFonts w:ascii="Times New Roman" w:hAnsi="Times New Roman" w:cs="Times New Roman"/>
        </w:rPr>
        <w:t>Observación Directa</w:t>
      </w:r>
      <w:bookmarkEnd w:id="51"/>
    </w:p>
    <w:p w14:paraId="695CB230" w14:textId="6312F553" w:rsidR="009C019D" w:rsidRPr="00111094" w:rsidRDefault="009C019D" w:rsidP="00DE4E91">
      <w:pPr>
        <w:pStyle w:val="Ttulo4"/>
        <w:numPr>
          <w:ilvl w:val="0"/>
          <w:numId w:val="17"/>
        </w:numPr>
        <w:jc w:val="both"/>
        <w:rPr>
          <w:rFonts w:ascii="Times New Roman" w:hAnsi="Times New Roman" w:cs="Times New Roman"/>
        </w:rPr>
      </w:pPr>
      <w:r w:rsidRPr="00111094">
        <w:rPr>
          <w:rFonts w:ascii="Times New Roman" w:hAnsi="Times New Roman" w:cs="Times New Roman"/>
        </w:rPr>
        <w:t>Relevamiento Técnico de</w:t>
      </w:r>
      <w:r w:rsidR="00387256" w:rsidRPr="00111094">
        <w:rPr>
          <w:rFonts w:ascii="Times New Roman" w:hAnsi="Times New Roman" w:cs="Times New Roman"/>
        </w:rPr>
        <w:t>l</w:t>
      </w:r>
      <w:r w:rsidRPr="00111094">
        <w:rPr>
          <w:rFonts w:ascii="Times New Roman" w:hAnsi="Times New Roman" w:cs="Times New Roman"/>
        </w:rPr>
        <w:t xml:space="preserve"> Predio (Pilar)</w:t>
      </w:r>
    </w:p>
    <w:p w14:paraId="0109F5AA" w14:textId="77777777" w:rsidR="002D3EB1" w:rsidRDefault="00387256" w:rsidP="002D3EB1">
      <w:pPr>
        <w:spacing w:after="0"/>
        <w:jc w:val="both"/>
        <w:rPr>
          <w:rFonts w:ascii="Times New Roman" w:hAnsi="Times New Roman" w:cs="Times New Roman"/>
          <w:sz w:val="24"/>
          <w:szCs w:val="24"/>
        </w:rPr>
      </w:pPr>
      <w:r w:rsidRPr="00111094">
        <w:rPr>
          <w:rFonts w:ascii="Times New Roman" w:hAnsi="Times New Roman" w:cs="Times New Roman"/>
          <w:sz w:val="24"/>
          <w:szCs w:val="24"/>
        </w:rPr>
        <w:t>Evaluación</w:t>
      </w:r>
      <w:r w:rsidR="00795904" w:rsidRPr="00111094">
        <w:rPr>
          <w:rFonts w:ascii="Times New Roman" w:hAnsi="Times New Roman" w:cs="Times New Roman"/>
          <w:sz w:val="24"/>
          <w:szCs w:val="24"/>
        </w:rPr>
        <w:t xml:space="preserve"> de</w:t>
      </w:r>
      <w:r w:rsidR="009C019D" w:rsidRPr="00111094">
        <w:rPr>
          <w:rFonts w:ascii="Times New Roman" w:hAnsi="Times New Roman" w:cs="Times New Roman"/>
          <w:sz w:val="24"/>
          <w:szCs w:val="24"/>
        </w:rPr>
        <w:t xml:space="preserve"> factibilidad física, operativa y ambiental de los predios propuestos por TASA Logística en Zona Norte (Pilar) para la instalación y operación de un Depósito Fiscal habilitado ante la DGA, </w:t>
      </w:r>
      <w:r w:rsidR="00765448" w:rsidRPr="00111094">
        <w:rPr>
          <w:rFonts w:ascii="Times New Roman" w:hAnsi="Times New Roman" w:cs="Times New Roman"/>
          <w:sz w:val="24"/>
          <w:szCs w:val="24"/>
        </w:rPr>
        <w:t>El trabajo se llevó a cabo entre enero y septiembre de 2025 mediante recorridos técnicos y entrevistas con responsables de Ingeniería, Operaciones</w:t>
      </w:r>
      <w:r w:rsidRPr="00111094">
        <w:rPr>
          <w:rFonts w:ascii="Times New Roman" w:hAnsi="Times New Roman" w:cs="Times New Roman"/>
          <w:sz w:val="24"/>
          <w:szCs w:val="24"/>
        </w:rPr>
        <w:t>, Calidad</w:t>
      </w:r>
      <w:r w:rsidR="00765448" w:rsidRPr="00111094">
        <w:rPr>
          <w:rFonts w:ascii="Times New Roman" w:hAnsi="Times New Roman" w:cs="Times New Roman"/>
          <w:sz w:val="24"/>
          <w:szCs w:val="24"/>
        </w:rPr>
        <w:t xml:space="preserve"> y SHE (Seguridad, Higiene y Medioambiente).</w:t>
      </w:r>
    </w:p>
    <w:p w14:paraId="6A7F1CA0" w14:textId="2CC79E20" w:rsidR="004E0184" w:rsidRPr="00111094" w:rsidRDefault="004E0184" w:rsidP="002D3EB1">
      <w:pPr>
        <w:spacing w:after="0"/>
        <w:jc w:val="center"/>
        <w:rPr>
          <w:rFonts w:ascii="Times New Roman" w:hAnsi="Times New Roman" w:cs="Times New Roman"/>
          <w:sz w:val="24"/>
          <w:szCs w:val="24"/>
        </w:rPr>
      </w:pPr>
      <w:r w:rsidRPr="00111094">
        <w:rPr>
          <w:rFonts w:ascii="Times New Roman" w:hAnsi="Times New Roman" w:cs="Times New Roman"/>
          <w:noProof/>
          <w:sz w:val="24"/>
          <w:szCs w:val="24"/>
          <w:lang w:eastAsia="es-AR"/>
        </w:rPr>
        <w:drawing>
          <wp:inline distT="0" distB="0" distL="0" distR="0" wp14:anchorId="6EEFDA98" wp14:editId="1E4490B6">
            <wp:extent cx="4558907" cy="2381250"/>
            <wp:effectExtent l="0" t="0" r="0" b="0"/>
            <wp:docPr id="979528107" name="Imagen 1" descr="Imagen que contiene electrónica, circui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28107" name="Imagen 1" descr="Imagen que contiene electrónica, circuito&#10;&#10;El contenido generado por IA puede ser incorrecto."/>
                    <pic:cNvPicPr/>
                  </pic:nvPicPr>
                  <pic:blipFill>
                    <a:blip r:embed="rId29"/>
                    <a:stretch>
                      <a:fillRect/>
                    </a:stretch>
                  </pic:blipFill>
                  <pic:spPr>
                    <a:xfrm>
                      <a:off x="0" y="0"/>
                      <a:ext cx="4564566" cy="2384206"/>
                    </a:xfrm>
                    <a:prstGeom prst="rect">
                      <a:avLst/>
                    </a:prstGeom>
                  </pic:spPr>
                </pic:pic>
              </a:graphicData>
            </a:graphic>
          </wp:inline>
        </w:drawing>
      </w:r>
    </w:p>
    <w:p w14:paraId="52FDCB36" w14:textId="7D85F758" w:rsidR="009C019D" w:rsidRPr="00111094" w:rsidRDefault="009C019D" w:rsidP="00DE4E91">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Metodología</w:t>
      </w:r>
      <w:r w:rsidR="00387256" w:rsidRPr="00111094">
        <w:rPr>
          <w:rFonts w:ascii="Times New Roman" w:hAnsi="Times New Roman" w:cs="Times New Roman"/>
          <w:b/>
          <w:bCs/>
          <w:sz w:val="24"/>
          <w:szCs w:val="24"/>
        </w:rPr>
        <w:t xml:space="preserve">: </w:t>
      </w:r>
      <w:r w:rsidRPr="00111094">
        <w:rPr>
          <w:rFonts w:ascii="Times New Roman" w:hAnsi="Times New Roman" w:cs="Times New Roman"/>
          <w:sz w:val="24"/>
          <w:szCs w:val="24"/>
        </w:rPr>
        <w:t xml:space="preserve">La observación directa se realizó mediante recorridos técnicos y visitas in situ efectuadas entre </w:t>
      </w:r>
      <w:r w:rsidR="00387256" w:rsidRPr="00111094">
        <w:rPr>
          <w:rFonts w:ascii="Times New Roman" w:hAnsi="Times New Roman" w:cs="Times New Roman"/>
          <w:sz w:val="24"/>
          <w:szCs w:val="24"/>
        </w:rPr>
        <w:t>enero</w:t>
      </w:r>
      <w:r w:rsidRPr="00111094">
        <w:rPr>
          <w:rFonts w:ascii="Times New Roman" w:hAnsi="Times New Roman" w:cs="Times New Roman"/>
          <w:sz w:val="24"/>
          <w:szCs w:val="24"/>
        </w:rPr>
        <w:t xml:space="preserve"> y septiembre de 2025, coordinadas con los responsables de Ingeniería, Operaciones</w:t>
      </w:r>
      <w:r w:rsidR="00387256" w:rsidRPr="00111094">
        <w:rPr>
          <w:rFonts w:ascii="Times New Roman" w:hAnsi="Times New Roman" w:cs="Times New Roman"/>
          <w:sz w:val="24"/>
          <w:szCs w:val="24"/>
        </w:rPr>
        <w:t>, Calidad</w:t>
      </w:r>
      <w:r w:rsidRPr="00111094">
        <w:rPr>
          <w:rFonts w:ascii="Times New Roman" w:hAnsi="Times New Roman" w:cs="Times New Roman"/>
          <w:sz w:val="24"/>
          <w:szCs w:val="24"/>
        </w:rPr>
        <w:t xml:space="preserve"> y SHE de TASA Logística.</w:t>
      </w:r>
    </w:p>
    <w:p w14:paraId="6D69AE0E" w14:textId="77777777" w:rsidR="009C019D" w:rsidRPr="00111094" w:rsidRDefault="009C019D"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Durante los recorridos se aplicó una guía estructurada de observación, centrada en cinco dimensiones:</w:t>
      </w:r>
    </w:p>
    <w:p w14:paraId="0A474E51" w14:textId="77777777" w:rsidR="009C019D" w:rsidRPr="00111094" w:rsidRDefault="009C019D" w:rsidP="00DE4E91">
      <w:pPr>
        <w:numPr>
          <w:ilvl w:val="0"/>
          <w:numId w:val="34"/>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Ubicación y accesos</w:t>
      </w:r>
    </w:p>
    <w:p w14:paraId="6C943D62" w14:textId="12BD3262"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Proximidad a corredores logísticos principales (Panamericana, Ramal Pilar).</w:t>
      </w:r>
    </w:p>
    <w:p w14:paraId="0E03CF24"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Condiciones viales, señalización, capacidad de giro y maniobra para transporte pesado.</w:t>
      </w:r>
    </w:p>
    <w:p w14:paraId="432E5957"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Distancias a aduanas operativas (Campana, Ezeiza, Zárate).</w:t>
      </w:r>
    </w:p>
    <w:p w14:paraId="64264076" w14:textId="77777777" w:rsidR="009C019D" w:rsidRPr="00111094" w:rsidRDefault="009C019D" w:rsidP="00DE4E91">
      <w:pPr>
        <w:numPr>
          <w:ilvl w:val="0"/>
          <w:numId w:val="34"/>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lastRenderedPageBreak/>
        <w:t>Infraestructura física</w:t>
      </w:r>
    </w:p>
    <w:p w14:paraId="2A83D140"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Superficie total del predio, capacidad de expansión, disponibilidad de playa de maniobras.</w:t>
      </w:r>
    </w:p>
    <w:p w14:paraId="1DFF4AAF"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Estado de pavimento, redes de servicios (energía, agua, gas, fibra óptica).</w:t>
      </w:r>
    </w:p>
    <w:p w14:paraId="65E0EB85"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Condiciones de los docks, techos, pisos y altura libre para almacenamiento en racks.</w:t>
      </w:r>
    </w:p>
    <w:p w14:paraId="00B84641" w14:textId="77777777" w:rsidR="009C019D" w:rsidRPr="00111094" w:rsidRDefault="009C019D" w:rsidP="00DE4E91">
      <w:pPr>
        <w:numPr>
          <w:ilvl w:val="0"/>
          <w:numId w:val="34"/>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Seguridad y control perimetral</w:t>
      </w:r>
    </w:p>
    <w:p w14:paraId="386BE589"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Cerramiento, iluminación, cámaras CCTV, control de accesos y garitas de vigilancia.</w:t>
      </w:r>
    </w:p>
    <w:p w14:paraId="1E517BE9"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Señalización de seguridad, salidas de emergencia, equipamiento contra incendio (hidrantes, extintores, sensores).</w:t>
      </w:r>
    </w:p>
    <w:p w14:paraId="370B4EFF" w14:textId="77777777" w:rsidR="009C019D" w:rsidRPr="00111094" w:rsidRDefault="009C019D" w:rsidP="00DE4E91">
      <w:pPr>
        <w:numPr>
          <w:ilvl w:val="0"/>
          <w:numId w:val="34"/>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Condiciones operativas actuales</w:t>
      </w:r>
    </w:p>
    <w:p w14:paraId="47E24CB3"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Flujo actual de camiones, densidad vehicular, compatibilidad con operaciones aduaneras.</w:t>
      </w:r>
    </w:p>
    <w:p w14:paraId="4FA5547B"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Layout disponible para áreas segregadas (mercadería en régimen DF vs nacionalizada).</w:t>
      </w:r>
    </w:p>
    <w:p w14:paraId="14A6CA47"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Conectividad tecnológica con WMS y sistemas corporativos.</w:t>
      </w:r>
    </w:p>
    <w:p w14:paraId="5DAAC63B" w14:textId="77777777" w:rsidR="009C019D" w:rsidRPr="00111094" w:rsidRDefault="009C019D" w:rsidP="00DE4E91">
      <w:pPr>
        <w:numPr>
          <w:ilvl w:val="0"/>
          <w:numId w:val="34"/>
        </w:numPr>
        <w:spacing w:after="0"/>
        <w:jc w:val="both"/>
        <w:rPr>
          <w:rFonts w:ascii="Times New Roman" w:hAnsi="Times New Roman" w:cs="Times New Roman"/>
          <w:sz w:val="24"/>
          <w:szCs w:val="24"/>
        </w:rPr>
      </w:pPr>
      <w:r w:rsidRPr="00111094">
        <w:rPr>
          <w:rFonts w:ascii="Times New Roman" w:hAnsi="Times New Roman" w:cs="Times New Roman"/>
          <w:b/>
          <w:bCs/>
          <w:sz w:val="24"/>
          <w:szCs w:val="24"/>
        </w:rPr>
        <w:t>Entorno ambiental y normativo</w:t>
      </w:r>
    </w:p>
    <w:p w14:paraId="7B83A75D"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Zonificación industrial habilitada.</w:t>
      </w:r>
    </w:p>
    <w:p w14:paraId="04B88423"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Condiciones de impacto ambiental (ruido, polvo, efluentes).</w:t>
      </w:r>
    </w:p>
    <w:p w14:paraId="35B1F52D" w14:textId="77777777" w:rsidR="009C019D" w:rsidRPr="00111094" w:rsidRDefault="009C019D" w:rsidP="00DE4E91">
      <w:pPr>
        <w:numPr>
          <w:ilvl w:val="1"/>
          <w:numId w:val="34"/>
        </w:numPr>
        <w:spacing w:after="0"/>
        <w:jc w:val="both"/>
        <w:rPr>
          <w:rFonts w:ascii="Times New Roman" w:hAnsi="Times New Roman" w:cs="Times New Roman"/>
          <w:sz w:val="24"/>
          <w:szCs w:val="24"/>
        </w:rPr>
      </w:pPr>
      <w:r w:rsidRPr="00111094">
        <w:rPr>
          <w:rFonts w:ascii="Times New Roman" w:hAnsi="Times New Roman" w:cs="Times New Roman"/>
          <w:sz w:val="24"/>
          <w:szCs w:val="24"/>
        </w:rPr>
        <w:t>Cumplimiento de regulaciones municipales y provinciales.</w:t>
      </w:r>
    </w:p>
    <w:p w14:paraId="07179D9C" w14:textId="54B59DBA" w:rsidR="009C019D" w:rsidRPr="00111094" w:rsidRDefault="009C019D" w:rsidP="009C019D">
      <w:pPr>
        <w:spacing w:after="0"/>
        <w:ind w:firstLine="720"/>
        <w:rPr>
          <w:rFonts w:ascii="Times New Roman" w:hAnsi="Times New Roman" w:cs="Times New Roman"/>
          <w:sz w:val="24"/>
          <w:szCs w:val="24"/>
        </w:rPr>
      </w:pPr>
    </w:p>
    <w:p w14:paraId="3006307B" w14:textId="77777777" w:rsidR="009C019D" w:rsidRPr="00111094" w:rsidRDefault="009C019D" w:rsidP="009C019D">
      <w:pPr>
        <w:spacing w:after="0"/>
        <w:ind w:firstLine="720"/>
        <w:rPr>
          <w:rFonts w:ascii="Times New Roman" w:hAnsi="Times New Roman" w:cs="Times New Roman"/>
          <w:b/>
          <w:bCs/>
          <w:sz w:val="24"/>
          <w:szCs w:val="24"/>
        </w:rPr>
      </w:pPr>
      <w:r w:rsidRPr="00111094">
        <w:rPr>
          <w:rFonts w:ascii="Times New Roman" w:hAnsi="Times New Roman" w:cs="Times New Roman"/>
          <w:b/>
          <w:bCs/>
          <w:sz w:val="24"/>
          <w:szCs w:val="24"/>
        </w:rPr>
        <w:t>Resultados de la observación técnica</w:t>
      </w:r>
    </w:p>
    <w:tbl>
      <w:tblPr>
        <w:tblStyle w:val="GridTable4Accent1"/>
        <w:tblW w:w="9925" w:type="dxa"/>
        <w:tblInd w:w="-5" w:type="dxa"/>
        <w:tblLook w:val="04A0" w:firstRow="1" w:lastRow="0" w:firstColumn="1" w:lastColumn="0" w:noHBand="0" w:noVBand="1"/>
      </w:tblPr>
      <w:tblGrid>
        <w:gridCol w:w="2600"/>
        <w:gridCol w:w="7325"/>
      </w:tblGrid>
      <w:tr w:rsidR="00387256" w:rsidRPr="00111094" w14:paraId="40E851CB" w14:textId="77777777" w:rsidTr="0049047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600" w:type="dxa"/>
            <w:hideMark/>
          </w:tcPr>
          <w:p w14:paraId="787EAB1B" w14:textId="77777777" w:rsidR="00387256" w:rsidRPr="00111094" w:rsidRDefault="00387256" w:rsidP="00387256">
            <w:pPr>
              <w:spacing w:line="276" w:lineRule="auto"/>
              <w:jc w:val="center"/>
              <w:rPr>
                <w:rFonts w:ascii="Times New Roman" w:hAnsi="Times New Roman" w:cs="Times New Roman"/>
                <w:sz w:val="20"/>
                <w:szCs w:val="20"/>
              </w:rPr>
            </w:pPr>
            <w:r w:rsidRPr="00111094">
              <w:rPr>
                <w:rFonts w:ascii="Times New Roman" w:hAnsi="Times New Roman" w:cs="Times New Roman"/>
                <w:sz w:val="20"/>
                <w:szCs w:val="20"/>
              </w:rPr>
              <w:t>Dimensión</w:t>
            </w:r>
          </w:p>
        </w:tc>
        <w:tc>
          <w:tcPr>
            <w:tcW w:w="7325" w:type="dxa"/>
            <w:hideMark/>
          </w:tcPr>
          <w:p w14:paraId="2E773581" w14:textId="77777777" w:rsidR="00387256" w:rsidRPr="00111094" w:rsidRDefault="00387256" w:rsidP="0038725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Pilar</w:t>
            </w:r>
          </w:p>
        </w:tc>
      </w:tr>
      <w:tr w:rsidR="00387256" w:rsidRPr="00111094" w14:paraId="5CB70411" w14:textId="77777777" w:rsidTr="0049047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2B96B0F0" w14:textId="497A91E7" w:rsidR="00387256" w:rsidRPr="00111094" w:rsidRDefault="00387256" w:rsidP="00387256">
            <w:pPr>
              <w:spacing w:line="276" w:lineRule="auto"/>
              <w:rPr>
                <w:rFonts w:ascii="Times New Roman" w:hAnsi="Times New Roman" w:cs="Times New Roman"/>
                <w:b w:val="0"/>
                <w:bCs w:val="0"/>
                <w:sz w:val="20"/>
                <w:szCs w:val="20"/>
              </w:rPr>
            </w:pPr>
            <w:r w:rsidRPr="00111094">
              <w:rPr>
                <w:rFonts w:ascii="Times New Roman" w:hAnsi="Times New Roman" w:cs="Times New Roman"/>
                <w:sz w:val="20"/>
                <w:szCs w:val="20"/>
              </w:rPr>
              <w:t>Ubicación y accesos</w:t>
            </w:r>
          </w:p>
        </w:tc>
        <w:tc>
          <w:tcPr>
            <w:tcW w:w="7325" w:type="dxa"/>
            <w:hideMark/>
          </w:tcPr>
          <w:p w14:paraId="2CD2488E" w14:textId="77777777" w:rsidR="00387256" w:rsidRPr="00111094" w:rsidRDefault="00387256" w:rsidP="003872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Acceso directo desde Ramal Pilar (Km 64), excelente conexión con Panamericana y cercanía a nodos logísticos (Parque Industrial Pilar).</w:t>
            </w:r>
          </w:p>
          <w:p w14:paraId="4F0EB902" w14:textId="63B1A716" w:rsidR="00F306BC" w:rsidRPr="00111094" w:rsidRDefault="00F306BC" w:rsidP="003872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87256" w:rsidRPr="00111094" w14:paraId="0A841DB6" w14:textId="77777777" w:rsidTr="00490476">
        <w:trPr>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7423F30A"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Superficie y expansión</w:t>
            </w:r>
          </w:p>
        </w:tc>
        <w:tc>
          <w:tcPr>
            <w:tcW w:w="7325" w:type="dxa"/>
            <w:hideMark/>
          </w:tcPr>
          <w:p w14:paraId="2AF012C8" w14:textId="358D5782" w:rsidR="00F306BC" w:rsidRPr="00111094" w:rsidRDefault="0023162C"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3</w:t>
            </w:r>
            <w:r w:rsidR="00387256" w:rsidRPr="00111094">
              <w:rPr>
                <w:rFonts w:ascii="Times New Roman" w:hAnsi="Times New Roman" w:cs="Times New Roman"/>
                <w:sz w:val="20"/>
                <w:szCs w:val="20"/>
              </w:rPr>
              <w:t xml:space="preserve">8.000 m² operativos con posibilidad de expansión a </w:t>
            </w:r>
            <w:r w:rsidRPr="00111094">
              <w:rPr>
                <w:rFonts w:ascii="Times New Roman" w:hAnsi="Times New Roman" w:cs="Times New Roman"/>
                <w:sz w:val="20"/>
                <w:szCs w:val="20"/>
              </w:rPr>
              <w:t>36</w:t>
            </w:r>
            <w:r w:rsidR="00387256" w:rsidRPr="00111094">
              <w:rPr>
                <w:rFonts w:ascii="Times New Roman" w:hAnsi="Times New Roman" w:cs="Times New Roman"/>
                <w:sz w:val="20"/>
                <w:szCs w:val="20"/>
              </w:rPr>
              <w:t>.000 m². Playa de maniobras para 40 camiones simultáneos</w:t>
            </w:r>
            <w:r w:rsidRPr="00111094">
              <w:rPr>
                <w:rFonts w:ascii="Times New Roman" w:hAnsi="Times New Roman" w:cs="Times New Roman"/>
                <w:sz w:val="20"/>
                <w:szCs w:val="20"/>
              </w:rPr>
              <w:t>, con posibilidad de duplicar.</w:t>
            </w:r>
          </w:p>
          <w:p w14:paraId="222FC8EF" w14:textId="77777777" w:rsidR="00387256" w:rsidRPr="00111094" w:rsidRDefault="00387256"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87256" w:rsidRPr="00111094" w14:paraId="67E49A60" w14:textId="77777777" w:rsidTr="0049047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09747D5A"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Infraestructura</w:t>
            </w:r>
          </w:p>
        </w:tc>
        <w:tc>
          <w:tcPr>
            <w:tcW w:w="7325" w:type="dxa"/>
            <w:hideMark/>
          </w:tcPr>
          <w:p w14:paraId="6BF17914" w14:textId="0A62D6BE" w:rsidR="0023162C" w:rsidRPr="00111094" w:rsidRDefault="00387256" w:rsidP="003872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Naves con altura libre de 1</w:t>
            </w:r>
            <w:r w:rsidR="00960597" w:rsidRPr="00111094">
              <w:rPr>
                <w:rFonts w:ascii="Times New Roman" w:hAnsi="Times New Roman" w:cs="Times New Roman"/>
                <w:sz w:val="20"/>
                <w:szCs w:val="20"/>
              </w:rPr>
              <w:t>5</w:t>
            </w:r>
            <w:r w:rsidRPr="00111094">
              <w:rPr>
                <w:rFonts w:ascii="Times New Roman" w:hAnsi="Times New Roman" w:cs="Times New Roman"/>
                <w:sz w:val="20"/>
                <w:szCs w:val="20"/>
              </w:rPr>
              <w:t xml:space="preserve"> m, pisos H35, 24 docks niveladores, red contra incendio bajo norma NFPA.</w:t>
            </w:r>
          </w:p>
          <w:p w14:paraId="54F99BF1" w14:textId="77777777" w:rsidR="00387256" w:rsidRPr="00111094" w:rsidRDefault="00387256" w:rsidP="003872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87256" w:rsidRPr="00111094" w14:paraId="32828342" w14:textId="77777777" w:rsidTr="00490476">
        <w:trPr>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480330F6"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Seguridad perimetral</w:t>
            </w:r>
          </w:p>
        </w:tc>
        <w:tc>
          <w:tcPr>
            <w:tcW w:w="7325" w:type="dxa"/>
            <w:hideMark/>
          </w:tcPr>
          <w:p w14:paraId="4B9D48E3" w14:textId="0CD4F990" w:rsidR="0023162C" w:rsidRPr="00111094" w:rsidRDefault="00387256"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Cerramiento perimetral 100%, iluminación LED, CCTV 24/7, control de acceso vehicular y peatonal.</w:t>
            </w:r>
          </w:p>
          <w:p w14:paraId="3D7A3046" w14:textId="77777777" w:rsidR="00387256" w:rsidRPr="00111094" w:rsidRDefault="00387256"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87256" w:rsidRPr="00111094" w14:paraId="33F3BF1D" w14:textId="77777777" w:rsidTr="0049047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53F2502B"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Condiciones operativas</w:t>
            </w:r>
          </w:p>
        </w:tc>
        <w:tc>
          <w:tcPr>
            <w:tcW w:w="7325" w:type="dxa"/>
            <w:hideMark/>
          </w:tcPr>
          <w:p w14:paraId="11FA6F9E" w14:textId="6176C82D" w:rsidR="00387256" w:rsidRPr="00111094" w:rsidRDefault="00387256" w:rsidP="003872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Operación logística activa (cliente B2B); IT con WMS TASA integrado; baja congestión vehicular.</w:t>
            </w:r>
          </w:p>
        </w:tc>
      </w:tr>
      <w:tr w:rsidR="00387256" w:rsidRPr="00111094" w14:paraId="38B1C052" w14:textId="77777777" w:rsidTr="00490476">
        <w:trPr>
          <w:trHeight w:val="548"/>
        </w:trPr>
        <w:tc>
          <w:tcPr>
            <w:cnfStyle w:val="001000000000" w:firstRow="0" w:lastRow="0" w:firstColumn="1" w:lastColumn="0" w:oddVBand="0" w:evenVBand="0" w:oddHBand="0" w:evenHBand="0" w:firstRowFirstColumn="0" w:firstRowLastColumn="0" w:lastRowFirstColumn="0" w:lastRowLastColumn="0"/>
            <w:tcW w:w="2600" w:type="dxa"/>
            <w:hideMark/>
          </w:tcPr>
          <w:p w14:paraId="28F77B73"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Entorno normativo y ambiental</w:t>
            </w:r>
          </w:p>
        </w:tc>
        <w:tc>
          <w:tcPr>
            <w:tcW w:w="7325" w:type="dxa"/>
            <w:hideMark/>
          </w:tcPr>
          <w:p w14:paraId="57E3C75C" w14:textId="24EA4F66" w:rsidR="00F306BC" w:rsidRPr="00111094" w:rsidRDefault="00387256"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Zonificación industrial clase I; cumplimiento ambiental vigente; sin observaciones.</w:t>
            </w:r>
          </w:p>
          <w:p w14:paraId="3947C24B" w14:textId="77777777" w:rsidR="00387256" w:rsidRPr="00111094" w:rsidRDefault="00387256" w:rsidP="0038725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387256" w:rsidRPr="00111094" w14:paraId="3A2856E3" w14:textId="77777777" w:rsidTr="00490476">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2600" w:type="dxa"/>
            <w:hideMark/>
          </w:tcPr>
          <w:p w14:paraId="162BCC67" w14:textId="77777777" w:rsidR="00387256" w:rsidRPr="00111094" w:rsidRDefault="00387256" w:rsidP="00387256">
            <w:pPr>
              <w:spacing w:line="276" w:lineRule="auto"/>
              <w:rPr>
                <w:rFonts w:ascii="Times New Roman" w:hAnsi="Times New Roman" w:cs="Times New Roman"/>
                <w:sz w:val="20"/>
                <w:szCs w:val="20"/>
              </w:rPr>
            </w:pPr>
            <w:r w:rsidRPr="00111094">
              <w:rPr>
                <w:rFonts w:ascii="Times New Roman" w:hAnsi="Times New Roman" w:cs="Times New Roman"/>
                <w:sz w:val="20"/>
                <w:szCs w:val="20"/>
              </w:rPr>
              <w:t>Evaluación general</w:t>
            </w:r>
          </w:p>
        </w:tc>
        <w:tc>
          <w:tcPr>
            <w:tcW w:w="7325" w:type="dxa"/>
            <w:hideMark/>
          </w:tcPr>
          <w:p w14:paraId="294D5141" w14:textId="4BF4C8DB" w:rsidR="00387256" w:rsidRPr="00111094" w:rsidRDefault="00387256"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 </w:t>
            </w:r>
            <w:r w:rsidRPr="00111094">
              <w:rPr>
                <w:rFonts w:ascii="Times New Roman" w:hAnsi="Times New Roman" w:cs="Times New Roman"/>
                <w:i/>
                <w:iCs/>
                <w:sz w:val="20"/>
                <w:szCs w:val="20"/>
              </w:rPr>
              <w:t>Altamente apto para conversión a Depósito Fiscal.</w:t>
            </w:r>
          </w:p>
        </w:tc>
      </w:tr>
    </w:tbl>
    <w:p w14:paraId="7BD48604"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 xml:space="preserve">Nota. Elaboración propia sobre la base de </w:t>
      </w:r>
      <w:r>
        <w:rPr>
          <w:rFonts w:ascii="Times New Roman" w:hAnsi="Times New Roman" w:cs="Times New Roman"/>
          <w:i/>
          <w:iCs/>
          <w:color w:val="A6A6A6" w:themeColor="background1" w:themeShade="A6"/>
          <w:sz w:val="20"/>
          <w:szCs w:val="20"/>
        </w:rPr>
        <w:t>investigación.</w:t>
      </w:r>
    </w:p>
    <w:p w14:paraId="389A1FC0" w14:textId="5670C9D4" w:rsidR="009C019D" w:rsidRPr="00111094" w:rsidRDefault="009C019D" w:rsidP="009C019D">
      <w:pPr>
        <w:spacing w:after="0"/>
        <w:ind w:firstLine="720"/>
        <w:rPr>
          <w:rFonts w:ascii="Times New Roman" w:hAnsi="Times New Roman" w:cs="Times New Roman"/>
          <w:sz w:val="24"/>
          <w:szCs w:val="24"/>
        </w:rPr>
      </w:pPr>
    </w:p>
    <w:p w14:paraId="64FEDC5D" w14:textId="77777777" w:rsidR="00BF7E24" w:rsidRPr="00111094" w:rsidRDefault="00BF7E24"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El análisis realizado demuestra que el proyecto del Depósito Fiscal Zona Norte es financieramente viable, operativamente sólido y estratégicamente relevante para TASA Logística. </w:t>
      </w:r>
    </w:p>
    <w:p w14:paraId="2B4D22F3" w14:textId="77777777" w:rsidR="00BF7E24" w:rsidRPr="00111094" w:rsidRDefault="00BF7E24"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inversión total estimada de USD 18–23 millones presenta una estructura de financiamiento equilibrada, con 40 % de capital propio y 60 % mediante créditos o leasing. El terreno ya disponible reduce significativamente el desembolso inicial.</w:t>
      </w:r>
    </w:p>
    <w:p w14:paraId="63908A87" w14:textId="77777777" w:rsidR="00BF7E24" w:rsidRPr="00111094" w:rsidRDefault="00BF7E24"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Los beneficios clave incluyen diferenciación por certificación LEED, posicionamiento competitivo en Zona Norte, mejora en la captación de clientes multinacionales y consolidación del liderazgo en servicios de valor agregado.</w:t>
      </w:r>
    </w:p>
    <w:p w14:paraId="647BDE1B" w14:textId="18D5F7CF" w:rsidR="00BF7E24" w:rsidRPr="00111094" w:rsidRDefault="00BF7E24" w:rsidP="00DE4E91">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Los indicadores de viabilidad —TIR del 17–20 %, VAN positivo y repago en 4 años— confirman que el proyecto generará retornos sostenibles a partir del año 3, validando su aporte estratégico y reputacional para la compañía.</w:t>
      </w:r>
    </w:p>
    <w:p w14:paraId="589ACF8C" w14:textId="77777777" w:rsidR="008E18D7" w:rsidRPr="00111094" w:rsidRDefault="008E18D7">
      <w:pPr>
        <w:rPr>
          <w:rFonts w:ascii="Times New Roman" w:eastAsiaTheme="majorEastAsia" w:hAnsi="Times New Roman" w:cs="Times New Roman"/>
          <w:b/>
          <w:bCs/>
          <w:color w:val="4F81BD" w:themeColor="accent1"/>
          <w:w w:val="70"/>
          <w:sz w:val="40"/>
          <w:szCs w:val="40"/>
        </w:rPr>
      </w:pPr>
      <w:r w:rsidRPr="00111094">
        <w:rPr>
          <w:rFonts w:ascii="Times New Roman" w:hAnsi="Times New Roman" w:cs="Times New Roman"/>
          <w:color w:val="4F81BD" w:themeColor="accent1"/>
          <w:w w:val="70"/>
          <w:sz w:val="40"/>
          <w:szCs w:val="40"/>
        </w:rPr>
        <w:br w:type="page"/>
      </w:r>
    </w:p>
    <w:p w14:paraId="303D03A7" w14:textId="4F7863D5" w:rsidR="00656ED2" w:rsidRPr="00111094" w:rsidRDefault="00C0460F" w:rsidP="00DE4E91">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52" w:name="_Toc228778752"/>
      <w:r w:rsidRPr="00111094">
        <w:rPr>
          <w:rFonts w:ascii="Times New Roman" w:hAnsi="Times New Roman" w:cs="Times New Roman"/>
          <w:color w:val="4F81BD" w:themeColor="accent1"/>
          <w:w w:val="70"/>
          <w:sz w:val="40"/>
          <w:szCs w:val="40"/>
        </w:rPr>
        <w:lastRenderedPageBreak/>
        <w:t>CAPÍTULO 6</w:t>
      </w:r>
      <w:r w:rsidR="00656ED2" w:rsidRPr="00111094">
        <w:rPr>
          <w:rFonts w:ascii="Times New Roman" w:hAnsi="Times New Roman" w:cs="Times New Roman"/>
          <w:color w:val="4F81BD" w:themeColor="accent1"/>
          <w:w w:val="70"/>
          <w:sz w:val="40"/>
          <w:szCs w:val="40"/>
        </w:rPr>
        <w:t xml:space="preserve"> -</w:t>
      </w:r>
      <w:r w:rsidRPr="00111094">
        <w:rPr>
          <w:rFonts w:ascii="Times New Roman" w:hAnsi="Times New Roman" w:cs="Times New Roman"/>
          <w:color w:val="4F81BD" w:themeColor="accent1"/>
          <w:w w:val="70"/>
          <w:sz w:val="40"/>
          <w:szCs w:val="40"/>
        </w:rPr>
        <w:t xml:space="preserve"> RESULTADOS</w:t>
      </w:r>
      <w:bookmarkEnd w:id="52"/>
      <w:r w:rsidRPr="00111094">
        <w:rPr>
          <w:rFonts w:ascii="Times New Roman" w:hAnsi="Times New Roman" w:cs="Times New Roman"/>
          <w:color w:val="4F81BD" w:themeColor="accent1"/>
          <w:w w:val="70"/>
          <w:sz w:val="40"/>
          <w:szCs w:val="40"/>
        </w:rPr>
        <w:t xml:space="preserve"> </w:t>
      </w:r>
    </w:p>
    <w:p w14:paraId="4FD4E636" w14:textId="29C6716C" w:rsidR="00C06936" w:rsidRPr="00111094" w:rsidRDefault="007C45FA" w:rsidP="00DE4E91">
      <w:pPr>
        <w:pStyle w:val="Ttulo2"/>
        <w:spacing w:after="240"/>
        <w:jc w:val="both"/>
        <w:rPr>
          <w:rFonts w:ascii="Times New Roman" w:hAnsi="Times New Roman" w:cs="Times New Roman"/>
        </w:rPr>
      </w:pPr>
      <w:bookmarkStart w:id="53" w:name="_Toc228778753"/>
      <w:r w:rsidRPr="00111094">
        <w:rPr>
          <w:rFonts w:ascii="Times New Roman" w:hAnsi="Times New Roman" w:cs="Times New Roman"/>
        </w:rPr>
        <w:t>Inversión estimada</w:t>
      </w:r>
      <w:bookmarkEnd w:id="53"/>
    </w:p>
    <w:p w14:paraId="2BB4556E" w14:textId="35907558" w:rsidR="007C45FA" w:rsidRPr="00111094" w:rsidRDefault="00C06936" w:rsidP="002D3EB1">
      <w:pPr>
        <w:pStyle w:val="Ttulo2"/>
        <w:spacing w:before="0"/>
        <w:ind w:firstLine="720"/>
        <w:jc w:val="both"/>
        <w:rPr>
          <w:rFonts w:ascii="Times New Roman" w:eastAsiaTheme="minorEastAsia" w:hAnsi="Times New Roman" w:cs="Times New Roman"/>
          <w:b w:val="0"/>
          <w:bCs w:val="0"/>
          <w:color w:val="auto"/>
          <w:sz w:val="24"/>
          <w:szCs w:val="24"/>
        </w:rPr>
      </w:pPr>
      <w:bookmarkStart w:id="54" w:name="_Toc228778754"/>
      <w:r w:rsidRPr="00111094">
        <w:rPr>
          <w:rFonts w:ascii="Times New Roman" w:eastAsiaTheme="minorEastAsia" w:hAnsi="Times New Roman" w:cs="Times New Roman"/>
          <w:b w:val="0"/>
          <w:bCs w:val="0"/>
          <w:color w:val="auto"/>
          <w:sz w:val="24"/>
          <w:szCs w:val="24"/>
        </w:rPr>
        <w:t>El proyecto de construcción y puesta en marcha del Depósito Fiscal de TASA Logística en Zona Norte requiere una inversión inicial significativa, dado que combina infraestructura edilicia de alta complejidad con sistemas tecnológicos, equipamiento operativo y cumplimiento normativo bajo estándares aduaneros y sustentables.</w:t>
      </w:r>
      <w:bookmarkEnd w:id="54"/>
    </w:p>
    <w:p w14:paraId="20E2F468" w14:textId="77777777" w:rsidR="00C06936" w:rsidRPr="00111094" w:rsidRDefault="00C06936" w:rsidP="002D3EB1">
      <w:pPr>
        <w:spacing w:after="0"/>
        <w:jc w:val="both"/>
        <w:rPr>
          <w:rFonts w:ascii="Times New Roman" w:hAnsi="Times New Roman" w:cs="Times New Roman"/>
        </w:rPr>
      </w:pPr>
      <w:r w:rsidRPr="00111094">
        <w:rPr>
          <w:rFonts w:ascii="Times New Roman" w:hAnsi="Times New Roman" w:cs="Times New Roman"/>
        </w:rPr>
        <w:t>La inversión total se compone de los siguientes rubros:</w:t>
      </w:r>
    </w:p>
    <w:p w14:paraId="542783BC" w14:textId="77777777" w:rsidR="00DE4E91" w:rsidRDefault="00C06936" w:rsidP="00DE4E91">
      <w:pPr>
        <w:spacing w:after="0"/>
        <w:ind w:firstLine="720"/>
        <w:jc w:val="both"/>
        <w:rPr>
          <w:rFonts w:ascii="Times New Roman" w:hAnsi="Times New Roman" w:cs="Times New Roman"/>
        </w:rPr>
      </w:pPr>
      <w:r w:rsidRPr="00111094">
        <w:rPr>
          <w:rFonts w:ascii="Times New Roman" w:hAnsi="Times New Roman" w:cs="Times New Roman"/>
          <w:b/>
          <w:bCs/>
        </w:rPr>
        <w:t>a)</w:t>
      </w:r>
      <w:r w:rsidRPr="00111094">
        <w:rPr>
          <w:rFonts w:ascii="Times New Roman" w:hAnsi="Times New Roman" w:cs="Times New Roman"/>
        </w:rPr>
        <w:t xml:space="preserve"> </w:t>
      </w:r>
      <w:r w:rsidRPr="00111094">
        <w:rPr>
          <w:rFonts w:ascii="Times New Roman" w:hAnsi="Times New Roman" w:cs="Times New Roman"/>
          <w:b/>
          <w:bCs/>
        </w:rPr>
        <w:t>Obra civil e infraestructura</w:t>
      </w:r>
      <w:r w:rsidRPr="00111094">
        <w:rPr>
          <w:rFonts w:ascii="Times New Roman" w:hAnsi="Times New Roman" w:cs="Times New Roman"/>
        </w:rPr>
        <w:t xml:space="preserve">: Incluye la adquisición y adecuación del predio, movimiento de suelos, construcción de naves, oficinas y áreas técnicas, instalación de docks niveladores, playas de maniobras, sistemas contra incendio y obras complementarias (cerco perimetral, caminos internos y playa de espera). </w:t>
      </w:r>
    </w:p>
    <w:p w14:paraId="1E0D2D14" w14:textId="77777777" w:rsidR="00DE4E91" w:rsidRDefault="00C06936" w:rsidP="002D3EB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b/>
          <w:bCs/>
          <w:i/>
          <w:iCs/>
          <w:color w:val="000000" w:themeColor="text1"/>
        </w:rPr>
        <w:t>Monto estimado: entre USD 15 y 20 millones.</w:t>
      </w:r>
    </w:p>
    <w:p w14:paraId="2FFDD172" w14:textId="7A870B5D" w:rsidR="00C06936" w:rsidRPr="00111094" w:rsidRDefault="00C06936" w:rsidP="002D3EB1">
      <w:pPr>
        <w:spacing w:after="0"/>
        <w:ind w:firstLine="720"/>
        <w:jc w:val="both"/>
        <w:rPr>
          <w:rFonts w:ascii="Times New Roman" w:hAnsi="Times New Roman" w:cs="Times New Roman"/>
        </w:rPr>
      </w:pPr>
      <w:r w:rsidRPr="00111094">
        <w:rPr>
          <w:rFonts w:ascii="Times New Roman" w:hAnsi="Times New Roman" w:cs="Times New Roman"/>
        </w:rPr>
        <w:t>Supuestos técnicos: superficie construida de 25.000–30.000 m², estructura metálica de alta resistencia, pisos H35, cubiertas aisladas térmicamente y certificación LEED Silver proyectada.</w:t>
      </w:r>
      <w:r w:rsidRPr="00111094">
        <w:rPr>
          <w:rFonts w:ascii="Times New Roman" w:hAnsi="Times New Roman" w:cs="Times New Roman"/>
        </w:rPr>
        <w:br/>
        <w:t>Dicha inversión representa entre el 70 % y 75 % de total del monto estimado, debido a la magnitud de las obras civiles y la necesidad de cumplir con los estándares exigidos por la ARCA y las normas internacionales de seguridad logística.</w:t>
      </w:r>
    </w:p>
    <w:p w14:paraId="0EE9F9AE" w14:textId="77777777" w:rsidR="00DE4E91" w:rsidRDefault="00C06936" w:rsidP="00DE4E91">
      <w:pPr>
        <w:spacing w:after="0"/>
        <w:ind w:firstLine="720"/>
        <w:jc w:val="both"/>
        <w:rPr>
          <w:rFonts w:ascii="Times New Roman" w:hAnsi="Times New Roman" w:cs="Times New Roman"/>
        </w:rPr>
      </w:pPr>
      <w:r w:rsidRPr="00111094">
        <w:rPr>
          <w:rFonts w:ascii="Times New Roman" w:hAnsi="Times New Roman" w:cs="Times New Roman"/>
          <w:b/>
          <w:bCs/>
        </w:rPr>
        <w:t>b)</w:t>
      </w:r>
      <w:r w:rsidRPr="00111094">
        <w:rPr>
          <w:rFonts w:ascii="Times New Roman" w:hAnsi="Times New Roman" w:cs="Times New Roman"/>
        </w:rPr>
        <w:t xml:space="preserve"> </w:t>
      </w:r>
      <w:r w:rsidRPr="00111094">
        <w:rPr>
          <w:rFonts w:ascii="Times New Roman" w:hAnsi="Times New Roman" w:cs="Times New Roman"/>
          <w:b/>
          <w:bCs/>
        </w:rPr>
        <w:t>Sistemas tecnológicos, seguridad y habilitaciones</w:t>
      </w:r>
      <w:r w:rsidRPr="00111094">
        <w:rPr>
          <w:rFonts w:ascii="Times New Roman" w:hAnsi="Times New Roman" w:cs="Times New Roman"/>
        </w:rPr>
        <w:t xml:space="preserve">: Comprende la implementación del WMS (Warehouse Management System) integrado con Aduana y ERP corporativo, la instalación de cámaras CCTV de acuerdo con la RG 4352/18, sistemas de control de accesos, lectoras de códigos y terminales RF, así como las gestiones de habilitación aduanera, municipal y ambiental. </w:t>
      </w:r>
    </w:p>
    <w:p w14:paraId="6D14EF24" w14:textId="77777777" w:rsidR="00DE4E91" w:rsidRDefault="00C06936" w:rsidP="002D3EB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b/>
          <w:bCs/>
          <w:i/>
          <w:iCs/>
          <w:color w:val="000000" w:themeColor="text1"/>
        </w:rPr>
        <w:t>Monto estimado: entre USD 2 y 3 millones.</w:t>
      </w:r>
      <w:r w:rsidR="00DE4E91">
        <w:rPr>
          <w:rFonts w:ascii="Times New Roman" w:hAnsi="Times New Roman" w:cs="Times New Roman"/>
          <w:b/>
          <w:bCs/>
          <w:i/>
          <w:iCs/>
          <w:color w:val="000000" w:themeColor="text1"/>
        </w:rPr>
        <w:t xml:space="preserve"> </w:t>
      </w:r>
    </w:p>
    <w:p w14:paraId="6B34944E" w14:textId="77777777" w:rsidR="00DE4E91" w:rsidRDefault="00C06936" w:rsidP="002D3EB1">
      <w:pPr>
        <w:spacing w:after="0"/>
        <w:ind w:firstLine="720"/>
        <w:jc w:val="both"/>
        <w:rPr>
          <w:rFonts w:ascii="Times New Roman" w:hAnsi="Times New Roman" w:cs="Times New Roman"/>
        </w:rPr>
      </w:pPr>
      <w:r w:rsidRPr="00111094">
        <w:rPr>
          <w:rFonts w:ascii="Times New Roman" w:hAnsi="Times New Roman" w:cs="Times New Roman"/>
        </w:rPr>
        <w:t>Componentes principales:</w:t>
      </w:r>
    </w:p>
    <w:p w14:paraId="1D626246" w14:textId="77777777" w:rsidR="00DE4E91" w:rsidRDefault="00C06936" w:rsidP="002D3EB1">
      <w:pPr>
        <w:pStyle w:val="Prrafodelista"/>
        <w:numPr>
          <w:ilvl w:val="1"/>
          <w:numId w:val="17"/>
        </w:numPr>
        <w:spacing w:after="0"/>
        <w:jc w:val="both"/>
        <w:rPr>
          <w:rFonts w:ascii="Times New Roman" w:hAnsi="Times New Roman" w:cs="Times New Roman"/>
        </w:rPr>
      </w:pPr>
      <w:r w:rsidRPr="00DE4E91">
        <w:rPr>
          <w:rFonts w:ascii="Times New Roman" w:hAnsi="Times New Roman" w:cs="Times New Roman"/>
        </w:rPr>
        <w:t xml:space="preserve">Infraestructura de red y fibra óptica, </w:t>
      </w:r>
    </w:p>
    <w:p w14:paraId="2A10542A" w14:textId="77777777" w:rsidR="00DE4E91" w:rsidRDefault="00DE4E91" w:rsidP="002D3EB1">
      <w:pPr>
        <w:pStyle w:val="Prrafodelista"/>
        <w:numPr>
          <w:ilvl w:val="1"/>
          <w:numId w:val="17"/>
        </w:numPr>
        <w:spacing w:after="0"/>
        <w:jc w:val="both"/>
        <w:rPr>
          <w:rFonts w:ascii="Times New Roman" w:hAnsi="Times New Roman" w:cs="Times New Roman"/>
        </w:rPr>
      </w:pPr>
      <w:r>
        <w:rPr>
          <w:rFonts w:ascii="Times New Roman" w:hAnsi="Times New Roman" w:cs="Times New Roman"/>
        </w:rPr>
        <w:t>S</w:t>
      </w:r>
      <w:r w:rsidR="00C06936" w:rsidRPr="00DE4E91">
        <w:rPr>
          <w:rFonts w:ascii="Times New Roman" w:hAnsi="Times New Roman" w:cs="Times New Roman"/>
        </w:rPr>
        <w:t>ervidores, licencias de software y enlaces seguros con ARCA.</w:t>
      </w:r>
    </w:p>
    <w:p w14:paraId="6D5A70E6" w14:textId="77777777" w:rsidR="00DE4E91" w:rsidRDefault="00C06936" w:rsidP="002D3EB1">
      <w:pPr>
        <w:pStyle w:val="Prrafodelista"/>
        <w:numPr>
          <w:ilvl w:val="1"/>
          <w:numId w:val="17"/>
        </w:numPr>
        <w:spacing w:after="0"/>
        <w:jc w:val="both"/>
        <w:rPr>
          <w:rFonts w:ascii="Times New Roman" w:hAnsi="Times New Roman" w:cs="Times New Roman"/>
        </w:rPr>
      </w:pPr>
      <w:r w:rsidRPr="00DE4E91">
        <w:rPr>
          <w:rFonts w:ascii="Times New Roman" w:hAnsi="Times New Roman" w:cs="Times New Roman"/>
        </w:rPr>
        <w:t>Sistema de seguridad perimetral, alarmas, sensores y monitoreo remoto.</w:t>
      </w:r>
    </w:p>
    <w:p w14:paraId="14A38B2C" w14:textId="58130959" w:rsidR="00DE4E91" w:rsidRPr="00DE4E91" w:rsidRDefault="00C06936" w:rsidP="002D3EB1">
      <w:pPr>
        <w:pStyle w:val="Prrafodelista"/>
        <w:numPr>
          <w:ilvl w:val="1"/>
          <w:numId w:val="17"/>
        </w:numPr>
        <w:spacing w:after="0"/>
        <w:jc w:val="both"/>
        <w:rPr>
          <w:rFonts w:ascii="Times New Roman" w:hAnsi="Times New Roman" w:cs="Times New Roman"/>
        </w:rPr>
      </w:pPr>
      <w:r w:rsidRPr="00DE4E91">
        <w:rPr>
          <w:rFonts w:ascii="Times New Roman" w:hAnsi="Times New Roman" w:cs="Times New Roman"/>
        </w:rPr>
        <w:t>Estudios técnicos y honorarios de ingeniería para habilitación ante la DGA.</w:t>
      </w:r>
    </w:p>
    <w:p w14:paraId="7458D7E4" w14:textId="41AA1207" w:rsidR="00C06936" w:rsidRPr="00DE4E91" w:rsidRDefault="00C06936" w:rsidP="002D3EB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rPr>
        <w:t>Proyección de retorno: los sistemas integrados permitirán reducir un 20 % los tiempos operativos y mejorar la trazabilidad, generando ventajas competitivas frente a otros operadores.</w:t>
      </w:r>
    </w:p>
    <w:p w14:paraId="7C99A472" w14:textId="77777777" w:rsidR="002D3EB1" w:rsidRDefault="00C06936" w:rsidP="002D3EB1">
      <w:pPr>
        <w:spacing w:after="0"/>
        <w:ind w:firstLine="720"/>
        <w:jc w:val="both"/>
        <w:rPr>
          <w:rFonts w:ascii="Times New Roman" w:hAnsi="Times New Roman" w:cs="Times New Roman"/>
        </w:rPr>
      </w:pPr>
      <w:r w:rsidRPr="00111094">
        <w:rPr>
          <w:rFonts w:ascii="Times New Roman" w:hAnsi="Times New Roman" w:cs="Times New Roman"/>
          <w:b/>
          <w:bCs/>
        </w:rPr>
        <w:t>c)</w:t>
      </w:r>
      <w:r w:rsidRPr="00111094">
        <w:rPr>
          <w:rFonts w:ascii="Times New Roman" w:hAnsi="Times New Roman" w:cs="Times New Roman"/>
        </w:rPr>
        <w:t xml:space="preserve"> </w:t>
      </w:r>
      <w:r w:rsidRPr="00111094">
        <w:rPr>
          <w:rFonts w:ascii="Times New Roman" w:hAnsi="Times New Roman" w:cs="Times New Roman"/>
          <w:b/>
          <w:bCs/>
        </w:rPr>
        <w:t xml:space="preserve">Capital de trabajo y RRHH iniciales: </w:t>
      </w:r>
      <w:r w:rsidRPr="00111094">
        <w:rPr>
          <w:rFonts w:ascii="Times New Roman" w:hAnsi="Times New Roman" w:cs="Times New Roman"/>
        </w:rPr>
        <w:t>Contempla la dotación inicial necesaria para iniciar operaciones (personal operativo, administrativo, de sistemas y aduanas), insumos de trabajo, combustible y materiales de empaque.</w:t>
      </w:r>
    </w:p>
    <w:p w14:paraId="5CA52AA9" w14:textId="77777777" w:rsidR="002D3EB1" w:rsidRDefault="00C06936" w:rsidP="002D3EB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b/>
          <w:bCs/>
          <w:i/>
          <w:iCs/>
          <w:color w:val="000000" w:themeColor="text1"/>
        </w:rPr>
        <w:t>Monto estimado: USD 500.000–800.000.</w:t>
      </w:r>
    </w:p>
    <w:p w14:paraId="4CBD872B" w14:textId="455CD0CF" w:rsidR="00C06936" w:rsidRPr="00111094" w:rsidRDefault="00C06936" w:rsidP="002D3EB1">
      <w:pPr>
        <w:spacing w:after="0"/>
        <w:ind w:firstLine="720"/>
        <w:jc w:val="both"/>
        <w:rPr>
          <w:rFonts w:ascii="Times New Roman" w:hAnsi="Times New Roman" w:cs="Times New Roman"/>
        </w:rPr>
      </w:pPr>
      <w:r w:rsidRPr="00111094">
        <w:rPr>
          <w:rFonts w:ascii="Times New Roman" w:hAnsi="Times New Roman" w:cs="Times New Roman"/>
        </w:rPr>
        <w:t>Distribución estimada:</w:t>
      </w:r>
      <w:r w:rsidR="003269CD" w:rsidRPr="00111094">
        <w:rPr>
          <w:rFonts w:ascii="Times New Roman" w:hAnsi="Times New Roman" w:cs="Times New Roman"/>
        </w:rPr>
        <w:t xml:space="preserve"> </w:t>
      </w:r>
      <w:r w:rsidRPr="00111094">
        <w:rPr>
          <w:rFonts w:ascii="Times New Roman" w:hAnsi="Times New Roman" w:cs="Times New Roman"/>
        </w:rPr>
        <w:t>50 % recursos humanos (reclutamiento, capacitación y remuneraciones del primer trimestre).</w:t>
      </w:r>
      <w:r w:rsidR="003269CD" w:rsidRPr="00111094">
        <w:rPr>
          <w:rFonts w:ascii="Times New Roman" w:hAnsi="Times New Roman" w:cs="Times New Roman"/>
        </w:rPr>
        <w:t xml:space="preserve"> </w:t>
      </w:r>
      <w:r w:rsidRPr="00111094">
        <w:rPr>
          <w:rFonts w:ascii="Times New Roman" w:hAnsi="Times New Roman" w:cs="Times New Roman"/>
        </w:rPr>
        <w:t>30 % capital circulante (insumos, pallets, etiquetas, materiales).</w:t>
      </w:r>
      <w:r w:rsidR="003269CD" w:rsidRPr="00111094">
        <w:rPr>
          <w:rFonts w:ascii="Times New Roman" w:hAnsi="Times New Roman" w:cs="Times New Roman"/>
        </w:rPr>
        <w:t xml:space="preserve"> </w:t>
      </w:r>
      <w:r w:rsidRPr="00111094">
        <w:rPr>
          <w:rFonts w:ascii="Times New Roman" w:hAnsi="Times New Roman" w:cs="Times New Roman"/>
        </w:rPr>
        <w:t>20 % gastos de lanzamiento y comunicaciones internas.</w:t>
      </w:r>
      <w:r w:rsidR="00B525E9">
        <w:rPr>
          <w:rFonts w:ascii="Times New Roman" w:hAnsi="Times New Roman" w:cs="Times New Roman"/>
        </w:rPr>
        <w:t xml:space="preserve"> </w:t>
      </w:r>
      <w:r w:rsidRPr="00111094">
        <w:rPr>
          <w:rFonts w:ascii="Times New Roman" w:hAnsi="Times New Roman" w:cs="Times New Roman"/>
        </w:rPr>
        <w:t>Horizonte temporal: cubre los primeros 90 días de operación hasta lograr el punto de equilibrio operativo.</w:t>
      </w:r>
    </w:p>
    <w:p w14:paraId="1DF7691F" w14:textId="77777777" w:rsidR="00C06936" w:rsidRPr="00111094" w:rsidRDefault="00C06936" w:rsidP="00DE4E91">
      <w:pPr>
        <w:jc w:val="both"/>
        <w:rPr>
          <w:rFonts w:ascii="Times New Roman" w:hAnsi="Times New Roman" w:cs="Times New Roman"/>
        </w:rPr>
      </w:pPr>
    </w:p>
    <w:p w14:paraId="1399EF1C" w14:textId="77777777" w:rsidR="00DE4E91" w:rsidRDefault="00C06936" w:rsidP="00DE4E91">
      <w:pPr>
        <w:spacing w:after="0"/>
        <w:ind w:firstLine="720"/>
        <w:jc w:val="both"/>
        <w:rPr>
          <w:rFonts w:ascii="Times New Roman" w:hAnsi="Times New Roman" w:cs="Times New Roman"/>
        </w:rPr>
      </w:pPr>
      <w:r w:rsidRPr="00111094">
        <w:rPr>
          <w:rFonts w:ascii="Times New Roman" w:hAnsi="Times New Roman" w:cs="Times New Roman"/>
          <w:b/>
          <w:bCs/>
        </w:rPr>
        <w:lastRenderedPageBreak/>
        <w:t>d)</w:t>
      </w:r>
      <w:r w:rsidRPr="00111094">
        <w:rPr>
          <w:rFonts w:ascii="Times New Roman" w:hAnsi="Times New Roman" w:cs="Times New Roman"/>
        </w:rPr>
        <w:t xml:space="preserve"> </w:t>
      </w:r>
      <w:r w:rsidRPr="00111094">
        <w:rPr>
          <w:rFonts w:ascii="Times New Roman" w:hAnsi="Times New Roman" w:cs="Times New Roman"/>
          <w:b/>
          <w:bCs/>
        </w:rPr>
        <w:t>Costos de oportunidad y gastos indirectos</w:t>
      </w:r>
      <w:r w:rsidR="003269CD" w:rsidRPr="00111094">
        <w:rPr>
          <w:rFonts w:ascii="Times New Roman" w:hAnsi="Times New Roman" w:cs="Times New Roman"/>
          <w:b/>
          <w:bCs/>
        </w:rPr>
        <w:t>:</w:t>
      </w:r>
      <w:r w:rsidR="003269CD" w:rsidRPr="00111094">
        <w:rPr>
          <w:rFonts w:ascii="Times New Roman" w:hAnsi="Times New Roman" w:cs="Times New Roman"/>
        </w:rPr>
        <w:t xml:space="preserve"> </w:t>
      </w:r>
      <w:r w:rsidRPr="00111094">
        <w:rPr>
          <w:rFonts w:ascii="Times New Roman" w:hAnsi="Times New Roman" w:cs="Times New Roman"/>
        </w:rPr>
        <w:t>Incluyen costos financieros, contingencias y gastos no capitalizables, como honorarios legales, seguros de obra, tasas municipales y estudios de impacto ambiental.</w:t>
      </w:r>
    </w:p>
    <w:p w14:paraId="734CD2DA" w14:textId="77777777" w:rsidR="00DE4E91" w:rsidRDefault="00C06936" w:rsidP="00DE4E9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b/>
          <w:bCs/>
          <w:i/>
          <w:iCs/>
          <w:color w:val="000000" w:themeColor="text1"/>
        </w:rPr>
        <w:t>Monto estimado: adicional del 10 % al 15 % sobre la inversión total.</w:t>
      </w:r>
    </w:p>
    <w:p w14:paraId="4627E0F0" w14:textId="6541EDC1" w:rsidR="00C06936" w:rsidRPr="00DE4E91" w:rsidRDefault="003269CD" w:rsidP="00DE4E91">
      <w:pPr>
        <w:spacing w:after="0"/>
        <w:ind w:firstLine="720"/>
        <w:jc w:val="both"/>
        <w:rPr>
          <w:rFonts w:ascii="Times New Roman" w:hAnsi="Times New Roman" w:cs="Times New Roman"/>
          <w:b/>
          <w:bCs/>
          <w:i/>
          <w:iCs/>
          <w:color w:val="000000" w:themeColor="text1"/>
        </w:rPr>
      </w:pPr>
      <w:r w:rsidRPr="00111094">
        <w:rPr>
          <w:rFonts w:ascii="Times New Roman" w:hAnsi="Times New Roman" w:cs="Times New Roman"/>
        </w:rPr>
        <w:t>Dicho margen</w:t>
      </w:r>
      <w:r w:rsidR="00C06936" w:rsidRPr="00111094">
        <w:rPr>
          <w:rFonts w:ascii="Times New Roman" w:hAnsi="Times New Roman" w:cs="Times New Roman"/>
        </w:rPr>
        <w:t xml:space="preserve"> destinado a absorber variaciones en costos de materiales, tipo de cambio y plazos administrativos.</w:t>
      </w:r>
    </w:p>
    <w:p w14:paraId="06BFEB63" w14:textId="7FECF777" w:rsidR="00C06936" w:rsidRPr="00111094" w:rsidRDefault="00C06936" w:rsidP="00DE4E91">
      <w:pPr>
        <w:spacing w:after="0"/>
        <w:ind w:firstLine="720"/>
        <w:jc w:val="both"/>
        <w:rPr>
          <w:rFonts w:ascii="Times New Roman" w:hAnsi="Times New Roman" w:cs="Times New Roman"/>
        </w:rPr>
      </w:pPr>
      <w:r w:rsidRPr="00111094">
        <w:rPr>
          <w:rFonts w:ascii="Times New Roman" w:hAnsi="Times New Roman" w:cs="Times New Roman"/>
          <w:b/>
          <w:bCs/>
        </w:rPr>
        <w:t>e</w:t>
      </w:r>
      <w:r w:rsidRPr="00111094">
        <w:rPr>
          <w:rFonts w:ascii="Times New Roman" w:hAnsi="Times New Roman" w:cs="Times New Roman"/>
        </w:rPr>
        <w:t xml:space="preserve">) </w:t>
      </w:r>
      <w:r w:rsidRPr="00111094">
        <w:rPr>
          <w:rFonts w:ascii="Times New Roman" w:hAnsi="Times New Roman" w:cs="Times New Roman"/>
          <w:b/>
          <w:bCs/>
        </w:rPr>
        <w:t>Inversión total estimada</w:t>
      </w:r>
      <w:r w:rsidR="003269CD" w:rsidRPr="00111094">
        <w:rPr>
          <w:rFonts w:ascii="Times New Roman" w:hAnsi="Times New Roman" w:cs="Times New Roman"/>
        </w:rPr>
        <w:t xml:space="preserve">: </w:t>
      </w:r>
      <w:r w:rsidRPr="00111094">
        <w:rPr>
          <w:rFonts w:ascii="Times New Roman" w:hAnsi="Times New Roman" w:cs="Times New Roman"/>
        </w:rPr>
        <w:t xml:space="preserve">Sumando todos los componentes, la inversión total se ubica entre </w:t>
      </w:r>
      <w:r w:rsidRPr="00111094">
        <w:rPr>
          <w:rFonts w:ascii="Times New Roman" w:hAnsi="Times New Roman" w:cs="Times New Roman"/>
          <w:b/>
          <w:bCs/>
          <w:i/>
          <w:iCs/>
          <w:color w:val="1F497D" w:themeColor="text2"/>
        </w:rPr>
        <w:t>USD 18 y 23 millones</w:t>
      </w:r>
      <w:r w:rsidRPr="00111094">
        <w:rPr>
          <w:rFonts w:ascii="Times New Roman" w:hAnsi="Times New Roman" w:cs="Times New Roman"/>
        </w:rPr>
        <w:t>, dependiendo del alcance final de la primera etapa de obra. Esta inversión permitirá habilitar una capacidad operativa inicial de 20.000 m² bajo régimen fiscal, ampliable hasta 30.000 m² en una segunda fase.</w:t>
      </w:r>
    </w:p>
    <w:p w14:paraId="4F3FEFC3" w14:textId="77777777" w:rsidR="007C45FA" w:rsidRPr="00111094" w:rsidRDefault="007C45FA" w:rsidP="00DE4E91">
      <w:pPr>
        <w:pStyle w:val="Ttulo2"/>
        <w:spacing w:after="240"/>
        <w:jc w:val="both"/>
        <w:rPr>
          <w:rFonts w:ascii="Times New Roman" w:hAnsi="Times New Roman" w:cs="Times New Roman"/>
        </w:rPr>
      </w:pPr>
      <w:bookmarkStart w:id="55" w:name="_Toc228778755"/>
      <w:r w:rsidRPr="00111094">
        <w:rPr>
          <w:rFonts w:ascii="Times New Roman" w:hAnsi="Times New Roman" w:cs="Times New Roman"/>
        </w:rPr>
        <w:t>Financiamiento posible:</w:t>
      </w:r>
      <w:bookmarkEnd w:id="55"/>
    </w:p>
    <w:p w14:paraId="3F545CC9" w14:textId="77777777" w:rsidR="008F3F97" w:rsidRPr="00111094" w:rsidRDefault="008F3F97" w:rsidP="00B525E9">
      <w:pPr>
        <w:spacing w:after="0"/>
        <w:ind w:firstLine="360"/>
        <w:jc w:val="both"/>
        <w:rPr>
          <w:rFonts w:ascii="Times New Roman" w:hAnsi="Times New Roman" w:cs="Times New Roman"/>
          <w:sz w:val="24"/>
          <w:szCs w:val="24"/>
        </w:rPr>
      </w:pPr>
      <w:r w:rsidRPr="00111094">
        <w:rPr>
          <w:rFonts w:ascii="Times New Roman" w:hAnsi="Times New Roman" w:cs="Times New Roman"/>
          <w:sz w:val="24"/>
          <w:szCs w:val="24"/>
        </w:rPr>
        <w:t>El esquema de financiamiento propuesto para el proyecto del Depósito Fiscal Zona Norte combina fondos propios y capital de terceros, estructurados para optimizar el retorno sobre la inversión y minimizar el riesgo financiero.</w:t>
      </w:r>
    </w:p>
    <w:p w14:paraId="189081C0" w14:textId="3F4011D8" w:rsidR="008F3F97" w:rsidRPr="00111094" w:rsidRDefault="003269CD" w:rsidP="00B525E9">
      <w:pPr>
        <w:spacing w:after="0"/>
        <w:ind w:firstLine="360"/>
        <w:jc w:val="both"/>
        <w:rPr>
          <w:rFonts w:ascii="Times New Roman" w:hAnsi="Times New Roman" w:cs="Times New Roman"/>
          <w:sz w:val="24"/>
          <w:szCs w:val="24"/>
        </w:rPr>
      </w:pPr>
      <w:r w:rsidRPr="00111094">
        <w:rPr>
          <w:rFonts w:ascii="Times New Roman" w:hAnsi="Times New Roman" w:cs="Times New Roman"/>
          <w:b/>
          <w:bCs/>
          <w:sz w:val="24"/>
          <w:szCs w:val="24"/>
        </w:rPr>
        <w:t xml:space="preserve">a) Aporte de capital propio: </w:t>
      </w:r>
      <w:r w:rsidR="008F3F97" w:rsidRPr="00111094">
        <w:rPr>
          <w:rFonts w:ascii="Times New Roman" w:hAnsi="Times New Roman" w:cs="Times New Roman"/>
          <w:sz w:val="24"/>
          <w:szCs w:val="24"/>
        </w:rPr>
        <w:t xml:space="preserve">TASA financiará con recursos propios el 40 % de la inversión destinada exclusivamente a la construcción e infraestructura, equivalente a USD </w:t>
      </w:r>
      <w:r w:rsidR="005320AD" w:rsidRPr="00111094">
        <w:rPr>
          <w:rFonts w:ascii="Times New Roman" w:hAnsi="Times New Roman" w:cs="Times New Roman"/>
          <w:sz w:val="24"/>
          <w:szCs w:val="24"/>
        </w:rPr>
        <w:t>7</w:t>
      </w:r>
      <w:r w:rsidR="008F3F97" w:rsidRPr="00111094">
        <w:rPr>
          <w:rFonts w:ascii="Times New Roman" w:hAnsi="Times New Roman" w:cs="Times New Roman"/>
          <w:sz w:val="24"/>
          <w:szCs w:val="24"/>
        </w:rPr>
        <w:t>–</w:t>
      </w:r>
      <w:r w:rsidR="005320AD" w:rsidRPr="00111094">
        <w:rPr>
          <w:rFonts w:ascii="Times New Roman" w:hAnsi="Times New Roman" w:cs="Times New Roman"/>
          <w:sz w:val="24"/>
          <w:szCs w:val="24"/>
        </w:rPr>
        <w:t>9</w:t>
      </w:r>
      <w:r w:rsidR="008F3F97" w:rsidRPr="00111094">
        <w:rPr>
          <w:rFonts w:ascii="Times New Roman" w:hAnsi="Times New Roman" w:cs="Times New Roman"/>
          <w:sz w:val="24"/>
          <w:szCs w:val="24"/>
        </w:rPr>
        <w:t xml:space="preserve"> millones, sin considerar el valor del terreno, que ya forma parte del activo patrimonial de la compañía. </w:t>
      </w:r>
      <w:r w:rsidR="008F3F97" w:rsidRPr="00111094">
        <w:rPr>
          <w:rFonts w:ascii="Times New Roman" w:hAnsi="Times New Roman" w:cs="Times New Roman"/>
          <w:sz w:val="24"/>
          <w:szCs w:val="24"/>
        </w:rPr>
        <w:br/>
        <w:t xml:space="preserve">      El predio —adquirido en 2010 y actualmente en proceso de amortización— constituye una ventaja financiera sustancial, al reducir la inversión inicial y eliminar el costo de adquisición del suelo. Este aporte de capital propio refuerza la solvencia del proyecto y mejora la posición crediticia ante entidades financieras o socios estratégicos.</w:t>
      </w:r>
    </w:p>
    <w:p w14:paraId="5D11CC9E" w14:textId="0269AC5F" w:rsidR="008F3F97" w:rsidRPr="00111094" w:rsidRDefault="003269CD" w:rsidP="00DE4E91">
      <w:pPr>
        <w:spacing w:after="0"/>
        <w:ind w:firstLine="360"/>
        <w:jc w:val="both"/>
        <w:rPr>
          <w:rFonts w:ascii="Times New Roman" w:hAnsi="Times New Roman" w:cs="Times New Roman"/>
          <w:sz w:val="24"/>
          <w:szCs w:val="24"/>
        </w:rPr>
      </w:pPr>
      <w:r w:rsidRPr="00111094">
        <w:rPr>
          <w:rFonts w:ascii="Times New Roman" w:hAnsi="Times New Roman" w:cs="Times New Roman"/>
          <w:b/>
          <w:bCs/>
          <w:sz w:val="24"/>
          <w:szCs w:val="24"/>
        </w:rPr>
        <w:t>b) Financiamiento externo</w:t>
      </w:r>
      <w:r w:rsidR="008F3F97" w:rsidRPr="00111094">
        <w:rPr>
          <w:rFonts w:ascii="Times New Roman" w:hAnsi="Times New Roman" w:cs="Times New Roman"/>
          <w:b/>
          <w:bCs/>
          <w:sz w:val="24"/>
          <w:szCs w:val="24"/>
        </w:rPr>
        <w:t>:</w:t>
      </w:r>
      <w:r w:rsidR="008F3F97" w:rsidRPr="00111094">
        <w:rPr>
          <w:rFonts w:ascii="Times New Roman" w:hAnsi="Times New Roman" w:cs="Times New Roman"/>
        </w:rPr>
        <w:t xml:space="preserve"> </w:t>
      </w:r>
      <w:r w:rsidR="008F3F97" w:rsidRPr="00111094">
        <w:rPr>
          <w:rFonts w:ascii="Times New Roman" w:hAnsi="Times New Roman" w:cs="Times New Roman"/>
          <w:sz w:val="24"/>
          <w:szCs w:val="24"/>
        </w:rPr>
        <w:t>El 60 % restante de la inversión, equivalente a USD 10–12 millones, se obtendrá mediante créditos bancarios o contratos de leasing financiero, orientados a proyectos de inversión productiva y construcción logística.</w:t>
      </w:r>
    </w:p>
    <w:p w14:paraId="0278CB27" w14:textId="33E02A89" w:rsidR="008F3F97" w:rsidRPr="00111094" w:rsidRDefault="008F3F97" w:rsidP="00DE4E91">
      <w:pPr>
        <w:pStyle w:val="Prrafodelista"/>
        <w:numPr>
          <w:ilvl w:val="0"/>
          <w:numId w:val="28"/>
        </w:numPr>
        <w:spacing w:after="0"/>
        <w:ind w:firstLine="360"/>
        <w:jc w:val="both"/>
        <w:rPr>
          <w:rFonts w:ascii="Times New Roman" w:hAnsi="Times New Roman" w:cs="Times New Roman"/>
          <w:b/>
          <w:bCs/>
          <w:sz w:val="24"/>
          <w:szCs w:val="24"/>
        </w:rPr>
      </w:pPr>
      <w:r w:rsidRPr="00111094">
        <w:rPr>
          <w:rFonts w:ascii="Times New Roman" w:hAnsi="Times New Roman" w:cs="Times New Roman"/>
          <w:sz w:val="24"/>
          <w:szCs w:val="24"/>
        </w:rPr>
        <w:t>Créditos bancarios: se prevé acceder a líneas de inversión productiva con tasa</w:t>
      </w:r>
      <w:r w:rsidR="00B525E9">
        <w:rPr>
          <w:rFonts w:ascii="Times New Roman" w:hAnsi="Times New Roman" w:cs="Times New Roman"/>
          <w:sz w:val="24"/>
          <w:szCs w:val="24"/>
        </w:rPr>
        <w:t xml:space="preserve"> </w:t>
      </w:r>
      <w:r w:rsidRPr="00111094">
        <w:rPr>
          <w:rFonts w:ascii="Times New Roman" w:hAnsi="Times New Roman" w:cs="Times New Roman"/>
          <w:sz w:val="24"/>
          <w:szCs w:val="24"/>
        </w:rPr>
        <w:t xml:space="preserve">nominal anual promedio del 40 %, de acuerdo con el Relevamiento de Expectativas de Mercado – Octubre 2025 (BCRA). El REM proyecta una tasa efectiva mensual de entre 2,8 % y 3,2 %, con tendencia a la baja hacia el primer semestre de 2026. </w:t>
      </w:r>
      <w:r w:rsidRPr="00111094">
        <w:rPr>
          <w:rFonts w:ascii="Times New Roman" w:hAnsi="Times New Roman" w:cs="Times New Roman"/>
          <w:sz w:val="24"/>
          <w:szCs w:val="24"/>
        </w:rPr>
        <w:br/>
        <w:t xml:space="preserve">El plazo de repago estimado será de 7 años, con 1 año de gracia para capital y amortización en cuotas semestrales. </w:t>
      </w:r>
    </w:p>
    <w:p w14:paraId="1B768C69" w14:textId="66D13205" w:rsidR="008F3F97" w:rsidRPr="00111094" w:rsidRDefault="008F3F97" w:rsidP="00B525E9">
      <w:pPr>
        <w:pStyle w:val="Prrafodelista"/>
        <w:numPr>
          <w:ilvl w:val="0"/>
          <w:numId w:val="28"/>
        </w:numPr>
        <w:spacing w:after="0"/>
        <w:ind w:firstLine="360"/>
        <w:jc w:val="both"/>
        <w:rPr>
          <w:rFonts w:ascii="Times New Roman" w:hAnsi="Times New Roman" w:cs="Times New Roman"/>
          <w:b/>
          <w:bCs/>
          <w:sz w:val="24"/>
          <w:szCs w:val="24"/>
        </w:rPr>
      </w:pPr>
      <w:r w:rsidRPr="00111094">
        <w:rPr>
          <w:rFonts w:ascii="Times New Roman" w:hAnsi="Times New Roman" w:cs="Times New Roman"/>
          <w:sz w:val="24"/>
          <w:szCs w:val="24"/>
        </w:rPr>
        <w:t>Leasing financiero: alternativa complementaria que permitiría financiar equipamiento y sistemas tecnológicos, bajo contratos de 7 a 10 años con opción de compra, aprovechando beneficios impositivos y reducción de cargas por amortización acelerada</w:t>
      </w:r>
      <w:r w:rsidRPr="00111094">
        <w:rPr>
          <w:rFonts w:ascii="Times New Roman" w:hAnsi="Times New Roman" w:cs="Times New Roman"/>
          <w:b/>
          <w:bCs/>
          <w:sz w:val="24"/>
          <w:szCs w:val="24"/>
        </w:rPr>
        <w:t>.</w:t>
      </w:r>
    </w:p>
    <w:p w14:paraId="28D50F76" w14:textId="1190756D" w:rsidR="008F3F97" w:rsidRPr="00111094" w:rsidRDefault="003269CD" w:rsidP="00B525E9">
      <w:pPr>
        <w:spacing w:after="0"/>
        <w:ind w:firstLine="360"/>
        <w:jc w:val="both"/>
        <w:rPr>
          <w:rFonts w:ascii="Times New Roman" w:hAnsi="Times New Roman" w:cs="Times New Roman"/>
          <w:sz w:val="24"/>
          <w:szCs w:val="24"/>
        </w:rPr>
      </w:pPr>
      <w:r w:rsidRPr="00111094">
        <w:rPr>
          <w:rFonts w:ascii="Times New Roman" w:hAnsi="Times New Roman" w:cs="Times New Roman"/>
          <w:b/>
          <w:bCs/>
          <w:sz w:val="24"/>
          <w:szCs w:val="24"/>
        </w:rPr>
        <w:t>c) Escenario macroeconómico de referencia</w:t>
      </w:r>
      <w:r w:rsidR="008F3F97" w:rsidRPr="00111094">
        <w:rPr>
          <w:rFonts w:ascii="Times New Roman" w:hAnsi="Times New Roman" w:cs="Times New Roman"/>
          <w:b/>
          <w:bCs/>
          <w:sz w:val="24"/>
          <w:szCs w:val="24"/>
        </w:rPr>
        <w:t xml:space="preserve">: </w:t>
      </w:r>
      <w:r w:rsidR="008F3F97" w:rsidRPr="00111094">
        <w:rPr>
          <w:rFonts w:ascii="Times New Roman" w:hAnsi="Times New Roman" w:cs="Times New Roman"/>
          <w:sz w:val="24"/>
          <w:szCs w:val="24"/>
        </w:rPr>
        <w:t xml:space="preserve">Según el </w:t>
      </w:r>
      <w:r w:rsidR="008F3F97" w:rsidRPr="00111094">
        <w:rPr>
          <w:rFonts w:ascii="Times New Roman" w:hAnsi="Times New Roman" w:cs="Times New Roman"/>
          <w:i/>
          <w:iCs/>
          <w:sz w:val="24"/>
          <w:szCs w:val="24"/>
        </w:rPr>
        <w:t>REM – Octubre 2025 (BCRA)</w:t>
      </w:r>
      <w:r w:rsidR="008F3F97" w:rsidRPr="00111094">
        <w:rPr>
          <w:rFonts w:ascii="Times New Roman" w:hAnsi="Times New Roman" w:cs="Times New Roman"/>
          <w:sz w:val="24"/>
          <w:szCs w:val="24"/>
        </w:rPr>
        <w:t>:</w:t>
      </w:r>
    </w:p>
    <w:p w14:paraId="3620E2D5" w14:textId="77777777" w:rsidR="008F3F97" w:rsidRPr="00111094" w:rsidRDefault="008F3F97">
      <w:pPr>
        <w:numPr>
          <w:ilvl w:val="0"/>
          <w:numId w:val="41"/>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Inflación mensual promedio: 2,0 % a fin de 2025, reduciéndose a 1,6 % en 2026.</w:t>
      </w:r>
    </w:p>
    <w:p w14:paraId="079D7985" w14:textId="02634A2A" w:rsidR="008F3F97" w:rsidRPr="00111094" w:rsidRDefault="008F3F97">
      <w:pPr>
        <w:numPr>
          <w:ilvl w:val="0"/>
          <w:numId w:val="41"/>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Tipo de cambio nominal promedio: $1.463/USD (noviembre 2025) y $1.500/USD (diciembre 2025).</w:t>
      </w:r>
    </w:p>
    <w:p w14:paraId="6FAA62BB" w14:textId="77777777" w:rsidR="008F3F97" w:rsidRPr="00111094" w:rsidRDefault="008F3F97">
      <w:pPr>
        <w:numPr>
          <w:ilvl w:val="0"/>
          <w:numId w:val="41"/>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PIB real: crecimiento proyectado de 3,9 % para 2025, con expansión sostenida del 1 % trimestral para 2026.</w:t>
      </w:r>
    </w:p>
    <w:p w14:paraId="50E7C6CC" w14:textId="1554C230" w:rsidR="008F3F97" w:rsidRPr="00111094" w:rsidRDefault="008F3F97" w:rsidP="00B525E9">
      <w:pPr>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lastRenderedPageBreak/>
        <w:t>Estos parámetros sirven de base para la proyección de flujo de fondos y la tasa de descuento real utilizada en el análisis financiero.</w:t>
      </w:r>
    </w:p>
    <w:p w14:paraId="27F260E9" w14:textId="77777777" w:rsidR="003269CD" w:rsidRPr="00111094" w:rsidRDefault="003269CD" w:rsidP="00B525E9">
      <w:pPr>
        <w:spacing w:after="0"/>
        <w:ind w:firstLine="360"/>
        <w:jc w:val="both"/>
        <w:rPr>
          <w:rFonts w:ascii="Times New Roman" w:hAnsi="Times New Roman" w:cs="Times New Roman"/>
          <w:b/>
          <w:bCs/>
          <w:sz w:val="24"/>
          <w:szCs w:val="24"/>
        </w:rPr>
      </w:pPr>
      <w:r w:rsidRPr="00111094">
        <w:rPr>
          <w:rFonts w:ascii="Times New Roman" w:hAnsi="Times New Roman" w:cs="Times New Roman"/>
          <w:b/>
          <w:bCs/>
          <w:sz w:val="24"/>
          <w:szCs w:val="24"/>
        </w:rPr>
        <w:t>d) Estimación de estructura de financiamiento</w:t>
      </w:r>
    </w:p>
    <w:tbl>
      <w:tblPr>
        <w:tblStyle w:val="GridTable4Accent1"/>
        <w:tblW w:w="0" w:type="auto"/>
        <w:tblLook w:val="04A0" w:firstRow="1" w:lastRow="0" w:firstColumn="1" w:lastColumn="0" w:noHBand="0" w:noVBand="1"/>
      </w:tblPr>
      <w:tblGrid>
        <w:gridCol w:w="2423"/>
        <w:gridCol w:w="1866"/>
        <w:gridCol w:w="1532"/>
        <w:gridCol w:w="3755"/>
      </w:tblGrid>
      <w:tr w:rsidR="008F3F97" w:rsidRPr="00111094" w14:paraId="516EF80E" w14:textId="77777777" w:rsidTr="008F3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BE4F16" w14:textId="77777777" w:rsidR="008F3F97" w:rsidRPr="00111094" w:rsidRDefault="008F3F97"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Fuente de financiamiento</w:t>
            </w:r>
          </w:p>
        </w:tc>
        <w:tc>
          <w:tcPr>
            <w:tcW w:w="0" w:type="auto"/>
            <w:hideMark/>
          </w:tcPr>
          <w:p w14:paraId="0BECD5FD" w14:textId="77777777" w:rsidR="008F3F97" w:rsidRPr="00111094" w:rsidRDefault="008F3F97"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Monto estimado (USD millones)</w:t>
            </w:r>
          </w:p>
        </w:tc>
        <w:tc>
          <w:tcPr>
            <w:tcW w:w="0" w:type="auto"/>
            <w:hideMark/>
          </w:tcPr>
          <w:p w14:paraId="17D9F9F8" w14:textId="77777777" w:rsidR="008F3F97" w:rsidRPr="00111094" w:rsidRDefault="008F3F97"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Participación (%)</w:t>
            </w:r>
          </w:p>
        </w:tc>
        <w:tc>
          <w:tcPr>
            <w:tcW w:w="0" w:type="auto"/>
            <w:hideMark/>
          </w:tcPr>
          <w:p w14:paraId="20575545" w14:textId="77777777" w:rsidR="008F3F97" w:rsidRPr="00111094" w:rsidRDefault="008F3F97"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Condiciones principales</w:t>
            </w:r>
          </w:p>
        </w:tc>
      </w:tr>
      <w:tr w:rsidR="008F3F97" w:rsidRPr="00111094" w14:paraId="5435BE10" w14:textId="77777777" w:rsidTr="008F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2F0F92" w14:textId="4CB8160E" w:rsidR="008F3F97" w:rsidRPr="00111094" w:rsidRDefault="008F3F97"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 xml:space="preserve">Aporte propio TASA </w:t>
            </w:r>
          </w:p>
        </w:tc>
        <w:tc>
          <w:tcPr>
            <w:tcW w:w="0" w:type="auto"/>
            <w:hideMark/>
          </w:tcPr>
          <w:p w14:paraId="0D752FC1" w14:textId="7757E4A7" w:rsidR="008F3F97" w:rsidRPr="00111094" w:rsidRDefault="005320AD" w:rsidP="004E4011">
            <w:pPr>
              <w:spacing w:line="276" w:lineRule="auto"/>
              <w:ind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7</w:t>
            </w:r>
            <w:r w:rsidR="008F3F97" w:rsidRPr="00111094">
              <w:rPr>
                <w:rFonts w:ascii="Times New Roman" w:hAnsi="Times New Roman" w:cs="Times New Roman"/>
                <w:sz w:val="20"/>
                <w:szCs w:val="20"/>
              </w:rPr>
              <w:t>,0</w:t>
            </w:r>
            <w:r w:rsidRPr="00111094">
              <w:rPr>
                <w:rFonts w:ascii="Times New Roman" w:hAnsi="Times New Roman" w:cs="Times New Roman"/>
                <w:sz w:val="20"/>
                <w:szCs w:val="20"/>
              </w:rPr>
              <w:t xml:space="preserve"> / 9,4</w:t>
            </w:r>
          </w:p>
        </w:tc>
        <w:tc>
          <w:tcPr>
            <w:tcW w:w="0" w:type="auto"/>
            <w:hideMark/>
          </w:tcPr>
          <w:p w14:paraId="63B5BF2D" w14:textId="77777777" w:rsidR="008F3F97" w:rsidRPr="00111094" w:rsidRDefault="008F3F97" w:rsidP="004E4011">
            <w:pPr>
              <w:spacing w:line="276" w:lineRule="auto"/>
              <w:ind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40 %</w:t>
            </w:r>
          </w:p>
        </w:tc>
        <w:tc>
          <w:tcPr>
            <w:tcW w:w="0" w:type="auto"/>
            <w:hideMark/>
          </w:tcPr>
          <w:p w14:paraId="4E7406CD" w14:textId="77777777" w:rsidR="008F3F97" w:rsidRPr="00111094" w:rsidRDefault="008F3F97"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Capital destinado a obra civil e infraestructura. El terreno ya pertenece a TASA.</w:t>
            </w:r>
          </w:p>
        </w:tc>
      </w:tr>
      <w:tr w:rsidR="008F3F97" w:rsidRPr="00111094" w14:paraId="56BDE7DF" w14:textId="77777777" w:rsidTr="008F3F97">
        <w:tc>
          <w:tcPr>
            <w:cnfStyle w:val="001000000000" w:firstRow="0" w:lastRow="0" w:firstColumn="1" w:lastColumn="0" w:oddVBand="0" w:evenVBand="0" w:oddHBand="0" w:evenHBand="0" w:firstRowFirstColumn="0" w:firstRowLastColumn="0" w:lastRowFirstColumn="0" w:lastRowLastColumn="0"/>
            <w:tcW w:w="0" w:type="auto"/>
            <w:hideMark/>
          </w:tcPr>
          <w:p w14:paraId="2CC9529E" w14:textId="77777777" w:rsidR="008F3F97" w:rsidRPr="00111094" w:rsidRDefault="008F3F97"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Créditos bancarios / Leasing financiero</w:t>
            </w:r>
          </w:p>
        </w:tc>
        <w:tc>
          <w:tcPr>
            <w:tcW w:w="0" w:type="auto"/>
            <w:hideMark/>
          </w:tcPr>
          <w:p w14:paraId="427332F7" w14:textId="126AF742" w:rsidR="008F3F97" w:rsidRPr="00111094" w:rsidRDefault="008F3F97" w:rsidP="004E4011">
            <w:pPr>
              <w:spacing w:line="276" w:lineRule="auto"/>
              <w:ind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10,5</w:t>
            </w:r>
            <w:r w:rsidR="005320AD" w:rsidRPr="00111094">
              <w:rPr>
                <w:rFonts w:ascii="Times New Roman" w:hAnsi="Times New Roman" w:cs="Times New Roman"/>
                <w:sz w:val="20"/>
                <w:szCs w:val="20"/>
              </w:rPr>
              <w:t xml:space="preserve"> / 14,1</w:t>
            </w:r>
          </w:p>
        </w:tc>
        <w:tc>
          <w:tcPr>
            <w:tcW w:w="0" w:type="auto"/>
            <w:hideMark/>
          </w:tcPr>
          <w:p w14:paraId="58771714" w14:textId="77777777" w:rsidR="008F3F97" w:rsidRPr="00111094" w:rsidRDefault="008F3F97" w:rsidP="004E4011">
            <w:pPr>
              <w:spacing w:line="276" w:lineRule="auto"/>
              <w:ind w:firstLine="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60 %</w:t>
            </w:r>
          </w:p>
        </w:tc>
        <w:tc>
          <w:tcPr>
            <w:tcW w:w="0" w:type="auto"/>
            <w:hideMark/>
          </w:tcPr>
          <w:p w14:paraId="6BBD42F0" w14:textId="5BFA8FAB" w:rsidR="008F3F97" w:rsidRPr="00111094" w:rsidRDefault="008F3F97"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 xml:space="preserve">TNA promedio </w:t>
            </w:r>
            <w:r w:rsidR="00E26FF8" w:rsidRPr="00111094">
              <w:rPr>
                <w:rFonts w:ascii="Times New Roman" w:hAnsi="Times New Roman" w:cs="Times New Roman"/>
                <w:sz w:val="20"/>
                <w:szCs w:val="20"/>
              </w:rPr>
              <w:t>15</w:t>
            </w:r>
            <w:r w:rsidRPr="00111094">
              <w:rPr>
                <w:rFonts w:ascii="Times New Roman" w:hAnsi="Times New Roman" w:cs="Times New Roman"/>
                <w:sz w:val="20"/>
                <w:szCs w:val="20"/>
              </w:rPr>
              <w:t>–</w:t>
            </w:r>
            <w:r w:rsidR="00E26FF8" w:rsidRPr="00111094">
              <w:rPr>
                <w:rFonts w:ascii="Times New Roman" w:hAnsi="Times New Roman" w:cs="Times New Roman"/>
                <w:sz w:val="20"/>
                <w:szCs w:val="20"/>
              </w:rPr>
              <w:t>20</w:t>
            </w:r>
            <w:r w:rsidRPr="00111094">
              <w:rPr>
                <w:rFonts w:ascii="Times New Roman" w:hAnsi="Times New Roman" w:cs="Times New Roman"/>
                <w:sz w:val="20"/>
                <w:szCs w:val="20"/>
              </w:rPr>
              <w:t xml:space="preserve"> %, plazo </w:t>
            </w:r>
            <w:r w:rsidR="005320AD" w:rsidRPr="00111094">
              <w:rPr>
                <w:rFonts w:ascii="Times New Roman" w:hAnsi="Times New Roman" w:cs="Times New Roman"/>
                <w:sz w:val="20"/>
                <w:szCs w:val="20"/>
              </w:rPr>
              <w:t>10</w:t>
            </w:r>
            <w:r w:rsidRPr="00111094">
              <w:rPr>
                <w:rFonts w:ascii="Times New Roman" w:hAnsi="Times New Roman" w:cs="Times New Roman"/>
                <w:sz w:val="20"/>
                <w:szCs w:val="20"/>
              </w:rPr>
              <w:t xml:space="preserve"> años, garantía real sobre el activo.</w:t>
            </w:r>
          </w:p>
        </w:tc>
      </w:tr>
      <w:tr w:rsidR="008F3F97" w:rsidRPr="00111094" w14:paraId="33B6AD77" w14:textId="77777777" w:rsidTr="008F3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754B6C" w14:textId="77777777" w:rsidR="008F3F97" w:rsidRPr="00111094" w:rsidRDefault="008F3F97"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Total estimado</w:t>
            </w:r>
          </w:p>
        </w:tc>
        <w:tc>
          <w:tcPr>
            <w:tcW w:w="0" w:type="auto"/>
            <w:hideMark/>
          </w:tcPr>
          <w:p w14:paraId="04DB6047" w14:textId="670802EB" w:rsidR="008F3F97" w:rsidRPr="00111094" w:rsidRDefault="008F3F97" w:rsidP="004E4011">
            <w:pPr>
              <w:spacing w:line="276" w:lineRule="auto"/>
              <w:ind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bCs/>
                <w:sz w:val="20"/>
                <w:szCs w:val="20"/>
              </w:rPr>
              <w:t>17,5</w:t>
            </w:r>
            <w:r w:rsidR="005320AD" w:rsidRPr="00111094">
              <w:rPr>
                <w:rFonts w:ascii="Times New Roman" w:hAnsi="Times New Roman" w:cs="Times New Roman"/>
                <w:b/>
                <w:bCs/>
                <w:sz w:val="20"/>
                <w:szCs w:val="20"/>
              </w:rPr>
              <w:t xml:space="preserve"> / 23,5</w:t>
            </w:r>
          </w:p>
        </w:tc>
        <w:tc>
          <w:tcPr>
            <w:tcW w:w="0" w:type="auto"/>
            <w:hideMark/>
          </w:tcPr>
          <w:p w14:paraId="6F0948CD" w14:textId="77777777" w:rsidR="008F3F97" w:rsidRPr="00111094" w:rsidRDefault="008F3F97" w:rsidP="004E4011">
            <w:pPr>
              <w:spacing w:line="276" w:lineRule="auto"/>
              <w:ind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bCs/>
                <w:sz w:val="20"/>
                <w:szCs w:val="20"/>
              </w:rPr>
              <w:t>100 %</w:t>
            </w:r>
          </w:p>
        </w:tc>
        <w:tc>
          <w:tcPr>
            <w:tcW w:w="0" w:type="auto"/>
            <w:hideMark/>
          </w:tcPr>
          <w:p w14:paraId="523AC57A" w14:textId="77777777" w:rsidR="008F3F97" w:rsidRPr="00111094" w:rsidRDefault="008F3F97" w:rsidP="004E4011">
            <w:pPr>
              <w:spacing w:line="276" w:lineRule="auto"/>
              <w:ind w:firstLine="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w:t>
            </w:r>
          </w:p>
        </w:tc>
      </w:tr>
    </w:tbl>
    <w:p w14:paraId="35CE3929" w14:textId="77777777" w:rsidR="00CE1129" w:rsidRPr="00CE1129" w:rsidRDefault="00CE1129" w:rsidP="00CE112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57ABB47F" w14:textId="65B124D9" w:rsidR="003269CD" w:rsidRPr="00111094" w:rsidRDefault="002C530C" w:rsidP="00F55C5A">
      <w:pPr>
        <w:spacing w:before="240"/>
        <w:ind w:firstLine="360"/>
        <w:jc w:val="both"/>
        <w:rPr>
          <w:rFonts w:ascii="Times New Roman" w:hAnsi="Times New Roman" w:cs="Times New Roman"/>
          <w:sz w:val="24"/>
          <w:szCs w:val="24"/>
        </w:rPr>
      </w:pPr>
      <w:r w:rsidRPr="00111094">
        <w:rPr>
          <w:rFonts w:ascii="Times New Roman" w:hAnsi="Times New Roman" w:cs="Times New Roman"/>
          <w:sz w:val="24"/>
          <w:szCs w:val="24"/>
        </w:rPr>
        <w:t>El esquema de financiamiento ajustado se apoya en la fortaleza patrimonial de TASA y en el acceso a líneas bancarias competitivas. La proporción 40/60 entre capital propio y financiamiento externo permite mantener la liquidez operativa, optimizar la carga financiera y garantizar un perfil de deuda sostenible para un proyecto de largo plazo.</w:t>
      </w:r>
    </w:p>
    <w:p w14:paraId="18A277D5" w14:textId="77777777" w:rsidR="007C45FA" w:rsidRPr="00111094" w:rsidRDefault="007C45FA" w:rsidP="00F55C5A">
      <w:pPr>
        <w:pStyle w:val="Ttulo2"/>
        <w:spacing w:after="240"/>
        <w:jc w:val="both"/>
        <w:rPr>
          <w:rFonts w:ascii="Times New Roman" w:hAnsi="Times New Roman" w:cs="Times New Roman"/>
        </w:rPr>
      </w:pPr>
      <w:bookmarkStart w:id="56" w:name="_Toc228778756"/>
      <w:r w:rsidRPr="00111094">
        <w:rPr>
          <w:rFonts w:ascii="Times New Roman" w:hAnsi="Times New Roman" w:cs="Times New Roman"/>
        </w:rPr>
        <w:t>Beneficios clave esperados:</w:t>
      </w:r>
      <w:bookmarkEnd w:id="56"/>
    </w:p>
    <w:p w14:paraId="3CB1B05C" w14:textId="49843AA6" w:rsidR="002C530C" w:rsidRPr="00111094"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 xml:space="preserve">El proyecto del </w:t>
      </w:r>
      <w:r w:rsidRPr="00111094">
        <w:rPr>
          <w:rFonts w:ascii="Times New Roman" w:hAnsi="Times New Roman" w:cs="Times New Roman"/>
          <w:b/>
          <w:bCs/>
          <w:sz w:val="24"/>
          <w:szCs w:val="24"/>
        </w:rPr>
        <w:t>Depósito Fiscal Zona Norte</w:t>
      </w:r>
      <w:r w:rsidRPr="00111094">
        <w:rPr>
          <w:rFonts w:ascii="Times New Roman" w:hAnsi="Times New Roman" w:cs="Times New Roman"/>
          <w:sz w:val="24"/>
          <w:szCs w:val="24"/>
        </w:rPr>
        <w:t xml:space="preserve"> de TASA generará beneficios estratégicos, operativos y financieros que fortalecen su competitividad y consolidan su posicionamiento en el mercado logístico argentino. Estos beneficios se agrupan en cuatro dimensiones principales:</w:t>
      </w:r>
    </w:p>
    <w:p w14:paraId="10210F3A" w14:textId="0B6D2F76" w:rsidR="002C530C" w:rsidRPr="00111094"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a) Diferenciación estratégica y certificación LEED: </w:t>
      </w:r>
      <w:r w:rsidRPr="00111094">
        <w:rPr>
          <w:rFonts w:ascii="Times New Roman" w:hAnsi="Times New Roman" w:cs="Times New Roman"/>
          <w:sz w:val="24"/>
          <w:szCs w:val="24"/>
        </w:rPr>
        <w:t>La incorporación de criterios de sustentabilidad ambiental bajo los lineamientos de la certificación LEED (Leadership in Energy and Environmental Design) posicionará al nuevo depósito fiscal como una infraestructura de referencia en eficiencia energética y gestión sostenible dentro del sector logístico nacional.</w:t>
      </w:r>
      <w:r w:rsidRPr="00111094">
        <w:rPr>
          <w:rFonts w:ascii="Times New Roman" w:hAnsi="Times New Roman" w:cs="Times New Roman"/>
          <w:sz w:val="24"/>
          <w:szCs w:val="24"/>
        </w:rPr>
        <w:br/>
        <w:t>Este estándar internacional —poco frecuente en instalaciones aduaneras— no solo mejora la eficiencia operativa y reduce los costos energéticos, sino que aporta una ventaja reputacional clave frente a clientes multinacionales que priorizan el cumplimiento de políticas ESG (Environmental,</w:t>
      </w:r>
      <w:r w:rsidR="00F55C5A">
        <w:rPr>
          <w:rFonts w:ascii="Times New Roman" w:hAnsi="Times New Roman" w:cs="Times New Roman"/>
          <w:sz w:val="24"/>
          <w:szCs w:val="24"/>
        </w:rPr>
        <w:br/>
      </w:r>
      <w:r w:rsidRPr="00111094">
        <w:rPr>
          <w:rFonts w:ascii="Times New Roman" w:hAnsi="Times New Roman" w:cs="Times New Roman"/>
          <w:sz w:val="24"/>
          <w:szCs w:val="24"/>
        </w:rPr>
        <w:t>Social &amp; Governance).</w:t>
      </w:r>
      <w:r w:rsidR="00B525E9">
        <w:rPr>
          <w:rFonts w:ascii="Times New Roman" w:hAnsi="Times New Roman" w:cs="Times New Roman"/>
          <w:sz w:val="24"/>
          <w:szCs w:val="24"/>
        </w:rPr>
        <w:t xml:space="preserve"> </w:t>
      </w:r>
      <w:r w:rsidRPr="00111094">
        <w:rPr>
          <w:rFonts w:ascii="Times New Roman" w:hAnsi="Times New Roman" w:cs="Times New Roman"/>
          <w:sz w:val="24"/>
          <w:szCs w:val="24"/>
        </w:rPr>
        <w:t>Asimismo, el diseño edilicio incluirá:</w:t>
      </w:r>
    </w:p>
    <w:p w14:paraId="5F51ECC0" w14:textId="77777777" w:rsidR="002C530C" w:rsidRPr="00111094" w:rsidRDefault="002C530C">
      <w:pPr>
        <w:numPr>
          <w:ilvl w:val="0"/>
          <w:numId w:val="42"/>
        </w:numPr>
        <w:spacing w:after="0"/>
        <w:jc w:val="both"/>
        <w:rPr>
          <w:rFonts w:ascii="Times New Roman" w:hAnsi="Times New Roman" w:cs="Times New Roman"/>
          <w:sz w:val="24"/>
          <w:szCs w:val="24"/>
        </w:rPr>
      </w:pPr>
      <w:r w:rsidRPr="00111094">
        <w:rPr>
          <w:rFonts w:ascii="Times New Roman" w:hAnsi="Times New Roman" w:cs="Times New Roman"/>
          <w:sz w:val="24"/>
          <w:szCs w:val="24"/>
        </w:rPr>
        <w:t>Uso de iluminación LED de bajo consumo.</w:t>
      </w:r>
    </w:p>
    <w:p w14:paraId="64F462EE" w14:textId="77777777" w:rsidR="002C530C" w:rsidRPr="00111094" w:rsidRDefault="002C530C">
      <w:pPr>
        <w:numPr>
          <w:ilvl w:val="0"/>
          <w:numId w:val="42"/>
        </w:numPr>
        <w:spacing w:after="0"/>
        <w:jc w:val="both"/>
        <w:rPr>
          <w:rFonts w:ascii="Times New Roman" w:hAnsi="Times New Roman" w:cs="Times New Roman"/>
          <w:sz w:val="24"/>
          <w:szCs w:val="24"/>
        </w:rPr>
      </w:pPr>
      <w:r w:rsidRPr="00111094">
        <w:rPr>
          <w:rFonts w:ascii="Times New Roman" w:hAnsi="Times New Roman" w:cs="Times New Roman"/>
          <w:sz w:val="24"/>
          <w:szCs w:val="24"/>
        </w:rPr>
        <w:t>Sistemas de captación de agua de lluvia y separación de residuos.</w:t>
      </w:r>
    </w:p>
    <w:p w14:paraId="0E8434DB" w14:textId="77777777" w:rsidR="002C530C" w:rsidRPr="00111094" w:rsidRDefault="002C530C">
      <w:pPr>
        <w:numPr>
          <w:ilvl w:val="0"/>
          <w:numId w:val="42"/>
        </w:numPr>
        <w:spacing w:after="0"/>
        <w:jc w:val="both"/>
        <w:rPr>
          <w:rFonts w:ascii="Times New Roman" w:hAnsi="Times New Roman" w:cs="Times New Roman"/>
          <w:sz w:val="24"/>
          <w:szCs w:val="24"/>
        </w:rPr>
      </w:pPr>
      <w:r w:rsidRPr="00111094">
        <w:rPr>
          <w:rFonts w:ascii="Times New Roman" w:hAnsi="Times New Roman" w:cs="Times New Roman"/>
          <w:sz w:val="24"/>
          <w:szCs w:val="24"/>
        </w:rPr>
        <w:t>Aislación térmica para reducción del consumo energético.</w:t>
      </w:r>
    </w:p>
    <w:p w14:paraId="00EC7AB9" w14:textId="1B7BB565" w:rsidR="002C530C" w:rsidRPr="00111094" w:rsidRDefault="002C530C">
      <w:pPr>
        <w:numPr>
          <w:ilvl w:val="0"/>
          <w:numId w:val="42"/>
        </w:numPr>
        <w:spacing w:after="0"/>
        <w:jc w:val="both"/>
        <w:rPr>
          <w:rFonts w:ascii="Times New Roman" w:hAnsi="Times New Roman" w:cs="Times New Roman"/>
          <w:sz w:val="24"/>
          <w:szCs w:val="24"/>
        </w:rPr>
      </w:pPr>
      <w:r w:rsidRPr="00111094">
        <w:rPr>
          <w:rFonts w:ascii="Times New Roman" w:hAnsi="Times New Roman" w:cs="Times New Roman"/>
          <w:sz w:val="24"/>
          <w:szCs w:val="24"/>
        </w:rPr>
        <w:t>Monitoreo ambiental integrado.</w:t>
      </w:r>
      <w:r w:rsidR="00B525E9">
        <w:rPr>
          <w:rFonts w:ascii="Times New Roman" w:hAnsi="Times New Roman" w:cs="Times New Roman"/>
          <w:sz w:val="24"/>
          <w:szCs w:val="24"/>
        </w:rPr>
        <w:t xml:space="preserve"> </w:t>
      </w:r>
      <w:r w:rsidRPr="00111094">
        <w:rPr>
          <w:rFonts w:ascii="Times New Roman" w:hAnsi="Times New Roman" w:cs="Times New Roman"/>
          <w:sz w:val="24"/>
          <w:szCs w:val="24"/>
        </w:rPr>
        <w:t>Estos atributos permitirán a TASA proyectarse como primer operador logístico integral con Depósito Fiscal sustentable certificado en Argentina, reforzando su liderazgo innovador en la región.</w:t>
      </w:r>
    </w:p>
    <w:p w14:paraId="545B295F" w14:textId="38BFA23E" w:rsidR="00B525E9"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b) Posicionamiento en Zona Norte con infraestructura logística premium: </w:t>
      </w:r>
      <w:r w:rsidRPr="00111094">
        <w:rPr>
          <w:rFonts w:ascii="Times New Roman" w:hAnsi="Times New Roman" w:cs="Times New Roman"/>
          <w:sz w:val="24"/>
          <w:szCs w:val="24"/>
        </w:rPr>
        <w:t>La elección de la ubicación en Fátima (Pilar) ofrece una ventaja competitiva fundamental por su acceso directo a la Autopista Panamericana – Ramal Pilar, cercanía a los principales parques industriales y su integración natural con los centros de distribución de clientes multinacionales.</w:t>
      </w:r>
      <w:r w:rsidRPr="00111094">
        <w:rPr>
          <w:rFonts w:ascii="Times New Roman" w:hAnsi="Times New Roman" w:cs="Times New Roman"/>
          <w:sz w:val="24"/>
          <w:szCs w:val="24"/>
        </w:rPr>
        <w:br/>
        <w:t xml:space="preserve">El depósito contará con una infraestructura premium, con 25.000–30.000 m² operativos, altura </w:t>
      </w:r>
      <w:r w:rsidRPr="00111094">
        <w:rPr>
          <w:rFonts w:ascii="Times New Roman" w:hAnsi="Times New Roman" w:cs="Times New Roman"/>
          <w:sz w:val="24"/>
          <w:szCs w:val="24"/>
        </w:rPr>
        <w:lastRenderedPageBreak/>
        <w:t>libre de 1</w:t>
      </w:r>
      <w:r w:rsidR="00960597" w:rsidRPr="00111094">
        <w:rPr>
          <w:rFonts w:ascii="Times New Roman" w:hAnsi="Times New Roman" w:cs="Times New Roman"/>
          <w:sz w:val="24"/>
          <w:szCs w:val="24"/>
        </w:rPr>
        <w:t>5</w:t>
      </w:r>
      <w:r w:rsidRPr="00111094">
        <w:rPr>
          <w:rFonts w:ascii="Times New Roman" w:hAnsi="Times New Roman" w:cs="Times New Roman"/>
          <w:sz w:val="24"/>
          <w:szCs w:val="24"/>
        </w:rPr>
        <w:t xml:space="preserve"> m, sistema de racks de alta densidad, red contra incendio bajo norma NFPA y tecnología WMS integrada con Aduana.</w:t>
      </w:r>
      <w:r w:rsidR="00B525E9">
        <w:rPr>
          <w:rFonts w:ascii="Times New Roman" w:hAnsi="Times New Roman" w:cs="Times New Roman"/>
          <w:sz w:val="24"/>
          <w:szCs w:val="24"/>
        </w:rPr>
        <w:t xml:space="preserve"> </w:t>
      </w:r>
      <w:r w:rsidRPr="00111094">
        <w:rPr>
          <w:rFonts w:ascii="Times New Roman" w:hAnsi="Times New Roman" w:cs="Times New Roman"/>
          <w:sz w:val="24"/>
          <w:szCs w:val="24"/>
        </w:rPr>
        <w:t xml:space="preserve">Este desarrollo consolidará a TASA Logística como un </w:t>
      </w:r>
      <w:r w:rsidRPr="00111094">
        <w:rPr>
          <w:rFonts w:ascii="Times New Roman" w:hAnsi="Times New Roman" w:cs="Times New Roman"/>
          <w:b/>
          <w:bCs/>
          <w:i/>
          <w:iCs/>
          <w:color w:val="943634" w:themeColor="accent2" w:themeShade="BF"/>
          <w:sz w:val="24"/>
          <w:szCs w:val="24"/>
        </w:rPr>
        <w:t>centro concentrador de operaciones</w:t>
      </w:r>
      <w:r w:rsidRPr="00111094">
        <w:rPr>
          <w:rFonts w:ascii="Times New Roman" w:hAnsi="Times New Roman" w:cs="Times New Roman"/>
          <w:color w:val="943634" w:themeColor="accent2" w:themeShade="BF"/>
          <w:sz w:val="24"/>
          <w:szCs w:val="24"/>
        </w:rPr>
        <w:t xml:space="preserve"> </w:t>
      </w:r>
      <w:r w:rsidRPr="00111094">
        <w:rPr>
          <w:rFonts w:ascii="Times New Roman" w:hAnsi="Times New Roman" w:cs="Times New Roman"/>
          <w:sz w:val="24"/>
          <w:szCs w:val="24"/>
        </w:rPr>
        <w:t>en Zona Norte, potenciando la sinergia con las operaciones actuales de almacenamiento, distribución y transporte nacional.</w:t>
      </w:r>
    </w:p>
    <w:p w14:paraId="4C9F4823" w14:textId="454A7444" w:rsidR="002C530C" w:rsidRPr="00111094"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A nivel estratégico, el proyecto incrementará la capacidad operativa total de la compañía en un 35 %, permitiendo atender nuevas demandas del comercio exterior argentino.</w:t>
      </w:r>
    </w:p>
    <w:p w14:paraId="4DA413FC" w14:textId="77777777" w:rsidR="00B525E9"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c) Captación de clientes AAA y fidelización de cuentas estratégicas: </w:t>
      </w:r>
      <w:r w:rsidRPr="00111094">
        <w:rPr>
          <w:rFonts w:ascii="Times New Roman" w:hAnsi="Times New Roman" w:cs="Times New Roman"/>
          <w:sz w:val="24"/>
          <w:szCs w:val="24"/>
        </w:rPr>
        <w:t>El depósito fiscal permitirá a TASA captar y fidelizar clientes AAA (multinacionales de consumo masivo, tecnología, farmacéutica e industria liviana) que valoran operadores con trazabilidad, compliance aduanero y sustentabilidad certificada.</w:t>
      </w:r>
    </w:p>
    <w:p w14:paraId="1B38753E" w14:textId="5EA3D15F" w:rsidR="002C530C"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Entre los atributos más valorados por este segmento se destacan:</w:t>
      </w:r>
    </w:p>
    <w:p w14:paraId="5FF68A89" w14:textId="77777777" w:rsidR="002C530C" w:rsidRPr="00111094" w:rsidRDefault="002C530C">
      <w:pPr>
        <w:numPr>
          <w:ilvl w:val="0"/>
          <w:numId w:val="43"/>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Integración aduana–almacenaje–transporte en una única solución 3PL.</w:t>
      </w:r>
    </w:p>
    <w:p w14:paraId="102DA0C2" w14:textId="22892F9E" w:rsidR="002C530C" w:rsidRPr="00111094" w:rsidRDefault="002C530C">
      <w:pPr>
        <w:numPr>
          <w:ilvl w:val="0"/>
          <w:numId w:val="43"/>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Garantías de cumplimiento normativo bajo la RG 4352/18 de ARCA.</w:t>
      </w:r>
    </w:p>
    <w:p w14:paraId="417CF709" w14:textId="77777777" w:rsidR="002C530C" w:rsidRPr="00111094" w:rsidRDefault="002C530C">
      <w:pPr>
        <w:numPr>
          <w:ilvl w:val="0"/>
          <w:numId w:val="43"/>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Transparencia operativa, trazabilidad digital y visibilidad en tiempo real.</w:t>
      </w:r>
    </w:p>
    <w:p w14:paraId="6797C028" w14:textId="77777777" w:rsidR="002C530C" w:rsidRPr="00111094" w:rsidRDefault="002C530C">
      <w:pPr>
        <w:numPr>
          <w:ilvl w:val="0"/>
          <w:numId w:val="43"/>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Cumplimiento de estándares ESG exigidos por corporaciones globales.</w:t>
      </w:r>
    </w:p>
    <w:p w14:paraId="721DF5D3" w14:textId="553EDC56" w:rsidR="002C530C" w:rsidRPr="00111094" w:rsidRDefault="002C530C" w:rsidP="00B525E9">
      <w:pPr>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Con estas características, el proyecto fortalecerá la retención de clientes actuales de TASA y abrirá la posibilidad de nuevos contratos con compañías que hoy operan en otros depósitos fiscales del AMBA, elevando la tasa de ocupación proyectada al 70 % durante el segundo año.</w:t>
      </w:r>
    </w:p>
    <w:p w14:paraId="1957C7AD" w14:textId="229F46AF" w:rsidR="002C530C" w:rsidRPr="00111094" w:rsidRDefault="002C530C" w:rsidP="00B525E9">
      <w:pPr>
        <w:spacing w:after="0"/>
        <w:ind w:firstLine="720"/>
        <w:jc w:val="both"/>
        <w:rPr>
          <w:rFonts w:ascii="Times New Roman" w:hAnsi="Times New Roman" w:cs="Times New Roman"/>
          <w:sz w:val="24"/>
          <w:szCs w:val="24"/>
        </w:rPr>
      </w:pPr>
      <w:r w:rsidRPr="00111094">
        <w:rPr>
          <w:rFonts w:ascii="Times New Roman" w:hAnsi="Times New Roman" w:cs="Times New Roman"/>
          <w:b/>
          <w:bCs/>
          <w:sz w:val="24"/>
          <w:szCs w:val="24"/>
        </w:rPr>
        <w:t xml:space="preserve">d) Alta tasa de retorno esperada a partir del año 3: </w:t>
      </w:r>
      <w:r w:rsidRPr="00111094">
        <w:rPr>
          <w:rFonts w:ascii="Times New Roman" w:hAnsi="Times New Roman" w:cs="Times New Roman"/>
          <w:sz w:val="24"/>
          <w:szCs w:val="24"/>
        </w:rPr>
        <w:t>El modelo financiero proyecta un retorno operativo positivo a partir del tercer año, condicionado a una ocupación mínima del 60 % de la capacidad instalada.</w:t>
      </w:r>
      <w:r w:rsidR="00B525E9">
        <w:rPr>
          <w:rFonts w:ascii="Times New Roman" w:hAnsi="Times New Roman" w:cs="Times New Roman"/>
          <w:sz w:val="24"/>
          <w:szCs w:val="24"/>
        </w:rPr>
        <w:t xml:space="preserve"> </w:t>
      </w:r>
      <w:r w:rsidRPr="00111094">
        <w:rPr>
          <w:rFonts w:ascii="Times New Roman" w:hAnsi="Times New Roman" w:cs="Times New Roman"/>
          <w:sz w:val="24"/>
          <w:szCs w:val="24"/>
        </w:rPr>
        <w:t>A partir de ese umbral, los márgenes de rentabilidad mejoran sustancialmente gracias a:</w:t>
      </w:r>
    </w:p>
    <w:p w14:paraId="5793E6E7" w14:textId="77777777" w:rsidR="002C530C" w:rsidRPr="00111094" w:rsidRDefault="002C530C">
      <w:pPr>
        <w:numPr>
          <w:ilvl w:val="0"/>
          <w:numId w:val="44"/>
        </w:numPr>
        <w:spacing w:after="0"/>
        <w:jc w:val="both"/>
        <w:rPr>
          <w:rFonts w:ascii="Times New Roman" w:hAnsi="Times New Roman" w:cs="Times New Roman"/>
          <w:sz w:val="24"/>
          <w:szCs w:val="24"/>
        </w:rPr>
      </w:pPr>
      <w:r w:rsidRPr="00111094">
        <w:rPr>
          <w:rFonts w:ascii="Times New Roman" w:hAnsi="Times New Roman" w:cs="Times New Roman"/>
          <w:sz w:val="24"/>
          <w:szCs w:val="24"/>
        </w:rPr>
        <w:t>Economías de escala en costos fijos de personal, mantenimiento y energía.</w:t>
      </w:r>
    </w:p>
    <w:p w14:paraId="600E1F75" w14:textId="77777777" w:rsidR="002C530C" w:rsidRPr="00111094" w:rsidRDefault="002C530C">
      <w:pPr>
        <w:numPr>
          <w:ilvl w:val="0"/>
          <w:numId w:val="44"/>
        </w:numPr>
        <w:spacing w:after="0"/>
        <w:jc w:val="both"/>
        <w:rPr>
          <w:rFonts w:ascii="Times New Roman" w:hAnsi="Times New Roman" w:cs="Times New Roman"/>
          <w:sz w:val="24"/>
          <w:szCs w:val="24"/>
        </w:rPr>
      </w:pPr>
      <w:r w:rsidRPr="00111094">
        <w:rPr>
          <w:rFonts w:ascii="Times New Roman" w:hAnsi="Times New Roman" w:cs="Times New Roman"/>
          <w:sz w:val="24"/>
          <w:szCs w:val="24"/>
        </w:rPr>
        <w:t>Amortización progresiva de la inversión en infraestructura y tecnología.</w:t>
      </w:r>
    </w:p>
    <w:p w14:paraId="5B0913F9" w14:textId="77777777" w:rsidR="00B525E9" w:rsidRDefault="002C530C">
      <w:pPr>
        <w:numPr>
          <w:ilvl w:val="0"/>
          <w:numId w:val="44"/>
        </w:numPr>
        <w:spacing w:after="0"/>
        <w:jc w:val="both"/>
        <w:rPr>
          <w:rFonts w:ascii="Times New Roman" w:hAnsi="Times New Roman" w:cs="Times New Roman"/>
          <w:sz w:val="24"/>
          <w:szCs w:val="24"/>
        </w:rPr>
      </w:pPr>
      <w:r w:rsidRPr="00111094">
        <w:rPr>
          <w:rFonts w:ascii="Times New Roman" w:hAnsi="Times New Roman" w:cs="Times New Roman"/>
          <w:sz w:val="24"/>
          <w:szCs w:val="24"/>
        </w:rPr>
        <w:t>Contratos de mediano y largo plazo con clientes multinacionales (3–5 años).</w:t>
      </w:r>
      <w:r w:rsidRPr="00111094">
        <w:rPr>
          <w:rFonts w:ascii="Times New Roman" w:hAnsi="Times New Roman" w:cs="Times New Roman"/>
          <w:sz w:val="24"/>
          <w:szCs w:val="24"/>
        </w:rPr>
        <w:br/>
        <w:t>Bajo el escenario base, se estima una Tasa Interna de Retorno (TIR) del 18 %–20 % y un Valor Actual Neto (VAN) positivo de USD 3,2 millones a una tasa de descuento del 10 %.</w:t>
      </w:r>
      <w:r w:rsidR="00B525E9">
        <w:rPr>
          <w:rFonts w:ascii="Times New Roman" w:hAnsi="Times New Roman" w:cs="Times New Roman"/>
          <w:sz w:val="24"/>
          <w:szCs w:val="24"/>
        </w:rPr>
        <w:t xml:space="preserve"> </w:t>
      </w:r>
    </w:p>
    <w:p w14:paraId="18D9A8CB" w14:textId="5364BF3B" w:rsidR="002C530C" w:rsidRPr="00111094" w:rsidRDefault="002C530C" w:rsidP="00B525E9">
      <w:pPr>
        <w:spacing w:after="0"/>
        <w:jc w:val="both"/>
        <w:rPr>
          <w:rFonts w:ascii="Times New Roman" w:hAnsi="Times New Roman" w:cs="Times New Roman"/>
          <w:sz w:val="24"/>
          <w:szCs w:val="24"/>
        </w:rPr>
      </w:pPr>
      <w:r w:rsidRPr="00111094">
        <w:rPr>
          <w:rFonts w:ascii="Times New Roman" w:hAnsi="Times New Roman" w:cs="Times New Roman"/>
          <w:sz w:val="24"/>
          <w:szCs w:val="24"/>
        </w:rPr>
        <w:t>Esto confirma que el Depósito Fiscal de Zona Norte es una inversión rentable, sustentable y estratégica, alineada con el plan de expansión de TASA Logística hacia servicios de mayor valor agregado.</w:t>
      </w:r>
    </w:p>
    <w:p w14:paraId="5E9BFF6E" w14:textId="5748331A" w:rsidR="001E472E" w:rsidRPr="00111094" w:rsidRDefault="001E472E" w:rsidP="00F55C5A">
      <w:pPr>
        <w:pStyle w:val="Ttulo2"/>
        <w:spacing w:after="240"/>
        <w:jc w:val="both"/>
        <w:rPr>
          <w:rFonts w:ascii="Times New Roman" w:hAnsi="Times New Roman" w:cs="Times New Roman"/>
        </w:rPr>
      </w:pPr>
      <w:bookmarkStart w:id="57" w:name="_Toc228778757"/>
      <w:r w:rsidRPr="00111094">
        <w:rPr>
          <w:rFonts w:ascii="Times New Roman" w:hAnsi="Times New Roman" w:cs="Times New Roman"/>
        </w:rPr>
        <w:t>Indicadores preliminares de viabilidad</w:t>
      </w:r>
      <w:bookmarkEnd w:id="57"/>
    </w:p>
    <w:tbl>
      <w:tblPr>
        <w:tblStyle w:val="GridTable4Accent1"/>
        <w:tblW w:w="0" w:type="auto"/>
        <w:tblLook w:val="04A0" w:firstRow="1" w:lastRow="0" w:firstColumn="1" w:lastColumn="0" w:noHBand="0" w:noVBand="1"/>
      </w:tblPr>
      <w:tblGrid>
        <w:gridCol w:w="2721"/>
        <w:gridCol w:w="1774"/>
        <w:gridCol w:w="1072"/>
        <w:gridCol w:w="4009"/>
      </w:tblGrid>
      <w:tr w:rsidR="00BF7E24" w:rsidRPr="00111094" w14:paraId="5EAE1E1A" w14:textId="77777777" w:rsidTr="00BF7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F73EE6"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Indicador</w:t>
            </w:r>
          </w:p>
        </w:tc>
        <w:tc>
          <w:tcPr>
            <w:tcW w:w="0" w:type="auto"/>
            <w:hideMark/>
          </w:tcPr>
          <w:p w14:paraId="2734AA24" w14:textId="77777777" w:rsidR="00BF7E24" w:rsidRPr="00111094" w:rsidRDefault="00BF7E24"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Valor estimado</w:t>
            </w:r>
          </w:p>
        </w:tc>
        <w:tc>
          <w:tcPr>
            <w:tcW w:w="0" w:type="auto"/>
            <w:hideMark/>
          </w:tcPr>
          <w:p w14:paraId="2A6FDD7A" w14:textId="77777777" w:rsidR="00BF7E24" w:rsidRPr="00111094" w:rsidRDefault="00BF7E24"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Horizonte</w:t>
            </w:r>
          </w:p>
        </w:tc>
        <w:tc>
          <w:tcPr>
            <w:tcW w:w="0" w:type="auto"/>
            <w:hideMark/>
          </w:tcPr>
          <w:p w14:paraId="20906637" w14:textId="77777777" w:rsidR="00BF7E24" w:rsidRPr="00111094" w:rsidRDefault="00BF7E24"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Observación</w:t>
            </w:r>
          </w:p>
        </w:tc>
      </w:tr>
      <w:tr w:rsidR="00BF7E24" w:rsidRPr="00111094" w14:paraId="4DF2450E" w14:textId="77777777" w:rsidTr="00BF7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C5A848"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Inversión total estimada</w:t>
            </w:r>
          </w:p>
        </w:tc>
        <w:tc>
          <w:tcPr>
            <w:tcW w:w="0" w:type="auto"/>
            <w:hideMark/>
          </w:tcPr>
          <w:p w14:paraId="31D5AE05"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USD 18–23 millones</w:t>
            </w:r>
          </w:p>
        </w:tc>
        <w:tc>
          <w:tcPr>
            <w:tcW w:w="0" w:type="auto"/>
            <w:hideMark/>
          </w:tcPr>
          <w:p w14:paraId="6D81C3D0"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0–1</w:t>
            </w:r>
          </w:p>
        </w:tc>
        <w:tc>
          <w:tcPr>
            <w:tcW w:w="0" w:type="auto"/>
            <w:hideMark/>
          </w:tcPr>
          <w:p w14:paraId="26420623"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Incluye infraestructura, sistemas y capital de trabajo.</w:t>
            </w:r>
          </w:p>
        </w:tc>
      </w:tr>
      <w:tr w:rsidR="00BF7E24" w:rsidRPr="00111094" w14:paraId="4CFE5456" w14:textId="77777777" w:rsidTr="00BF7E24">
        <w:tc>
          <w:tcPr>
            <w:cnfStyle w:val="001000000000" w:firstRow="0" w:lastRow="0" w:firstColumn="1" w:lastColumn="0" w:oddVBand="0" w:evenVBand="0" w:oddHBand="0" w:evenHBand="0" w:firstRowFirstColumn="0" w:firstRowLastColumn="0" w:lastRowFirstColumn="0" w:lastRowLastColumn="0"/>
            <w:tcW w:w="0" w:type="auto"/>
            <w:hideMark/>
          </w:tcPr>
          <w:p w14:paraId="625009D8"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Ocupación mínima de equilibrio</w:t>
            </w:r>
          </w:p>
        </w:tc>
        <w:tc>
          <w:tcPr>
            <w:tcW w:w="0" w:type="auto"/>
            <w:hideMark/>
          </w:tcPr>
          <w:p w14:paraId="3396828E"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55–60 %</w:t>
            </w:r>
          </w:p>
        </w:tc>
        <w:tc>
          <w:tcPr>
            <w:tcW w:w="0" w:type="auto"/>
            <w:hideMark/>
          </w:tcPr>
          <w:p w14:paraId="301B4852"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2</w:t>
            </w:r>
          </w:p>
        </w:tc>
        <w:tc>
          <w:tcPr>
            <w:tcW w:w="0" w:type="auto"/>
            <w:hideMark/>
          </w:tcPr>
          <w:p w14:paraId="21B23740"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Cobertura de costos fijos y operativos.</w:t>
            </w:r>
          </w:p>
        </w:tc>
      </w:tr>
      <w:tr w:rsidR="00BF7E24" w:rsidRPr="00111094" w14:paraId="244810F5" w14:textId="77777777" w:rsidTr="00BF7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F64906"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TIR (10 años)</w:t>
            </w:r>
          </w:p>
        </w:tc>
        <w:tc>
          <w:tcPr>
            <w:tcW w:w="0" w:type="auto"/>
            <w:hideMark/>
          </w:tcPr>
          <w:p w14:paraId="2A5C4698"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17–20 %</w:t>
            </w:r>
          </w:p>
        </w:tc>
        <w:tc>
          <w:tcPr>
            <w:tcW w:w="0" w:type="auto"/>
            <w:hideMark/>
          </w:tcPr>
          <w:p w14:paraId="310CFFC6"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10</w:t>
            </w:r>
          </w:p>
        </w:tc>
        <w:tc>
          <w:tcPr>
            <w:tcW w:w="0" w:type="auto"/>
            <w:hideMark/>
          </w:tcPr>
          <w:p w14:paraId="5ABD1E81"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Retorno competitivo para proyectos logísticos.</w:t>
            </w:r>
          </w:p>
        </w:tc>
      </w:tr>
      <w:tr w:rsidR="00BF7E24" w:rsidRPr="00111094" w14:paraId="73F38815" w14:textId="77777777" w:rsidTr="00BF7E24">
        <w:tc>
          <w:tcPr>
            <w:cnfStyle w:val="001000000000" w:firstRow="0" w:lastRow="0" w:firstColumn="1" w:lastColumn="0" w:oddVBand="0" w:evenVBand="0" w:oddHBand="0" w:evenHBand="0" w:firstRowFirstColumn="0" w:firstRowLastColumn="0" w:lastRowFirstColumn="0" w:lastRowLastColumn="0"/>
            <w:tcW w:w="0" w:type="auto"/>
            <w:hideMark/>
          </w:tcPr>
          <w:p w14:paraId="7BBF5587"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VAN (tasa 10 %)</w:t>
            </w:r>
          </w:p>
        </w:tc>
        <w:tc>
          <w:tcPr>
            <w:tcW w:w="0" w:type="auto"/>
            <w:hideMark/>
          </w:tcPr>
          <w:p w14:paraId="764103AA"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USD 3,2 millones</w:t>
            </w:r>
          </w:p>
        </w:tc>
        <w:tc>
          <w:tcPr>
            <w:tcW w:w="0" w:type="auto"/>
            <w:hideMark/>
          </w:tcPr>
          <w:p w14:paraId="3736990E"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10</w:t>
            </w:r>
          </w:p>
        </w:tc>
        <w:tc>
          <w:tcPr>
            <w:tcW w:w="0" w:type="auto"/>
            <w:hideMark/>
          </w:tcPr>
          <w:p w14:paraId="449A7126"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Positivo en todos los escenarios.</w:t>
            </w:r>
          </w:p>
        </w:tc>
      </w:tr>
      <w:tr w:rsidR="00BF7E24" w:rsidRPr="00111094" w14:paraId="4223FFA3" w14:textId="77777777" w:rsidTr="00BF7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B88031"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lastRenderedPageBreak/>
              <w:t>Plazo de repago (Payback)</w:t>
            </w:r>
          </w:p>
        </w:tc>
        <w:tc>
          <w:tcPr>
            <w:tcW w:w="0" w:type="auto"/>
            <w:hideMark/>
          </w:tcPr>
          <w:p w14:paraId="211ACDAA"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4 años</w:t>
            </w:r>
          </w:p>
        </w:tc>
        <w:tc>
          <w:tcPr>
            <w:tcW w:w="0" w:type="auto"/>
            <w:hideMark/>
          </w:tcPr>
          <w:p w14:paraId="1C50C1E2"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4</w:t>
            </w:r>
          </w:p>
        </w:tc>
        <w:tc>
          <w:tcPr>
            <w:tcW w:w="0" w:type="auto"/>
            <w:hideMark/>
          </w:tcPr>
          <w:p w14:paraId="612ACDBF" w14:textId="77777777" w:rsidR="00BF7E24" w:rsidRPr="00111094" w:rsidRDefault="00BF7E24"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Flujo de caja operativo positivo a partir del año 3.</w:t>
            </w:r>
          </w:p>
        </w:tc>
      </w:tr>
      <w:tr w:rsidR="00BF7E24" w:rsidRPr="00111094" w14:paraId="7B7294F3" w14:textId="77777777" w:rsidTr="00BF7E24">
        <w:tc>
          <w:tcPr>
            <w:cnfStyle w:val="001000000000" w:firstRow="0" w:lastRow="0" w:firstColumn="1" w:lastColumn="0" w:oddVBand="0" w:evenVBand="0" w:oddHBand="0" w:evenHBand="0" w:firstRowFirstColumn="0" w:firstRowLastColumn="0" w:lastRowFirstColumn="0" w:lastRowLastColumn="0"/>
            <w:tcW w:w="0" w:type="auto"/>
            <w:hideMark/>
          </w:tcPr>
          <w:p w14:paraId="7A12F597" w14:textId="77777777" w:rsidR="00BF7E24" w:rsidRPr="00111094" w:rsidRDefault="00BF7E24" w:rsidP="004E4011">
            <w:pPr>
              <w:spacing w:line="276" w:lineRule="auto"/>
              <w:rPr>
                <w:rFonts w:ascii="Times New Roman" w:hAnsi="Times New Roman" w:cs="Times New Roman"/>
                <w:sz w:val="20"/>
                <w:szCs w:val="20"/>
              </w:rPr>
            </w:pPr>
            <w:r w:rsidRPr="00111094">
              <w:rPr>
                <w:rFonts w:ascii="Times New Roman" w:hAnsi="Times New Roman" w:cs="Times New Roman"/>
                <w:sz w:val="20"/>
                <w:szCs w:val="20"/>
              </w:rPr>
              <w:t>Ocupación proyectada</w:t>
            </w:r>
          </w:p>
        </w:tc>
        <w:tc>
          <w:tcPr>
            <w:tcW w:w="0" w:type="auto"/>
            <w:hideMark/>
          </w:tcPr>
          <w:p w14:paraId="446498D7"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75 %</w:t>
            </w:r>
          </w:p>
        </w:tc>
        <w:tc>
          <w:tcPr>
            <w:tcW w:w="0" w:type="auto"/>
            <w:hideMark/>
          </w:tcPr>
          <w:p w14:paraId="62485B07"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Año 5</w:t>
            </w:r>
          </w:p>
        </w:tc>
        <w:tc>
          <w:tcPr>
            <w:tcW w:w="0" w:type="auto"/>
            <w:hideMark/>
          </w:tcPr>
          <w:p w14:paraId="0CD8FD1A" w14:textId="77777777" w:rsidR="00BF7E24" w:rsidRPr="00111094" w:rsidRDefault="00BF7E24"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Nivel de maduración comercial esperado.</w:t>
            </w:r>
          </w:p>
        </w:tc>
      </w:tr>
    </w:tbl>
    <w:p w14:paraId="4373B143" w14:textId="77777777" w:rsidR="00CE1129" w:rsidRPr="00CE1129" w:rsidRDefault="00CE1129" w:rsidP="00CE112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6FA6DC11" w14:textId="281DCAA0" w:rsidR="001E472E" w:rsidRPr="00111094" w:rsidRDefault="00BF7E24" w:rsidP="00F55C5A">
      <w:pPr>
        <w:ind w:firstLine="720"/>
        <w:jc w:val="both"/>
        <w:rPr>
          <w:rFonts w:ascii="Times New Roman" w:hAnsi="Times New Roman" w:cs="Times New Roman"/>
          <w:sz w:val="24"/>
          <w:szCs w:val="24"/>
        </w:rPr>
      </w:pPr>
      <w:r w:rsidRPr="00111094">
        <w:rPr>
          <w:rFonts w:ascii="Times New Roman" w:hAnsi="Times New Roman" w:cs="Times New Roman"/>
          <w:sz w:val="24"/>
          <w:szCs w:val="24"/>
        </w:rPr>
        <w:t>Los indicadores confirman que el proyecto es financieramente viable, rentable y sostenible, respaldado por una estructura patrimonial sólida, un mercado en expansión y una localización estratégica. El equilibrio operativo a corto plazo y la rentabilidad sostenida a mediano plazo validan la factibilidad del Depósito Fiscal Zona Norte como nueva unidad de negocios de TASA Logística, con alto impacto económico y reputacional.</w:t>
      </w:r>
    </w:p>
    <w:p w14:paraId="32DF4778" w14:textId="77777777" w:rsidR="00C52D45" w:rsidRPr="00111094" w:rsidRDefault="00C52D45" w:rsidP="00C52D45">
      <w:pPr>
        <w:pStyle w:val="Prrafodelista"/>
        <w:ind w:left="1440"/>
        <w:rPr>
          <w:rFonts w:ascii="Times New Roman" w:hAnsi="Times New Roman" w:cs="Times New Roman"/>
          <w:color w:val="4F81BD" w:themeColor="accent1"/>
          <w:w w:val="70"/>
          <w:sz w:val="40"/>
          <w:szCs w:val="40"/>
        </w:rPr>
      </w:pPr>
    </w:p>
    <w:p w14:paraId="7AFCBB4A" w14:textId="4D020B8D" w:rsidR="005B545C" w:rsidRPr="00111094" w:rsidRDefault="005B545C">
      <w:pPr>
        <w:rPr>
          <w:rFonts w:ascii="Times New Roman" w:hAnsi="Times New Roman" w:cs="Times New Roman"/>
          <w:color w:val="4F81BD" w:themeColor="accent1"/>
          <w:w w:val="70"/>
          <w:sz w:val="40"/>
          <w:szCs w:val="40"/>
        </w:rPr>
      </w:pPr>
      <w:r w:rsidRPr="00111094">
        <w:rPr>
          <w:rFonts w:ascii="Times New Roman" w:hAnsi="Times New Roman" w:cs="Times New Roman"/>
          <w:color w:val="4F81BD" w:themeColor="accent1"/>
          <w:w w:val="70"/>
          <w:sz w:val="40"/>
          <w:szCs w:val="40"/>
        </w:rPr>
        <w:br w:type="page"/>
      </w:r>
    </w:p>
    <w:p w14:paraId="3DC878D7" w14:textId="410514D3" w:rsidR="00656ED2" w:rsidRPr="00111094" w:rsidRDefault="00C0460F"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58" w:name="_Toc228778758"/>
      <w:r w:rsidRPr="00111094">
        <w:rPr>
          <w:rFonts w:ascii="Times New Roman" w:hAnsi="Times New Roman" w:cs="Times New Roman"/>
          <w:color w:val="4F81BD" w:themeColor="accent1"/>
          <w:w w:val="70"/>
          <w:sz w:val="40"/>
          <w:szCs w:val="40"/>
        </w:rPr>
        <w:lastRenderedPageBreak/>
        <w:t>CAPÍTULO 7</w:t>
      </w:r>
      <w:r w:rsidR="00656ED2" w:rsidRPr="00111094">
        <w:rPr>
          <w:rFonts w:ascii="Times New Roman" w:hAnsi="Times New Roman" w:cs="Times New Roman"/>
          <w:color w:val="4F81BD" w:themeColor="accent1"/>
          <w:w w:val="70"/>
          <w:sz w:val="40"/>
          <w:szCs w:val="40"/>
        </w:rPr>
        <w:t xml:space="preserve"> -</w:t>
      </w:r>
      <w:r w:rsidRPr="00111094">
        <w:rPr>
          <w:rFonts w:ascii="Times New Roman" w:hAnsi="Times New Roman" w:cs="Times New Roman"/>
          <w:color w:val="4F81BD" w:themeColor="accent1"/>
          <w:w w:val="70"/>
          <w:sz w:val="40"/>
          <w:szCs w:val="40"/>
        </w:rPr>
        <w:t xml:space="preserve"> PROPUESTA DEL PLAN</w:t>
      </w:r>
      <w:bookmarkEnd w:id="58"/>
      <w:r w:rsidRPr="00111094">
        <w:rPr>
          <w:rFonts w:ascii="Times New Roman" w:hAnsi="Times New Roman" w:cs="Times New Roman"/>
          <w:color w:val="4F81BD" w:themeColor="accent1"/>
          <w:w w:val="70"/>
          <w:sz w:val="40"/>
          <w:szCs w:val="40"/>
        </w:rPr>
        <w:t xml:space="preserve"> </w:t>
      </w:r>
    </w:p>
    <w:p w14:paraId="568DEC86" w14:textId="4162CD60" w:rsidR="0090017D" w:rsidRPr="00111094" w:rsidRDefault="0090017D" w:rsidP="0090017D">
      <w:pPr>
        <w:pStyle w:val="Ttulo2"/>
        <w:spacing w:after="240"/>
        <w:rPr>
          <w:rFonts w:ascii="Times New Roman" w:hAnsi="Times New Roman" w:cs="Times New Roman"/>
        </w:rPr>
      </w:pPr>
      <w:bookmarkStart w:id="59" w:name="_Toc228778759"/>
      <w:r w:rsidRPr="00111094">
        <w:rPr>
          <w:rFonts w:ascii="Times New Roman" w:hAnsi="Times New Roman" w:cs="Times New Roman"/>
        </w:rPr>
        <w:t>Propuesta de Valor</w:t>
      </w:r>
      <w:bookmarkEnd w:id="59"/>
    </w:p>
    <w:p w14:paraId="49515415" w14:textId="77777777" w:rsidR="00F55C5A" w:rsidRDefault="0090017D" w:rsidP="00F55C5A">
      <w:pPr>
        <w:spacing w:before="240"/>
        <w:ind w:firstLine="720"/>
        <w:rPr>
          <w:rFonts w:ascii="Times New Roman" w:hAnsi="Times New Roman" w:cs="Times New Roman"/>
          <w:sz w:val="24"/>
          <w:szCs w:val="24"/>
        </w:rPr>
      </w:pPr>
      <w:r w:rsidRPr="00111094">
        <w:rPr>
          <w:rFonts w:ascii="Times New Roman" w:hAnsi="Times New Roman" w:cs="Times New Roman"/>
          <w:sz w:val="24"/>
          <w:szCs w:val="24"/>
        </w:rPr>
        <w:t>La propuesta de valor del Depósito Fiscal Zona Norte se centra en ofrecer una solución logística aduanera integral, sustentable y de alta performance, diferenciada por los siguientes ejes frente a la competencia.</w:t>
      </w:r>
    </w:p>
    <w:p w14:paraId="206AB2F2" w14:textId="6C63BCDD" w:rsidR="0090017D" w:rsidRPr="00111094" w:rsidRDefault="0090017D" w:rsidP="00F55C5A">
      <w:pPr>
        <w:spacing w:before="240"/>
        <w:ind w:left="-851" w:hanging="283"/>
        <w:rPr>
          <w:rFonts w:ascii="Times New Roman" w:hAnsi="Times New Roman" w:cs="Times New Roman"/>
          <w:sz w:val="24"/>
          <w:szCs w:val="24"/>
        </w:rPr>
      </w:pPr>
      <w:r w:rsidRPr="00111094">
        <w:rPr>
          <w:rFonts w:ascii="Times New Roman" w:hAnsi="Times New Roman" w:cs="Times New Roman"/>
          <w:noProof/>
          <w:lang w:eastAsia="es-AR"/>
        </w:rPr>
        <w:drawing>
          <wp:inline distT="0" distB="0" distL="0" distR="0" wp14:anchorId="6B14CDE4" wp14:editId="37809566">
            <wp:extent cx="7303770" cy="6400800"/>
            <wp:effectExtent l="0" t="0" r="0" b="0"/>
            <wp:docPr id="1675996322"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1B26997A" w14:textId="509F92C1" w:rsidR="00C0460F" w:rsidRPr="00111094" w:rsidRDefault="003D682F" w:rsidP="007762D6">
      <w:pPr>
        <w:spacing w:before="240"/>
        <w:rPr>
          <w:rFonts w:ascii="Times New Roman" w:hAnsi="Times New Roman" w:cs="Times New Roman"/>
          <w:sz w:val="24"/>
          <w:szCs w:val="24"/>
        </w:rPr>
      </w:pPr>
      <w:r w:rsidRPr="00111094">
        <w:rPr>
          <w:rFonts w:ascii="Times New Roman" w:hAnsi="Times New Roman" w:cs="Times New Roman"/>
          <w:noProof/>
          <w:lang w:eastAsia="es-AR"/>
        </w:rPr>
        <w:lastRenderedPageBreak/>
        <w:drawing>
          <wp:inline distT="0" distB="0" distL="0" distR="0" wp14:anchorId="14CDCFA8" wp14:editId="13085E7D">
            <wp:extent cx="5943600" cy="881743"/>
            <wp:effectExtent l="0" t="0" r="19050" b="13970"/>
            <wp:docPr id="2074873927"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2613DB2" w14:textId="5020EC49" w:rsidR="000775F2" w:rsidRPr="00111094" w:rsidRDefault="000775F2" w:rsidP="007762D6">
      <w:pPr>
        <w:spacing w:before="240"/>
        <w:rPr>
          <w:rFonts w:ascii="Times New Roman" w:hAnsi="Times New Roman" w:cs="Times New Roman"/>
          <w:sz w:val="24"/>
          <w:szCs w:val="24"/>
        </w:rPr>
      </w:pPr>
      <w:r w:rsidRPr="00111094">
        <w:rPr>
          <w:rFonts w:ascii="Times New Roman" w:hAnsi="Times New Roman" w:cs="Times New Roman"/>
          <w:noProof/>
          <w:sz w:val="24"/>
          <w:szCs w:val="24"/>
          <w:lang w:eastAsia="es-AR"/>
        </w:rPr>
        <w:drawing>
          <wp:inline distT="0" distB="0" distL="0" distR="0" wp14:anchorId="1A159C17" wp14:editId="25602415">
            <wp:extent cx="5905500" cy="1959429"/>
            <wp:effectExtent l="0" t="0" r="19050" b="22225"/>
            <wp:docPr id="1757655342"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23308943" w14:textId="189B5929" w:rsidR="003D682F" w:rsidRPr="00111094" w:rsidRDefault="003D682F" w:rsidP="003D682F">
      <w:pPr>
        <w:pStyle w:val="Ttulo2"/>
        <w:spacing w:after="240"/>
        <w:rPr>
          <w:rFonts w:ascii="Times New Roman" w:hAnsi="Times New Roman" w:cs="Times New Roman"/>
        </w:rPr>
      </w:pPr>
      <w:bookmarkStart w:id="60" w:name="_Toc228778760"/>
      <w:r w:rsidRPr="00111094">
        <w:rPr>
          <w:rFonts w:ascii="Times New Roman" w:hAnsi="Times New Roman" w:cs="Times New Roman"/>
        </w:rPr>
        <w:t>Segmentación, Target y Posicionamiento</w:t>
      </w:r>
      <w:bookmarkEnd w:id="60"/>
      <w:r w:rsidRPr="00111094">
        <w:rPr>
          <w:rFonts w:ascii="Times New Roman" w:hAnsi="Times New Roman" w:cs="Times New Roman"/>
        </w:rPr>
        <w:t xml:space="preserve"> </w:t>
      </w:r>
    </w:p>
    <w:p w14:paraId="047D46E6" w14:textId="31B8D669" w:rsidR="003D682F" w:rsidRPr="00111094" w:rsidRDefault="003D682F" w:rsidP="00F55C5A">
      <w:pPr>
        <w:spacing w:before="240" w:after="0"/>
        <w:ind w:firstLine="360"/>
        <w:jc w:val="both"/>
        <w:rPr>
          <w:rFonts w:ascii="Times New Roman" w:hAnsi="Times New Roman" w:cs="Times New Roman"/>
          <w:sz w:val="24"/>
          <w:szCs w:val="24"/>
        </w:rPr>
      </w:pPr>
      <w:r w:rsidRPr="00111094">
        <w:rPr>
          <w:rFonts w:ascii="Times New Roman" w:hAnsi="Times New Roman" w:cs="Times New Roman"/>
          <w:b/>
          <w:bCs/>
          <w:sz w:val="24"/>
          <w:szCs w:val="24"/>
        </w:rPr>
        <w:t xml:space="preserve">a) Segmentación del mercado: </w:t>
      </w:r>
      <w:r w:rsidRPr="00111094">
        <w:rPr>
          <w:rFonts w:ascii="Times New Roman" w:hAnsi="Times New Roman" w:cs="Times New Roman"/>
          <w:sz w:val="24"/>
          <w:szCs w:val="24"/>
        </w:rPr>
        <w:t>Se identifican cuatro segmentos estructurales:</w:t>
      </w:r>
    </w:p>
    <w:p w14:paraId="551587B9" w14:textId="291B275D" w:rsidR="003D682F" w:rsidRPr="00111094" w:rsidRDefault="003D682F">
      <w:pPr>
        <w:numPr>
          <w:ilvl w:val="0"/>
          <w:numId w:val="45"/>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Empresas multinacionales de consumo masivo.</w:t>
      </w:r>
    </w:p>
    <w:p w14:paraId="36049774" w14:textId="77777777" w:rsidR="003D682F" w:rsidRPr="00111094" w:rsidRDefault="003D682F">
      <w:pPr>
        <w:numPr>
          <w:ilvl w:val="0"/>
          <w:numId w:val="45"/>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Industria farmacéutica y healthcare.</w:t>
      </w:r>
    </w:p>
    <w:p w14:paraId="69330F69" w14:textId="77777777" w:rsidR="003D682F" w:rsidRPr="00111094" w:rsidRDefault="003D682F">
      <w:pPr>
        <w:numPr>
          <w:ilvl w:val="0"/>
          <w:numId w:val="45"/>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Tecnología, electrónica y electrodomésticos.</w:t>
      </w:r>
    </w:p>
    <w:p w14:paraId="66E319EA" w14:textId="77777777" w:rsidR="003D682F" w:rsidRPr="00111094" w:rsidRDefault="003D682F">
      <w:pPr>
        <w:numPr>
          <w:ilvl w:val="0"/>
          <w:numId w:val="45"/>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Industria automotriz, autopartes e insumos industriales.</w:t>
      </w:r>
    </w:p>
    <w:p w14:paraId="7CB21283" w14:textId="77777777" w:rsidR="000775F2" w:rsidRPr="00111094" w:rsidRDefault="000775F2">
      <w:pPr>
        <w:numPr>
          <w:ilvl w:val="0"/>
          <w:numId w:val="45"/>
        </w:numPr>
        <w:spacing w:after="0"/>
        <w:jc w:val="both"/>
        <w:rPr>
          <w:rFonts w:ascii="Times New Roman" w:hAnsi="Times New Roman" w:cs="Times New Roman"/>
          <w:sz w:val="24"/>
          <w:szCs w:val="24"/>
        </w:rPr>
      </w:pPr>
      <w:r w:rsidRPr="00111094">
        <w:rPr>
          <w:rFonts w:ascii="Times New Roman" w:hAnsi="Times New Roman" w:cs="Times New Roman"/>
          <w:sz w:val="24"/>
          <w:szCs w:val="24"/>
        </w:rPr>
        <w:t>Moda, retail y e-commerce importador</w:t>
      </w:r>
    </w:p>
    <w:p w14:paraId="1B5A525F" w14:textId="187679FB" w:rsidR="000775F2" w:rsidRPr="00111094" w:rsidRDefault="000775F2">
      <w:pPr>
        <w:numPr>
          <w:ilvl w:val="0"/>
          <w:numId w:val="45"/>
        </w:numPr>
        <w:spacing w:after="0"/>
        <w:jc w:val="both"/>
        <w:rPr>
          <w:rFonts w:ascii="Times New Roman" w:hAnsi="Times New Roman" w:cs="Times New Roman"/>
          <w:sz w:val="24"/>
          <w:szCs w:val="24"/>
        </w:rPr>
      </w:pPr>
      <w:r w:rsidRPr="00111094">
        <w:rPr>
          <w:rFonts w:ascii="Times New Roman" w:hAnsi="Times New Roman" w:cs="Times New Roman"/>
          <w:sz w:val="24"/>
          <w:szCs w:val="24"/>
        </w:rPr>
        <w:t>Industria química no peligrosa</w:t>
      </w:r>
    </w:p>
    <w:p w14:paraId="31661FFE" w14:textId="77777777" w:rsidR="003D682F" w:rsidRPr="00111094" w:rsidRDefault="003D682F" w:rsidP="00B525E9">
      <w:pPr>
        <w:spacing w:after="0"/>
        <w:ind w:left="360"/>
        <w:jc w:val="both"/>
        <w:rPr>
          <w:rFonts w:ascii="Times New Roman" w:hAnsi="Times New Roman" w:cs="Times New Roman"/>
          <w:sz w:val="24"/>
          <w:szCs w:val="24"/>
        </w:rPr>
      </w:pPr>
      <w:r w:rsidRPr="00111094">
        <w:rPr>
          <w:rFonts w:ascii="Times New Roman" w:hAnsi="Times New Roman" w:cs="Times New Roman"/>
          <w:sz w:val="24"/>
          <w:szCs w:val="24"/>
        </w:rPr>
        <w:t>Segmentación basada en:</w:t>
      </w:r>
    </w:p>
    <w:p w14:paraId="35E62206" w14:textId="77777777" w:rsidR="003D682F" w:rsidRPr="00111094" w:rsidRDefault="003D682F">
      <w:pPr>
        <w:numPr>
          <w:ilvl w:val="0"/>
          <w:numId w:val="46"/>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Volumen anual de importación/exportación.</w:t>
      </w:r>
    </w:p>
    <w:p w14:paraId="58B41659" w14:textId="77777777" w:rsidR="003D682F" w:rsidRPr="00111094" w:rsidRDefault="003D682F">
      <w:pPr>
        <w:numPr>
          <w:ilvl w:val="0"/>
          <w:numId w:val="46"/>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Sensibilidad al cumplimiento normativo.</w:t>
      </w:r>
    </w:p>
    <w:p w14:paraId="0FCA29D4" w14:textId="77777777" w:rsidR="003D682F" w:rsidRPr="00111094" w:rsidRDefault="003D682F">
      <w:pPr>
        <w:numPr>
          <w:ilvl w:val="0"/>
          <w:numId w:val="46"/>
        </w:numPr>
        <w:tabs>
          <w:tab w:val="clear" w:pos="720"/>
          <w:tab w:val="num" w:pos="1080"/>
        </w:tabs>
        <w:spacing w:after="0"/>
        <w:ind w:left="1080"/>
        <w:jc w:val="both"/>
        <w:rPr>
          <w:rFonts w:ascii="Times New Roman" w:hAnsi="Times New Roman" w:cs="Times New Roman"/>
          <w:sz w:val="24"/>
          <w:szCs w:val="24"/>
        </w:rPr>
      </w:pPr>
      <w:r w:rsidRPr="00111094">
        <w:rPr>
          <w:rFonts w:ascii="Times New Roman" w:hAnsi="Times New Roman" w:cs="Times New Roman"/>
          <w:sz w:val="24"/>
          <w:szCs w:val="24"/>
        </w:rPr>
        <w:t>Exigencias de trazabilidad y seguridad.</w:t>
      </w:r>
    </w:p>
    <w:p w14:paraId="59B36728" w14:textId="77777777" w:rsidR="003D682F" w:rsidRPr="00111094" w:rsidRDefault="003D682F">
      <w:pPr>
        <w:numPr>
          <w:ilvl w:val="0"/>
          <w:numId w:val="46"/>
        </w:numPr>
        <w:tabs>
          <w:tab w:val="clear" w:pos="720"/>
          <w:tab w:val="num" w:pos="1080"/>
        </w:tabs>
        <w:ind w:left="1080"/>
        <w:jc w:val="both"/>
        <w:rPr>
          <w:rFonts w:ascii="Times New Roman" w:hAnsi="Times New Roman" w:cs="Times New Roman"/>
          <w:sz w:val="24"/>
          <w:szCs w:val="24"/>
        </w:rPr>
      </w:pPr>
      <w:r w:rsidRPr="00111094">
        <w:rPr>
          <w:rFonts w:ascii="Times New Roman" w:hAnsi="Times New Roman" w:cs="Times New Roman"/>
          <w:sz w:val="24"/>
          <w:szCs w:val="24"/>
        </w:rPr>
        <w:t>Requerimientos de sustentabilidad.</w:t>
      </w:r>
    </w:p>
    <w:p w14:paraId="5D138B5D" w14:textId="2151FD10" w:rsidR="00932978" w:rsidRPr="00111094" w:rsidRDefault="003D682F" w:rsidP="00F55C5A">
      <w:pPr>
        <w:spacing w:after="0"/>
        <w:ind w:firstLine="360"/>
        <w:jc w:val="both"/>
        <w:rPr>
          <w:rFonts w:ascii="Times New Roman" w:hAnsi="Times New Roman" w:cs="Times New Roman"/>
          <w:sz w:val="24"/>
          <w:szCs w:val="24"/>
        </w:rPr>
      </w:pPr>
      <w:r w:rsidRPr="00111094">
        <w:rPr>
          <w:rFonts w:ascii="Times New Roman" w:hAnsi="Times New Roman" w:cs="Times New Roman"/>
          <w:b/>
          <w:bCs/>
          <w:sz w:val="24"/>
          <w:szCs w:val="24"/>
        </w:rPr>
        <w:t xml:space="preserve">b) Target objetivo principal: </w:t>
      </w:r>
      <w:r w:rsidR="00932978" w:rsidRPr="00111094">
        <w:rPr>
          <w:rFonts w:ascii="Times New Roman" w:hAnsi="Times New Roman" w:cs="Times New Roman"/>
          <w:sz w:val="24"/>
          <w:szCs w:val="24"/>
        </w:rPr>
        <w:t>Clientes AAA y AA que Importan regularmente, Valoran cumplimiento normativo y sustentabilidad, Operan en zona norte o buscan reducir estadías en puertos Y Requieren integración logística (deposito fiscal + almacenaje + transporte).</w:t>
      </w:r>
    </w:p>
    <w:p w14:paraId="51D65489" w14:textId="77777777" w:rsidR="00932978" w:rsidRPr="00111094" w:rsidRDefault="00932978" w:rsidP="00F55C5A">
      <w:pPr>
        <w:spacing w:after="0"/>
        <w:ind w:firstLine="360"/>
        <w:jc w:val="both"/>
        <w:rPr>
          <w:rFonts w:ascii="Times New Roman" w:hAnsi="Times New Roman" w:cs="Times New Roman"/>
          <w:sz w:val="24"/>
          <w:szCs w:val="24"/>
        </w:rPr>
      </w:pPr>
      <w:r w:rsidRPr="00111094">
        <w:rPr>
          <w:rFonts w:ascii="Times New Roman" w:hAnsi="Times New Roman" w:cs="Times New Roman"/>
          <w:sz w:val="24"/>
          <w:szCs w:val="24"/>
        </w:rPr>
        <w:t>Volumen objetivo:</w:t>
      </w:r>
    </w:p>
    <w:p w14:paraId="2675FF3C" w14:textId="4673A123" w:rsidR="00932978" w:rsidRPr="00111094" w:rsidRDefault="00932978">
      <w:pPr>
        <w:pStyle w:val="Prrafodelista"/>
        <w:numPr>
          <w:ilvl w:val="0"/>
          <w:numId w:val="47"/>
        </w:numPr>
        <w:spacing w:after="0"/>
        <w:jc w:val="both"/>
        <w:rPr>
          <w:rFonts w:ascii="Times New Roman" w:hAnsi="Times New Roman" w:cs="Times New Roman"/>
          <w:sz w:val="24"/>
          <w:szCs w:val="24"/>
        </w:rPr>
      </w:pPr>
      <w:r w:rsidRPr="00111094">
        <w:rPr>
          <w:rFonts w:ascii="Times New Roman" w:hAnsi="Times New Roman" w:cs="Times New Roman"/>
          <w:sz w:val="24"/>
          <w:szCs w:val="24"/>
        </w:rPr>
        <w:t>Top 30 importadores de AMBA</w:t>
      </w:r>
    </w:p>
    <w:p w14:paraId="17CD771E" w14:textId="77777777" w:rsidR="00932978" w:rsidRPr="00111094" w:rsidRDefault="00932978">
      <w:pPr>
        <w:pStyle w:val="Prrafodelista"/>
        <w:numPr>
          <w:ilvl w:val="0"/>
          <w:numId w:val="47"/>
        </w:numPr>
        <w:spacing w:after="0"/>
        <w:jc w:val="both"/>
        <w:rPr>
          <w:rFonts w:ascii="Times New Roman" w:hAnsi="Times New Roman" w:cs="Times New Roman"/>
          <w:sz w:val="24"/>
          <w:szCs w:val="24"/>
        </w:rPr>
      </w:pPr>
      <w:r w:rsidRPr="00111094">
        <w:rPr>
          <w:rFonts w:ascii="Times New Roman" w:hAnsi="Times New Roman" w:cs="Times New Roman"/>
          <w:sz w:val="24"/>
          <w:szCs w:val="24"/>
        </w:rPr>
        <w:t>Empresas multinacionales con contratos de 3–5 años.</w:t>
      </w:r>
    </w:p>
    <w:p w14:paraId="1428E5F5" w14:textId="77777777" w:rsidR="00932978" w:rsidRPr="00111094" w:rsidRDefault="003D682F" w:rsidP="00F55C5A">
      <w:pPr>
        <w:spacing w:before="240" w:after="0"/>
        <w:ind w:firstLine="360"/>
        <w:jc w:val="both"/>
        <w:rPr>
          <w:rFonts w:ascii="Times New Roman" w:hAnsi="Times New Roman" w:cs="Times New Roman"/>
          <w:i/>
          <w:iCs/>
          <w:sz w:val="24"/>
          <w:szCs w:val="24"/>
        </w:rPr>
      </w:pPr>
      <w:r w:rsidRPr="00111094">
        <w:rPr>
          <w:rFonts w:ascii="Times New Roman" w:hAnsi="Times New Roman" w:cs="Times New Roman"/>
          <w:b/>
          <w:bCs/>
          <w:sz w:val="24"/>
          <w:szCs w:val="24"/>
        </w:rPr>
        <w:t>c) Posicionamiento</w:t>
      </w:r>
      <w:r w:rsidR="000775F2" w:rsidRPr="00111094">
        <w:rPr>
          <w:rFonts w:ascii="Times New Roman" w:hAnsi="Times New Roman" w:cs="Times New Roman"/>
          <w:b/>
          <w:bCs/>
          <w:sz w:val="24"/>
          <w:szCs w:val="24"/>
        </w:rPr>
        <w:t xml:space="preserve">: </w:t>
      </w:r>
      <w:r w:rsidRPr="00111094">
        <w:rPr>
          <w:rFonts w:ascii="Times New Roman" w:hAnsi="Times New Roman" w:cs="Times New Roman"/>
          <w:i/>
          <w:iCs/>
          <w:sz w:val="24"/>
          <w:szCs w:val="24"/>
        </w:rPr>
        <w:t>“El primer Depósito Fiscal sustentable e integrado de Zona Norte, diseñado para clientes que requieren máxima trazabilidad, cumplimiento aduanero y eficiencia operativa.”</w:t>
      </w:r>
    </w:p>
    <w:p w14:paraId="00F39D4E" w14:textId="19E22818" w:rsidR="00932978" w:rsidRPr="00111094" w:rsidRDefault="00932978" w:rsidP="00932978">
      <w:pPr>
        <w:pStyle w:val="Ttulo2"/>
        <w:spacing w:after="240"/>
        <w:rPr>
          <w:rFonts w:ascii="Times New Roman" w:hAnsi="Times New Roman" w:cs="Times New Roman"/>
        </w:rPr>
      </w:pPr>
      <w:bookmarkStart w:id="61" w:name="_Toc228778761"/>
      <w:r w:rsidRPr="00111094">
        <w:rPr>
          <w:rFonts w:ascii="Times New Roman" w:hAnsi="Times New Roman" w:cs="Times New Roman"/>
        </w:rPr>
        <w:lastRenderedPageBreak/>
        <w:t>Modelo de Negocio (CANVAS)</w:t>
      </w:r>
      <w:bookmarkEnd w:id="61"/>
    </w:p>
    <w:tbl>
      <w:tblPr>
        <w:tblStyle w:val="GridTable6ColorfulAccent1"/>
        <w:tblW w:w="10065" w:type="dxa"/>
        <w:tblInd w:w="-431" w:type="dxa"/>
        <w:tblLayout w:type="fixed"/>
        <w:tblLook w:val="04A0" w:firstRow="1" w:lastRow="0" w:firstColumn="1" w:lastColumn="0" w:noHBand="0" w:noVBand="1"/>
      </w:tblPr>
      <w:tblGrid>
        <w:gridCol w:w="1560"/>
        <w:gridCol w:w="2193"/>
        <w:gridCol w:w="1209"/>
        <w:gridCol w:w="1176"/>
        <w:gridCol w:w="2226"/>
        <w:gridCol w:w="1701"/>
      </w:tblGrid>
      <w:tr w:rsidR="00FE0455" w:rsidRPr="00111094" w14:paraId="32C6B095" w14:textId="77777777" w:rsidTr="00FE0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14:paraId="46AA55FE" w14:textId="77777777" w:rsidR="005329A9" w:rsidRPr="00111094" w:rsidRDefault="005329A9" w:rsidP="00280BDF">
            <w:pPr>
              <w:rPr>
                <w:rFonts w:ascii="Times New Roman" w:hAnsi="Times New Roman" w:cs="Times New Roman"/>
                <w:b w:val="0"/>
                <w:bCs w:val="0"/>
                <w:sz w:val="28"/>
                <w:szCs w:val="28"/>
              </w:rPr>
            </w:pPr>
            <w:r w:rsidRPr="00111094">
              <w:rPr>
                <w:rFonts w:ascii="Times New Roman" w:hAnsi="Times New Roman" w:cs="Times New Roman"/>
                <w:sz w:val="28"/>
                <w:szCs w:val="28"/>
              </w:rPr>
              <w:t>Socios Claves</w:t>
            </w:r>
          </w:p>
          <w:p w14:paraId="3228F073" w14:textId="77777777" w:rsidR="005329A9" w:rsidRPr="00111094" w:rsidRDefault="005329A9" w:rsidP="00280BDF">
            <w:pPr>
              <w:rPr>
                <w:rFonts w:ascii="Times New Roman" w:hAnsi="Times New Roman" w:cs="Times New Roman"/>
                <w:b w:val="0"/>
                <w:bCs w:val="0"/>
                <w:sz w:val="20"/>
                <w:szCs w:val="20"/>
              </w:rPr>
            </w:pPr>
          </w:p>
          <w:p w14:paraId="6E904730" w14:textId="2DCD82EC" w:rsidR="005329A9" w:rsidRPr="00111094" w:rsidRDefault="005329A9" w:rsidP="005329A9">
            <w:pPr>
              <w:rPr>
                <w:rFonts w:ascii="Times New Roman" w:hAnsi="Times New Roman" w:cs="Times New Roman"/>
                <w:sz w:val="20"/>
                <w:szCs w:val="20"/>
              </w:rPr>
            </w:pPr>
            <w:r w:rsidRPr="00111094">
              <w:rPr>
                <w:rFonts w:ascii="Times New Roman" w:hAnsi="Times New Roman" w:cs="Times New Roman"/>
                <w:b w:val="0"/>
                <w:bCs w:val="0"/>
                <w:sz w:val="20"/>
                <w:szCs w:val="20"/>
              </w:rPr>
              <w:t>-Aduana / DGA.</w:t>
            </w:r>
          </w:p>
          <w:p w14:paraId="08120B18" w14:textId="77777777" w:rsidR="00FE0455" w:rsidRPr="00111094" w:rsidRDefault="00FE0455" w:rsidP="005329A9">
            <w:pPr>
              <w:rPr>
                <w:rFonts w:ascii="Times New Roman" w:hAnsi="Times New Roman" w:cs="Times New Roman"/>
                <w:b w:val="0"/>
                <w:bCs w:val="0"/>
                <w:sz w:val="20"/>
                <w:szCs w:val="20"/>
              </w:rPr>
            </w:pPr>
          </w:p>
          <w:p w14:paraId="59A8B729" w14:textId="40245866" w:rsidR="005329A9" w:rsidRPr="00111094" w:rsidRDefault="005329A9" w:rsidP="005329A9">
            <w:pPr>
              <w:rPr>
                <w:rFonts w:ascii="Times New Roman" w:hAnsi="Times New Roman" w:cs="Times New Roman"/>
                <w:sz w:val="20"/>
                <w:szCs w:val="20"/>
              </w:rPr>
            </w:pPr>
            <w:r w:rsidRPr="00111094">
              <w:rPr>
                <w:rFonts w:ascii="Times New Roman" w:hAnsi="Times New Roman" w:cs="Times New Roman"/>
                <w:b w:val="0"/>
                <w:bCs w:val="0"/>
                <w:sz w:val="20"/>
                <w:szCs w:val="20"/>
              </w:rPr>
              <w:t>-Transportistas certificados.</w:t>
            </w:r>
          </w:p>
          <w:p w14:paraId="655E2B5B" w14:textId="77777777" w:rsidR="00E07893" w:rsidRPr="00111094" w:rsidRDefault="00E07893" w:rsidP="005329A9">
            <w:pPr>
              <w:rPr>
                <w:rFonts w:ascii="Times New Roman" w:hAnsi="Times New Roman" w:cs="Times New Roman"/>
                <w:b w:val="0"/>
                <w:bCs w:val="0"/>
                <w:sz w:val="20"/>
                <w:szCs w:val="20"/>
              </w:rPr>
            </w:pPr>
          </w:p>
          <w:p w14:paraId="009D4E32" w14:textId="4D601D07" w:rsidR="005329A9" w:rsidRPr="00111094" w:rsidRDefault="005329A9" w:rsidP="005329A9">
            <w:pPr>
              <w:rPr>
                <w:rFonts w:ascii="Times New Roman" w:hAnsi="Times New Roman" w:cs="Times New Roman"/>
                <w:sz w:val="20"/>
                <w:szCs w:val="20"/>
              </w:rPr>
            </w:pPr>
            <w:r w:rsidRPr="00111094">
              <w:rPr>
                <w:rFonts w:ascii="Times New Roman" w:hAnsi="Times New Roman" w:cs="Times New Roman"/>
                <w:b w:val="0"/>
                <w:bCs w:val="0"/>
                <w:sz w:val="20"/>
                <w:szCs w:val="20"/>
              </w:rPr>
              <w:t>-Proveedores tecnológicos.</w:t>
            </w:r>
          </w:p>
          <w:p w14:paraId="15BC8305" w14:textId="77777777" w:rsidR="00E07893" w:rsidRPr="00111094" w:rsidRDefault="00E07893" w:rsidP="005329A9">
            <w:pPr>
              <w:rPr>
                <w:rFonts w:ascii="Times New Roman" w:hAnsi="Times New Roman" w:cs="Times New Roman"/>
                <w:b w:val="0"/>
                <w:bCs w:val="0"/>
                <w:sz w:val="20"/>
                <w:szCs w:val="20"/>
              </w:rPr>
            </w:pPr>
          </w:p>
          <w:p w14:paraId="3A23FCBB" w14:textId="77777777" w:rsidR="005329A9" w:rsidRPr="00111094" w:rsidRDefault="005329A9"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-Brokers aduaneros y despachantes</w:t>
            </w:r>
            <w:r w:rsidRPr="00111094">
              <w:rPr>
                <w:rFonts w:ascii="Times New Roman" w:hAnsi="Times New Roman" w:cs="Times New Roman"/>
                <w:sz w:val="20"/>
                <w:szCs w:val="20"/>
              </w:rPr>
              <w:t>.</w:t>
            </w:r>
          </w:p>
          <w:p w14:paraId="451F9FF7" w14:textId="77777777" w:rsidR="00FE0455" w:rsidRPr="00111094" w:rsidRDefault="00FE0455" w:rsidP="005329A9">
            <w:pPr>
              <w:rPr>
                <w:rFonts w:ascii="Times New Roman" w:hAnsi="Times New Roman" w:cs="Times New Roman"/>
                <w:b w:val="0"/>
                <w:bCs w:val="0"/>
                <w:sz w:val="20"/>
                <w:szCs w:val="20"/>
              </w:rPr>
            </w:pPr>
          </w:p>
          <w:p w14:paraId="5CD86640" w14:textId="2E472CAD" w:rsidR="00FE0455" w:rsidRPr="00111094" w:rsidRDefault="00FE0455" w:rsidP="005329A9">
            <w:pPr>
              <w:rPr>
                <w:rFonts w:ascii="Times New Roman" w:hAnsi="Times New Roman" w:cs="Times New Roman"/>
                <w:sz w:val="20"/>
                <w:szCs w:val="20"/>
              </w:rPr>
            </w:pPr>
            <w:r w:rsidRPr="00111094">
              <w:rPr>
                <w:rFonts w:ascii="Times New Roman" w:hAnsi="Times New Roman" w:cs="Times New Roman"/>
                <w:b w:val="0"/>
                <w:bCs w:val="0"/>
                <w:sz w:val="20"/>
                <w:szCs w:val="20"/>
              </w:rPr>
              <w:t>- Proveedores de racks y equipamiento industrial.</w:t>
            </w:r>
          </w:p>
        </w:tc>
        <w:tc>
          <w:tcPr>
            <w:tcW w:w="2193" w:type="dxa"/>
          </w:tcPr>
          <w:p w14:paraId="7B607CAD" w14:textId="77777777"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11094">
              <w:rPr>
                <w:rFonts w:ascii="Times New Roman" w:hAnsi="Times New Roman" w:cs="Times New Roman"/>
                <w:sz w:val="28"/>
                <w:szCs w:val="28"/>
              </w:rPr>
              <w:t>Actividad Clave</w:t>
            </w:r>
          </w:p>
          <w:p w14:paraId="453D27FB" w14:textId="77777777"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63AB97F7" w14:textId="208221D9"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Procesos aduaneros.</w:t>
            </w:r>
          </w:p>
          <w:p w14:paraId="45AECBFB"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7D595E2A" w14:textId="2FD33840"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Gestión de inspecciones.</w:t>
            </w:r>
          </w:p>
          <w:p w14:paraId="2F0A0E4C"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53584A45" w14:textId="5F1B1674"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Almacenaje + servicios VAS (picking, etiquetado, reembalado).</w:t>
            </w:r>
          </w:p>
          <w:p w14:paraId="0C296D8B"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2EA48090" w14:textId="686959CE" w:rsidR="005329A9"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Pr="00111094">
              <w:rPr>
                <w:rFonts w:ascii="Times New Roman" w:hAnsi="Times New Roman" w:cs="Times New Roman"/>
                <w:b w:val="0"/>
                <w:bCs w:val="0"/>
                <w:color w:val="auto"/>
                <w:sz w:val="20"/>
                <w:szCs w:val="20"/>
              </w:rPr>
              <w:t xml:space="preserve"> </w:t>
            </w:r>
            <w:r w:rsidRPr="00111094">
              <w:rPr>
                <w:rFonts w:ascii="Times New Roman" w:hAnsi="Times New Roman" w:cs="Times New Roman"/>
                <w:b w:val="0"/>
                <w:bCs w:val="0"/>
                <w:sz w:val="20"/>
                <w:szCs w:val="20"/>
              </w:rPr>
              <w:t>Gestión de transporte y disponibilidad de camiones.</w:t>
            </w:r>
          </w:p>
          <w:p w14:paraId="64AC0AAA"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45055F1" w14:textId="7ED0737E"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111094">
              <w:rPr>
                <w:rFonts w:ascii="Times New Roman" w:hAnsi="Times New Roman" w:cs="Times New Roman"/>
                <w:b w:val="0"/>
                <w:bCs w:val="0"/>
                <w:sz w:val="20"/>
                <w:szCs w:val="20"/>
              </w:rPr>
              <w:t>-</w:t>
            </w:r>
            <w:r w:rsidRPr="00111094">
              <w:rPr>
                <w:rFonts w:ascii="Times New Roman" w:hAnsi="Times New Roman" w:cs="Times New Roman"/>
                <w:b w:val="0"/>
                <w:bCs w:val="0"/>
                <w:color w:val="auto"/>
                <w:sz w:val="20"/>
                <w:szCs w:val="20"/>
              </w:rPr>
              <w:t xml:space="preserve"> </w:t>
            </w:r>
            <w:r w:rsidRPr="00111094">
              <w:rPr>
                <w:rFonts w:ascii="Times New Roman" w:hAnsi="Times New Roman" w:cs="Times New Roman"/>
                <w:b w:val="0"/>
                <w:bCs w:val="0"/>
                <w:sz w:val="20"/>
                <w:szCs w:val="20"/>
              </w:rPr>
              <w:t>Control de stock y trazabilidad.</w:t>
            </w:r>
          </w:p>
          <w:p w14:paraId="74D79BB5" w14:textId="667FD832"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385" w:type="dxa"/>
            <w:gridSpan w:val="2"/>
            <w:vMerge w:val="restart"/>
            <w:shd w:val="clear" w:color="auto" w:fill="1F497D" w:themeFill="text2"/>
          </w:tcPr>
          <w:p w14:paraId="0CA7EA06" w14:textId="77777777"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8"/>
                <w:szCs w:val="28"/>
              </w:rPr>
            </w:pPr>
            <w:r w:rsidRPr="00111094">
              <w:rPr>
                <w:rFonts w:ascii="Times New Roman" w:hAnsi="Times New Roman" w:cs="Times New Roman"/>
                <w:color w:val="FFFFFF" w:themeColor="background1"/>
                <w:sz w:val="28"/>
                <w:szCs w:val="28"/>
              </w:rPr>
              <w:t>Propuesta de Valor</w:t>
            </w:r>
          </w:p>
          <w:p w14:paraId="7F5A0308" w14:textId="77777777"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0"/>
                <w:szCs w:val="20"/>
              </w:rPr>
            </w:pPr>
          </w:p>
          <w:p w14:paraId="42E62EB3" w14:textId="77777777" w:rsidR="00E07893"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rPr>
            </w:pPr>
            <w:r w:rsidRPr="00111094">
              <w:rPr>
                <w:rFonts w:ascii="Times New Roman" w:hAnsi="Times New Roman" w:cs="Times New Roman"/>
                <w:b w:val="0"/>
                <w:bCs w:val="0"/>
                <w:color w:val="FFFFFF" w:themeColor="background1"/>
                <w:sz w:val="20"/>
                <w:szCs w:val="20"/>
              </w:rPr>
              <w:t>-Deposito Fiscal sustentable, certificado LEED.</w:t>
            </w:r>
          </w:p>
          <w:p w14:paraId="54C58882" w14:textId="62B13E75"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0"/>
                <w:szCs w:val="20"/>
              </w:rPr>
            </w:pPr>
            <w:r w:rsidRPr="00111094">
              <w:rPr>
                <w:rFonts w:ascii="Times New Roman" w:hAnsi="Times New Roman" w:cs="Times New Roman"/>
                <w:b w:val="0"/>
                <w:bCs w:val="0"/>
                <w:color w:val="FFFFFF" w:themeColor="background1"/>
                <w:sz w:val="20"/>
                <w:szCs w:val="20"/>
              </w:rPr>
              <w:br/>
              <w:t>-</w:t>
            </w:r>
            <w:r w:rsidR="00E07893" w:rsidRPr="00111094">
              <w:rPr>
                <w:rFonts w:ascii="Times New Roman" w:hAnsi="Times New Roman" w:cs="Times New Roman"/>
                <w:b w:val="0"/>
                <w:bCs w:val="0"/>
                <w:color w:val="FFFFFF" w:themeColor="background1"/>
                <w:sz w:val="20"/>
                <w:szCs w:val="20"/>
              </w:rPr>
              <w:t>Integración total 3PL: DF + almacenaje nacional + transporte + VAS.</w:t>
            </w:r>
          </w:p>
          <w:p w14:paraId="2016F966" w14:textId="77777777" w:rsidR="00E07893" w:rsidRPr="00111094" w:rsidRDefault="00E07893"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0"/>
                <w:szCs w:val="20"/>
              </w:rPr>
            </w:pPr>
          </w:p>
          <w:p w14:paraId="11770B74" w14:textId="77777777" w:rsidR="00E07893" w:rsidRPr="00111094" w:rsidRDefault="00E07893"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rPr>
            </w:pPr>
            <w:r w:rsidRPr="00111094">
              <w:rPr>
                <w:rFonts w:ascii="Times New Roman" w:hAnsi="Times New Roman" w:cs="Times New Roman"/>
                <w:b w:val="0"/>
                <w:bCs w:val="0"/>
                <w:color w:val="FFFFFF" w:themeColor="background1"/>
                <w:sz w:val="20"/>
                <w:szCs w:val="20"/>
              </w:rPr>
              <w:t>-</w:t>
            </w:r>
            <w:r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color w:val="FFFFFF" w:themeColor="background1"/>
                <w:sz w:val="20"/>
                <w:szCs w:val="20"/>
              </w:rPr>
              <w:t>Trazabilidad total + WMS integrado con Aduana (AFIP/ARCA).</w:t>
            </w:r>
          </w:p>
          <w:p w14:paraId="3D9B227B" w14:textId="77777777" w:rsidR="00E07893" w:rsidRPr="00111094" w:rsidRDefault="00E07893"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0"/>
                <w:szCs w:val="20"/>
              </w:rPr>
            </w:pPr>
          </w:p>
          <w:p w14:paraId="0E7D75A1" w14:textId="78A7C8E8" w:rsidR="00E07893" w:rsidRPr="00111094" w:rsidRDefault="00E07893"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FFFFFF" w:themeColor="background1"/>
                <w:sz w:val="20"/>
                <w:szCs w:val="20"/>
              </w:rPr>
            </w:pPr>
            <w:r w:rsidRPr="00111094">
              <w:rPr>
                <w:rFonts w:ascii="Times New Roman" w:hAnsi="Times New Roman" w:cs="Times New Roman"/>
                <w:b w:val="0"/>
                <w:bCs w:val="0"/>
                <w:color w:val="FFFFFF" w:themeColor="background1"/>
                <w:sz w:val="20"/>
                <w:szCs w:val="20"/>
              </w:rPr>
              <w:t>-</w:t>
            </w:r>
            <w:r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color w:val="FFFFFF" w:themeColor="background1"/>
                <w:sz w:val="20"/>
                <w:szCs w:val="20"/>
              </w:rPr>
              <w:t>Reducción del 20–30 % en tiempos operativos aduaneros.</w:t>
            </w:r>
          </w:p>
        </w:tc>
        <w:tc>
          <w:tcPr>
            <w:tcW w:w="2226" w:type="dxa"/>
          </w:tcPr>
          <w:p w14:paraId="48AB07C1" w14:textId="77777777" w:rsidR="005329A9" w:rsidRPr="00111094" w:rsidRDefault="005329A9"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111094">
              <w:rPr>
                <w:rFonts w:ascii="Times New Roman" w:hAnsi="Times New Roman" w:cs="Times New Roman"/>
                <w:sz w:val="28"/>
                <w:szCs w:val="28"/>
              </w:rPr>
              <w:t>Relaciones con los clientes</w:t>
            </w:r>
          </w:p>
          <w:p w14:paraId="78CC2DB7" w14:textId="77777777" w:rsidR="00E07893" w:rsidRPr="00111094" w:rsidRDefault="00E07893" w:rsidP="00280B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6007472A" w14:textId="415E4E52"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Ejecutivo comercial dedicado.</w:t>
            </w:r>
          </w:p>
          <w:p w14:paraId="2D4ABB15"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0BD634E8" w14:textId="59EF7A60"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111094">
              <w:rPr>
                <w:rFonts w:ascii="Times New Roman" w:hAnsi="Times New Roman" w:cs="Times New Roman"/>
                <w:b w:val="0"/>
                <w:bCs w:val="0"/>
                <w:sz w:val="20"/>
                <w:szCs w:val="20"/>
                <w:lang w:val="en-US"/>
              </w:rPr>
              <w:t>-</w:t>
            </w:r>
            <w:r w:rsidR="00FE0455" w:rsidRPr="00111094">
              <w:rPr>
                <w:rFonts w:ascii="Times New Roman" w:hAnsi="Times New Roman" w:cs="Times New Roman"/>
                <w:b w:val="0"/>
                <w:bCs w:val="0"/>
                <w:sz w:val="20"/>
                <w:szCs w:val="20"/>
                <w:lang w:val="en-US"/>
              </w:rPr>
              <w:t xml:space="preserve"> </w:t>
            </w:r>
            <w:r w:rsidRPr="00111094">
              <w:rPr>
                <w:rFonts w:ascii="Times New Roman" w:hAnsi="Times New Roman" w:cs="Times New Roman"/>
                <w:b w:val="0"/>
                <w:bCs w:val="0"/>
                <w:sz w:val="20"/>
                <w:szCs w:val="20"/>
                <w:lang w:val="en-US"/>
              </w:rPr>
              <w:t>SLA y KPI formales.</w:t>
            </w:r>
          </w:p>
          <w:p w14:paraId="0EBE17B4"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43E124EC" w14:textId="26F7E2A2"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111094">
              <w:rPr>
                <w:rFonts w:ascii="Times New Roman" w:hAnsi="Times New Roman" w:cs="Times New Roman"/>
                <w:b w:val="0"/>
                <w:bCs w:val="0"/>
                <w:sz w:val="20"/>
                <w:szCs w:val="20"/>
                <w:lang w:val="en-US"/>
              </w:rPr>
              <w:t>-</w:t>
            </w:r>
            <w:r w:rsidR="00FE0455" w:rsidRPr="00111094">
              <w:rPr>
                <w:rFonts w:ascii="Times New Roman" w:hAnsi="Times New Roman" w:cs="Times New Roman"/>
                <w:b w:val="0"/>
                <w:bCs w:val="0"/>
                <w:sz w:val="20"/>
                <w:szCs w:val="20"/>
                <w:lang w:val="en-US"/>
              </w:rPr>
              <w:t xml:space="preserve"> </w:t>
            </w:r>
            <w:r w:rsidRPr="00111094">
              <w:rPr>
                <w:rFonts w:ascii="Times New Roman" w:hAnsi="Times New Roman" w:cs="Times New Roman"/>
                <w:b w:val="0"/>
                <w:bCs w:val="0"/>
                <w:sz w:val="20"/>
                <w:szCs w:val="20"/>
                <w:lang w:val="en-US"/>
              </w:rPr>
              <w:t>Paneles online (dashboard cliente).</w:t>
            </w:r>
          </w:p>
          <w:p w14:paraId="6F2123E7" w14:textId="77777777" w:rsidR="00FE0455" w:rsidRPr="00111094" w:rsidRDefault="00FE0455"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3AB34E17" w14:textId="2DA0065F" w:rsidR="005329A9"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Auditorías compartidas.</w:t>
            </w:r>
          </w:p>
          <w:p w14:paraId="7E16532A" w14:textId="3CC558AA" w:rsidR="00E07893" w:rsidRPr="00111094" w:rsidRDefault="00E07893" w:rsidP="00E07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1701" w:type="dxa"/>
            <w:vMerge w:val="restart"/>
          </w:tcPr>
          <w:p w14:paraId="5D3352B9" w14:textId="0B915F49"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111094">
              <w:rPr>
                <w:rFonts w:ascii="Times New Roman" w:hAnsi="Times New Roman" w:cs="Times New Roman"/>
                <w:sz w:val="28"/>
                <w:szCs w:val="28"/>
              </w:rPr>
              <w:t>Segmentos de cliente</w:t>
            </w:r>
            <w:r w:rsidRPr="00111094">
              <w:rPr>
                <w:rFonts w:ascii="Times New Roman" w:hAnsi="Times New Roman" w:cs="Times New Roman"/>
                <w:sz w:val="20"/>
                <w:szCs w:val="20"/>
              </w:rPr>
              <w:t>s</w:t>
            </w:r>
          </w:p>
          <w:p w14:paraId="40AEBA60" w14:textId="77777777"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8B45721" w14:textId="3F5E39FA"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E07893" w:rsidRPr="00111094">
              <w:rPr>
                <w:rFonts w:ascii="Times New Roman" w:hAnsi="Times New Roman" w:cs="Times New Roman"/>
                <w:b w:val="0"/>
                <w:bCs w:val="0"/>
                <w:color w:val="auto"/>
                <w:sz w:val="20"/>
                <w:szCs w:val="20"/>
              </w:rPr>
              <w:t xml:space="preserve"> </w:t>
            </w:r>
            <w:r w:rsidR="00E07893" w:rsidRPr="00111094">
              <w:rPr>
                <w:rFonts w:ascii="Times New Roman" w:hAnsi="Times New Roman" w:cs="Times New Roman"/>
                <w:b w:val="0"/>
                <w:bCs w:val="0"/>
                <w:sz w:val="20"/>
                <w:szCs w:val="20"/>
              </w:rPr>
              <w:t>Importadores medianos y grandes (10–50 cont/mes).</w:t>
            </w:r>
          </w:p>
          <w:p w14:paraId="411FD47E" w14:textId="77777777" w:rsidR="00E07893" w:rsidRPr="00111094" w:rsidRDefault="00E07893"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4F9F3F45" w14:textId="1D931214"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Multinacionales con auditorías globales.</w:t>
            </w:r>
          </w:p>
          <w:p w14:paraId="76D813C2" w14:textId="77777777" w:rsidR="00E07893" w:rsidRPr="00111094" w:rsidRDefault="00E07893"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C953145" w14:textId="25DC23AF" w:rsidR="00E07893" w:rsidRPr="00111094" w:rsidRDefault="00E07893"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111094">
              <w:rPr>
                <w:rFonts w:ascii="Times New Roman" w:hAnsi="Times New Roman" w:cs="Times New Roman"/>
                <w:b w:val="0"/>
                <w:bCs w:val="0"/>
                <w:sz w:val="20"/>
                <w:szCs w:val="20"/>
              </w:rPr>
              <w:t>- Empresas con auditorías globales y exigencias</w:t>
            </w:r>
            <w:r w:rsidRPr="00111094">
              <w:rPr>
                <w:rFonts w:ascii="Times New Roman" w:hAnsi="Times New Roman" w:cs="Times New Roman"/>
                <w:sz w:val="20"/>
                <w:szCs w:val="20"/>
              </w:rPr>
              <w:t>.</w:t>
            </w:r>
          </w:p>
          <w:p w14:paraId="1EE9778C" w14:textId="77777777" w:rsidR="00E07893" w:rsidRPr="00111094" w:rsidRDefault="00E07893"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9815C82" w14:textId="6F781A68" w:rsidR="005329A9" w:rsidRPr="00111094" w:rsidRDefault="005329A9" w:rsidP="001B41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Retailers, Farma, Tecnología, Autopartes.</w:t>
            </w:r>
          </w:p>
        </w:tc>
      </w:tr>
      <w:tr w:rsidR="00FE0455" w:rsidRPr="00111094" w14:paraId="321990ED" w14:textId="77777777" w:rsidTr="00FE04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B71174E" w14:textId="1F3F5B7C" w:rsidR="005329A9" w:rsidRPr="00111094" w:rsidRDefault="005329A9" w:rsidP="00280BDF">
            <w:pPr>
              <w:rPr>
                <w:rFonts w:ascii="Times New Roman" w:hAnsi="Times New Roman" w:cs="Times New Roman"/>
                <w:sz w:val="20"/>
                <w:szCs w:val="20"/>
              </w:rPr>
            </w:pPr>
          </w:p>
        </w:tc>
        <w:tc>
          <w:tcPr>
            <w:tcW w:w="2193" w:type="dxa"/>
          </w:tcPr>
          <w:p w14:paraId="772382AD"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111094">
              <w:rPr>
                <w:rFonts w:ascii="Times New Roman" w:hAnsi="Times New Roman" w:cs="Times New Roman"/>
                <w:b/>
                <w:bCs/>
                <w:sz w:val="28"/>
                <w:szCs w:val="28"/>
              </w:rPr>
              <w:t>Recursos Claves</w:t>
            </w:r>
          </w:p>
          <w:p w14:paraId="7FB789FB"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p w14:paraId="3C96EB55" w14:textId="6709A476" w:rsidR="00E07893" w:rsidRPr="00111094" w:rsidRDefault="005329A9"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w:t>
            </w:r>
            <w:r w:rsidR="00E07893" w:rsidRPr="00111094">
              <w:rPr>
                <w:rFonts w:ascii="Times New Roman" w:hAnsi="Times New Roman" w:cs="Times New Roman"/>
                <w:sz w:val="20"/>
                <w:szCs w:val="20"/>
              </w:rPr>
              <w:t>Infraestructura premium.</w:t>
            </w:r>
          </w:p>
          <w:p w14:paraId="7B5F847F" w14:textId="77777777" w:rsidR="00FE0455" w:rsidRPr="00111094" w:rsidRDefault="00FE0455"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4CEE4DD" w14:textId="71BE4285" w:rsidR="00E07893" w:rsidRPr="00111094" w:rsidRDefault="00E07893"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-WMS integrado con Aduana</w:t>
            </w:r>
            <w:r w:rsidR="00FE0455" w:rsidRPr="00111094">
              <w:rPr>
                <w:rFonts w:ascii="Times New Roman" w:hAnsi="Times New Roman" w:cs="Times New Roman"/>
                <w:sz w:val="20"/>
                <w:szCs w:val="20"/>
              </w:rPr>
              <w:t>.</w:t>
            </w:r>
          </w:p>
          <w:p w14:paraId="1584C599" w14:textId="77777777" w:rsidR="00FE0455" w:rsidRPr="00111094" w:rsidRDefault="00FE0455"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02EA29E" w14:textId="1FFEDA9E" w:rsidR="00E07893" w:rsidRPr="00111094" w:rsidRDefault="00E07893"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-Personal especializado (aduana/logística).</w:t>
            </w:r>
          </w:p>
          <w:p w14:paraId="4A529564" w14:textId="77777777" w:rsidR="005329A9" w:rsidRPr="00111094" w:rsidRDefault="00E07893"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-CCTV y control perimetral.</w:t>
            </w:r>
          </w:p>
          <w:p w14:paraId="29FD33F0" w14:textId="77777777" w:rsidR="00FE0455" w:rsidRPr="00111094" w:rsidRDefault="00FE0455"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C97B047" w14:textId="07681FC0" w:rsidR="00E07893" w:rsidRPr="00111094" w:rsidRDefault="00E07893" w:rsidP="00E07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-Layout segregado Deposito Fiscal / Nacional.</w:t>
            </w:r>
          </w:p>
        </w:tc>
        <w:tc>
          <w:tcPr>
            <w:tcW w:w="2385" w:type="dxa"/>
            <w:gridSpan w:val="2"/>
            <w:vMerge/>
            <w:shd w:val="clear" w:color="auto" w:fill="1F497D" w:themeFill="text2"/>
          </w:tcPr>
          <w:p w14:paraId="32525C53"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226" w:type="dxa"/>
          </w:tcPr>
          <w:p w14:paraId="0CB1629F"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111094">
              <w:rPr>
                <w:rFonts w:ascii="Times New Roman" w:hAnsi="Times New Roman" w:cs="Times New Roman"/>
                <w:b/>
                <w:bCs/>
                <w:sz w:val="28"/>
                <w:szCs w:val="28"/>
              </w:rPr>
              <w:t>Canales</w:t>
            </w:r>
          </w:p>
          <w:p w14:paraId="187CC239"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9540078" w14:textId="77777777" w:rsidR="00FE0455"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t>-</w:t>
            </w:r>
            <w:r w:rsidR="00FE0455" w:rsidRPr="00111094">
              <w:rPr>
                <w:rFonts w:ascii="Times New Roman" w:hAnsi="Times New Roman" w:cs="Times New Roman"/>
                <w:sz w:val="20"/>
                <w:szCs w:val="20"/>
              </w:rPr>
              <w:t xml:space="preserve"> </w:t>
            </w:r>
            <w:r w:rsidRPr="00111094">
              <w:rPr>
                <w:rFonts w:ascii="Times New Roman" w:hAnsi="Times New Roman" w:cs="Times New Roman"/>
                <w:sz w:val="20"/>
                <w:szCs w:val="20"/>
              </w:rPr>
              <w:t>Fuerza comercial corporativa de TASA.</w:t>
            </w:r>
          </w:p>
          <w:p w14:paraId="52F671A3" w14:textId="77777777" w:rsidR="00FE0455"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br/>
              <w:t>-</w:t>
            </w:r>
            <w:r w:rsidR="00FE0455" w:rsidRPr="00111094">
              <w:rPr>
                <w:rFonts w:ascii="Times New Roman" w:hAnsi="Times New Roman" w:cs="Times New Roman"/>
                <w:sz w:val="20"/>
                <w:szCs w:val="20"/>
              </w:rPr>
              <w:t xml:space="preserve"> </w:t>
            </w:r>
            <w:r w:rsidRPr="00111094">
              <w:rPr>
                <w:rFonts w:ascii="Times New Roman" w:hAnsi="Times New Roman" w:cs="Times New Roman"/>
                <w:sz w:val="20"/>
                <w:szCs w:val="20"/>
              </w:rPr>
              <w:t>Contacto directo B2B (reuniones técnicas).</w:t>
            </w:r>
          </w:p>
          <w:p w14:paraId="628B6037" w14:textId="77777777" w:rsidR="00FE0455"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br/>
              <w:t>-</w:t>
            </w:r>
            <w:r w:rsidR="00FE0455" w:rsidRPr="00111094">
              <w:rPr>
                <w:rFonts w:ascii="Times New Roman" w:hAnsi="Times New Roman" w:cs="Times New Roman"/>
                <w:sz w:val="20"/>
                <w:szCs w:val="20"/>
              </w:rPr>
              <w:t xml:space="preserve"> </w:t>
            </w:r>
            <w:r w:rsidRPr="00111094">
              <w:rPr>
                <w:rFonts w:ascii="Times New Roman" w:hAnsi="Times New Roman" w:cs="Times New Roman"/>
                <w:sz w:val="20"/>
                <w:szCs w:val="20"/>
              </w:rPr>
              <w:t>RFP / RFQ de grandes empresas.</w:t>
            </w:r>
          </w:p>
          <w:p w14:paraId="2A135017" w14:textId="537249F0"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11094">
              <w:rPr>
                <w:rFonts w:ascii="Times New Roman" w:hAnsi="Times New Roman" w:cs="Times New Roman"/>
                <w:sz w:val="20"/>
                <w:szCs w:val="20"/>
              </w:rPr>
              <w:br/>
              <w:t>-</w:t>
            </w:r>
            <w:r w:rsidR="00FE0455" w:rsidRPr="00111094">
              <w:rPr>
                <w:rFonts w:ascii="Times New Roman" w:hAnsi="Times New Roman" w:cs="Times New Roman"/>
                <w:sz w:val="20"/>
                <w:szCs w:val="20"/>
              </w:rPr>
              <w:t xml:space="preserve"> </w:t>
            </w:r>
            <w:r w:rsidRPr="00111094">
              <w:rPr>
                <w:rFonts w:ascii="Times New Roman" w:hAnsi="Times New Roman" w:cs="Times New Roman"/>
                <w:sz w:val="20"/>
                <w:szCs w:val="20"/>
              </w:rPr>
              <w:t>Networking en cámaras (CEDOL, AmCham).</w:t>
            </w:r>
          </w:p>
          <w:p w14:paraId="1CACAF66" w14:textId="07E7C44B" w:rsidR="00E07893" w:rsidRPr="00111094" w:rsidRDefault="00E07893"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01" w:type="dxa"/>
            <w:vMerge/>
          </w:tcPr>
          <w:p w14:paraId="27D1AE54" w14:textId="77777777" w:rsidR="005329A9" w:rsidRPr="00111094" w:rsidRDefault="005329A9" w:rsidP="00280B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80BDF" w:rsidRPr="00111094" w14:paraId="57968AF5" w14:textId="77777777" w:rsidTr="00FE0455">
        <w:tc>
          <w:tcPr>
            <w:cnfStyle w:val="001000000000" w:firstRow="0" w:lastRow="0" w:firstColumn="1" w:lastColumn="0" w:oddVBand="0" w:evenVBand="0" w:oddHBand="0" w:evenHBand="0" w:firstRowFirstColumn="0" w:firstRowLastColumn="0" w:lastRowFirstColumn="0" w:lastRowLastColumn="0"/>
            <w:tcW w:w="4962" w:type="dxa"/>
            <w:gridSpan w:val="3"/>
          </w:tcPr>
          <w:p w14:paraId="5EF444CA" w14:textId="77777777" w:rsidR="00280BDF" w:rsidRPr="00111094" w:rsidRDefault="00280BDF" w:rsidP="00280BDF">
            <w:pPr>
              <w:rPr>
                <w:rFonts w:ascii="Times New Roman" w:hAnsi="Times New Roman" w:cs="Times New Roman"/>
                <w:sz w:val="28"/>
                <w:szCs w:val="28"/>
              </w:rPr>
            </w:pPr>
            <w:r w:rsidRPr="00111094">
              <w:rPr>
                <w:rFonts w:ascii="Times New Roman" w:hAnsi="Times New Roman" w:cs="Times New Roman"/>
                <w:sz w:val="28"/>
                <w:szCs w:val="28"/>
              </w:rPr>
              <w:t>Estructura de Costos</w:t>
            </w:r>
          </w:p>
          <w:p w14:paraId="567B18E4" w14:textId="77777777" w:rsidR="005329A9" w:rsidRPr="00111094" w:rsidRDefault="005329A9" w:rsidP="00280BDF">
            <w:pPr>
              <w:rPr>
                <w:rFonts w:ascii="Times New Roman" w:hAnsi="Times New Roman" w:cs="Times New Roman"/>
                <w:b w:val="0"/>
                <w:bCs w:val="0"/>
                <w:sz w:val="20"/>
                <w:szCs w:val="20"/>
              </w:rPr>
            </w:pPr>
          </w:p>
          <w:p w14:paraId="0B6DC2EB" w14:textId="3FEB0E43" w:rsidR="005329A9" w:rsidRPr="00111094" w:rsidRDefault="005329A9"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w:t>
            </w:r>
            <w:r w:rsidRPr="00111094">
              <w:rPr>
                <w:rFonts w:ascii="Times New Roman" w:hAnsi="Times New Roman" w:cs="Times New Roman"/>
                <w:b w:val="0"/>
                <w:bCs w:val="0"/>
                <w:sz w:val="20"/>
                <w:szCs w:val="20"/>
              </w:rPr>
              <w:t>Operación aduanera.</w:t>
            </w:r>
          </w:p>
          <w:p w14:paraId="0CDB6F91" w14:textId="2A6D588E" w:rsidR="005329A9" w:rsidRPr="00111094" w:rsidRDefault="005329A9"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sz w:val="20"/>
                <w:szCs w:val="20"/>
              </w:rPr>
              <w:t xml:space="preserve"> Construcción, </w:t>
            </w:r>
            <w:r w:rsidRPr="00111094">
              <w:rPr>
                <w:rFonts w:ascii="Times New Roman" w:hAnsi="Times New Roman" w:cs="Times New Roman"/>
                <w:b w:val="0"/>
                <w:bCs w:val="0"/>
                <w:sz w:val="20"/>
                <w:szCs w:val="20"/>
              </w:rPr>
              <w:t>Infraestructura y amortización.</w:t>
            </w:r>
          </w:p>
          <w:p w14:paraId="3E1FEC0A" w14:textId="77777777" w:rsidR="00FE0455" w:rsidRPr="00111094" w:rsidRDefault="005329A9"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color w:val="auto"/>
                <w:sz w:val="20"/>
                <w:szCs w:val="20"/>
              </w:rPr>
              <w:t xml:space="preserve"> </w:t>
            </w:r>
            <w:r w:rsidR="00FE0455" w:rsidRPr="00111094">
              <w:rPr>
                <w:rFonts w:ascii="Times New Roman" w:hAnsi="Times New Roman" w:cs="Times New Roman"/>
                <w:b w:val="0"/>
                <w:bCs w:val="0"/>
                <w:sz w:val="20"/>
                <w:szCs w:val="20"/>
              </w:rPr>
              <w:t>Personal especializado (DF + VAS).</w:t>
            </w:r>
          </w:p>
          <w:p w14:paraId="79C3F810" w14:textId="421ADC89" w:rsidR="00FE0455" w:rsidRPr="00111094" w:rsidRDefault="00FE0455"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 xml:space="preserve">- Mantenimiento </w:t>
            </w:r>
          </w:p>
          <w:p w14:paraId="495E34A8" w14:textId="77777777" w:rsidR="005329A9" w:rsidRPr="00111094" w:rsidRDefault="005329A9"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w:t>
            </w:r>
            <w:r w:rsidR="00FE0455" w:rsidRPr="00111094">
              <w:rPr>
                <w:rFonts w:ascii="Times New Roman" w:hAnsi="Times New Roman" w:cs="Times New Roman"/>
                <w:b w:val="0"/>
                <w:bCs w:val="0"/>
                <w:color w:val="auto"/>
                <w:sz w:val="20"/>
                <w:szCs w:val="20"/>
              </w:rPr>
              <w:t xml:space="preserve"> </w:t>
            </w:r>
            <w:r w:rsidR="00FE0455" w:rsidRPr="00111094">
              <w:rPr>
                <w:rFonts w:ascii="Times New Roman" w:hAnsi="Times New Roman" w:cs="Times New Roman"/>
                <w:b w:val="0"/>
                <w:bCs w:val="0"/>
                <w:sz w:val="20"/>
                <w:szCs w:val="20"/>
              </w:rPr>
              <w:t>Tecnología (WMS, RF, CCTV).</w:t>
            </w:r>
          </w:p>
          <w:p w14:paraId="1ED527BE" w14:textId="378EEF8A" w:rsidR="00FE0455" w:rsidRPr="00111094" w:rsidRDefault="00FE0455" w:rsidP="005329A9">
            <w:pPr>
              <w:rPr>
                <w:rFonts w:ascii="Times New Roman" w:hAnsi="Times New Roman" w:cs="Times New Roman"/>
                <w:b w:val="0"/>
                <w:bCs w:val="0"/>
                <w:sz w:val="20"/>
                <w:szCs w:val="20"/>
              </w:rPr>
            </w:pPr>
            <w:r w:rsidRPr="00111094">
              <w:rPr>
                <w:rFonts w:ascii="Times New Roman" w:hAnsi="Times New Roman" w:cs="Times New Roman"/>
                <w:b w:val="0"/>
                <w:bCs w:val="0"/>
                <w:sz w:val="20"/>
                <w:szCs w:val="20"/>
              </w:rPr>
              <w:t>- Energía, impuestos, habilitaciones.</w:t>
            </w:r>
          </w:p>
          <w:p w14:paraId="0C63F964" w14:textId="38D0352B" w:rsidR="00FE0455" w:rsidRPr="00111094" w:rsidRDefault="00FE0455" w:rsidP="005329A9">
            <w:pPr>
              <w:rPr>
                <w:rFonts w:ascii="Times New Roman" w:hAnsi="Times New Roman" w:cs="Times New Roman"/>
                <w:sz w:val="20"/>
                <w:szCs w:val="20"/>
              </w:rPr>
            </w:pPr>
          </w:p>
        </w:tc>
        <w:tc>
          <w:tcPr>
            <w:tcW w:w="5103" w:type="dxa"/>
            <w:gridSpan w:val="3"/>
          </w:tcPr>
          <w:p w14:paraId="0E00DB2A" w14:textId="77777777" w:rsidR="00280BDF" w:rsidRPr="00111094" w:rsidRDefault="00280BDF" w:rsidP="00280B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111094">
              <w:rPr>
                <w:rFonts w:ascii="Times New Roman" w:hAnsi="Times New Roman" w:cs="Times New Roman"/>
                <w:b/>
                <w:bCs/>
                <w:sz w:val="28"/>
                <w:szCs w:val="28"/>
              </w:rPr>
              <w:t>Fuentes de Ingresos</w:t>
            </w:r>
          </w:p>
          <w:p w14:paraId="46B9C701" w14:textId="77777777" w:rsidR="005329A9" w:rsidRPr="00111094" w:rsidRDefault="005329A9" w:rsidP="00280B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006"/>
            </w:tblGrid>
            <w:tr w:rsidR="00FE0455" w:rsidRPr="00111094" w14:paraId="5A5908D3" w14:textId="77777777" w:rsidTr="00FE0455">
              <w:trPr>
                <w:tblCellSpacing w:w="15" w:type="dxa"/>
              </w:trPr>
              <w:tc>
                <w:tcPr>
                  <w:tcW w:w="3946" w:type="dxa"/>
                  <w:vAlign w:val="center"/>
                  <w:hideMark/>
                </w:tcPr>
                <w:p w14:paraId="7F00BCD4" w14:textId="0298FE64" w:rsidR="00FE0455" w:rsidRPr="00111094" w:rsidRDefault="00FE0455" w:rsidP="00FE0455">
                  <w:pPr>
                    <w:spacing w:after="0" w:line="240" w:lineRule="auto"/>
                    <w:rPr>
                      <w:rFonts w:ascii="Times New Roman" w:hAnsi="Times New Roman" w:cs="Times New Roman"/>
                      <w:color w:val="365F91" w:themeColor="accent1" w:themeShade="BF"/>
                      <w:sz w:val="20"/>
                      <w:szCs w:val="20"/>
                      <w:lang w:val="es-MX"/>
                    </w:rPr>
                  </w:pPr>
                  <w:r w:rsidRPr="00111094">
                    <w:rPr>
                      <w:rFonts w:ascii="Times New Roman" w:hAnsi="Times New Roman" w:cs="Times New Roman"/>
                      <w:color w:val="365F91" w:themeColor="accent1" w:themeShade="BF"/>
                      <w:sz w:val="20"/>
                      <w:szCs w:val="20"/>
                      <w:lang w:val="es-MX"/>
                    </w:rPr>
                    <w:t>- Almacenaje de mercadería (USD/posición/día).</w:t>
                  </w:r>
                </w:p>
              </w:tc>
            </w:tr>
          </w:tbl>
          <w:p w14:paraId="24B47194" w14:textId="77777777" w:rsidR="00FE0455" w:rsidRPr="00111094" w:rsidRDefault="00FE0455" w:rsidP="00FE04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anish/>
                <w:sz w:val="20"/>
                <w:szCs w:val="20"/>
                <w:lang w:val="es-MX"/>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098"/>
            </w:tblGrid>
            <w:tr w:rsidR="00FE0455" w:rsidRPr="00111094" w14:paraId="7D69A4DF" w14:textId="77777777" w:rsidTr="00FE0455">
              <w:trPr>
                <w:tblCellSpacing w:w="15" w:type="dxa"/>
              </w:trPr>
              <w:tc>
                <w:tcPr>
                  <w:tcW w:w="5038" w:type="dxa"/>
                  <w:vAlign w:val="center"/>
                  <w:hideMark/>
                </w:tcPr>
                <w:p w14:paraId="3975F5F6" w14:textId="0CC7D535" w:rsidR="00FE0455" w:rsidRPr="00111094" w:rsidRDefault="00FE0455" w:rsidP="00FE0455">
                  <w:pPr>
                    <w:spacing w:after="0" w:line="240" w:lineRule="auto"/>
                    <w:rPr>
                      <w:rFonts w:ascii="Times New Roman" w:hAnsi="Times New Roman" w:cs="Times New Roman"/>
                      <w:color w:val="365F91" w:themeColor="accent1" w:themeShade="BF"/>
                      <w:sz w:val="20"/>
                      <w:szCs w:val="20"/>
                      <w:lang w:val="es-MX"/>
                    </w:rPr>
                  </w:pPr>
                  <w:r w:rsidRPr="00111094">
                    <w:rPr>
                      <w:rFonts w:ascii="Times New Roman" w:hAnsi="Times New Roman" w:cs="Times New Roman"/>
                      <w:color w:val="365F91" w:themeColor="accent1" w:themeShade="BF"/>
                      <w:sz w:val="20"/>
                      <w:szCs w:val="20"/>
                      <w:lang w:val="es-MX"/>
                    </w:rPr>
                    <w:t>- Servicios aduaneros (verificaciones, movimientos, inspecciones).</w:t>
                  </w:r>
                </w:p>
              </w:tc>
            </w:tr>
          </w:tbl>
          <w:p w14:paraId="58E6FC4A" w14:textId="77777777" w:rsidR="00FE0455" w:rsidRPr="00111094" w:rsidRDefault="00FE0455" w:rsidP="00FE04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anish/>
                <w:sz w:val="20"/>
                <w:szCs w:val="20"/>
                <w:lang w:val="es-MX"/>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485"/>
            </w:tblGrid>
            <w:tr w:rsidR="00FE0455" w:rsidRPr="00111094" w14:paraId="5DED6852" w14:textId="77777777" w:rsidTr="00FE0455">
              <w:trPr>
                <w:tblCellSpacing w:w="15" w:type="dxa"/>
              </w:trPr>
              <w:tc>
                <w:tcPr>
                  <w:tcW w:w="2425" w:type="dxa"/>
                  <w:vAlign w:val="center"/>
                  <w:hideMark/>
                </w:tcPr>
                <w:p w14:paraId="306997B3" w14:textId="4682DB3A" w:rsidR="00FE0455" w:rsidRPr="00111094" w:rsidRDefault="00FE0455" w:rsidP="00FE0455">
                  <w:pPr>
                    <w:spacing w:after="0" w:line="240" w:lineRule="auto"/>
                    <w:rPr>
                      <w:rFonts w:ascii="Times New Roman" w:hAnsi="Times New Roman" w:cs="Times New Roman"/>
                      <w:color w:val="365F91" w:themeColor="accent1" w:themeShade="BF"/>
                      <w:sz w:val="20"/>
                      <w:szCs w:val="20"/>
                      <w:lang w:val="es-MX"/>
                    </w:rPr>
                  </w:pPr>
                  <w:r w:rsidRPr="00111094">
                    <w:rPr>
                      <w:rFonts w:ascii="Times New Roman" w:hAnsi="Times New Roman" w:cs="Times New Roman"/>
                      <w:color w:val="365F91" w:themeColor="accent1" w:themeShade="BF"/>
                      <w:sz w:val="20"/>
                      <w:szCs w:val="20"/>
                      <w:lang w:val="es-MX"/>
                    </w:rPr>
                    <w:t>- Manipuleo y servicios VAS.</w:t>
                  </w:r>
                </w:p>
              </w:tc>
            </w:tr>
          </w:tbl>
          <w:p w14:paraId="77C7F7C3" w14:textId="77777777" w:rsidR="00FE0455" w:rsidRPr="00111094" w:rsidRDefault="00FE0455" w:rsidP="00FE04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anish/>
                <w:sz w:val="20"/>
                <w:szCs w:val="20"/>
                <w:lang w:val="es-MX"/>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273"/>
            </w:tblGrid>
            <w:tr w:rsidR="00FE0455" w:rsidRPr="00111094" w14:paraId="35706D93" w14:textId="77777777" w:rsidTr="00FE0455">
              <w:trPr>
                <w:tblCellSpacing w:w="15" w:type="dxa"/>
              </w:trPr>
              <w:tc>
                <w:tcPr>
                  <w:tcW w:w="2213" w:type="dxa"/>
                  <w:vAlign w:val="center"/>
                  <w:hideMark/>
                </w:tcPr>
                <w:p w14:paraId="4D78FC35" w14:textId="76EEC076" w:rsidR="00FE0455" w:rsidRPr="00111094" w:rsidRDefault="00FE0455" w:rsidP="00FE0455">
                  <w:pPr>
                    <w:spacing w:after="0" w:line="240" w:lineRule="auto"/>
                    <w:rPr>
                      <w:rFonts w:ascii="Times New Roman" w:hAnsi="Times New Roman" w:cs="Times New Roman"/>
                      <w:color w:val="365F91" w:themeColor="accent1" w:themeShade="BF"/>
                      <w:sz w:val="20"/>
                      <w:szCs w:val="20"/>
                      <w:lang w:val="es-MX"/>
                    </w:rPr>
                  </w:pPr>
                  <w:r w:rsidRPr="00111094">
                    <w:rPr>
                      <w:rFonts w:ascii="Times New Roman" w:hAnsi="Times New Roman" w:cs="Times New Roman"/>
                      <w:color w:val="365F91" w:themeColor="accent1" w:themeShade="BF"/>
                      <w:sz w:val="20"/>
                      <w:szCs w:val="20"/>
                      <w:lang w:val="es-MX"/>
                    </w:rPr>
                    <w:t>- Transporte local/regional.</w:t>
                  </w:r>
                </w:p>
              </w:tc>
            </w:tr>
          </w:tbl>
          <w:p w14:paraId="35285E98" w14:textId="77777777" w:rsidR="00FE0455" w:rsidRPr="00111094" w:rsidRDefault="00FE0455" w:rsidP="00FE04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vanish/>
                <w:sz w:val="20"/>
                <w:szCs w:val="20"/>
                <w:lang w:val="es-MX"/>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968"/>
            </w:tblGrid>
            <w:tr w:rsidR="00FE0455" w:rsidRPr="00111094" w14:paraId="6B9FABE5" w14:textId="77777777" w:rsidTr="00FE0455">
              <w:trPr>
                <w:tblCellSpacing w:w="15" w:type="dxa"/>
              </w:trPr>
              <w:tc>
                <w:tcPr>
                  <w:tcW w:w="1908" w:type="dxa"/>
                  <w:vAlign w:val="center"/>
                  <w:hideMark/>
                </w:tcPr>
                <w:p w14:paraId="68C1BDEA" w14:textId="59AA3FC4" w:rsidR="00FE0455" w:rsidRPr="00111094" w:rsidRDefault="00FE0455" w:rsidP="00FE0455">
                  <w:pPr>
                    <w:spacing w:after="0" w:line="240" w:lineRule="auto"/>
                    <w:rPr>
                      <w:rFonts w:ascii="Times New Roman" w:hAnsi="Times New Roman" w:cs="Times New Roman"/>
                      <w:color w:val="365F91" w:themeColor="accent1" w:themeShade="BF"/>
                      <w:sz w:val="20"/>
                      <w:szCs w:val="20"/>
                      <w:lang w:val="es-MX"/>
                    </w:rPr>
                  </w:pPr>
                  <w:r w:rsidRPr="00111094">
                    <w:rPr>
                      <w:rFonts w:ascii="Times New Roman" w:hAnsi="Times New Roman" w:cs="Times New Roman"/>
                      <w:color w:val="365F91" w:themeColor="accent1" w:themeShade="BF"/>
                      <w:sz w:val="20"/>
                      <w:szCs w:val="20"/>
                      <w:lang w:val="es-MX"/>
                    </w:rPr>
                    <w:t>- Contratos integrados .</w:t>
                  </w:r>
                </w:p>
              </w:tc>
            </w:tr>
          </w:tbl>
          <w:p w14:paraId="5FE10C02" w14:textId="6FB7E063" w:rsidR="00E07893" w:rsidRPr="00111094" w:rsidRDefault="00E07893" w:rsidP="005329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BCE15FA" w14:textId="7F4570F5" w:rsidR="001B41BC" w:rsidRPr="00111094" w:rsidRDefault="001B41BC" w:rsidP="00280BDF">
      <w:pPr>
        <w:rPr>
          <w:rFonts w:ascii="Times New Roman" w:hAnsi="Times New Roman" w:cs="Times New Roman"/>
          <w:b/>
          <w:bCs/>
        </w:rPr>
      </w:pPr>
    </w:p>
    <w:p w14:paraId="2A3931EB" w14:textId="56980D86" w:rsidR="001B41BC" w:rsidRPr="00111094" w:rsidRDefault="001B41BC" w:rsidP="001B41BC">
      <w:pPr>
        <w:pStyle w:val="Ttulo2"/>
        <w:spacing w:after="240"/>
        <w:rPr>
          <w:rFonts w:ascii="Times New Roman" w:hAnsi="Times New Roman" w:cs="Times New Roman"/>
        </w:rPr>
      </w:pPr>
      <w:bookmarkStart w:id="62" w:name="_Toc228778762"/>
      <w:r w:rsidRPr="00111094">
        <w:rPr>
          <w:rFonts w:ascii="Times New Roman" w:hAnsi="Times New Roman" w:cs="Times New Roman"/>
        </w:rPr>
        <w:t>Estrategia comercial y de marketing B2B</w:t>
      </w:r>
      <w:bookmarkEnd w:id="62"/>
    </w:p>
    <w:p w14:paraId="6F3CBB84" w14:textId="77777777" w:rsidR="001B41BC" w:rsidRPr="00111094" w:rsidRDefault="001B41BC" w:rsidP="00CC46E5">
      <w:pPr>
        <w:spacing w:after="0"/>
        <w:rPr>
          <w:rFonts w:ascii="Times New Roman" w:hAnsi="Times New Roman" w:cs="Times New Roman"/>
          <w:b/>
          <w:bCs/>
        </w:rPr>
      </w:pPr>
      <w:r w:rsidRPr="00111094">
        <w:rPr>
          <w:rFonts w:ascii="Times New Roman" w:hAnsi="Times New Roman" w:cs="Times New Roman"/>
          <w:b/>
          <w:bCs/>
        </w:rPr>
        <w:t>Objetivos comerciales</w:t>
      </w:r>
    </w:p>
    <w:p w14:paraId="07F2AB2C" w14:textId="77777777" w:rsidR="001B41BC" w:rsidRPr="00111094" w:rsidRDefault="001B41BC">
      <w:pPr>
        <w:numPr>
          <w:ilvl w:val="0"/>
          <w:numId w:val="48"/>
        </w:numPr>
        <w:spacing w:after="0"/>
        <w:rPr>
          <w:rFonts w:ascii="Times New Roman" w:hAnsi="Times New Roman" w:cs="Times New Roman"/>
        </w:rPr>
      </w:pPr>
      <w:r w:rsidRPr="00111094">
        <w:rPr>
          <w:rFonts w:ascii="Times New Roman" w:hAnsi="Times New Roman" w:cs="Times New Roman"/>
        </w:rPr>
        <w:t>Alcanzar ocupación del 60 % en el año 2.</w:t>
      </w:r>
    </w:p>
    <w:p w14:paraId="039D5FF9" w14:textId="77777777" w:rsidR="001B41BC" w:rsidRPr="00111094" w:rsidRDefault="001B41BC">
      <w:pPr>
        <w:numPr>
          <w:ilvl w:val="0"/>
          <w:numId w:val="48"/>
        </w:numPr>
        <w:spacing w:after="0"/>
        <w:rPr>
          <w:rFonts w:ascii="Times New Roman" w:hAnsi="Times New Roman" w:cs="Times New Roman"/>
        </w:rPr>
      </w:pPr>
      <w:r w:rsidRPr="00111094">
        <w:rPr>
          <w:rFonts w:ascii="Times New Roman" w:hAnsi="Times New Roman" w:cs="Times New Roman"/>
        </w:rPr>
        <w:lastRenderedPageBreak/>
        <w:t>Captar 10 clientes AAA y 20 clientes AA en 36 meses.</w:t>
      </w:r>
    </w:p>
    <w:p w14:paraId="477794A5" w14:textId="111CC7ED" w:rsidR="001B41BC" w:rsidRPr="00111094" w:rsidRDefault="001B41BC">
      <w:pPr>
        <w:numPr>
          <w:ilvl w:val="0"/>
          <w:numId w:val="48"/>
        </w:numPr>
        <w:spacing w:after="0"/>
        <w:rPr>
          <w:rFonts w:ascii="Times New Roman" w:hAnsi="Times New Roman" w:cs="Times New Roman"/>
        </w:rPr>
      </w:pPr>
      <w:r w:rsidRPr="00111094">
        <w:rPr>
          <w:rFonts w:ascii="Times New Roman" w:hAnsi="Times New Roman" w:cs="Times New Roman"/>
        </w:rPr>
        <w:t xml:space="preserve">Convertirse en el </w:t>
      </w:r>
      <w:r w:rsidR="00CC46E5" w:rsidRPr="00111094">
        <w:rPr>
          <w:rFonts w:ascii="Times New Roman" w:hAnsi="Times New Roman" w:cs="Times New Roman"/>
        </w:rPr>
        <w:t xml:space="preserve">Depósito </w:t>
      </w:r>
      <w:r w:rsidRPr="00111094">
        <w:rPr>
          <w:rFonts w:ascii="Times New Roman" w:hAnsi="Times New Roman" w:cs="Times New Roman"/>
        </w:rPr>
        <w:t>F</w:t>
      </w:r>
      <w:r w:rsidR="00CC46E5" w:rsidRPr="00111094">
        <w:rPr>
          <w:rFonts w:ascii="Times New Roman" w:hAnsi="Times New Roman" w:cs="Times New Roman"/>
        </w:rPr>
        <w:t>iscal</w:t>
      </w:r>
      <w:r w:rsidRPr="00111094">
        <w:rPr>
          <w:rFonts w:ascii="Times New Roman" w:hAnsi="Times New Roman" w:cs="Times New Roman"/>
        </w:rPr>
        <w:t xml:space="preserve"> de referencia de Zona Norte.</w:t>
      </w:r>
    </w:p>
    <w:p w14:paraId="518E58D4" w14:textId="48A994DE" w:rsidR="001B41BC" w:rsidRPr="00111094" w:rsidRDefault="001B41BC" w:rsidP="00CC46E5">
      <w:pPr>
        <w:spacing w:before="240"/>
        <w:ind w:left="-284" w:firstLine="786"/>
        <w:rPr>
          <w:rFonts w:ascii="Times New Roman" w:hAnsi="Times New Roman" w:cs="Times New Roman"/>
          <w:b/>
          <w:bCs/>
        </w:rPr>
      </w:pPr>
      <w:r w:rsidRPr="00111094">
        <w:rPr>
          <w:rFonts w:ascii="Times New Roman" w:hAnsi="Times New Roman" w:cs="Times New Roman"/>
          <w:b/>
          <w:bCs/>
        </w:rPr>
        <w:t>Estrategias</w:t>
      </w:r>
      <w:r w:rsidR="00CC46E5" w:rsidRPr="00111094">
        <w:rPr>
          <w:rFonts w:ascii="Times New Roman" w:hAnsi="Times New Roman" w:cs="Times New Roman"/>
          <w:noProof/>
          <w:lang w:eastAsia="es-AR"/>
        </w:rPr>
        <w:drawing>
          <wp:inline distT="0" distB="0" distL="0" distR="0" wp14:anchorId="2CC0DD65" wp14:editId="0787B83F">
            <wp:extent cx="6391275" cy="2676525"/>
            <wp:effectExtent l="19050" t="0" r="28575" b="9525"/>
            <wp:docPr id="627445521"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0A909C12" w14:textId="01A66A58" w:rsidR="00456CA3" w:rsidRPr="00111094" w:rsidRDefault="00456CA3" w:rsidP="00456CA3">
      <w:pPr>
        <w:pStyle w:val="Ttulo2"/>
        <w:spacing w:after="240"/>
        <w:rPr>
          <w:rFonts w:ascii="Times New Roman" w:hAnsi="Times New Roman" w:cs="Times New Roman"/>
        </w:rPr>
      </w:pPr>
      <w:bookmarkStart w:id="63" w:name="_Toc228778763"/>
      <w:r w:rsidRPr="00111094">
        <w:rPr>
          <w:rFonts w:ascii="Times New Roman" w:hAnsi="Times New Roman" w:cs="Times New Roman"/>
        </w:rPr>
        <w:t>Plan de implementación</w:t>
      </w:r>
      <w:bookmarkEnd w:id="63"/>
    </w:p>
    <w:tbl>
      <w:tblPr>
        <w:tblStyle w:val="GridTable5DarkAccent1"/>
        <w:tblW w:w="9493" w:type="dxa"/>
        <w:tblLook w:val="04A0" w:firstRow="1" w:lastRow="0" w:firstColumn="1" w:lastColumn="0" w:noHBand="0" w:noVBand="1"/>
      </w:tblPr>
      <w:tblGrid>
        <w:gridCol w:w="2547"/>
        <w:gridCol w:w="5670"/>
        <w:gridCol w:w="1276"/>
      </w:tblGrid>
      <w:tr w:rsidR="00FC2262" w:rsidRPr="00111094" w14:paraId="541B522D" w14:textId="77777777" w:rsidTr="00FC22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724B0261" w14:textId="77777777" w:rsidR="00FC2262" w:rsidRPr="00111094" w:rsidRDefault="00FC2262" w:rsidP="004E4011">
            <w:pPr>
              <w:spacing w:line="276" w:lineRule="auto"/>
              <w:rPr>
                <w:rFonts w:ascii="Times New Roman" w:hAnsi="Times New Roman" w:cs="Times New Roman"/>
                <w:sz w:val="28"/>
                <w:szCs w:val="28"/>
                <w:lang w:val="es-MX"/>
              </w:rPr>
            </w:pPr>
            <w:r w:rsidRPr="00111094">
              <w:rPr>
                <w:rFonts w:ascii="Times New Roman" w:hAnsi="Times New Roman" w:cs="Times New Roman"/>
                <w:sz w:val="28"/>
                <w:szCs w:val="28"/>
                <w:lang w:val="es-MX"/>
              </w:rPr>
              <w:t>Fase</w:t>
            </w:r>
          </w:p>
        </w:tc>
        <w:tc>
          <w:tcPr>
            <w:tcW w:w="5670" w:type="dxa"/>
            <w:hideMark/>
          </w:tcPr>
          <w:p w14:paraId="42A73282" w14:textId="77777777" w:rsidR="00FC2262" w:rsidRPr="00111094" w:rsidRDefault="00FC2262"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es-MX"/>
              </w:rPr>
            </w:pPr>
            <w:r w:rsidRPr="00111094">
              <w:rPr>
                <w:rFonts w:ascii="Times New Roman" w:hAnsi="Times New Roman" w:cs="Times New Roman"/>
                <w:sz w:val="28"/>
                <w:szCs w:val="28"/>
                <w:lang w:val="es-MX"/>
              </w:rPr>
              <w:t>Actividad</w:t>
            </w:r>
          </w:p>
        </w:tc>
        <w:tc>
          <w:tcPr>
            <w:tcW w:w="1276" w:type="dxa"/>
            <w:hideMark/>
          </w:tcPr>
          <w:p w14:paraId="23497507" w14:textId="77777777" w:rsidR="00FC2262" w:rsidRPr="00111094" w:rsidRDefault="00FC2262"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lang w:val="es-MX"/>
              </w:rPr>
            </w:pPr>
            <w:r w:rsidRPr="00111094">
              <w:rPr>
                <w:rFonts w:ascii="Times New Roman" w:hAnsi="Times New Roman" w:cs="Times New Roman"/>
                <w:sz w:val="28"/>
                <w:szCs w:val="28"/>
                <w:lang w:val="es-MX"/>
              </w:rPr>
              <w:t>Meses</w:t>
            </w:r>
          </w:p>
        </w:tc>
      </w:tr>
      <w:tr w:rsidR="00FC2262" w:rsidRPr="00111094" w14:paraId="4ABE0E48"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372C70E0" w14:textId="77777777" w:rsidR="00FC2262" w:rsidRPr="00111094" w:rsidRDefault="00FC2262" w:rsidP="004E4011">
            <w:pPr>
              <w:spacing w:line="276" w:lineRule="auto"/>
              <w:rPr>
                <w:rFonts w:ascii="Times New Roman" w:hAnsi="Times New Roman" w:cs="Times New Roman"/>
                <w:sz w:val="24"/>
                <w:szCs w:val="24"/>
                <w:lang w:val="es-MX"/>
              </w:rPr>
            </w:pPr>
            <w:r w:rsidRPr="00111094">
              <w:rPr>
                <w:rFonts w:ascii="Times New Roman" w:hAnsi="Times New Roman" w:cs="Times New Roman"/>
                <w:sz w:val="24"/>
                <w:szCs w:val="24"/>
                <w:lang w:val="es-MX"/>
              </w:rPr>
              <w:t>Fase 1 – Preparación</w:t>
            </w:r>
          </w:p>
        </w:tc>
        <w:tc>
          <w:tcPr>
            <w:tcW w:w="5670" w:type="dxa"/>
            <w:hideMark/>
          </w:tcPr>
          <w:p w14:paraId="3EF303C3"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Ingeniería y layout</w:t>
            </w:r>
          </w:p>
        </w:tc>
        <w:tc>
          <w:tcPr>
            <w:tcW w:w="1276" w:type="dxa"/>
            <w:hideMark/>
          </w:tcPr>
          <w:p w14:paraId="0BE42723"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0–2</w:t>
            </w:r>
          </w:p>
        </w:tc>
      </w:tr>
      <w:tr w:rsidR="00FC2262" w:rsidRPr="00111094" w14:paraId="52E73003"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7836AC35"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6479551A"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Permisos municipales</w:t>
            </w:r>
          </w:p>
        </w:tc>
        <w:tc>
          <w:tcPr>
            <w:tcW w:w="1276" w:type="dxa"/>
            <w:hideMark/>
          </w:tcPr>
          <w:p w14:paraId="1DC2BD5C"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0–4</w:t>
            </w:r>
          </w:p>
        </w:tc>
      </w:tr>
      <w:tr w:rsidR="00FC2262" w:rsidRPr="00111094" w14:paraId="0DDB5C4A"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hideMark/>
          </w:tcPr>
          <w:p w14:paraId="0A29C8C5"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0007F3B4"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Planos DGA + RG 4352/18</w:t>
            </w:r>
          </w:p>
        </w:tc>
        <w:tc>
          <w:tcPr>
            <w:tcW w:w="1276" w:type="dxa"/>
            <w:hideMark/>
          </w:tcPr>
          <w:p w14:paraId="4C1CF477"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1–5</w:t>
            </w:r>
          </w:p>
        </w:tc>
      </w:tr>
      <w:tr w:rsidR="00FC2262" w:rsidRPr="00111094" w14:paraId="5197DDC2"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337048F1"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75AB1905"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Licitación y selección de proveedores</w:t>
            </w:r>
          </w:p>
        </w:tc>
        <w:tc>
          <w:tcPr>
            <w:tcW w:w="1276" w:type="dxa"/>
            <w:hideMark/>
          </w:tcPr>
          <w:p w14:paraId="3FEBBBFE"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4–6</w:t>
            </w:r>
          </w:p>
        </w:tc>
      </w:tr>
      <w:tr w:rsidR="00FC2262" w:rsidRPr="00111094" w14:paraId="5ABB6340"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4A233730" w14:textId="77777777" w:rsidR="00FC2262" w:rsidRPr="00111094" w:rsidRDefault="00FC2262" w:rsidP="004E4011">
            <w:pPr>
              <w:spacing w:line="276" w:lineRule="auto"/>
              <w:rPr>
                <w:rFonts w:ascii="Times New Roman" w:hAnsi="Times New Roman" w:cs="Times New Roman"/>
                <w:sz w:val="24"/>
                <w:szCs w:val="24"/>
                <w:lang w:val="es-MX"/>
              </w:rPr>
            </w:pPr>
            <w:r w:rsidRPr="00111094">
              <w:rPr>
                <w:rFonts w:ascii="Times New Roman" w:hAnsi="Times New Roman" w:cs="Times New Roman"/>
                <w:sz w:val="24"/>
                <w:szCs w:val="24"/>
                <w:lang w:val="es-MX"/>
              </w:rPr>
              <w:t>Fase 2 – Construcción</w:t>
            </w:r>
          </w:p>
        </w:tc>
        <w:tc>
          <w:tcPr>
            <w:tcW w:w="5670" w:type="dxa"/>
            <w:hideMark/>
          </w:tcPr>
          <w:p w14:paraId="440912DD"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Obra civil principal</w:t>
            </w:r>
          </w:p>
        </w:tc>
        <w:tc>
          <w:tcPr>
            <w:tcW w:w="1276" w:type="dxa"/>
            <w:hideMark/>
          </w:tcPr>
          <w:p w14:paraId="2B258DBD"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6–16</w:t>
            </w:r>
          </w:p>
        </w:tc>
      </w:tr>
      <w:tr w:rsidR="00FC2262" w:rsidRPr="00111094" w14:paraId="424F6F21"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61DB750D"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3B2655A8"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Instalación red contra incendio NFPA</w:t>
            </w:r>
          </w:p>
        </w:tc>
        <w:tc>
          <w:tcPr>
            <w:tcW w:w="1276" w:type="dxa"/>
            <w:hideMark/>
          </w:tcPr>
          <w:p w14:paraId="48B0D104"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8–16</w:t>
            </w:r>
          </w:p>
        </w:tc>
      </w:tr>
      <w:tr w:rsidR="00FC2262" w:rsidRPr="00111094" w14:paraId="0A298BDD"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hideMark/>
          </w:tcPr>
          <w:p w14:paraId="7C67154F"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19A96D1D"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Instalación racks, CCTV, fibra óptica</w:t>
            </w:r>
          </w:p>
        </w:tc>
        <w:tc>
          <w:tcPr>
            <w:tcW w:w="1276" w:type="dxa"/>
            <w:hideMark/>
          </w:tcPr>
          <w:p w14:paraId="13CBBD4A"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12–18</w:t>
            </w:r>
          </w:p>
        </w:tc>
      </w:tr>
      <w:tr w:rsidR="00FC2262" w:rsidRPr="00111094" w14:paraId="4A889A78"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76E757CD"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24204E5B"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Integración WMS–AFIP/ARCA</w:t>
            </w:r>
          </w:p>
        </w:tc>
        <w:tc>
          <w:tcPr>
            <w:tcW w:w="1276" w:type="dxa"/>
            <w:hideMark/>
          </w:tcPr>
          <w:p w14:paraId="066ACEB5"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14–18</w:t>
            </w:r>
          </w:p>
        </w:tc>
      </w:tr>
      <w:tr w:rsidR="00FC2262" w:rsidRPr="00111094" w14:paraId="2917792D"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759AC794" w14:textId="77777777" w:rsidR="00FC2262" w:rsidRPr="00111094" w:rsidRDefault="00FC2262" w:rsidP="004E4011">
            <w:pPr>
              <w:spacing w:line="276" w:lineRule="auto"/>
              <w:rPr>
                <w:rFonts w:ascii="Times New Roman" w:hAnsi="Times New Roman" w:cs="Times New Roman"/>
                <w:sz w:val="24"/>
                <w:szCs w:val="24"/>
                <w:lang w:val="es-MX"/>
              </w:rPr>
            </w:pPr>
            <w:r w:rsidRPr="00111094">
              <w:rPr>
                <w:rFonts w:ascii="Times New Roman" w:hAnsi="Times New Roman" w:cs="Times New Roman"/>
                <w:sz w:val="24"/>
                <w:szCs w:val="24"/>
                <w:lang w:val="es-MX"/>
              </w:rPr>
              <w:t>Fase 3 – Habilitación y pruebas</w:t>
            </w:r>
          </w:p>
        </w:tc>
        <w:tc>
          <w:tcPr>
            <w:tcW w:w="5670" w:type="dxa"/>
            <w:hideMark/>
          </w:tcPr>
          <w:p w14:paraId="4DE77EBD"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Auditorías DGA</w:t>
            </w:r>
          </w:p>
        </w:tc>
        <w:tc>
          <w:tcPr>
            <w:tcW w:w="1276" w:type="dxa"/>
            <w:hideMark/>
          </w:tcPr>
          <w:p w14:paraId="44F5E9CF"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18–20</w:t>
            </w:r>
          </w:p>
        </w:tc>
      </w:tr>
      <w:tr w:rsidR="00FC2262" w:rsidRPr="00111094" w14:paraId="57CD245B"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04907810"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355AA095"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Pruebas de sistemas y procesos</w:t>
            </w:r>
          </w:p>
        </w:tc>
        <w:tc>
          <w:tcPr>
            <w:tcW w:w="1276" w:type="dxa"/>
            <w:hideMark/>
          </w:tcPr>
          <w:p w14:paraId="70CF3264"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19–21</w:t>
            </w:r>
          </w:p>
        </w:tc>
      </w:tr>
      <w:tr w:rsidR="00FC2262" w:rsidRPr="00111094" w14:paraId="74B7762C"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hideMark/>
          </w:tcPr>
          <w:p w14:paraId="73F8A4FA"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24DDF692"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Contratación + capacitación</w:t>
            </w:r>
          </w:p>
        </w:tc>
        <w:tc>
          <w:tcPr>
            <w:tcW w:w="1276" w:type="dxa"/>
            <w:hideMark/>
          </w:tcPr>
          <w:p w14:paraId="7248FA4E"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20–22</w:t>
            </w:r>
          </w:p>
        </w:tc>
      </w:tr>
      <w:tr w:rsidR="00FC2262" w:rsidRPr="00111094" w14:paraId="751FA1EC"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3D3D6F4B" w14:textId="77777777" w:rsidR="00FC2262" w:rsidRPr="00111094" w:rsidRDefault="00FC2262" w:rsidP="004E4011">
            <w:pPr>
              <w:spacing w:line="276" w:lineRule="auto"/>
              <w:rPr>
                <w:rFonts w:ascii="Times New Roman" w:hAnsi="Times New Roman" w:cs="Times New Roman"/>
                <w:sz w:val="24"/>
                <w:szCs w:val="24"/>
                <w:lang w:val="es-MX"/>
              </w:rPr>
            </w:pPr>
            <w:r w:rsidRPr="00111094">
              <w:rPr>
                <w:rFonts w:ascii="Times New Roman" w:hAnsi="Times New Roman" w:cs="Times New Roman"/>
                <w:sz w:val="24"/>
                <w:szCs w:val="24"/>
                <w:lang w:val="es-MX"/>
              </w:rPr>
              <w:t>Fase 4 – Puesta en marcha</w:t>
            </w:r>
          </w:p>
        </w:tc>
        <w:tc>
          <w:tcPr>
            <w:tcW w:w="5670" w:type="dxa"/>
            <w:hideMark/>
          </w:tcPr>
          <w:p w14:paraId="78E36D14"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11094">
              <w:rPr>
                <w:rFonts w:ascii="Times New Roman" w:hAnsi="Times New Roman" w:cs="Times New Roman"/>
                <w:sz w:val="24"/>
                <w:szCs w:val="24"/>
                <w:lang w:val="en-US"/>
              </w:rPr>
              <w:t>Soft opening con 2 clientes piloto</w:t>
            </w:r>
          </w:p>
        </w:tc>
        <w:tc>
          <w:tcPr>
            <w:tcW w:w="1276" w:type="dxa"/>
            <w:hideMark/>
          </w:tcPr>
          <w:p w14:paraId="47DC9A7E"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22–23</w:t>
            </w:r>
          </w:p>
        </w:tc>
      </w:tr>
      <w:tr w:rsidR="00FC2262" w:rsidRPr="00111094" w14:paraId="0AB4CD18"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hideMark/>
          </w:tcPr>
          <w:p w14:paraId="5993C5E1"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151B3F5A"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Ajustes operativos</w:t>
            </w:r>
          </w:p>
        </w:tc>
        <w:tc>
          <w:tcPr>
            <w:tcW w:w="1276" w:type="dxa"/>
            <w:hideMark/>
          </w:tcPr>
          <w:p w14:paraId="515A27C7"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22–24</w:t>
            </w:r>
          </w:p>
        </w:tc>
      </w:tr>
      <w:tr w:rsidR="00FC2262" w:rsidRPr="00111094" w14:paraId="4D95E402"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val="restart"/>
            <w:hideMark/>
          </w:tcPr>
          <w:p w14:paraId="552CD65A" w14:textId="77777777" w:rsidR="00FC2262" w:rsidRPr="00111094" w:rsidRDefault="00FC2262" w:rsidP="004E4011">
            <w:pPr>
              <w:spacing w:line="276" w:lineRule="auto"/>
              <w:rPr>
                <w:rFonts w:ascii="Times New Roman" w:hAnsi="Times New Roman" w:cs="Times New Roman"/>
                <w:sz w:val="24"/>
                <w:szCs w:val="24"/>
                <w:lang w:val="es-MX"/>
              </w:rPr>
            </w:pPr>
            <w:r w:rsidRPr="00111094">
              <w:rPr>
                <w:rFonts w:ascii="Times New Roman" w:hAnsi="Times New Roman" w:cs="Times New Roman"/>
                <w:sz w:val="24"/>
                <w:szCs w:val="24"/>
                <w:lang w:val="es-MX"/>
              </w:rPr>
              <w:t>Fase 5 – Crecimiento</w:t>
            </w:r>
          </w:p>
        </w:tc>
        <w:tc>
          <w:tcPr>
            <w:tcW w:w="5670" w:type="dxa"/>
            <w:hideMark/>
          </w:tcPr>
          <w:p w14:paraId="34282339"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Escalamiento comercial</w:t>
            </w:r>
          </w:p>
        </w:tc>
        <w:tc>
          <w:tcPr>
            <w:tcW w:w="1276" w:type="dxa"/>
            <w:hideMark/>
          </w:tcPr>
          <w:p w14:paraId="02DC0419"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24–30</w:t>
            </w:r>
          </w:p>
        </w:tc>
      </w:tr>
      <w:tr w:rsidR="00FC2262" w:rsidRPr="00111094" w14:paraId="25ED7455" w14:textId="77777777" w:rsidTr="00FC2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Merge/>
            <w:hideMark/>
          </w:tcPr>
          <w:p w14:paraId="0A591206"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16152CE0"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Ocupación objetivo 60–75 %</w:t>
            </w:r>
          </w:p>
        </w:tc>
        <w:tc>
          <w:tcPr>
            <w:tcW w:w="1276" w:type="dxa"/>
            <w:hideMark/>
          </w:tcPr>
          <w:p w14:paraId="456745CC" w14:textId="77777777" w:rsidR="00FC2262" w:rsidRPr="00111094" w:rsidRDefault="00FC2262"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24–36</w:t>
            </w:r>
          </w:p>
        </w:tc>
      </w:tr>
      <w:tr w:rsidR="00FC2262" w:rsidRPr="00111094" w14:paraId="0A1C56A7" w14:textId="77777777" w:rsidTr="00FC2262">
        <w:tc>
          <w:tcPr>
            <w:cnfStyle w:val="001000000000" w:firstRow="0" w:lastRow="0" w:firstColumn="1" w:lastColumn="0" w:oddVBand="0" w:evenVBand="0" w:oddHBand="0" w:evenHBand="0" w:firstRowFirstColumn="0" w:firstRowLastColumn="0" w:lastRowFirstColumn="0" w:lastRowLastColumn="0"/>
            <w:tcW w:w="2547" w:type="dxa"/>
            <w:vMerge/>
            <w:hideMark/>
          </w:tcPr>
          <w:p w14:paraId="2194B6D3" w14:textId="77777777" w:rsidR="00FC2262" w:rsidRPr="00111094" w:rsidRDefault="00FC2262" w:rsidP="004E4011">
            <w:pPr>
              <w:spacing w:line="276" w:lineRule="auto"/>
              <w:rPr>
                <w:rFonts w:ascii="Times New Roman" w:hAnsi="Times New Roman" w:cs="Times New Roman"/>
                <w:sz w:val="24"/>
                <w:szCs w:val="24"/>
                <w:lang w:val="es-MX"/>
              </w:rPr>
            </w:pPr>
          </w:p>
        </w:tc>
        <w:tc>
          <w:tcPr>
            <w:tcW w:w="5670" w:type="dxa"/>
            <w:hideMark/>
          </w:tcPr>
          <w:p w14:paraId="61367D3D"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Evaluación de ampliación a 30.000 m²</w:t>
            </w:r>
          </w:p>
        </w:tc>
        <w:tc>
          <w:tcPr>
            <w:tcW w:w="1276" w:type="dxa"/>
            <w:hideMark/>
          </w:tcPr>
          <w:p w14:paraId="026F7D08" w14:textId="77777777" w:rsidR="00FC2262" w:rsidRPr="00111094" w:rsidRDefault="00FC2262"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MX"/>
              </w:rPr>
            </w:pPr>
            <w:r w:rsidRPr="00111094">
              <w:rPr>
                <w:rFonts w:ascii="Times New Roman" w:hAnsi="Times New Roman" w:cs="Times New Roman"/>
                <w:sz w:val="24"/>
                <w:szCs w:val="24"/>
                <w:lang w:val="es-MX"/>
              </w:rPr>
              <w:t>30–36</w:t>
            </w:r>
          </w:p>
        </w:tc>
      </w:tr>
    </w:tbl>
    <w:p w14:paraId="4864293C" w14:textId="77777777" w:rsidR="00CE1129" w:rsidRPr="00CE1129" w:rsidRDefault="00CE1129" w:rsidP="00CE112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41A04189" w14:textId="77777777" w:rsidR="00C95637" w:rsidRPr="00111094" w:rsidRDefault="00C95637">
      <w:pPr>
        <w:rPr>
          <w:rFonts w:ascii="Times New Roman" w:eastAsiaTheme="majorEastAsia" w:hAnsi="Times New Roman" w:cs="Times New Roman"/>
          <w:b/>
          <w:bCs/>
          <w:color w:val="4F81BD" w:themeColor="accent1"/>
          <w:w w:val="70"/>
          <w:sz w:val="40"/>
          <w:szCs w:val="40"/>
        </w:rPr>
      </w:pPr>
      <w:r w:rsidRPr="00111094">
        <w:rPr>
          <w:rFonts w:ascii="Times New Roman" w:hAnsi="Times New Roman" w:cs="Times New Roman"/>
          <w:color w:val="4F81BD" w:themeColor="accent1"/>
          <w:w w:val="70"/>
          <w:sz w:val="40"/>
          <w:szCs w:val="40"/>
        </w:rPr>
        <w:br w:type="page"/>
      </w:r>
    </w:p>
    <w:p w14:paraId="334E1F74" w14:textId="47346F57" w:rsidR="00656ED2" w:rsidRPr="00111094" w:rsidRDefault="000577D0" w:rsidP="00F55C5A">
      <w:pPr>
        <w:pStyle w:val="Ttulo1"/>
        <w:pBdr>
          <w:bottom w:val="single" w:sz="12" w:space="1" w:color="4F81BD" w:themeColor="accent1"/>
        </w:pBdr>
        <w:spacing w:line="240" w:lineRule="auto"/>
        <w:jc w:val="both"/>
        <w:rPr>
          <w:rFonts w:ascii="Times New Roman" w:hAnsi="Times New Roman" w:cs="Times New Roman"/>
          <w:color w:val="4F81BD" w:themeColor="accent1"/>
          <w:w w:val="70"/>
          <w:sz w:val="40"/>
          <w:szCs w:val="40"/>
        </w:rPr>
      </w:pPr>
      <w:bookmarkStart w:id="64" w:name="_Toc228778764"/>
      <w:r w:rsidRPr="00111094">
        <w:rPr>
          <w:rFonts w:ascii="Times New Roman" w:hAnsi="Times New Roman" w:cs="Times New Roman"/>
          <w:color w:val="4F81BD" w:themeColor="accent1"/>
          <w:w w:val="70"/>
          <w:sz w:val="40"/>
          <w:szCs w:val="40"/>
        </w:rPr>
        <w:lastRenderedPageBreak/>
        <w:t xml:space="preserve">CAPÍTULO </w:t>
      </w:r>
      <w:r w:rsidR="00C0460F" w:rsidRPr="00111094">
        <w:rPr>
          <w:rFonts w:ascii="Times New Roman" w:hAnsi="Times New Roman" w:cs="Times New Roman"/>
          <w:color w:val="4F81BD" w:themeColor="accent1"/>
          <w:w w:val="70"/>
          <w:sz w:val="40"/>
          <w:szCs w:val="40"/>
        </w:rPr>
        <w:t>8</w:t>
      </w:r>
      <w:r w:rsidR="00656ED2" w:rsidRPr="00111094">
        <w:rPr>
          <w:rFonts w:ascii="Times New Roman" w:hAnsi="Times New Roman" w:cs="Times New Roman"/>
          <w:color w:val="4F81BD" w:themeColor="accent1"/>
          <w:w w:val="70"/>
          <w:sz w:val="40"/>
          <w:szCs w:val="40"/>
        </w:rPr>
        <w:t xml:space="preserve"> -</w:t>
      </w:r>
      <w:r w:rsidR="00C0460F" w:rsidRPr="00111094">
        <w:rPr>
          <w:rFonts w:ascii="Times New Roman" w:hAnsi="Times New Roman" w:cs="Times New Roman"/>
          <w:color w:val="4F81BD" w:themeColor="accent1"/>
          <w:w w:val="70"/>
          <w:sz w:val="40"/>
          <w:szCs w:val="40"/>
        </w:rPr>
        <w:t xml:space="preserve"> PROCESOS Y RECURSOS</w:t>
      </w:r>
      <w:bookmarkEnd w:id="64"/>
      <w:r w:rsidR="00C0460F" w:rsidRPr="00111094">
        <w:rPr>
          <w:rFonts w:ascii="Times New Roman" w:hAnsi="Times New Roman" w:cs="Times New Roman"/>
          <w:color w:val="4F81BD" w:themeColor="accent1"/>
          <w:w w:val="70"/>
          <w:sz w:val="40"/>
          <w:szCs w:val="40"/>
        </w:rPr>
        <w:t xml:space="preserve"> </w:t>
      </w:r>
    </w:p>
    <w:p w14:paraId="35A6F187" w14:textId="53997AEA" w:rsidR="00EA79CE" w:rsidRPr="00EA79CE" w:rsidRDefault="00EA79CE" w:rsidP="00EA79CE">
      <w:pPr>
        <w:pStyle w:val="Ttulo2"/>
        <w:spacing w:after="240"/>
        <w:ind w:firstLine="720"/>
        <w:jc w:val="both"/>
        <w:rPr>
          <w:rFonts w:ascii="Times New Roman" w:eastAsiaTheme="minorEastAsia" w:hAnsi="Times New Roman" w:cs="Times New Roman"/>
          <w:b w:val="0"/>
          <w:bCs w:val="0"/>
          <w:color w:val="auto"/>
          <w:sz w:val="24"/>
          <w:szCs w:val="24"/>
        </w:rPr>
      </w:pPr>
      <w:bookmarkStart w:id="65" w:name="_Toc228778765"/>
      <w:r w:rsidRPr="00EA79CE">
        <w:rPr>
          <w:rFonts w:ascii="Times New Roman" w:eastAsiaTheme="minorEastAsia" w:hAnsi="Times New Roman" w:cs="Times New Roman"/>
          <w:b w:val="0"/>
          <w:bCs w:val="0"/>
          <w:color w:val="auto"/>
          <w:sz w:val="24"/>
          <w:szCs w:val="24"/>
        </w:rPr>
        <w:t>En el presente capítulo, los SLA (Service Level Agreements) representan los compromisos de servicio asumidos con los clientes, los SPO (Standard Process Objectives) definen los objetivos operativos internos, y los KPI constituyen las métricas de control y seguimiento del desempeño operativo.</w:t>
      </w:r>
      <w:bookmarkEnd w:id="65"/>
    </w:p>
    <w:p w14:paraId="5AFD2300" w14:textId="1FF5D988" w:rsidR="00C95637" w:rsidRPr="00111094" w:rsidRDefault="00C95637" w:rsidP="00F55C5A">
      <w:pPr>
        <w:pStyle w:val="Ttulo2"/>
        <w:spacing w:after="240"/>
        <w:jc w:val="both"/>
        <w:rPr>
          <w:rFonts w:ascii="Times New Roman" w:hAnsi="Times New Roman" w:cs="Times New Roman"/>
        </w:rPr>
      </w:pPr>
      <w:bookmarkStart w:id="66" w:name="_Toc228778766"/>
      <w:r w:rsidRPr="00111094">
        <w:rPr>
          <w:rFonts w:ascii="Times New Roman" w:hAnsi="Times New Roman" w:cs="Times New Roman"/>
        </w:rPr>
        <w:t>Introducción al Modelo Operativo del Depósito Fiscal</w:t>
      </w:r>
      <w:bookmarkEnd w:id="66"/>
    </w:p>
    <w:p w14:paraId="3C349197" w14:textId="0F7D4076" w:rsidR="00C95637" w:rsidRPr="00111094" w:rsidRDefault="00C95637" w:rsidP="00F55C5A">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modelo operativo del Depósito Fiscal está diseñado para garantizar eficiencia, trazabilidad total y cumplimiento normativo</w:t>
      </w:r>
      <w:r w:rsidR="009234F5" w:rsidRPr="00111094">
        <w:rPr>
          <w:rFonts w:ascii="Times New Roman" w:hAnsi="Times New Roman" w:cs="Times New Roman"/>
          <w:sz w:val="24"/>
          <w:szCs w:val="24"/>
        </w:rPr>
        <w:t xml:space="preserve"> vigente en Argentina</w:t>
      </w:r>
      <w:r w:rsidRPr="00111094">
        <w:rPr>
          <w:rFonts w:ascii="Times New Roman" w:hAnsi="Times New Roman" w:cs="Times New Roman"/>
          <w:sz w:val="24"/>
          <w:szCs w:val="24"/>
        </w:rPr>
        <w:t>, integrando operaciones aduaneras, almacenaje y servicios de valor agregado bajo estándares internacionales</w:t>
      </w:r>
      <w:r w:rsidR="009234F5" w:rsidRPr="00111094">
        <w:rPr>
          <w:rFonts w:ascii="Times New Roman" w:hAnsi="Times New Roman" w:cs="Times New Roman"/>
          <w:sz w:val="24"/>
          <w:szCs w:val="24"/>
        </w:rPr>
        <w:t xml:space="preserve"> y las </w:t>
      </w:r>
      <w:r w:rsidRPr="00111094">
        <w:rPr>
          <w:rFonts w:ascii="Times New Roman" w:hAnsi="Times New Roman" w:cs="Times New Roman"/>
          <w:sz w:val="24"/>
          <w:szCs w:val="24"/>
        </w:rPr>
        <w:t>mejores prácticas 3PL.</w:t>
      </w:r>
    </w:p>
    <w:p w14:paraId="47C2187C" w14:textId="77777777" w:rsidR="00C95637" w:rsidRPr="00111094" w:rsidRDefault="00C95637" w:rsidP="00E10DC8">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diseño del proceso prioriza:</w:t>
      </w:r>
    </w:p>
    <w:p w14:paraId="7C322396" w14:textId="77777777" w:rsidR="00C95637" w:rsidRPr="00111094" w:rsidRDefault="00C95637">
      <w:pPr>
        <w:numPr>
          <w:ilvl w:val="0"/>
          <w:numId w:val="49"/>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Minimizar tiempos de permanencia en el régimen fiscal.</w:t>
      </w:r>
    </w:p>
    <w:p w14:paraId="2A8C29D4" w14:textId="77777777" w:rsidR="00C95637" w:rsidRPr="00111094" w:rsidRDefault="00C95637">
      <w:pPr>
        <w:numPr>
          <w:ilvl w:val="0"/>
          <w:numId w:val="49"/>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Cumplir con la RG 4352/18 y normativas de seguridad aduanera.</w:t>
      </w:r>
    </w:p>
    <w:p w14:paraId="5E2D7910" w14:textId="77777777" w:rsidR="00C95637" w:rsidRPr="00111094" w:rsidRDefault="00C95637">
      <w:pPr>
        <w:numPr>
          <w:ilvl w:val="0"/>
          <w:numId w:val="49"/>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Proveer visibilidad 360° al cliente mediante WMS integrado.</w:t>
      </w:r>
    </w:p>
    <w:p w14:paraId="118A4CDB" w14:textId="77777777" w:rsidR="00C95637" w:rsidRPr="00111094" w:rsidRDefault="00C95637">
      <w:pPr>
        <w:numPr>
          <w:ilvl w:val="0"/>
          <w:numId w:val="49"/>
        </w:numPr>
        <w:tabs>
          <w:tab w:val="num" w:pos="720"/>
        </w:tabs>
        <w:spacing w:after="0"/>
        <w:jc w:val="both"/>
        <w:rPr>
          <w:rFonts w:ascii="Times New Roman" w:hAnsi="Times New Roman" w:cs="Times New Roman"/>
          <w:sz w:val="24"/>
          <w:szCs w:val="24"/>
        </w:rPr>
      </w:pPr>
      <w:r w:rsidRPr="00111094">
        <w:rPr>
          <w:rFonts w:ascii="Times New Roman" w:hAnsi="Times New Roman" w:cs="Times New Roman"/>
          <w:sz w:val="24"/>
          <w:szCs w:val="24"/>
        </w:rPr>
        <w:t>Operar con KPI y SLA formales para asegurar consistencia de servicio.</w:t>
      </w:r>
    </w:p>
    <w:p w14:paraId="013A570E" w14:textId="3DCE2A74" w:rsidR="00533940" w:rsidRPr="00111094" w:rsidRDefault="00533940" w:rsidP="00F55C5A">
      <w:pPr>
        <w:spacing w:after="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 xml:space="preserve">La incorporación de SLA (Service Level Agreement) y </w:t>
      </w:r>
      <w:r w:rsidRPr="00111094">
        <w:rPr>
          <w:rFonts w:ascii="Times New Roman" w:hAnsi="Times New Roman" w:cs="Times New Roman"/>
          <w:b/>
          <w:bCs/>
          <w:sz w:val="24"/>
          <w:szCs w:val="24"/>
          <w:lang w:val="es-MX"/>
        </w:rPr>
        <w:t xml:space="preserve">SPO </w:t>
      </w:r>
      <w:r w:rsidRPr="00111094">
        <w:rPr>
          <w:rFonts w:ascii="Times New Roman" w:hAnsi="Times New Roman" w:cs="Times New Roman"/>
          <w:sz w:val="24"/>
          <w:szCs w:val="24"/>
          <w:lang w:val="es-MX"/>
        </w:rPr>
        <w:t>(Service Performance Objective) en el modelo operativo del Depósito Fiscal es fundamental para asegurar la calidad del servicio, el cumplimiento normativo y la eficiencia de los procesos críticos asociados al comercio exterior.</w:t>
      </w:r>
    </w:p>
    <w:p w14:paraId="362A77AC" w14:textId="29A51B97" w:rsidR="00533940" w:rsidRPr="00111094" w:rsidRDefault="00533940" w:rsidP="00F55C5A">
      <w:pPr>
        <w:spacing w:after="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En primer lugar, los SLA permiten establecer de manera explícita los niveles de servicio comprometidos con los clientes, definiendo tiempos máximos, estándares de calidad y métricas objetivas para evaluar el desempeño operativo. Estas definiciones son esenciales en un depósito fiscal, donde la confiabilidad, la trazabilidad y el cumplimiento normativo son requisitos indispensables exigidos y por los sistemas de control aduanero (SIM/ARCA). La existencia de SLAs consolida una relación contractual transparente y medible con los clientes, especialmente aquellos clasificados como AAA o multinacionales, que requieren procesos auditables y consistentes.</w:t>
      </w:r>
    </w:p>
    <w:p w14:paraId="163DD52F" w14:textId="77777777" w:rsidR="00533940" w:rsidRPr="00111094" w:rsidRDefault="00533940" w:rsidP="00F55C5A">
      <w:pPr>
        <w:spacing w:after="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Por su parte, los SPO constituyen los objetivos internos de desempeño que el equipo operativo utiliza para planificar recursos, anticipar cuellos de botella y garantizar que los SLA comprometidos puedan cumplirse de manera sostenida. Mientras el SLA representa el compromiso externo, el SPO define la meta operativa interna más exigente, necesaria para asegurar consistencia y capacidad de respuesta aun en escenarios de alta demanda o inspecciones aduaneras intensivas.</w:t>
      </w:r>
    </w:p>
    <w:p w14:paraId="5D2826E4" w14:textId="77777777" w:rsidR="00533940" w:rsidRPr="00111094" w:rsidRDefault="00533940" w:rsidP="00F55C5A">
      <w:pPr>
        <w:spacing w:after="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 xml:space="preserve">La relevancia de implementar un esquema SLA/SPO en este proyecto radica en que el Depósito Fiscal se posiciona como un servicio estratégico y altamente regulado, donde los tiempos de ingreso, descarga, inspección, liberación y egreso inciden directamente en los costos logísticos, la competitividad de los clientes y la eficiencia global de la cadena de suministro. Contar con SLA/SPO definidos permite reducir tiempos ociosos, minimizar errores </w:t>
      </w:r>
      <w:r w:rsidRPr="00111094">
        <w:rPr>
          <w:rFonts w:ascii="Times New Roman" w:hAnsi="Times New Roman" w:cs="Times New Roman"/>
          <w:sz w:val="24"/>
          <w:szCs w:val="24"/>
          <w:lang w:val="es-MX"/>
        </w:rPr>
        <w:lastRenderedPageBreak/>
        <w:t>documentales, ordenar los procesos operativos y garantizar la trazabilidad end-to-end exigida por la normativa vigente.</w:t>
      </w:r>
    </w:p>
    <w:p w14:paraId="6868E938" w14:textId="40EB3B7B" w:rsidR="00533940" w:rsidRPr="00111094" w:rsidRDefault="00533940" w:rsidP="00F55C5A">
      <w:pPr>
        <w:spacing w:after="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La definición formal de SLA y SPO constituye un elemento estructural del modelo operativo del Depósito Fiscal, porque asegura calidad, previsibilidad, cumplimiento, ventajas competitivas y alineación con las mejores prácticas de logística aduanera. Sin estos instrumentos, no sería posible garantizar un servicio confiable ni escalar la operación con la consistencia que demandan los clientes estratégicos del proyecto.</w:t>
      </w:r>
    </w:p>
    <w:p w14:paraId="5C3C61AE" w14:textId="660DA3E8" w:rsidR="009234F5" w:rsidRPr="00111094" w:rsidRDefault="009234F5" w:rsidP="00F55C5A">
      <w:pPr>
        <w:pStyle w:val="Ttulo2"/>
        <w:spacing w:after="240"/>
        <w:jc w:val="both"/>
        <w:rPr>
          <w:rFonts w:ascii="Times New Roman" w:hAnsi="Times New Roman" w:cs="Times New Roman"/>
        </w:rPr>
      </w:pPr>
      <w:bookmarkStart w:id="67" w:name="_Toc228778767"/>
      <w:r w:rsidRPr="00111094">
        <w:rPr>
          <w:rFonts w:ascii="Times New Roman" w:hAnsi="Times New Roman" w:cs="Times New Roman"/>
        </w:rPr>
        <w:t xml:space="preserve">Procesos Operativos </w:t>
      </w:r>
      <w:r w:rsidR="003D7299" w:rsidRPr="00111094">
        <w:rPr>
          <w:rFonts w:ascii="Times New Roman" w:hAnsi="Times New Roman" w:cs="Times New Roman"/>
        </w:rPr>
        <w:t>del Deposito Fiscal</w:t>
      </w:r>
      <w:bookmarkEnd w:id="67"/>
    </w:p>
    <w:p w14:paraId="3CE9EF00" w14:textId="2E8935E4" w:rsidR="003D7299" w:rsidRPr="00111094" w:rsidRDefault="003D7299" w:rsidP="00F55C5A">
      <w:pPr>
        <w:spacing w:after="0"/>
        <w:ind w:firstLine="720"/>
        <w:rPr>
          <w:rFonts w:ascii="Times New Roman" w:hAnsi="Times New Roman" w:cs="Times New Roman"/>
          <w:sz w:val="24"/>
          <w:szCs w:val="24"/>
        </w:rPr>
      </w:pPr>
      <w:r w:rsidRPr="00111094">
        <w:rPr>
          <w:rFonts w:ascii="Times New Roman" w:hAnsi="Times New Roman" w:cs="Times New Roman"/>
          <w:sz w:val="24"/>
          <w:szCs w:val="24"/>
        </w:rPr>
        <w:t xml:space="preserve">Los procesos clave se organizan en cinco macroetapas: </w:t>
      </w:r>
    </w:p>
    <w:p w14:paraId="030D30BA" w14:textId="084C1483" w:rsidR="003D7299" w:rsidRPr="00111094" w:rsidRDefault="003D7299" w:rsidP="003D7299">
      <w:pPr>
        <w:spacing w:after="0"/>
        <w:ind w:firstLine="720"/>
        <w:rPr>
          <w:rFonts w:ascii="Times New Roman" w:hAnsi="Times New Roman" w:cs="Times New Roman"/>
          <w:lang w:val="es-MX"/>
        </w:rPr>
      </w:pPr>
    </w:p>
    <w:p w14:paraId="2C13061F" w14:textId="00983173"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Ingreso de contenedores y mercadería</w:t>
      </w:r>
    </w:p>
    <w:p w14:paraId="70DE8FBB"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Descripción del proceso:</w:t>
      </w:r>
    </w:p>
    <w:p w14:paraId="253CD9D1" w14:textId="77777777" w:rsidR="003D7299" w:rsidRPr="00111094" w:rsidRDefault="003D7299">
      <w:pPr>
        <w:numPr>
          <w:ilvl w:val="0"/>
          <w:numId w:val="55"/>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Coordinación de cita previa (turno digital).</w:t>
      </w:r>
    </w:p>
    <w:p w14:paraId="2A7CFB85" w14:textId="77777777" w:rsidR="003D7299" w:rsidRPr="00111094" w:rsidRDefault="003D7299">
      <w:pPr>
        <w:numPr>
          <w:ilvl w:val="0"/>
          <w:numId w:val="55"/>
        </w:numPr>
        <w:spacing w:after="0"/>
        <w:ind w:left="1800"/>
        <w:rPr>
          <w:rFonts w:ascii="Times New Roman" w:hAnsi="Times New Roman" w:cs="Times New Roman"/>
          <w:lang w:val="es-MX"/>
        </w:rPr>
      </w:pPr>
      <w:r w:rsidRPr="00111094">
        <w:rPr>
          <w:rFonts w:ascii="Times New Roman" w:hAnsi="Times New Roman" w:cs="Times New Roman"/>
          <w:lang w:val="es-MX"/>
        </w:rPr>
        <w:t>Arribo a garita → verificación documental (SIM/ARCA).</w:t>
      </w:r>
    </w:p>
    <w:p w14:paraId="17C9F9EE" w14:textId="77777777" w:rsidR="003D7299" w:rsidRPr="00111094" w:rsidRDefault="003D7299">
      <w:pPr>
        <w:numPr>
          <w:ilvl w:val="0"/>
          <w:numId w:val="55"/>
        </w:numPr>
        <w:spacing w:after="0"/>
        <w:ind w:left="1800"/>
        <w:rPr>
          <w:rFonts w:ascii="Times New Roman" w:hAnsi="Times New Roman" w:cs="Times New Roman"/>
          <w:lang w:val="es-MX"/>
        </w:rPr>
      </w:pPr>
      <w:r w:rsidRPr="00111094">
        <w:rPr>
          <w:rFonts w:ascii="Times New Roman" w:hAnsi="Times New Roman" w:cs="Times New Roman"/>
          <w:lang w:val="es-MX"/>
        </w:rPr>
        <w:t>Escaneo CCTV + control perimetral.</w:t>
      </w:r>
    </w:p>
    <w:p w14:paraId="3A85E66B" w14:textId="77777777" w:rsidR="003D7299" w:rsidRPr="00111094" w:rsidRDefault="003D7299">
      <w:pPr>
        <w:numPr>
          <w:ilvl w:val="0"/>
          <w:numId w:val="55"/>
        </w:numPr>
        <w:spacing w:after="0"/>
        <w:ind w:left="1800"/>
        <w:rPr>
          <w:rFonts w:ascii="Times New Roman" w:hAnsi="Times New Roman" w:cs="Times New Roman"/>
          <w:lang w:val="es-MX"/>
        </w:rPr>
      </w:pPr>
      <w:r w:rsidRPr="00111094">
        <w:rPr>
          <w:rFonts w:ascii="Times New Roman" w:hAnsi="Times New Roman" w:cs="Times New Roman"/>
          <w:lang w:val="es-MX"/>
        </w:rPr>
        <w:t>Derivación a zona de descarga o zona de inspección aduanera.</w:t>
      </w:r>
    </w:p>
    <w:p w14:paraId="3DE5713C"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Documentación involucrada:</w:t>
      </w:r>
    </w:p>
    <w:p w14:paraId="2635E6E3" w14:textId="77777777" w:rsidR="003D7299" w:rsidRPr="00111094" w:rsidRDefault="003D7299">
      <w:pPr>
        <w:numPr>
          <w:ilvl w:val="0"/>
          <w:numId w:val="56"/>
        </w:numPr>
        <w:spacing w:after="0"/>
        <w:ind w:left="1800"/>
        <w:rPr>
          <w:rFonts w:ascii="Times New Roman" w:hAnsi="Times New Roman" w:cs="Times New Roman"/>
          <w:lang w:val="es-MX"/>
        </w:rPr>
      </w:pPr>
      <w:r w:rsidRPr="00111094">
        <w:rPr>
          <w:rFonts w:ascii="Times New Roman" w:hAnsi="Times New Roman" w:cs="Times New Roman"/>
          <w:lang w:val="es-MX"/>
        </w:rPr>
        <w:t>MIC/DTA, BL/AWB, factura comercial, packing list, destinación SIM.</w:t>
      </w:r>
    </w:p>
    <w:p w14:paraId="7CE74F01" w14:textId="77777777" w:rsidR="003D7299" w:rsidRPr="00111094" w:rsidRDefault="003D7299">
      <w:pPr>
        <w:numPr>
          <w:ilvl w:val="0"/>
          <w:numId w:val="56"/>
        </w:numPr>
        <w:spacing w:after="0"/>
        <w:ind w:left="1800"/>
        <w:rPr>
          <w:rFonts w:ascii="Times New Roman" w:hAnsi="Times New Roman" w:cs="Times New Roman"/>
          <w:lang w:val="es-MX"/>
        </w:rPr>
      </w:pPr>
      <w:r w:rsidRPr="00111094">
        <w:rPr>
          <w:rFonts w:ascii="Times New Roman" w:hAnsi="Times New Roman" w:cs="Times New Roman"/>
          <w:lang w:val="es-MX"/>
        </w:rPr>
        <w:t>Permisos adicionales según rubro (ANMAT, INAL, SENASA si corresponde).</w:t>
      </w:r>
    </w:p>
    <w:p w14:paraId="50CED093"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Controles exigidos por Aduana:</w:t>
      </w:r>
    </w:p>
    <w:p w14:paraId="292470F2" w14:textId="77777777" w:rsidR="003D7299" w:rsidRPr="00111094" w:rsidRDefault="003D7299">
      <w:pPr>
        <w:numPr>
          <w:ilvl w:val="0"/>
          <w:numId w:val="57"/>
        </w:numPr>
        <w:spacing w:after="0"/>
        <w:ind w:left="1800"/>
        <w:rPr>
          <w:rFonts w:ascii="Times New Roman" w:hAnsi="Times New Roman" w:cs="Times New Roman"/>
          <w:lang w:val="es-MX"/>
        </w:rPr>
      </w:pPr>
      <w:r w:rsidRPr="00111094">
        <w:rPr>
          <w:rFonts w:ascii="Times New Roman" w:hAnsi="Times New Roman" w:cs="Times New Roman"/>
          <w:lang w:val="es-MX"/>
        </w:rPr>
        <w:t>Registro electrónico de ingreso.</w:t>
      </w:r>
    </w:p>
    <w:p w14:paraId="760DA9B6" w14:textId="77777777" w:rsidR="003D7299" w:rsidRPr="00111094" w:rsidRDefault="003D7299">
      <w:pPr>
        <w:numPr>
          <w:ilvl w:val="0"/>
          <w:numId w:val="57"/>
        </w:numPr>
        <w:spacing w:after="0"/>
        <w:ind w:left="1800"/>
        <w:rPr>
          <w:rFonts w:ascii="Times New Roman" w:hAnsi="Times New Roman" w:cs="Times New Roman"/>
          <w:lang w:val="es-MX"/>
        </w:rPr>
      </w:pPr>
      <w:r w:rsidRPr="00111094">
        <w:rPr>
          <w:rFonts w:ascii="Times New Roman" w:hAnsi="Times New Roman" w:cs="Times New Roman"/>
          <w:lang w:val="es-MX"/>
        </w:rPr>
        <w:t>Toma de imágenes CCTV (RG 4352/18).</w:t>
      </w:r>
    </w:p>
    <w:p w14:paraId="053494FF" w14:textId="77777777" w:rsidR="003D7299" w:rsidRPr="00111094" w:rsidRDefault="003D7299">
      <w:pPr>
        <w:numPr>
          <w:ilvl w:val="0"/>
          <w:numId w:val="57"/>
        </w:numPr>
        <w:spacing w:after="0"/>
        <w:ind w:left="1800"/>
        <w:rPr>
          <w:rFonts w:ascii="Times New Roman" w:hAnsi="Times New Roman" w:cs="Times New Roman"/>
          <w:lang w:val="es-MX"/>
        </w:rPr>
      </w:pPr>
      <w:r w:rsidRPr="00111094">
        <w:rPr>
          <w:rFonts w:ascii="Times New Roman" w:hAnsi="Times New Roman" w:cs="Times New Roman"/>
          <w:lang w:val="es-MX"/>
        </w:rPr>
        <w:t>Identificación del transportista y unidad.</w:t>
      </w:r>
    </w:p>
    <w:p w14:paraId="4D44A113"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SLA/SPO:</w:t>
      </w:r>
    </w:p>
    <w:p w14:paraId="5CE436B5" w14:textId="77777777" w:rsidR="003D7299" w:rsidRDefault="003D7299">
      <w:pPr>
        <w:numPr>
          <w:ilvl w:val="0"/>
          <w:numId w:val="58"/>
        </w:numPr>
        <w:spacing w:after="0"/>
        <w:ind w:left="1800"/>
        <w:rPr>
          <w:rFonts w:ascii="Times New Roman" w:hAnsi="Times New Roman" w:cs="Times New Roman"/>
          <w:lang w:val="es-MX"/>
        </w:rPr>
      </w:pPr>
      <w:r w:rsidRPr="00111094">
        <w:rPr>
          <w:rFonts w:ascii="Times New Roman" w:hAnsi="Times New Roman" w:cs="Times New Roman"/>
          <w:lang w:val="es-MX"/>
        </w:rPr>
        <w:t>Tiempo objetivo de ingreso: 20–30 minutos por unidad.</w:t>
      </w:r>
    </w:p>
    <w:p w14:paraId="490D7E46" w14:textId="77777777" w:rsidR="00B525E9" w:rsidRPr="00111094" w:rsidRDefault="00B525E9" w:rsidP="00B525E9">
      <w:pPr>
        <w:spacing w:after="0"/>
        <w:ind w:left="1800"/>
        <w:rPr>
          <w:rFonts w:ascii="Times New Roman" w:hAnsi="Times New Roman" w:cs="Times New Roman"/>
          <w:lang w:val="es-MX"/>
        </w:rPr>
      </w:pPr>
    </w:p>
    <w:p w14:paraId="2093C6E3" w14:textId="476F2D5D"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Descarga, verificación y asignación de posición</w:t>
      </w:r>
    </w:p>
    <w:p w14:paraId="6041BD2B"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Secuencia operativa:</w:t>
      </w:r>
    </w:p>
    <w:p w14:paraId="5502F821" w14:textId="77777777" w:rsidR="003D7299" w:rsidRPr="00111094" w:rsidRDefault="003D7299">
      <w:pPr>
        <w:numPr>
          <w:ilvl w:val="0"/>
          <w:numId w:val="59"/>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Descarga con autoelevadores certificados.</w:t>
      </w:r>
    </w:p>
    <w:p w14:paraId="6DF5FE33" w14:textId="77777777" w:rsidR="003D7299" w:rsidRPr="00111094" w:rsidRDefault="003D7299">
      <w:pPr>
        <w:numPr>
          <w:ilvl w:val="0"/>
          <w:numId w:val="59"/>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Verificación de cantidad, estado y etiquetas.</w:t>
      </w:r>
    </w:p>
    <w:p w14:paraId="1125E02B" w14:textId="77777777" w:rsidR="003D7299" w:rsidRPr="00111094" w:rsidRDefault="003D7299">
      <w:pPr>
        <w:numPr>
          <w:ilvl w:val="0"/>
          <w:numId w:val="59"/>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Reporte de diferencias (DMA/DMI).</w:t>
      </w:r>
    </w:p>
    <w:p w14:paraId="75158BFD" w14:textId="77777777" w:rsidR="003D7299" w:rsidRPr="00111094" w:rsidRDefault="003D7299">
      <w:pPr>
        <w:numPr>
          <w:ilvl w:val="0"/>
          <w:numId w:val="59"/>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Carga de información en WMS y asignación automática de posición.</w:t>
      </w:r>
    </w:p>
    <w:p w14:paraId="56A855DB"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SLA/SPO:</w:t>
      </w:r>
    </w:p>
    <w:p w14:paraId="12F29099" w14:textId="77777777" w:rsidR="003D7299" w:rsidRPr="00111094" w:rsidRDefault="003D7299">
      <w:pPr>
        <w:numPr>
          <w:ilvl w:val="0"/>
          <w:numId w:val="60"/>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Descarga estándar: 45–60 min por contenedor.</w:t>
      </w:r>
    </w:p>
    <w:p w14:paraId="7EA1EF7B" w14:textId="77777777" w:rsidR="003D7299" w:rsidRDefault="003D7299">
      <w:pPr>
        <w:numPr>
          <w:ilvl w:val="0"/>
          <w:numId w:val="60"/>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Confirmación de ingreso en WMS: &lt; 30 min.</w:t>
      </w:r>
    </w:p>
    <w:p w14:paraId="3B22A85F" w14:textId="77777777" w:rsidR="00B525E9" w:rsidRPr="00111094" w:rsidRDefault="00B525E9" w:rsidP="00B525E9">
      <w:pPr>
        <w:spacing w:after="0"/>
        <w:ind w:left="1800"/>
        <w:rPr>
          <w:rFonts w:ascii="Times New Roman" w:hAnsi="Times New Roman" w:cs="Times New Roman"/>
          <w:lang w:val="es-MX"/>
        </w:rPr>
      </w:pPr>
    </w:p>
    <w:p w14:paraId="6B5D3505" w14:textId="103826AA"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Almacenaje bajo régimen fiscal</w:t>
      </w:r>
    </w:p>
    <w:p w14:paraId="71C7F481"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Características del área fiscal:</w:t>
      </w:r>
    </w:p>
    <w:p w14:paraId="1EFBE417" w14:textId="77777777" w:rsidR="003D7299" w:rsidRPr="00111094" w:rsidRDefault="003D7299">
      <w:pPr>
        <w:numPr>
          <w:ilvl w:val="0"/>
          <w:numId w:val="61"/>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Posiciones segregadas DF vs. nacional.</w:t>
      </w:r>
    </w:p>
    <w:p w14:paraId="4069F722" w14:textId="77777777" w:rsidR="003D7299" w:rsidRPr="00111094" w:rsidRDefault="003D7299">
      <w:pPr>
        <w:numPr>
          <w:ilvl w:val="0"/>
          <w:numId w:val="61"/>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Control anti-intrusión, CCTV continuo y rondas presenciales.</w:t>
      </w:r>
    </w:p>
    <w:p w14:paraId="3C3AB6B5" w14:textId="77777777" w:rsidR="003D7299" w:rsidRPr="00111094" w:rsidRDefault="003D7299">
      <w:pPr>
        <w:numPr>
          <w:ilvl w:val="0"/>
          <w:numId w:val="61"/>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Acceso restringido según RG 4352/18.</w:t>
      </w:r>
    </w:p>
    <w:p w14:paraId="3380120D"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Procesos diarios:</w:t>
      </w:r>
    </w:p>
    <w:p w14:paraId="53413D76" w14:textId="77777777" w:rsidR="003D7299" w:rsidRPr="00111094" w:rsidRDefault="003D7299">
      <w:pPr>
        <w:numPr>
          <w:ilvl w:val="0"/>
          <w:numId w:val="62"/>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lastRenderedPageBreak/>
        <w:t>Control de inventario.</w:t>
      </w:r>
    </w:p>
    <w:p w14:paraId="08DFAF50" w14:textId="77777777" w:rsidR="003D7299" w:rsidRPr="00111094" w:rsidRDefault="003D7299">
      <w:pPr>
        <w:numPr>
          <w:ilvl w:val="0"/>
          <w:numId w:val="62"/>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Registro de movimientos internos (WMS + AFIP).</w:t>
      </w:r>
    </w:p>
    <w:p w14:paraId="08554291" w14:textId="77777777" w:rsidR="003D7299" w:rsidRPr="00111094" w:rsidRDefault="003D7299">
      <w:pPr>
        <w:numPr>
          <w:ilvl w:val="0"/>
          <w:numId w:val="62"/>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Auditorías aduaneras programadas y sorpresivas.</w:t>
      </w:r>
    </w:p>
    <w:p w14:paraId="49E7787C"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KPIs:</w:t>
      </w:r>
    </w:p>
    <w:p w14:paraId="500615A5" w14:textId="77777777" w:rsidR="003D7299" w:rsidRPr="00111094" w:rsidRDefault="003D7299">
      <w:pPr>
        <w:numPr>
          <w:ilvl w:val="0"/>
          <w:numId w:val="63"/>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Exactitud de inventario: &gt; 99,5 %</w:t>
      </w:r>
    </w:p>
    <w:p w14:paraId="14794AAA" w14:textId="77777777" w:rsidR="003D7299" w:rsidRDefault="003D7299">
      <w:pPr>
        <w:numPr>
          <w:ilvl w:val="0"/>
          <w:numId w:val="63"/>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Trazabilidad de movimientos: 100 % registrada</w:t>
      </w:r>
    </w:p>
    <w:p w14:paraId="5439E276" w14:textId="77777777" w:rsidR="00B525E9" w:rsidRPr="00111094" w:rsidRDefault="00B525E9" w:rsidP="00B525E9">
      <w:pPr>
        <w:tabs>
          <w:tab w:val="num" w:pos="1440"/>
        </w:tabs>
        <w:spacing w:after="0"/>
        <w:ind w:left="1800"/>
        <w:rPr>
          <w:rFonts w:ascii="Times New Roman" w:hAnsi="Times New Roman" w:cs="Times New Roman"/>
          <w:lang w:val="es-MX"/>
        </w:rPr>
      </w:pPr>
    </w:p>
    <w:p w14:paraId="767F6DFA" w14:textId="14C97174"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Verificaciones aduaneras</w:t>
      </w:r>
    </w:p>
    <w:p w14:paraId="11AAFEB8"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Flujo operativo:</w:t>
      </w:r>
    </w:p>
    <w:p w14:paraId="67FA85B9" w14:textId="77777777" w:rsidR="003D7299" w:rsidRPr="00111094" w:rsidRDefault="003D7299">
      <w:pPr>
        <w:numPr>
          <w:ilvl w:val="0"/>
          <w:numId w:val="64"/>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Solicitud de inspección vía SIM/ARCA.</w:t>
      </w:r>
    </w:p>
    <w:p w14:paraId="10E902D8" w14:textId="77777777" w:rsidR="003D7299" w:rsidRPr="00111094" w:rsidRDefault="003D7299">
      <w:pPr>
        <w:numPr>
          <w:ilvl w:val="0"/>
          <w:numId w:val="64"/>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Preparación de mercadería (apertura de bultos, desplazamiento).</w:t>
      </w:r>
    </w:p>
    <w:p w14:paraId="561EDCE1" w14:textId="77777777" w:rsidR="003D7299" w:rsidRPr="00111094" w:rsidRDefault="003D7299">
      <w:pPr>
        <w:numPr>
          <w:ilvl w:val="0"/>
          <w:numId w:val="64"/>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Presencia del verificador aduanero.</w:t>
      </w:r>
    </w:p>
    <w:p w14:paraId="790C775B" w14:textId="77777777" w:rsidR="003D7299" w:rsidRPr="00111094" w:rsidRDefault="003D7299">
      <w:pPr>
        <w:numPr>
          <w:ilvl w:val="0"/>
          <w:numId w:val="64"/>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Informe digital y registro documental.</w:t>
      </w:r>
    </w:p>
    <w:p w14:paraId="6E4BD32B"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SLA/SPO:</w:t>
      </w:r>
    </w:p>
    <w:p w14:paraId="6DF11539" w14:textId="77777777" w:rsidR="003D7299" w:rsidRPr="00111094" w:rsidRDefault="003D7299">
      <w:pPr>
        <w:numPr>
          <w:ilvl w:val="0"/>
          <w:numId w:val="65"/>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Tiempo máximo desde solicitud a disponibilidad del pallet: &lt; 3 horas</w:t>
      </w:r>
    </w:p>
    <w:p w14:paraId="54C82E9B" w14:textId="77777777" w:rsidR="003D7299" w:rsidRDefault="003D7299">
      <w:pPr>
        <w:numPr>
          <w:ilvl w:val="0"/>
          <w:numId w:val="65"/>
        </w:numPr>
        <w:tabs>
          <w:tab w:val="clear" w:pos="720"/>
          <w:tab w:val="num" w:pos="1800"/>
        </w:tabs>
        <w:spacing w:after="0"/>
        <w:ind w:left="1800"/>
        <w:rPr>
          <w:rFonts w:ascii="Times New Roman" w:hAnsi="Times New Roman" w:cs="Times New Roman"/>
          <w:lang w:val="es-MX"/>
        </w:rPr>
      </w:pPr>
      <w:r w:rsidRPr="00111094">
        <w:rPr>
          <w:rFonts w:ascii="Times New Roman" w:hAnsi="Times New Roman" w:cs="Times New Roman"/>
          <w:lang w:val="es-MX"/>
        </w:rPr>
        <w:t>Reacondicionamiento posterior: &lt; 2 horas</w:t>
      </w:r>
    </w:p>
    <w:p w14:paraId="7CBDFD41" w14:textId="77777777" w:rsidR="00B525E9" w:rsidRPr="00111094" w:rsidRDefault="00B525E9" w:rsidP="00B525E9">
      <w:pPr>
        <w:tabs>
          <w:tab w:val="num" w:pos="1800"/>
        </w:tabs>
        <w:spacing w:after="0"/>
        <w:ind w:left="1800"/>
        <w:rPr>
          <w:rFonts w:ascii="Times New Roman" w:hAnsi="Times New Roman" w:cs="Times New Roman"/>
          <w:lang w:val="es-MX"/>
        </w:rPr>
      </w:pPr>
    </w:p>
    <w:p w14:paraId="012ACFC1" w14:textId="73753B83"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Servicios de valor agregado (VAS)</w:t>
      </w:r>
    </w:p>
    <w:p w14:paraId="6270D057"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Incluye procesos permitidos bajo régimen DF según normativa:</w:t>
      </w:r>
    </w:p>
    <w:p w14:paraId="1CF58069" w14:textId="77777777" w:rsidR="003D7299" w:rsidRPr="00111094" w:rsidRDefault="003D7299">
      <w:pPr>
        <w:numPr>
          <w:ilvl w:val="0"/>
          <w:numId w:val="66"/>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Reempaque y reetiquetado.</w:t>
      </w:r>
    </w:p>
    <w:p w14:paraId="114C032E" w14:textId="77777777" w:rsidR="003D7299" w:rsidRPr="00111094" w:rsidRDefault="003D7299">
      <w:pPr>
        <w:numPr>
          <w:ilvl w:val="0"/>
          <w:numId w:val="66"/>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Preparación de muestras.</w:t>
      </w:r>
    </w:p>
    <w:p w14:paraId="2C22B6AE" w14:textId="77777777" w:rsidR="003D7299" w:rsidRPr="00111094" w:rsidRDefault="003D7299">
      <w:pPr>
        <w:numPr>
          <w:ilvl w:val="0"/>
          <w:numId w:val="66"/>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Control de calidad visual.</w:t>
      </w:r>
    </w:p>
    <w:p w14:paraId="4AC7092D" w14:textId="77777777" w:rsidR="003D7299" w:rsidRPr="00111094" w:rsidRDefault="003D7299">
      <w:pPr>
        <w:numPr>
          <w:ilvl w:val="0"/>
          <w:numId w:val="66"/>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Ensayos no destructivos.</w:t>
      </w:r>
    </w:p>
    <w:p w14:paraId="50B7E6A0"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SLA/SPO:</w:t>
      </w:r>
    </w:p>
    <w:p w14:paraId="3A177BD1" w14:textId="77777777" w:rsidR="003D7299" w:rsidRDefault="003D7299">
      <w:pPr>
        <w:numPr>
          <w:ilvl w:val="0"/>
          <w:numId w:val="67"/>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Lead time estándar VAS: 24–48 horas según volumen.</w:t>
      </w:r>
    </w:p>
    <w:p w14:paraId="485DA9AC" w14:textId="77777777" w:rsidR="00B525E9" w:rsidRPr="00111094" w:rsidRDefault="00B525E9" w:rsidP="00B525E9">
      <w:pPr>
        <w:spacing w:after="0"/>
        <w:ind w:left="1800"/>
        <w:rPr>
          <w:rFonts w:ascii="Times New Roman" w:hAnsi="Times New Roman" w:cs="Times New Roman"/>
          <w:lang w:val="es-MX"/>
        </w:rPr>
      </w:pPr>
    </w:p>
    <w:p w14:paraId="3CB18716" w14:textId="614FFAA9" w:rsidR="003D7299" w:rsidRPr="00111094" w:rsidRDefault="003D7299" w:rsidP="003D7299">
      <w:pPr>
        <w:spacing w:after="0"/>
        <w:ind w:firstLine="720"/>
        <w:rPr>
          <w:rFonts w:ascii="Times New Roman" w:hAnsi="Times New Roman" w:cs="Times New Roman"/>
          <w:b/>
          <w:bCs/>
          <w:lang w:val="es-MX"/>
        </w:rPr>
      </w:pPr>
      <w:r w:rsidRPr="00111094">
        <w:rPr>
          <w:rFonts w:ascii="Times New Roman" w:hAnsi="Times New Roman" w:cs="Times New Roman"/>
          <w:b/>
          <w:bCs/>
          <w:lang w:val="es-MX"/>
        </w:rPr>
        <w:t xml:space="preserve"> Egreso y liberación</w:t>
      </w:r>
    </w:p>
    <w:p w14:paraId="01983362"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Proceso:</w:t>
      </w:r>
    </w:p>
    <w:p w14:paraId="46F7E8A7" w14:textId="77777777" w:rsidR="003D7299" w:rsidRPr="00111094" w:rsidRDefault="003D7299">
      <w:pPr>
        <w:numPr>
          <w:ilvl w:val="0"/>
          <w:numId w:val="68"/>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Confirmación de destinación aduanera.</w:t>
      </w:r>
    </w:p>
    <w:p w14:paraId="2FA53566" w14:textId="77777777" w:rsidR="003D7299" w:rsidRPr="00111094" w:rsidRDefault="003D7299">
      <w:pPr>
        <w:numPr>
          <w:ilvl w:val="0"/>
          <w:numId w:val="68"/>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Preparación y retiro coordinado.</w:t>
      </w:r>
    </w:p>
    <w:p w14:paraId="6FFE4A1E" w14:textId="77777777" w:rsidR="003D7299" w:rsidRPr="00111094" w:rsidRDefault="003D7299">
      <w:pPr>
        <w:numPr>
          <w:ilvl w:val="0"/>
          <w:numId w:val="68"/>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Control final en garita y registro electrónico de salida.</w:t>
      </w:r>
    </w:p>
    <w:p w14:paraId="096E465B" w14:textId="77777777" w:rsidR="003D7299" w:rsidRPr="00111094" w:rsidRDefault="003D7299" w:rsidP="009F26C4">
      <w:pPr>
        <w:spacing w:after="0"/>
        <w:ind w:left="720" w:firstLine="720"/>
        <w:rPr>
          <w:rFonts w:ascii="Times New Roman" w:hAnsi="Times New Roman" w:cs="Times New Roman"/>
          <w:lang w:val="es-MX"/>
        </w:rPr>
      </w:pPr>
      <w:r w:rsidRPr="00111094">
        <w:rPr>
          <w:rFonts w:ascii="Times New Roman" w:hAnsi="Times New Roman" w:cs="Times New Roman"/>
          <w:lang w:val="es-MX"/>
        </w:rPr>
        <w:t>SLA/SPO:</w:t>
      </w:r>
    </w:p>
    <w:p w14:paraId="668DC26F" w14:textId="77777777" w:rsidR="003D7299" w:rsidRPr="00111094" w:rsidRDefault="003D7299">
      <w:pPr>
        <w:numPr>
          <w:ilvl w:val="0"/>
          <w:numId w:val="69"/>
        </w:numPr>
        <w:tabs>
          <w:tab w:val="clear" w:pos="1080"/>
          <w:tab w:val="num" w:pos="1440"/>
        </w:tabs>
        <w:spacing w:after="0"/>
        <w:ind w:left="1800"/>
        <w:rPr>
          <w:rFonts w:ascii="Times New Roman" w:hAnsi="Times New Roman" w:cs="Times New Roman"/>
          <w:lang w:val="es-MX"/>
        </w:rPr>
      </w:pPr>
      <w:r w:rsidRPr="00111094">
        <w:rPr>
          <w:rFonts w:ascii="Times New Roman" w:hAnsi="Times New Roman" w:cs="Times New Roman"/>
          <w:lang w:val="es-MX"/>
        </w:rPr>
        <w:t>Tiempo de egreso: 20–30 minutos por unidad.</w:t>
      </w:r>
    </w:p>
    <w:p w14:paraId="5C5EA999" w14:textId="786E5CC5" w:rsidR="00ED7D6C" w:rsidRPr="00111094" w:rsidRDefault="00ED7D6C" w:rsidP="00ED7D6C">
      <w:pPr>
        <w:pStyle w:val="Ttulo2"/>
        <w:spacing w:after="240"/>
        <w:rPr>
          <w:rFonts w:ascii="Times New Roman" w:hAnsi="Times New Roman" w:cs="Times New Roman"/>
        </w:rPr>
      </w:pPr>
      <w:bookmarkStart w:id="68" w:name="_Toc228778768"/>
      <w:r w:rsidRPr="00111094">
        <w:rPr>
          <w:rFonts w:ascii="Times New Roman" w:hAnsi="Times New Roman" w:cs="Times New Roman"/>
        </w:rPr>
        <w:t>Tiempos Estándar Operativos</w:t>
      </w:r>
      <w:bookmarkEnd w:id="68"/>
    </w:p>
    <w:p w14:paraId="3FA33A50" w14:textId="2941CCE8" w:rsidR="00ED7D6C" w:rsidRPr="00111094" w:rsidRDefault="00ED7D6C" w:rsidP="00ED7D6C">
      <w:pPr>
        <w:pStyle w:val="Ttulo2"/>
        <w:spacing w:after="240"/>
        <w:ind w:firstLine="720"/>
        <w:rPr>
          <w:rFonts w:ascii="Times New Roman" w:eastAsiaTheme="minorEastAsia" w:hAnsi="Times New Roman" w:cs="Times New Roman"/>
          <w:b w:val="0"/>
          <w:bCs w:val="0"/>
          <w:color w:val="auto"/>
          <w:sz w:val="24"/>
          <w:szCs w:val="24"/>
        </w:rPr>
      </w:pPr>
      <w:bookmarkStart w:id="69" w:name="_Toc228778769"/>
      <w:r w:rsidRPr="00111094">
        <w:rPr>
          <w:rFonts w:ascii="Times New Roman" w:eastAsiaTheme="minorEastAsia" w:hAnsi="Times New Roman" w:cs="Times New Roman"/>
          <w:b w:val="0"/>
          <w:bCs w:val="0"/>
          <w:color w:val="auto"/>
          <w:sz w:val="24"/>
          <w:szCs w:val="24"/>
        </w:rPr>
        <w:t>Los tiempos se basan en benchmarks de depósitos fiscales del AMBA, entrevistas técnicas y el diseño operativo propuesto.</w:t>
      </w:r>
      <w:bookmarkEnd w:id="69"/>
    </w:p>
    <w:tbl>
      <w:tblPr>
        <w:tblStyle w:val="GridTable4Accent1"/>
        <w:tblW w:w="0" w:type="auto"/>
        <w:tblLook w:val="04A0" w:firstRow="1" w:lastRow="0" w:firstColumn="1" w:lastColumn="0" w:noHBand="0" w:noVBand="1"/>
      </w:tblPr>
      <w:tblGrid>
        <w:gridCol w:w="3365"/>
        <w:gridCol w:w="1637"/>
        <w:gridCol w:w="3215"/>
      </w:tblGrid>
      <w:tr w:rsidR="008267E1" w:rsidRPr="00111094" w14:paraId="73C1AF60" w14:textId="77777777" w:rsidTr="00826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8453BB" w14:textId="77777777" w:rsidR="008267E1" w:rsidRPr="00111094" w:rsidRDefault="008267E1" w:rsidP="008267E1">
            <w:pPr>
              <w:jc w:val="center"/>
              <w:rPr>
                <w:rFonts w:ascii="Times New Roman" w:eastAsia="Times New Roman" w:hAnsi="Times New Roman" w:cs="Times New Roman"/>
                <w:sz w:val="24"/>
                <w:szCs w:val="24"/>
                <w:lang w:val="es-MX" w:eastAsia="es-MX"/>
              </w:rPr>
            </w:pPr>
            <w:r w:rsidRPr="00111094">
              <w:rPr>
                <w:rFonts w:ascii="Times New Roman" w:eastAsia="Times New Roman" w:hAnsi="Times New Roman" w:cs="Times New Roman"/>
                <w:sz w:val="24"/>
                <w:szCs w:val="24"/>
                <w:lang w:val="es-MX" w:eastAsia="es-MX"/>
              </w:rPr>
              <w:t>Proceso</w:t>
            </w:r>
          </w:p>
        </w:tc>
        <w:tc>
          <w:tcPr>
            <w:tcW w:w="0" w:type="auto"/>
            <w:hideMark/>
          </w:tcPr>
          <w:p w14:paraId="328CDE50" w14:textId="77777777" w:rsidR="008267E1" w:rsidRPr="00111094" w:rsidRDefault="008267E1" w:rsidP="008267E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MX" w:eastAsia="es-MX"/>
              </w:rPr>
            </w:pPr>
            <w:r w:rsidRPr="00111094">
              <w:rPr>
                <w:rFonts w:ascii="Times New Roman" w:eastAsia="Times New Roman" w:hAnsi="Times New Roman" w:cs="Times New Roman"/>
                <w:sz w:val="24"/>
                <w:szCs w:val="24"/>
                <w:lang w:val="es-MX" w:eastAsia="es-MX"/>
              </w:rPr>
              <w:t>SLA Objetivo</w:t>
            </w:r>
          </w:p>
        </w:tc>
        <w:tc>
          <w:tcPr>
            <w:tcW w:w="3215" w:type="dxa"/>
            <w:hideMark/>
          </w:tcPr>
          <w:p w14:paraId="61397170" w14:textId="77777777" w:rsidR="008267E1" w:rsidRPr="00111094" w:rsidRDefault="008267E1" w:rsidP="008267E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MX" w:eastAsia="es-MX"/>
              </w:rPr>
            </w:pPr>
            <w:r w:rsidRPr="00111094">
              <w:rPr>
                <w:rFonts w:ascii="Times New Roman" w:eastAsia="Times New Roman" w:hAnsi="Times New Roman" w:cs="Times New Roman"/>
                <w:sz w:val="24"/>
                <w:szCs w:val="24"/>
                <w:lang w:val="es-MX" w:eastAsia="es-MX"/>
              </w:rPr>
              <w:t>Métrica</w:t>
            </w:r>
          </w:p>
        </w:tc>
      </w:tr>
      <w:tr w:rsidR="008267E1" w:rsidRPr="00111094" w14:paraId="5E323E53" w14:textId="77777777" w:rsidTr="00826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71DFF9"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Ingreso vehicular</w:t>
            </w:r>
          </w:p>
        </w:tc>
        <w:tc>
          <w:tcPr>
            <w:tcW w:w="0" w:type="auto"/>
            <w:hideMark/>
          </w:tcPr>
          <w:p w14:paraId="73AA3516"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20–30 min</w:t>
            </w:r>
          </w:p>
        </w:tc>
        <w:tc>
          <w:tcPr>
            <w:tcW w:w="3215" w:type="dxa"/>
            <w:hideMark/>
          </w:tcPr>
          <w:p w14:paraId="63C380D4"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Tiempo desde arribo a dock</w:t>
            </w:r>
          </w:p>
        </w:tc>
      </w:tr>
      <w:tr w:rsidR="008267E1" w:rsidRPr="00111094" w14:paraId="626AF378" w14:textId="77777777" w:rsidTr="008267E1">
        <w:tc>
          <w:tcPr>
            <w:cnfStyle w:val="001000000000" w:firstRow="0" w:lastRow="0" w:firstColumn="1" w:lastColumn="0" w:oddVBand="0" w:evenVBand="0" w:oddHBand="0" w:evenHBand="0" w:firstRowFirstColumn="0" w:firstRowLastColumn="0" w:lastRowFirstColumn="0" w:lastRowLastColumn="0"/>
            <w:tcW w:w="0" w:type="auto"/>
            <w:hideMark/>
          </w:tcPr>
          <w:p w14:paraId="488DD2EA"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Descarga contenedor</w:t>
            </w:r>
          </w:p>
        </w:tc>
        <w:tc>
          <w:tcPr>
            <w:tcW w:w="0" w:type="auto"/>
            <w:hideMark/>
          </w:tcPr>
          <w:p w14:paraId="03E12FE8"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45–60 min</w:t>
            </w:r>
          </w:p>
        </w:tc>
        <w:tc>
          <w:tcPr>
            <w:tcW w:w="3215" w:type="dxa"/>
            <w:hideMark/>
          </w:tcPr>
          <w:p w14:paraId="70F78309"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Inicio–fin operativo</w:t>
            </w:r>
          </w:p>
        </w:tc>
      </w:tr>
      <w:tr w:rsidR="008267E1" w:rsidRPr="00111094" w14:paraId="30714772" w14:textId="77777777" w:rsidTr="00826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0B1E88"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Confirmación de ingreso WMS</w:t>
            </w:r>
          </w:p>
        </w:tc>
        <w:tc>
          <w:tcPr>
            <w:tcW w:w="0" w:type="auto"/>
            <w:hideMark/>
          </w:tcPr>
          <w:p w14:paraId="119F1C61"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&lt; 30 min</w:t>
            </w:r>
          </w:p>
        </w:tc>
        <w:tc>
          <w:tcPr>
            <w:tcW w:w="3215" w:type="dxa"/>
            <w:hideMark/>
          </w:tcPr>
          <w:p w14:paraId="201067F8"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Registro electrónico</w:t>
            </w:r>
          </w:p>
        </w:tc>
      </w:tr>
      <w:tr w:rsidR="008267E1" w:rsidRPr="00111094" w14:paraId="68D6AD5B" w14:textId="77777777" w:rsidTr="008267E1">
        <w:tc>
          <w:tcPr>
            <w:cnfStyle w:val="001000000000" w:firstRow="0" w:lastRow="0" w:firstColumn="1" w:lastColumn="0" w:oddVBand="0" w:evenVBand="0" w:oddHBand="0" w:evenHBand="0" w:firstRowFirstColumn="0" w:firstRowLastColumn="0" w:lastRowFirstColumn="0" w:lastRowLastColumn="0"/>
            <w:tcW w:w="0" w:type="auto"/>
            <w:hideMark/>
          </w:tcPr>
          <w:p w14:paraId="04CEBCA8"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Preparación para verificación</w:t>
            </w:r>
          </w:p>
        </w:tc>
        <w:tc>
          <w:tcPr>
            <w:tcW w:w="0" w:type="auto"/>
            <w:hideMark/>
          </w:tcPr>
          <w:p w14:paraId="0A281D26"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&lt; 3 h</w:t>
            </w:r>
          </w:p>
        </w:tc>
        <w:tc>
          <w:tcPr>
            <w:tcW w:w="3215" w:type="dxa"/>
            <w:hideMark/>
          </w:tcPr>
          <w:p w14:paraId="3FF30369"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Desde solicitud SIM</w:t>
            </w:r>
          </w:p>
        </w:tc>
      </w:tr>
      <w:tr w:rsidR="008267E1" w:rsidRPr="00111094" w14:paraId="75D52146" w14:textId="77777777" w:rsidTr="00826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C57093"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Reacondicionamiento post-verificación</w:t>
            </w:r>
          </w:p>
        </w:tc>
        <w:tc>
          <w:tcPr>
            <w:tcW w:w="0" w:type="auto"/>
            <w:hideMark/>
          </w:tcPr>
          <w:p w14:paraId="477C7C30"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&lt; 2 h</w:t>
            </w:r>
          </w:p>
        </w:tc>
        <w:tc>
          <w:tcPr>
            <w:tcW w:w="3215" w:type="dxa"/>
            <w:hideMark/>
          </w:tcPr>
          <w:p w14:paraId="0DB50D8A"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WMS atualizado</w:t>
            </w:r>
          </w:p>
        </w:tc>
      </w:tr>
      <w:tr w:rsidR="008267E1" w:rsidRPr="00111094" w14:paraId="0EB515F1" w14:textId="77777777" w:rsidTr="008267E1">
        <w:tc>
          <w:tcPr>
            <w:cnfStyle w:val="001000000000" w:firstRow="0" w:lastRow="0" w:firstColumn="1" w:lastColumn="0" w:oddVBand="0" w:evenVBand="0" w:oddHBand="0" w:evenHBand="0" w:firstRowFirstColumn="0" w:firstRowLastColumn="0" w:lastRowFirstColumn="0" w:lastRowLastColumn="0"/>
            <w:tcW w:w="0" w:type="auto"/>
            <w:hideMark/>
          </w:tcPr>
          <w:p w14:paraId="0C6A78D6"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lastRenderedPageBreak/>
              <w:t>Liberación/egreso</w:t>
            </w:r>
          </w:p>
        </w:tc>
        <w:tc>
          <w:tcPr>
            <w:tcW w:w="0" w:type="auto"/>
            <w:hideMark/>
          </w:tcPr>
          <w:p w14:paraId="6BAA6DB3"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20–30 min</w:t>
            </w:r>
          </w:p>
        </w:tc>
        <w:tc>
          <w:tcPr>
            <w:tcW w:w="3215" w:type="dxa"/>
            <w:hideMark/>
          </w:tcPr>
          <w:p w14:paraId="043F6291"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Control final</w:t>
            </w:r>
          </w:p>
        </w:tc>
      </w:tr>
      <w:tr w:rsidR="008267E1" w:rsidRPr="00111094" w14:paraId="7C62736E" w14:textId="77777777" w:rsidTr="00826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177A0B"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VAS</w:t>
            </w:r>
          </w:p>
        </w:tc>
        <w:tc>
          <w:tcPr>
            <w:tcW w:w="0" w:type="auto"/>
            <w:hideMark/>
          </w:tcPr>
          <w:p w14:paraId="23B1DA61"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24–48 h</w:t>
            </w:r>
          </w:p>
        </w:tc>
        <w:tc>
          <w:tcPr>
            <w:tcW w:w="3215" w:type="dxa"/>
            <w:hideMark/>
          </w:tcPr>
          <w:p w14:paraId="791381AB" w14:textId="77777777" w:rsidR="008267E1" w:rsidRPr="00111094" w:rsidRDefault="008267E1" w:rsidP="008267E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Según complejidad</w:t>
            </w:r>
          </w:p>
        </w:tc>
      </w:tr>
      <w:tr w:rsidR="008267E1" w:rsidRPr="00111094" w14:paraId="6FACB1FE" w14:textId="77777777" w:rsidTr="008267E1">
        <w:tc>
          <w:tcPr>
            <w:cnfStyle w:val="001000000000" w:firstRow="0" w:lastRow="0" w:firstColumn="1" w:lastColumn="0" w:oddVBand="0" w:evenVBand="0" w:oddHBand="0" w:evenHBand="0" w:firstRowFirstColumn="0" w:firstRowLastColumn="0" w:lastRowFirstColumn="0" w:lastRowLastColumn="0"/>
            <w:tcW w:w="0" w:type="auto"/>
            <w:hideMark/>
          </w:tcPr>
          <w:p w14:paraId="67F33BF8" w14:textId="77777777" w:rsidR="008267E1" w:rsidRPr="00111094" w:rsidRDefault="008267E1" w:rsidP="008267E1">
            <w:pPr>
              <w:rPr>
                <w:rFonts w:ascii="Times New Roman" w:eastAsia="Times New Roman" w:hAnsi="Times New Roman" w:cs="Times New Roman"/>
                <w:b w:val="0"/>
                <w:bCs w:val="0"/>
                <w:sz w:val="20"/>
                <w:szCs w:val="20"/>
                <w:lang w:val="es-MX" w:eastAsia="es-MX"/>
              </w:rPr>
            </w:pPr>
            <w:r w:rsidRPr="00111094">
              <w:rPr>
                <w:rFonts w:ascii="Times New Roman" w:eastAsia="Times New Roman" w:hAnsi="Times New Roman" w:cs="Times New Roman"/>
                <w:b w:val="0"/>
                <w:bCs w:val="0"/>
                <w:sz w:val="20"/>
                <w:szCs w:val="20"/>
                <w:lang w:val="es-MX" w:eastAsia="es-MX"/>
              </w:rPr>
              <w:t>Exactitud de inventario</w:t>
            </w:r>
          </w:p>
        </w:tc>
        <w:tc>
          <w:tcPr>
            <w:tcW w:w="0" w:type="auto"/>
            <w:hideMark/>
          </w:tcPr>
          <w:p w14:paraId="7950806B"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&gt; 99,5 %</w:t>
            </w:r>
          </w:p>
        </w:tc>
        <w:tc>
          <w:tcPr>
            <w:tcW w:w="3215" w:type="dxa"/>
            <w:hideMark/>
          </w:tcPr>
          <w:p w14:paraId="205B7538" w14:textId="77777777" w:rsidR="008267E1" w:rsidRPr="00111094" w:rsidRDefault="008267E1" w:rsidP="008267E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r w:rsidRPr="00111094">
              <w:rPr>
                <w:rFonts w:ascii="Times New Roman" w:eastAsia="Times New Roman" w:hAnsi="Times New Roman" w:cs="Times New Roman"/>
                <w:sz w:val="20"/>
                <w:szCs w:val="20"/>
                <w:lang w:val="es-MX" w:eastAsia="es-MX"/>
              </w:rPr>
              <w:t>Auditoría mensual</w:t>
            </w:r>
          </w:p>
        </w:tc>
      </w:tr>
    </w:tbl>
    <w:p w14:paraId="6237E352" w14:textId="186463B7" w:rsidR="00ED7D6C" w:rsidRPr="00111094" w:rsidRDefault="00ED7D6C" w:rsidP="00ED7D6C">
      <w:pPr>
        <w:pStyle w:val="Ttulo2"/>
        <w:spacing w:after="240"/>
        <w:rPr>
          <w:rFonts w:ascii="Times New Roman" w:hAnsi="Times New Roman" w:cs="Times New Roman"/>
          <w:lang w:val="en-US"/>
        </w:rPr>
      </w:pPr>
      <w:bookmarkStart w:id="70" w:name="_Toc228778770"/>
      <w:r w:rsidRPr="00111094">
        <w:rPr>
          <w:rFonts w:ascii="Times New Roman" w:hAnsi="Times New Roman" w:cs="Times New Roman"/>
          <w:lang w:val="en-US"/>
        </w:rPr>
        <w:t>SLA (Service Level Agreements) y KPI Operativos</w:t>
      </w:r>
      <w:bookmarkEnd w:id="70"/>
    </w:p>
    <w:p w14:paraId="1518B754" w14:textId="77777777" w:rsidR="00ED7D6C" w:rsidRPr="00111094" w:rsidRDefault="00ED7D6C" w:rsidP="00ED7D6C">
      <w:pPr>
        <w:ind w:firstLine="720"/>
        <w:rPr>
          <w:rFonts w:ascii="Times New Roman" w:hAnsi="Times New Roman" w:cs="Times New Roman"/>
          <w:lang w:val="es-MX"/>
        </w:rPr>
      </w:pPr>
      <w:r w:rsidRPr="00111094">
        <w:rPr>
          <w:rFonts w:ascii="Times New Roman" w:hAnsi="Times New Roman" w:cs="Times New Roman"/>
          <w:lang w:val="es-MX"/>
        </w:rPr>
        <w:t>Los SLA constituyen el compromiso de TASA hacia el cliente; se medirán mediante panel de control en línea.</w:t>
      </w:r>
    </w:p>
    <w:p w14:paraId="703DD2A0" w14:textId="77777777" w:rsidR="00ED7D6C" w:rsidRPr="00111094" w:rsidRDefault="00ED7D6C" w:rsidP="00ED7D6C">
      <w:pPr>
        <w:spacing w:after="0"/>
        <w:rPr>
          <w:rFonts w:ascii="Times New Roman" w:hAnsi="Times New Roman" w:cs="Times New Roman"/>
          <w:b/>
          <w:bCs/>
          <w:lang w:val="es-MX"/>
        </w:rPr>
      </w:pPr>
      <w:r w:rsidRPr="00111094">
        <w:rPr>
          <w:rFonts w:ascii="Times New Roman" w:hAnsi="Times New Roman" w:cs="Times New Roman"/>
          <w:b/>
          <w:bCs/>
          <w:lang w:val="es-MX"/>
        </w:rPr>
        <w:t>SLA Propuestos</w:t>
      </w:r>
    </w:p>
    <w:p w14:paraId="0EC63E69"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Tiempo de ingreso (Gate In): ≤ 30 min</w:t>
      </w:r>
    </w:p>
    <w:p w14:paraId="66550667"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Disponibilidad operativa: 99,5 %</w:t>
      </w:r>
    </w:p>
    <w:p w14:paraId="66E38976"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Trazabilidad (actualización WMS): en tiempo real</w:t>
      </w:r>
    </w:p>
    <w:p w14:paraId="421D7139"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Verificación aduanera: dentro de 6 h (cuando depende del operador)</w:t>
      </w:r>
    </w:p>
    <w:p w14:paraId="7E8D6D1F"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Exactitud de inventario: ≥ 99,8 %</w:t>
      </w:r>
    </w:p>
    <w:p w14:paraId="12A0412A" w14:textId="77777777" w:rsidR="00ED7D6C" w:rsidRPr="00111094" w:rsidRDefault="00ED7D6C">
      <w:pPr>
        <w:numPr>
          <w:ilvl w:val="0"/>
          <w:numId w:val="50"/>
        </w:numPr>
        <w:spacing w:after="0"/>
        <w:rPr>
          <w:rFonts w:ascii="Times New Roman" w:hAnsi="Times New Roman" w:cs="Times New Roman"/>
          <w:lang w:val="es-MX"/>
        </w:rPr>
      </w:pPr>
      <w:r w:rsidRPr="00111094">
        <w:rPr>
          <w:rFonts w:ascii="Times New Roman" w:hAnsi="Times New Roman" w:cs="Times New Roman"/>
          <w:lang w:val="es-MX"/>
        </w:rPr>
        <w:t>Tiempo de respuesta a incidencias: ≤ 2 h</w:t>
      </w:r>
    </w:p>
    <w:p w14:paraId="28F0A853" w14:textId="77777777" w:rsidR="00ED7D6C" w:rsidRPr="00111094" w:rsidRDefault="00ED7D6C" w:rsidP="008267E1">
      <w:pPr>
        <w:spacing w:after="0"/>
        <w:rPr>
          <w:rFonts w:ascii="Times New Roman" w:hAnsi="Times New Roman" w:cs="Times New Roman"/>
          <w:b/>
          <w:bCs/>
          <w:lang w:val="es-MX"/>
        </w:rPr>
      </w:pPr>
      <w:r w:rsidRPr="00111094">
        <w:rPr>
          <w:rFonts w:ascii="Times New Roman" w:hAnsi="Times New Roman" w:cs="Times New Roman"/>
          <w:b/>
          <w:bCs/>
          <w:lang w:val="es-MX"/>
        </w:rPr>
        <w:t>KPI Operativos</w:t>
      </w:r>
    </w:p>
    <w:p w14:paraId="3376373E" w14:textId="77777777" w:rsidR="00ED7D6C" w:rsidRPr="00111094" w:rsidRDefault="00ED7D6C">
      <w:pPr>
        <w:numPr>
          <w:ilvl w:val="0"/>
          <w:numId w:val="51"/>
        </w:numPr>
        <w:spacing w:after="0"/>
        <w:rPr>
          <w:rFonts w:ascii="Times New Roman" w:hAnsi="Times New Roman" w:cs="Times New Roman"/>
          <w:lang w:val="en-US"/>
        </w:rPr>
      </w:pPr>
      <w:r w:rsidRPr="00111094">
        <w:rPr>
          <w:rFonts w:ascii="Times New Roman" w:hAnsi="Times New Roman" w:cs="Times New Roman"/>
          <w:lang w:val="en-US"/>
        </w:rPr>
        <w:t>OTD Aduanero (On Time Dispatch).</w:t>
      </w:r>
    </w:p>
    <w:p w14:paraId="59321D1D" w14:textId="77777777" w:rsidR="00ED7D6C" w:rsidRPr="00111094" w:rsidRDefault="00ED7D6C">
      <w:pPr>
        <w:numPr>
          <w:ilvl w:val="0"/>
          <w:numId w:val="51"/>
        </w:numPr>
        <w:spacing w:after="0"/>
        <w:rPr>
          <w:rFonts w:ascii="Times New Roman" w:hAnsi="Times New Roman" w:cs="Times New Roman"/>
          <w:lang w:val="es-MX"/>
        </w:rPr>
      </w:pPr>
      <w:r w:rsidRPr="00111094">
        <w:rPr>
          <w:rFonts w:ascii="Times New Roman" w:hAnsi="Times New Roman" w:cs="Times New Roman"/>
          <w:lang w:val="es-MX"/>
        </w:rPr>
        <w:t>Nivel de ocupación DF.</w:t>
      </w:r>
    </w:p>
    <w:p w14:paraId="7293C856" w14:textId="77777777" w:rsidR="00ED7D6C" w:rsidRPr="00111094" w:rsidRDefault="00ED7D6C">
      <w:pPr>
        <w:numPr>
          <w:ilvl w:val="0"/>
          <w:numId w:val="51"/>
        </w:numPr>
        <w:spacing w:after="0"/>
        <w:rPr>
          <w:rFonts w:ascii="Times New Roman" w:hAnsi="Times New Roman" w:cs="Times New Roman"/>
          <w:lang w:val="es-MX"/>
        </w:rPr>
      </w:pPr>
      <w:r w:rsidRPr="00111094">
        <w:rPr>
          <w:rFonts w:ascii="Times New Roman" w:hAnsi="Times New Roman" w:cs="Times New Roman"/>
          <w:lang w:val="es-MX"/>
        </w:rPr>
        <w:t>Dwell time (tiempo dentro del DF).</w:t>
      </w:r>
    </w:p>
    <w:p w14:paraId="2A796D2D" w14:textId="77777777" w:rsidR="00ED7D6C" w:rsidRPr="00111094" w:rsidRDefault="00ED7D6C">
      <w:pPr>
        <w:numPr>
          <w:ilvl w:val="0"/>
          <w:numId w:val="51"/>
        </w:numPr>
        <w:spacing w:after="0"/>
        <w:rPr>
          <w:rFonts w:ascii="Times New Roman" w:hAnsi="Times New Roman" w:cs="Times New Roman"/>
          <w:lang w:val="es-MX"/>
        </w:rPr>
      </w:pPr>
      <w:r w:rsidRPr="00111094">
        <w:rPr>
          <w:rFonts w:ascii="Times New Roman" w:hAnsi="Times New Roman" w:cs="Times New Roman"/>
          <w:lang w:val="es-MX"/>
        </w:rPr>
        <w:t>Costo por unidad manipulada.</w:t>
      </w:r>
    </w:p>
    <w:p w14:paraId="0F5E1A69" w14:textId="77777777" w:rsidR="00ED7D6C" w:rsidRPr="00111094" w:rsidRDefault="00ED7D6C">
      <w:pPr>
        <w:numPr>
          <w:ilvl w:val="0"/>
          <w:numId w:val="51"/>
        </w:numPr>
        <w:spacing w:after="0"/>
        <w:rPr>
          <w:rFonts w:ascii="Times New Roman" w:hAnsi="Times New Roman" w:cs="Times New Roman"/>
          <w:lang w:val="es-MX"/>
        </w:rPr>
      </w:pPr>
      <w:r w:rsidRPr="00111094">
        <w:rPr>
          <w:rFonts w:ascii="Times New Roman" w:hAnsi="Times New Roman" w:cs="Times New Roman"/>
          <w:lang w:val="es-MX"/>
        </w:rPr>
        <w:t>% de reincidencia en observaciones aduaneras.</w:t>
      </w:r>
    </w:p>
    <w:p w14:paraId="2827F76D" w14:textId="77777777" w:rsidR="00ED7D6C" w:rsidRPr="00111094" w:rsidRDefault="00ED7D6C">
      <w:pPr>
        <w:numPr>
          <w:ilvl w:val="0"/>
          <w:numId w:val="51"/>
        </w:numPr>
        <w:spacing w:after="0"/>
        <w:rPr>
          <w:rFonts w:ascii="Times New Roman" w:hAnsi="Times New Roman" w:cs="Times New Roman"/>
          <w:lang w:val="es-MX"/>
        </w:rPr>
      </w:pPr>
      <w:r w:rsidRPr="00111094">
        <w:rPr>
          <w:rFonts w:ascii="Times New Roman" w:hAnsi="Times New Roman" w:cs="Times New Roman"/>
          <w:lang w:val="es-MX"/>
        </w:rPr>
        <w:t>Ciclo de nacionalización promedio.</w:t>
      </w:r>
    </w:p>
    <w:p w14:paraId="780604AC" w14:textId="77777777" w:rsidR="003D7299" w:rsidRPr="00111094" w:rsidRDefault="003D7299" w:rsidP="003D7299">
      <w:pPr>
        <w:pStyle w:val="Ttulo2"/>
        <w:spacing w:after="240"/>
        <w:rPr>
          <w:rFonts w:ascii="Times New Roman" w:hAnsi="Times New Roman" w:cs="Times New Roman"/>
          <w:lang w:val="en-US"/>
        </w:rPr>
      </w:pPr>
      <w:bookmarkStart w:id="71" w:name="_Toc228778771"/>
      <w:r w:rsidRPr="00111094">
        <w:rPr>
          <w:rFonts w:ascii="Times New Roman" w:hAnsi="Times New Roman" w:cs="Times New Roman"/>
          <w:lang w:val="en-US"/>
        </w:rPr>
        <w:t>Recursos Humanos (dotación inicial)</w:t>
      </w:r>
      <w:bookmarkEnd w:id="71"/>
    </w:p>
    <w:p w14:paraId="19EE3D89" w14:textId="77777777" w:rsidR="003D7299" w:rsidRPr="00111094" w:rsidRDefault="003D7299" w:rsidP="003D7299">
      <w:pPr>
        <w:spacing w:after="0"/>
        <w:ind w:firstLine="720"/>
        <w:rPr>
          <w:rFonts w:ascii="Times New Roman" w:hAnsi="Times New Roman" w:cs="Times New Roman"/>
          <w:lang w:val="es-MX"/>
        </w:rPr>
      </w:pPr>
      <w:r w:rsidRPr="00111094">
        <w:rPr>
          <w:rFonts w:ascii="Times New Roman" w:hAnsi="Times New Roman" w:cs="Times New Roman"/>
          <w:lang w:val="es-MX"/>
        </w:rPr>
        <w:t>Basado en operación 20.000 m² DF (fase 1).</w:t>
      </w:r>
    </w:p>
    <w:p w14:paraId="2EB9A30D" w14:textId="3A899002" w:rsidR="009F26C4" w:rsidRPr="00111094" w:rsidRDefault="009F26C4" w:rsidP="009F26C4">
      <w:pPr>
        <w:spacing w:after="0"/>
        <w:ind w:left="720"/>
        <w:rPr>
          <w:rFonts w:ascii="Times New Roman" w:hAnsi="Times New Roman" w:cs="Times New Roman"/>
        </w:rPr>
      </w:pPr>
      <w:r w:rsidRPr="00111094">
        <w:rPr>
          <w:rFonts w:ascii="Times New Roman" w:hAnsi="Times New Roman" w:cs="Times New Roman"/>
          <w:b/>
          <w:bCs/>
        </w:rPr>
        <w:t>Cobertura operativa:</w:t>
      </w:r>
    </w:p>
    <w:p w14:paraId="22B10480" w14:textId="77777777" w:rsidR="009F26C4" w:rsidRPr="00111094" w:rsidRDefault="009F26C4">
      <w:pPr>
        <w:numPr>
          <w:ilvl w:val="0"/>
          <w:numId w:val="70"/>
        </w:numPr>
        <w:tabs>
          <w:tab w:val="num" w:pos="720"/>
        </w:tabs>
        <w:spacing w:after="0"/>
        <w:rPr>
          <w:rFonts w:ascii="Times New Roman" w:hAnsi="Times New Roman" w:cs="Times New Roman"/>
          <w:lang w:val="es-MX"/>
        </w:rPr>
      </w:pPr>
      <w:r w:rsidRPr="00111094">
        <w:rPr>
          <w:rFonts w:ascii="Times New Roman" w:hAnsi="Times New Roman" w:cs="Times New Roman"/>
          <w:lang w:val="es-MX"/>
        </w:rPr>
        <w:t>Turno mañana / tarde (L–V),</w:t>
      </w:r>
    </w:p>
    <w:p w14:paraId="7C066B5D" w14:textId="77777777" w:rsidR="009F26C4" w:rsidRPr="00111094" w:rsidRDefault="009F26C4">
      <w:pPr>
        <w:numPr>
          <w:ilvl w:val="0"/>
          <w:numId w:val="70"/>
        </w:numPr>
        <w:tabs>
          <w:tab w:val="num" w:pos="720"/>
        </w:tabs>
        <w:spacing w:after="0"/>
        <w:rPr>
          <w:rFonts w:ascii="Times New Roman" w:hAnsi="Times New Roman" w:cs="Times New Roman"/>
          <w:lang w:val="es-MX"/>
        </w:rPr>
      </w:pPr>
      <w:r w:rsidRPr="00111094">
        <w:rPr>
          <w:rFonts w:ascii="Times New Roman" w:hAnsi="Times New Roman" w:cs="Times New Roman"/>
          <w:lang w:val="es-MX"/>
        </w:rPr>
        <w:t>Guardia mínima sábados para inspecciones.</w:t>
      </w:r>
    </w:p>
    <w:p w14:paraId="00B2E9C0" w14:textId="1D51D492" w:rsidR="009F26C4" w:rsidRPr="00111094" w:rsidRDefault="009F26C4" w:rsidP="009F26C4">
      <w:pPr>
        <w:spacing w:after="0"/>
        <w:rPr>
          <w:rFonts w:ascii="Times New Roman" w:hAnsi="Times New Roman" w:cs="Times New Roman"/>
          <w:lang w:val="es-MX"/>
        </w:rPr>
      </w:pPr>
    </w:p>
    <w:tbl>
      <w:tblPr>
        <w:tblStyle w:val="GridTable4Accent1"/>
        <w:tblW w:w="0" w:type="auto"/>
        <w:tblLook w:val="04A0" w:firstRow="1" w:lastRow="0" w:firstColumn="1" w:lastColumn="0" w:noHBand="0" w:noVBand="1"/>
      </w:tblPr>
      <w:tblGrid>
        <w:gridCol w:w="1683"/>
        <w:gridCol w:w="2868"/>
        <w:gridCol w:w="1060"/>
      </w:tblGrid>
      <w:tr w:rsidR="003D7299" w:rsidRPr="00111094" w14:paraId="3D44B892" w14:textId="77777777" w:rsidTr="003D72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B6A2AE"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Área</w:t>
            </w:r>
          </w:p>
        </w:tc>
        <w:tc>
          <w:tcPr>
            <w:tcW w:w="0" w:type="auto"/>
            <w:hideMark/>
          </w:tcPr>
          <w:p w14:paraId="3E8B9094" w14:textId="77777777" w:rsidR="003D7299" w:rsidRPr="00111094" w:rsidRDefault="003D7299" w:rsidP="003D729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Rol</w:t>
            </w:r>
          </w:p>
        </w:tc>
        <w:tc>
          <w:tcPr>
            <w:tcW w:w="0" w:type="auto"/>
            <w:hideMark/>
          </w:tcPr>
          <w:p w14:paraId="0B364D6B" w14:textId="77777777" w:rsidR="003D7299" w:rsidRPr="00111094" w:rsidRDefault="003D7299" w:rsidP="003D729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Dotación</w:t>
            </w:r>
          </w:p>
        </w:tc>
      </w:tr>
      <w:tr w:rsidR="003D7299" w:rsidRPr="00111094" w14:paraId="1707583A"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698372"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Operaciones</w:t>
            </w:r>
          </w:p>
        </w:tc>
        <w:tc>
          <w:tcPr>
            <w:tcW w:w="0" w:type="auto"/>
            <w:hideMark/>
          </w:tcPr>
          <w:p w14:paraId="3AE46E0D"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Jefe de Depósito Fiscal</w:t>
            </w:r>
          </w:p>
        </w:tc>
        <w:tc>
          <w:tcPr>
            <w:tcW w:w="0" w:type="auto"/>
            <w:hideMark/>
          </w:tcPr>
          <w:p w14:paraId="685EC70E"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w:t>
            </w:r>
          </w:p>
        </w:tc>
      </w:tr>
      <w:tr w:rsidR="003D7299" w:rsidRPr="00111094" w14:paraId="59CF82B4" w14:textId="77777777" w:rsidTr="003D7299">
        <w:tc>
          <w:tcPr>
            <w:cnfStyle w:val="001000000000" w:firstRow="0" w:lastRow="0" w:firstColumn="1" w:lastColumn="0" w:oddVBand="0" w:evenVBand="0" w:oddHBand="0" w:evenHBand="0" w:firstRowFirstColumn="0" w:firstRowLastColumn="0" w:lastRowFirstColumn="0" w:lastRowLastColumn="0"/>
            <w:tcW w:w="0" w:type="auto"/>
            <w:hideMark/>
          </w:tcPr>
          <w:p w14:paraId="0FD07161" w14:textId="77777777" w:rsidR="003D7299" w:rsidRPr="00111094" w:rsidRDefault="003D7299" w:rsidP="003D7299">
            <w:pPr>
              <w:spacing w:line="276" w:lineRule="auto"/>
              <w:rPr>
                <w:rFonts w:ascii="Times New Roman" w:hAnsi="Times New Roman" w:cs="Times New Roman"/>
                <w:lang w:val="es-MX"/>
              </w:rPr>
            </w:pPr>
          </w:p>
        </w:tc>
        <w:tc>
          <w:tcPr>
            <w:tcW w:w="0" w:type="auto"/>
            <w:hideMark/>
          </w:tcPr>
          <w:p w14:paraId="4A9A5494"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Supervisores operativos</w:t>
            </w:r>
          </w:p>
        </w:tc>
        <w:tc>
          <w:tcPr>
            <w:tcW w:w="0" w:type="auto"/>
            <w:hideMark/>
          </w:tcPr>
          <w:p w14:paraId="1DAB9067"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2</w:t>
            </w:r>
          </w:p>
        </w:tc>
      </w:tr>
      <w:tr w:rsidR="009F26C4" w:rsidRPr="00111094" w14:paraId="6AB0B4E6"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E7A953" w14:textId="77777777" w:rsidR="009F26C4" w:rsidRPr="00111094" w:rsidRDefault="009F26C4" w:rsidP="003D7299">
            <w:pPr>
              <w:rPr>
                <w:rFonts w:ascii="Times New Roman" w:hAnsi="Times New Roman" w:cs="Times New Roman"/>
                <w:lang w:val="es-MX"/>
              </w:rPr>
            </w:pPr>
          </w:p>
        </w:tc>
        <w:tc>
          <w:tcPr>
            <w:tcW w:w="0" w:type="auto"/>
          </w:tcPr>
          <w:p w14:paraId="7957C1DF" w14:textId="08EE6178" w:rsidR="009F26C4" w:rsidRPr="00111094" w:rsidRDefault="009F26C4" w:rsidP="003D729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Lideres Operativos</w:t>
            </w:r>
          </w:p>
        </w:tc>
        <w:tc>
          <w:tcPr>
            <w:tcW w:w="0" w:type="auto"/>
          </w:tcPr>
          <w:p w14:paraId="36B5775B" w14:textId="3C1DEDA5" w:rsidR="009F26C4" w:rsidRPr="00111094" w:rsidRDefault="009F26C4" w:rsidP="003D729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2</w:t>
            </w:r>
          </w:p>
        </w:tc>
      </w:tr>
      <w:tr w:rsidR="003D7299" w:rsidRPr="00111094" w14:paraId="279CC184" w14:textId="77777777" w:rsidTr="003D7299">
        <w:tc>
          <w:tcPr>
            <w:cnfStyle w:val="001000000000" w:firstRow="0" w:lastRow="0" w:firstColumn="1" w:lastColumn="0" w:oddVBand="0" w:evenVBand="0" w:oddHBand="0" w:evenHBand="0" w:firstRowFirstColumn="0" w:firstRowLastColumn="0" w:lastRowFirstColumn="0" w:lastRowLastColumn="0"/>
            <w:tcW w:w="0" w:type="auto"/>
            <w:hideMark/>
          </w:tcPr>
          <w:p w14:paraId="08D61194" w14:textId="77777777" w:rsidR="003D7299" w:rsidRPr="00111094" w:rsidRDefault="003D7299" w:rsidP="003D7299">
            <w:pPr>
              <w:spacing w:line="276" w:lineRule="auto"/>
              <w:rPr>
                <w:rFonts w:ascii="Times New Roman" w:hAnsi="Times New Roman" w:cs="Times New Roman"/>
                <w:lang w:val="es-MX"/>
              </w:rPr>
            </w:pPr>
          </w:p>
        </w:tc>
        <w:tc>
          <w:tcPr>
            <w:tcW w:w="0" w:type="auto"/>
            <w:hideMark/>
          </w:tcPr>
          <w:p w14:paraId="176D1A9B"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Operarios carga/descarga</w:t>
            </w:r>
          </w:p>
        </w:tc>
        <w:tc>
          <w:tcPr>
            <w:tcW w:w="0" w:type="auto"/>
            <w:hideMark/>
          </w:tcPr>
          <w:p w14:paraId="4FA27CDB" w14:textId="3B23D4B7" w:rsidR="003D7299" w:rsidRPr="00111094" w:rsidRDefault="009F26C4"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12</w:t>
            </w:r>
          </w:p>
        </w:tc>
      </w:tr>
      <w:tr w:rsidR="009F26C4" w:rsidRPr="00111094" w14:paraId="031CA0BF"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B4C522" w14:textId="77777777" w:rsidR="009F26C4" w:rsidRPr="00111094" w:rsidRDefault="009F26C4" w:rsidP="003D7299">
            <w:pPr>
              <w:rPr>
                <w:rFonts w:ascii="Times New Roman" w:hAnsi="Times New Roman" w:cs="Times New Roman"/>
                <w:lang w:val="es-MX"/>
              </w:rPr>
            </w:pPr>
          </w:p>
        </w:tc>
        <w:tc>
          <w:tcPr>
            <w:tcW w:w="0" w:type="auto"/>
          </w:tcPr>
          <w:p w14:paraId="53FB5243" w14:textId="182A1D51" w:rsidR="009F26C4" w:rsidRPr="00111094" w:rsidRDefault="009F26C4" w:rsidP="003D729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Controladores</w:t>
            </w:r>
          </w:p>
        </w:tc>
        <w:tc>
          <w:tcPr>
            <w:tcW w:w="0" w:type="auto"/>
          </w:tcPr>
          <w:p w14:paraId="6B8FB4EC" w14:textId="5C29A8A6" w:rsidR="009F26C4" w:rsidRPr="00111094" w:rsidRDefault="009F26C4" w:rsidP="003D729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4</w:t>
            </w:r>
          </w:p>
        </w:tc>
      </w:tr>
      <w:tr w:rsidR="003D7299" w:rsidRPr="00111094" w14:paraId="33A1A5C9" w14:textId="77777777" w:rsidTr="003D7299">
        <w:tc>
          <w:tcPr>
            <w:cnfStyle w:val="001000000000" w:firstRow="0" w:lastRow="0" w:firstColumn="1" w:lastColumn="0" w:oddVBand="0" w:evenVBand="0" w:oddHBand="0" w:evenHBand="0" w:firstRowFirstColumn="0" w:firstRowLastColumn="0" w:lastRowFirstColumn="0" w:lastRowLastColumn="0"/>
            <w:tcW w:w="0" w:type="auto"/>
            <w:hideMark/>
          </w:tcPr>
          <w:p w14:paraId="43B8A445" w14:textId="77777777" w:rsidR="003D7299" w:rsidRPr="00111094" w:rsidRDefault="003D7299" w:rsidP="003D7299">
            <w:pPr>
              <w:spacing w:line="276" w:lineRule="auto"/>
              <w:rPr>
                <w:rFonts w:ascii="Times New Roman" w:hAnsi="Times New Roman" w:cs="Times New Roman"/>
                <w:lang w:val="es-MX"/>
              </w:rPr>
            </w:pPr>
          </w:p>
        </w:tc>
        <w:tc>
          <w:tcPr>
            <w:tcW w:w="0" w:type="auto"/>
            <w:hideMark/>
          </w:tcPr>
          <w:p w14:paraId="1D82B134"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Operarios VAS</w:t>
            </w:r>
          </w:p>
        </w:tc>
        <w:tc>
          <w:tcPr>
            <w:tcW w:w="0" w:type="auto"/>
            <w:hideMark/>
          </w:tcPr>
          <w:p w14:paraId="39D4CBF7" w14:textId="052EF225" w:rsidR="003D7299" w:rsidRPr="00111094" w:rsidRDefault="009F26C4"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6</w:t>
            </w:r>
          </w:p>
        </w:tc>
      </w:tr>
      <w:tr w:rsidR="003D7299" w:rsidRPr="00111094" w14:paraId="07CB5A49"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61EECD"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Aduana</w:t>
            </w:r>
          </w:p>
        </w:tc>
        <w:tc>
          <w:tcPr>
            <w:tcW w:w="0" w:type="auto"/>
            <w:hideMark/>
          </w:tcPr>
          <w:p w14:paraId="5713260F"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Coordinador aduanero</w:t>
            </w:r>
          </w:p>
        </w:tc>
        <w:tc>
          <w:tcPr>
            <w:tcW w:w="0" w:type="auto"/>
            <w:hideMark/>
          </w:tcPr>
          <w:p w14:paraId="14A7E365"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w:t>
            </w:r>
          </w:p>
        </w:tc>
      </w:tr>
      <w:tr w:rsidR="003D7299" w:rsidRPr="00111094" w14:paraId="142DD561" w14:textId="77777777" w:rsidTr="003D7299">
        <w:tc>
          <w:tcPr>
            <w:cnfStyle w:val="001000000000" w:firstRow="0" w:lastRow="0" w:firstColumn="1" w:lastColumn="0" w:oddVBand="0" w:evenVBand="0" w:oddHBand="0" w:evenHBand="0" w:firstRowFirstColumn="0" w:firstRowLastColumn="0" w:lastRowFirstColumn="0" w:lastRowLastColumn="0"/>
            <w:tcW w:w="0" w:type="auto"/>
            <w:hideMark/>
          </w:tcPr>
          <w:p w14:paraId="1F5345AA" w14:textId="77777777" w:rsidR="003D7299" w:rsidRPr="00111094" w:rsidRDefault="003D7299" w:rsidP="003D7299">
            <w:pPr>
              <w:spacing w:line="276" w:lineRule="auto"/>
              <w:rPr>
                <w:rFonts w:ascii="Times New Roman" w:hAnsi="Times New Roman" w:cs="Times New Roman"/>
                <w:lang w:val="es-MX"/>
              </w:rPr>
            </w:pPr>
          </w:p>
        </w:tc>
        <w:tc>
          <w:tcPr>
            <w:tcW w:w="0" w:type="auto"/>
            <w:hideMark/>
          </w:tcPr>
          <w:p w14:paraId="58A44580"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Asistentes aduaneros</w:t>
            </w:r>
          </w:p>
        </w:tc>
        <w:tc>
          <w:tcPr>
            <w:tcW w:w="0" w:type="auto"/>
            <w:hideMark/>
          </w:tcPr>
          <w:p w14:paraId="310B28ED"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2</w:t>
            </w:r>
          </w:p>
        </w:tc>
      </w:tr>
      <w:tr w:rsidR="003D7299" w:rsidRPr="00111094" w14:paraId="0E76AB17"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5FB671"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Seguridad</w:t>
            </w:r>
          </w:p>
        </w:tc>
        <w:tc>
          <w:tcPr>
            <w:tcW w:w="0" w:type="auto"/>
            <w:hideMark/>
          </w:tcPr>
          <w:p w14:paraId="1BE6DC7A"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Control de accesos</w:t>
            </w:r>
          </w:p>
        </w:tc>
        <w:tc>
          <w:tcPr>
            <w:tcW w:w="0" w:type="auto"/>
            <w:hideMark/>
          </w:tcPr>
          <w:p w14:paraId="02A4FC7B" w14:textId="6523A198" w:rsidR="003D7299" w:rsidRPr="00111094" w:rsidRDefault="009F26C4"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6</w:t>
            </w:r>
          </w:p>
        </w:tc>
      </w:tr>
      <w:tr w:rsidR="003D7299" w:rsidRPr="00111094" w14:paraId="0F9C5B59" w14:textId="77777777" w:rsidTr="003D7299">
        <w:tc>
          <w:tcPr>
            <w:cnfStyle w:val="001000000000" w:firstRow="0" w:lastRow="0" w:firstColumn="1" w:lastColumn="0" w:oddVBand="0" w:evenVBand="0" w:oddHBand="0" w:evenHBand="0" w:firstRowFirstColumn="0" w:firstRowLastColumn="0" w:lastRowFirstColumn="0" w:lastRowLastColumn="0"/>
            <w:tcW w:w="0" w:type="auto"/>
            <w:hideMark/>
          </w:tcPr>
          <w:p w14:paraId="798E51DE"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Sistemas</w:t>
            </w:r>
          </w:p>
        </w:tc>
        <w:tc>
          <w:tcPr>
            <w:tcW w:w="0" w:type="auto"/>
            <w:hideMark/>
          </w:tcPr>
          <w:p w14:paraId="63E7B18D"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Analista WMS</w:t>
            </w:r>
          </w:p>
        </w:tc>
        <w:tc>
          <w:tcPr>
            <w:tcW w:w="0" w:type="auto"/>
            <w:hideMark/>
          </w:tcPr>
          <w:p w14:paraId="4A934A76" w14:textId="77777777" w:rsidR="003D7299" w:rsidRPr="00111094" w:rsidRDefault="003D7299" w:rsidP="003D729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w:t>
            </w:r>
          </w:p>
        </w:tc>
      </w:tr>
      <w:tr w:rsidR="003D7299" w:rsidRPr="00111094" w14:paraId="2849C8D3" w14:textId="77777777" w:rsidTr="003D72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692DEF" w14:textId="77777777" w:rsidR="003D7299" w:rsidRPr="00111094" w:rsidRDefault="003D7299" w:rsidP="003D7299">
            <w:pPr>
              <w:spacing w:line="276" w:lineRule="auto"/>
              <w:rPr>
                <w:rFonts w:ascii="Times New Roman" w:hAnsi="Times New Roman" w:cs="Times New Roman"/>
                <w:lang w:val="es-MX"/>
              </w:rPr>
            </w:pPr>
            <w:r w:rsidRPr="00111094">
              <w:rPr>
                <w:rFonts w:ascii="Times New Roman" w:hAnsi="Times New Roman" w:cs="Times New Roman"/>
                <w:lang w:val="es-MX"/>
              </w:rPr>
              <w:t>Administración</w:t>
            </w:r>
          </w:p>
        </w:tc>
        <w:tc>
          <w:tcPr>
            <w:tcW w:w="0" w:type="auto"/>
            <w:hideMark/>
          </w:tcPr>
          <w:p w14:paraId="6A142A66" w14:textId="77777777" w:rsidR="003D7299"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Administrativo DF</w:t>
            </w:r>
          </w:p>
        </w:tc>
        <w:tc>
          <w:tcPr>
            <w:tcW w:w="0" w:type="auto"/>
            <w:hideMark/>
          </w:tcPr>
          <w:p w14:paraId="22AB7F92" w14:textId="72CEB9FB" w:rsidR="009F26C4" w:rsidRPr="00111094" w:rsidRDefault="003D7299" w:rsidP="003D729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w:t>
            </w:r>
          </w:p>
        </w:tc>
      </w:tr>
      <w:tr w:rsidR="009F26C4" w:rsidRPr="00111094" w14:paraId="7E220208" w14:textId="77777777" w:rsidTr="003D7299">
        <w:tc>
          <w:tcPr>
            <w:cnfStyle w:val="001000000000" w:firstRow="0" w:lastRow="0" w:firstColumn="1" w:lastColumn="0" w:oddVBand="0" w:evenVBand="0" w:oddHBand="0" w:evenHBand="0" w:firstRowFirstColumn="0" w:firstRowLastColumn="0" w:lastRowFirstColumn="0" w:lastRowLastColumn="0"/>
            <w:tcW w:w="0" w:type="auto"/>
          </w:tcPr>
          <w:p w14:paraId="12368E63" w14:textId="32689B81" w:rsidR="009F26C4" w:rsidRPr="00111094" w:rsidRDefault="009F26C4" w:rsidP="003D7299">
            <w:pPr>
              <w:rPr>
                <w:rFonts w:ascii="Times New Roman" w:hAnsi="Times New Roman" w:cs="Times New Roman"/>
                <w:lang w:val="es-MX"/>
              </w:rPr>
            </w:pPr>
            <w:r w:rsidRPr="00111094">
              <w:rPr>
                <w:rFonts w:ascii="Times New Roman" w:hAnsi="Times New Roman" w:cs="Times New Roman"/>
                <w:lang w:val="es-MX"/>
              </w:rPr>
              <w:t xml:space="preserve">SHE </w:t>
            </w:r>
          </w:p>
        </w:tc>
        <w:tc>
          <w:tcPr>
            <w:tcW w:w="0" w:type="auto"/>
          </w:tcPr>
          <w:p w14:paraId="52011F24" w14:textId="2BE9FE68" w:rsidR="009F26C4" w:rsidRPr="00111094" w:rsidRDefault="009F26C4" w:rsidP="003D72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Supervisor de SHE &amp; Calidad</w:t>
            </w:r>
          </w:p>
        </w:tc>
        <w:tc>
          <w:tcPr>
            <w:tcW w:w="0" w:type="auto"/>
          </w:tcPr>
          <w:p w14:paraId="1014843E" w14:textId="4BFC4C7A" w:rsidR="009F26C4" w:rsidRPr="00111094" w:rsidRDefault="009F26C4" w:rsidP="003D72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MX"/>
              </w:rPr>
            </w:pPr>
            <w:r w:rsidRPr="00111094">
              <w:rPr>
                <w:rFonts w:ascii="Times New Roman" w:hAnsi="Times New Roman" w:cs="Times New Roman"/>
                <w:lang w:val="es-MX"/>
              </w:rPr>
              <w:t>1</w:t>
            </w:r>
          </w:p>
        </w:tc>
      </w:tr>
    </w:tbl>
    <w:p w14:paraId="35E31E16" w14:textId="77777777" w:rsidR="003D7299" w:rsidRPr="00111094" w:rsidRDefault="003D7299" w:rsidP="003D7299">
      <w:pPr>
        <w:spacing w:after="0"/>
        <w:rPr>
          <w:rFonts w:ascii="Times New Roman" w:hAnsi="Times New Roman" w:cs="Times New Roman"/>
          <w:lang w:val="es-MX"/>
        </w:rPr>
      </w:pPr>
    </w:p>
    <w:p w14:paraId="22657C82" w14:textId="4801959A" w:rsidR="003D7299" w:rsidRPr="00111094" w:rsidRDefault="003D7299" w:rsidP="00F55C5A">
      <w:pPr>
        <w:spacing w:after="0"/>
        <w:ind w:left="720"/>
        <w:rPr>
          <w:rFonts w:ascii="Times New Roman" w:hAnsi="Times New Roman" w:cs="Times New Roman"/>
        </w:rPr>
      </w:pPr>
      <w:r w:rsidRPr="00111094">
        <w:rPr>
          <w:rFonts w:ascii="Times New Roman" w:hAnsi="Times New Roman" w:cs="Times New Roman"/>
        </w:rPr>
        <w:lastRenderedPageBreak/>
        <w:t xml:space="preserve">Dotación total estimada fase 1: </w:t>
      </w:r>
      <w:r w:rsidR="009F26C4" w:rsidRPr="00111094">
        <w:rPr>
          <w:rFonts w:ascii="Times New Roman" w:hAnsi="Times New Roman" w:cs="Times New Roman"/>
        </w:rPr>
        <w:t>35/40</w:t>
      </w:r>
      <w:r w:rsidRPr="00111094">
        <w:rPr>
          <w:rFonts w:ascii="Times New Roman" w:hAnsi="Times New Roman" w:cs="Times New Roman"/>
        </w:rPr>
        <w:t xml:space="preserve"> personas.</w:t>
      </w:r>
      <w:r w:rsidRPr="00111094">
        <w:rPr>
          <w:rFonts w:ascii="Times New Roman" w:hAnsi="Times New Roman" w:cs="Times New Roman"/>
        </w:rPr>
        <w:br/>
        <w:t>Fase 2 (30.000 m²): 35–40 personas.</w:t>
      </w:r>
    </w:p>
    <w:p w14:paraId="377B6069" w14:textId="6CD26415" w:rsidR="003D7299" w:rsidRPr="00111094" w:rsidRDefault="003D7299" w:rsidP="00F55C5A">
      <w:pPr>
        <w:pStyle w:val="Ttulo2"/>
        <w:spacing w:after="240"/>
        <w:jc w:val="both"/>
        <w:rPr>
          <w:rFonts w:ascii="Times New Roman" w:hAnsi="Times New Roman" w:cs="Times New Roman"/>
          <w:lang w:val="es-MX"/>
        </w:rPr>
      </w:pPr>
      <w:bookmarkStart w:id="72" w:name="_Toc228778772"/>
      <w:r w:rsidRPr="00111094">
        <w:rPr>
          <w:rFonts w:ascii="Times New Roman" w:hAnsi="Times New Roman" w:cs="Times New Roman"/>
          <w:lang w:val="es-MX"/>
        </w:rPr>
        <w:t xml:space="preserve">Infraestructura </w:t>
      </w:r>
      <w:r w:rsidR="008267E1" w:rsidRPr="00111094">
        <w:rPr>
          <w:rFonts w:ascii="Times New Roman" w:hAnsi="Times New Roman" w:cs="Times New Roman"/>
          <w:lang w:val="es-MX"/>
        </w:rPr>
        <w:t>y Equipamiento</w:t>
      </w:r>
      <w:bookmarkEnd w:id="72"/>
    </w:p>
    <w:p w14:paraId="70073A1A"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Autoelevadores 3–4 ton y 7 ton.</w:t>
      </w:r>
    </w:p>
    <w:p w14:paraId="037D905D"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Racks metálicos de alta densidad.</w:t>
      </w:r>
    </w:p>
    <w:p w14:paraId="4912C08E"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Sistemas RFID / lectores RF.</w:t>
      </w:r>
    </w:p>
    <w:p w14:paraId="7E945EC3"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Cámaras CCTV (mínimo 90) con retención 60 días.</w:t>
      </w:r>
    </w:p>
    <w:p w14:paraId="49C51181"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Sala de verificación con ventilación reforzada.</w:t>
      </w:r>
    </w:p>
    <w:p w14:paraId="5563F505" w14:textId="77777777" w:rsidR="009F26C4"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Andenes nivelables con sellos perimetrales.</w:t>
      </w:r>
    </w:p>
    <w:p w14:paraId="79C0204A" w14:textId="1500DE07" w:rsidR="003D7299" w:rsidRPr="00111094" w:rsidRDefault="009F26C4">
      <w:pPr>
        <w:numPr>
          <w:ilvl w:val="0"/>
          <w:numId w:val="50"/>
        </w:numPr>
        <w:spacing w:after="0"/>
        <w:jc w:val="both"/>
        <w:rPr>
          <w:rFonts w:ascii="Times New Roman" w:hAnsi="Times New Roman" w:cs="Times New Roman"/>
          <w:lang w:val="es-MX"/>
        </w:rPr>
      </w:pPr>
      <w:r w:rsidRPr="00111094">
        <w:rPr>
          <w:rFonts w:ascii="Times New Roman" w:hAnsi="Times New Roman" w:cs="Times New Roman"/>
          <w:lang w:val="es-MX"/>
        </w:rPr>
        <w:t>Área de VAS segregada.</w:t>
      </w:r>
    </w:p>
    <w:p w14:paraId="44491CCD" w14:textId="77777777" w:rsidR="008267E1" w:rsidRPr="00111094" w:rsidRDefault="008267E1" w:rsidP="00F55C5A">
      <w:pPr>
        <w:pStyle w:val="Ttulo2"/>
        <w:spacing w:after="240"/>
        <w:jc w:val="both"/>
        <w:rPr>
          <w:rFonts w:ascii="Times New Roman" w:hAnsi="Times New Roman" w:cs="Times New Roman"/>
          <w:lang w:val="es-MX"/>
        </w:rPr>
      </w:pPr>
      <w:bookmarkStart w:id="73" w:name="_Toc228778773"/>
      <w:r w:rsidRPr="00111094">
        <w:rPr>
          <w:rFonts w:ascii="Times New Roman" w:hAnsi="Times New Roman" w:cs="Times New Roman"/>
          <w:lang w:val="es-MX"/>
        </w:rPr>
        <w:t>Sistemas y tecnología</w:t>
      </w:r>
      <w:bookmarkEnd w:id="73"/>
    </w:p>
    <w:p w14:paraId="43E2AE34" w14:textId="77777777" w:rsidR="008267E1" w:rsidRPr="00111094" w:rsidRDefault="008267E1">
      <w:pPr>
        <w:numPr>
          <w:ilvl w:val="0"/>
          <w:numId w:val="71"/>
        </w:numPr>
        <w:spacing w:after="0"/>
        <w:jc w:val="both"/>
        <w:rPr>
          <w:rFonts w:ascii="Times New Roman" w:hAnsi="Times New Roman" w:cs="Times New Roman"/>
          <w:lang w:val="es-MX"/>
        </w:rPr>
      </w:pPr>
      <w:r w:rsidRPr="00111094">
        <w:rPr>
          <w:rFonts w:ascii="Times New Roman" w:hAnsi="Times New Roman" w:cs="Times New Roman"/>
          <w:lang w:val="es-MX"/>
        </w:rPr>
        <w:t>WMS integrado con Aduana (SIM/ARCA).</w:t>
      </w:r>
    </w:p>
    <w:p w14:paraId="6A41D08A" w14:textId="77777777" w:rsidR="008267E1" w:rsidRPr="00111094" w:rsidRDefault="008267E1">
      <w:pPr>
        <w:numPr>
          <w:ilvl w:val="0"/>
          <w:numId w:val="71"/>
        </w:numPr>
        <w:spacing w:after="0"/>
        <w:jc w:val="both"/>
        <w:rPr>
          <w:rFonts w:ascii="Times New Roman" w:hAnsi="Times New Roman" w:cs="Times New Roman"/>
          <w:lang w:val="es-MX"/>
        </w:rPr>
      </w:pPr>
      <w:r w:rsidRPr="00111094">
        <w:rPr>
          <w:rFonts w:ascii="Times New Roman" w:hAnsi="Times New Roman" w:cs="Times New Roman"/>
          <w:lang w:val="es-MX"/>
        </w:rPr>
        <w:t>TMS para coordinación transporte.</w:t>
      </w:r>
    </w:p>
    <w:p w14:paraId="79EA1B31" w14:textId="77777777" w:rsidR="008267E1" w:rsidRPr="00111094" w:rsidRDefault="008267E1">
      <w:pPr>
        <w:numPr>
          <w:ilvl w:val="0"/>
          <w:numId w:val="71"/>
        </w:numPr>
        <w:spacing w:after="0"/>
        <w:jc w:val="both"/>
        <w:rPr>
          <w:rFonts w:ascii="Times New Roman" w:hAnsi="Times New Roman" w:cs="Times New Roman"/>
          <w:lang w:val="es-MX"/>
        </w:rPr>
      </w:pPr>
      <w:r w:rsidRPr="00111094">
        <w:rPr>
          <w:rFonts w:ascii="Times New Roman" w:hAnsi="Times New Roman" w:cs="Times New Roman"/>
          <w:lang w:val="es-MX"/>
        </w:rPr>
        <w:t>CCTV + control de accesos biométrico.</w:t>
      </w:r>
    </w:p>
    <w:p w14:paraId="25221792" w14:textId="77777777" w:rsidR="008267E1" w:rsidRPr="00111094" w:rsidRDefault="008267E1">
      <w:pPr>
        <w:numPr>
          <w:ilvl w:val="0"/>
          <w:numId w:val="71"/>
        </w:numPr>
        <w:spacing w:after="0"/>
        <w:jc w:val="both"/>
        <w:rPr>
          <w:rFonts w:ascii="Times New Roman" w:hAnsi="Times New Roman" w:cs="Times New Roman"/>
          <w:lang w:val="es-MX"/>
        </w:rPr>
      </w:pPr>
      <w:r w:rsidRPr="00111094">
        <w:rPr>
          <w:rFonts w:ascii="Times New Roman" w:hAnsi="Times New Roman" w:cs="Times New Roman"/>
          <w:lang w:val="es-MX"/>
        </w:rPr>
        <w:t>Dashboard cliente 24/7 (visibilidad total).</w:t>
      </w:r>
    </w:p>
    <w:p w14:paraId="27EEFDC1" w14:textId="77777777" w:rsidR="008267E1" w:rsidRPr="00111094" w:rsidRDefault="008267E1">
      <w:pPr>
        <w:numPr>
          <w:ilvl w:val="0"/>
          <w:numId w:val="71"/>
        </w:numPr>
        <w:spacing w:after="0"/>
        <w:jc w:val="both"/>
        <w:rPr>
          <w:rFonts w:ascii="Times New Roman" w:hAnsi="Times New Roman" w:cs="Times New Roman"/>
          <w:lang w:val="es-MX"/>
        </w:rPr>
      </w:pPr>
      <w:r w:rsidRPr="00111094">
        <w:rPr>
          <w:rFonts w:ascii="Times New Roman" w:hAnsi="Times New Roman" w:cs="Times New Roman"/>
          <w:lang w:val="es-MX"/>
        </w:rPr>
        <w:t>Fibra óptica redundante + backup LTE.</w:t>
      </w:r>
    </w:p>
    <w:p w14:paraId="400772AA" w14:textId="77777777" w:rsidR="003D7299" w:rsidRPr="00111094" w:rsidRDefault="003D7299" w:rsidP="00F55C5A">
      <w:pPr>
        <w:pStyle w:val="Ttulo2"/>
        <w:spacing w:after="240"/>
        <w:jc w:val="both"/>
        <w:rPr>
          <w:rFonts w:ascii="Times New Roman" w:hAnsi="Times New Roman" w:cs="Times New Roman"/>
          <w:lang w:val="es-MX"/>
        </w:rPr>
      </w:pPr>
      <w:bookmarkStart w:id="74" w:name="_Toc228778774"/>
      <w:r w:rsidRPr="00111094">
        <w:rPr>
          <w:rFonts w:ascii="Times New Roman" w:hAnsi="Times New Roman" w:cs="Times New Roman"/>
          <w:lang w:val="es-MX"/>
        </w:rPr>
        <w:t>Gestión de Merma y Scrap</w:t>
      </w:r>
      <w:bookmarkEnd w:id="74"/>
    </w:p>
    <w:p w14:paraId="32E7FFC1" w14:textId="77777777" w:rsidR="008267E1" w:rsidRPr="00111094" w:rsidRDefault="008267E1" w:rsidP="00F55C5A">
      <w:pPr>
        <w:spacing w:after="0"/>
        <w:ind w:firstLine="360"/>
        <w:jc w:val="both"/>
        <w:rPr>
          <w:rFonts w:ascii="Times New Roman" w:hAnsi="Times New Roman" w:cs="Times New Roman"/>
          <w:lang w:val="es-MX"/>
        </w:rPr>
      </w:pPr>
      <w:r w:rsidRPr="00111094">
        <w:rPr>
          <w:rFonts w:ascii="Times New Roman" w:hAnsi="Times New Roman" w:cs="Times New Roman"/>
          <w:lang w:val="es-MX"/>
        </w:rPr>
        <w:t>El proceso de control de mermas y scrap se ajusta a normativa aduanera y a estándares de trazabilidad exigidos por clientes multinacionales.</w:t>
      </w:r>
    </w:p>
    <w:p w14:paraId="094B558D" w14:textId="77777777" w:rsidR="008267E1" w:rsidRPr="00111094" w:rsidRDefault="008267E1" w:rsidP="00F55C5A">
      <w:pPr>
        <w:spacing w:after="0"/>
        <w:ind w:left="360"/>
        <w:jc w:val="both"/>
        <w:rPr>
          <w:rFonts w:ascii="Times New Roman" w:hAnsi="Times New Roman" w:cs="Times New Roman"/>
          <w:b/>
          <w:bCs/>
          <w:lang w:val="es-MX"/>
        </w:rPr>
      </w:pPr>
      <w:r w:rsidRPr="00111094">
        <w:rPr>
          <w:rFonts w:ascii="Times New Roman" w:hAnsi="Times New Roman" w:cs="Times New Roman"/>
          <w:b/>
          <w:bCs/>
          <w:lang w:val="es-MX"/>
        </w:rPr>
        <w:t>Procedimiento:</w:t>
      </w:r>
    </w:p>
    <w:p w14:paraId="2A1DABCF" w14:textId="77777777" w:rsidR="008267E1" w:rsidRPr="00111094" w:rsidRDefault="008267E1">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Identificación de bultos dañados o incompletos.</w:t>
      </w:r>
    </w:p>
    <w:p w14:paraId="4F54F6C5" w14:textId="77777777" w:rsidR="008267E1" w:rsidRPr="00111094" w:rsidRDefault="008267E1">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Registro en WMS y emisión de reporte DMA/DMI.</w:t>
      </w:r>
    </w:p>
    <w:p w14:paraId="098BC3DA" w14:textId="77777777" w:rsidR="008267E1" w:rsidRPr="00111094" w:rsidRDefault="008267E1">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Aislamiento en zona de no conforme (NCR).</w:t>
      </w:r>
    </w:p>
    <w:p w14:paraId="51E54555" w14:textId="77777777" w:rsidR="008267E1" w:rsidRPr="00111094" w:rsidRDefault="008267E1">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Notificación al cliente y a la Aduana en caso de mercadería sujeta a control.</w:t>
      </w:r>
    </w:p>
    <w:p w14:paraId="63A19E20" w14:textId="77777777" w:rsidR="008267E1" w:rsidRPr="00111094" w:rsidRDefault="008267E1">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Disposición final autorizada (destrucción, devolución, reexpedición).</w:t>
      </w:r>
    </w:p>
    <w:p w14:paraId="78C6BA5F" w14:textId="77777777" w:rsidR="003D7299" w:rsidRPr="00111094" w:rsidRDefault="003D7299" w:rsidP="00F55C5A">
      <w:pPr>
        <w:spacing w:after="0"/>
        <w:ind w:left="360"/>
        <w:jc w:val="both"/>
        <w:rPr>
          <w:rFonts w:ascii="Times New Roman" w:hAnsi="Times New Roman" w:cs="Times New Roman"/>
          <w:b/>
          <w:bCs/>
          <w:lang w:val="es-MX"/>
        </w:rPr>
      </w:pPr>
      <w:r w:rsidRPr="00111094">
        <w:rPr>
          <w:rFonts w:ascii="Times New Roman" w:hAnsi="Times New Roman" w:cs="Times New Roman"/>
          <w:b/>
          <w:bCs/>
          <w:lang w:val="es-MX"/>
        </w:rPr>
        <w:t>Tipologías</w:t>
      </w:r>
    </w:p>
    <w:p w14:paraId="7AE8CDD0" w14:textId="77777777" w:rsidR="003D7299" w:rsidRPr="00111094" w:rsidRDefault="003D7299">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Daños por manipuleo.</w:t>
      </w:r>
    </w:p>
    <w:p w14:paraId="502C95C7" w14:textId="77777777" w:rsidR="003D7299" w:rsidRPr="00111094" w:rsidRDefault="003D7299">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Diferencias de inventario por verificación.</w:t>
      </w:r>
    </w:p>
    <w:p w14:paraId="597ADED0" w14:textId="77777777" w:rsidR="003D7299" w:rsidRPr="00111094" w:rsidRDefault="003D7299">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Productos vencidos u obsoletos (según industria).</w:t>
      </w:r>
    </w:p>
    <w:p w14:paraId="59C2C480" w14:textId="77777777" w:rsidR="003D7299" w:rsidRPr="00111094" w:rsidRDefault="003D7299">
      <w:pPr>
        <w:numPr>
          <w:ilvl w:val="0"/>
          <w:numId w:val="52"/>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Rechazos aduaneros.</w:t>
      </w:r>
    </w:p>
    <w:p w14:paraId="1FF954C5" w14:textId="77777777" w:rsidR="003D7299" w:rsidRPr="00111094" w:rsidRDefault="003D7299" w:rsidP="00F55C5A">
      <w:pPr>
        <w:spacing w:after="0"/>
        <w:ind w:left="360"/>
        <w:jc w:val="both"/>
        <w:rPr>
          <w:rFonts w:ascii="Times New Roman" w:hAnsi="Times New Roman" w:cs="Times New Roman"/>
          <w:b/>
          <w:bCs/>
          <w:lang w:val="es-MX"/>
        </w:rPr>
      </w:pPr>
      <w:r w:rsidRPr="00111094">
        <w:rPr>
          <w:rFonts w:ascii="Times New Roman" w:hAnsi="Times New Roman" w:cs="Times New Roman"/>
          <w:b/>
          <w:bCs/>
          <w:lang w:val="es-MX"/>
        </w:rPr>
        <w:t>Controles</w:t>
      </w:r>
    </w:p>
    <w:p w14:paraId="3B35BD1E" w14:textId="77777777" w:rsidR="003D7299" w:rsidRPr="00111094" w:rsidRDefault="003D7299">
      <w:pPr>
        <w:numPr>
          <w:ilvl w:val="0"/>
          <w:numId w:val="53"/>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Registro digital con trazabilidad.</w:t>
      </w:r>
    </w:p>
    <w:p w14:paraId="17A5008B" w14:textId="77777777" w:rsidR="003D7299" w:rsidRPr="00111094" w:rsidRDefault="003D7299">
      <w:pPr>
        <w:numPr>
          <w:ilvl w:val="0"/>
          <w:numId w:val="53"/>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Reportes documentados para DGA.</w:t>
      </w:r>
    </w:p>
    <w:p w14:paraId="30128367" w14:textId="77777777" w:rsidR="003D7299" w:rsidRPr="00111094" w:rsidRDefault="003D7299">
      <w:pPr>
        <w:numPr>
          <w:ilvl w:val="0"/>
          <w:numId w:val="53"/>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Procedimientos de destrucción controlada en caso de scrap.</w:t>
      </w:r>
    </w:p>
    <w:p w14:paraId="5147D504" w14:textId="77777777" w:rsidR="003D7299" w:rsidRPr="00111094" w:rsidRDefault="003D7299">
      <w:pPr>
        <w:numPr>
          <w:ilvl w:val="0"/>
          <w:numId w:val="53"/>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Auditoría mensual.</w:t>
      </w:r>
    </w:p>
    <w:p w14:paraId="4BC3E90C" w14:textId="77777777" w:rsidR="003D7299" w:rsidRPr="00111094" w:rsidRDefault="003D7299" w:rsidP="00F55C5A">
      <w:pPr>
        <w:spacing w:after="0"/>
        <w:ind w:left="360"/>
        <w:jc w:val="both"/>
        <w:rPr>
          <w:rFonts w:ascii="Times New Roman" w:hAnsi="Times New Roman" w:cs="Times New Roman"/>
          <w:b/>
          <w:bCs/>
          <w:lang w:val="es-MX"/>
        </w:rPr>
      </w:pPr>
      <w:r w:rsidRPr="00111094">
        <w:rPr>
          <w:rFonts w:ascii="Times New Roman" w:hAnsi="Times New Roman" w:cs="Times New Roman"/>
          <w:b/>
          <w:bCs/>
          <w:lang w:val="es-MX"/>
        </w:rPr>
        <w:t>Indicadores</w:t>
      </w:r>
    </w:p>
    <w:p w14:paraId="35D04F18" w14:textId="77777777" w:rsidR="003D7299" w:rsidRPr="00111094" w:rsidRDefault="003D7299">
      <w:pPr>
        <w:numPr>
          <w:ilvl w:val="0"/>
          <w:numId w:val="54"/>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Merma operativa permitida: ≤ 0,03 % sobre movimientos.</w:t>
      </w:r>
    </w:p>
    <w:p w14:paraId="5E3EC13B" w14:textId="7D306802" w:rsidR="003D7299" w:rsidRPr="00111094" w:rsidRDefault="003D7299">
      <w:pPr>
        <w:numPr>
          <w:ilvl w:val="0"/>
          <w:numId w:val="54"/>
        </w:numPr>
        <w:tabs>
          <w:tab w:val="clear" w:pos="720"/>
          <w:tab w:val="num" w:pos="1080"/>
        </w:tabs>
        <w:spacing w:after="0"/>
        <w:ind w:left="1080"/>
        <w:jc w:val="both"/>
        <w:rPr>
          <w:rFonts w:ascii="Times New Roman" w:hAnsi="Times New Roman" w:cs="Times New Roman"/>
          <w:lang w:val="es-MX"/>
        </w:rPr>
      </w:pPr>
      <w:r w:rsidRPr="00111094">
        <w:rPr>
          <w:rFonts w:ascii="Times New Roman" w:hAnsi="Times New Roman" w:cs="Times New Roman"/>
          <w:lang w:val="es-MX"/>
        </w:rPr>
        <w:t xml:space="preserve">Scrap </w:t>
      </w:r>
      <w:r w:rsidR="008267E1" w:rsidRPr="00111094">
        <w:rPr>
          <w:rFonts w:ascii="Times New Roman" w:hAnsi="Times New Roman" w:cs="Times New Roman"/>
          <w:lang w:val="es-MX"/>
        </w:rPr>
        <w:t>≤ 0,05% del volumen manipulado</w:t>
      </w:r>
      <w:r w:rsidRPr="00111094">
        <w:rPr>
          <w:rFonts w:ascii="Times New Roman" w:hAnsi="Times New Roman" w:cs="Times New Roman"/>
          <w:lang w:val="es-MX"/>
        </w:rPr>
        <w:t>.</w:t>
      </w:r>
    </w:p>
    <w:p w14:paraId="292D1523" w14:textId="77777777" w:rsidR="008267E1" w:rsidRPr="00111094" w:rsidRDefault="008267E1" w:rsidP="00F55C5A">
      <w:pPr>
        <w:pStyle w:val="Ttulo2"/>
        <w:spacing w:after="240"/>
        <w:jc w:val="both"/>
        <w:rPr>
          <w:rFonts w:ascii="Times New Roman" w:hAnsi="Times New Roman" w:cs="Times New Roman"/>
          <w:lang w:val="es-MX"/>
        </w:rPr>
      </w:pPr>
      <w:bookmarkStart w:id="75" w:name="_Toc228778775"/>
      <w:r w:rsidRPr="00111094">
        <w:rPr>
          <w:rFonts w:ascii="Times New Roman" w:hAnsi="Times New Roman" w:cs="Times New Roman"/>
          <w:lang w:val="es-MX"/>
        </w:rPr>
        <w:lastRenderedPageBreak/>
        <w:t>Matriz RACI – Depósito Fiscal Zona Norte (TASA Logística)</w:t>
      </w:r>
      <w:bookmarkEnd w:id="75"/>
    </w:p>
    <w:p w14:paraId="4190A34D" w14:textId="77777777" w:rsidR="008267E1" w:rsidRPr="00111094" w:rsidRDefault="008267E1" w:rsidP="00F55C5A">
      <w:pPr>
        <w:spacing w:after="0"/>
        <w:ind w:left="720"/>
        <w:rPr>
          <w:rFonts w:ascii="Times New Roman" w:hAnsi="Times New Roman" w:cs="Times New Roman"/>
          <w:lang w:val="es-MX"/>
        </w:rPr>
      </w:pPr>
      <w:r w:rsidRPr="00111094">
        <w:rPr>
          <w:rFonts w:ascii="Times New Roman" w:hAnsi="Times New Roman" w:cs="Times New Roman"/>
          <w:b/>
          <w:bCs/>
          <w:lang w:val="es-MX"/>
        </w:rPr>
        <w:t xml:space="preserve">R = </w:t>
      </w:r>
      <w:r w:rsidRPr="00111094">
        <w:rPr>
          <w:rFonts w:ascii="Times New Roman" w:hAnsi="Times New Roman" w:cs="Times New Roman"/>
          <w:lang w:val="es-MX"/>
        </w:rPr>
        <w:t>Responsible (Ejecutor)</w:t>
      </w:r>
      <w:r w:rsidRPr="00111094">
        <w:rPr>
          <w:rFonts w:ascii="Times New Roman" w:hAnsi="Times New Roman" w:cs="Times New Roman"/>
          <w:lang w:val="es-MX"/>
        </w:rPr>
        <w:br/>
      </w:r>
      <w:r w:rsidRPr="00111094">
        <w:rPr>
          <w:rFonts w:ascii="Times New Roman" w:hAnsi="Times New Roman" w:cs="Times New Roman"/>
          <w:b/>
          <w:bCs/>
          <w:lang w:val="es-MX"/>
        </w:rPr>
        <w:t xml:space="preserve">A = </w:t>
      </w:r>
      <w:r w:rsidRPr="00111094">
        <w:rPr>
          <w:rFonts w:ascii="Times New Roman" w:hAnsi="Times New Roman" w:cs="Times New Roman"/>
          <w:lang w:val="es-MX"/>
        </w:rPr>
        <w:t>Accountable (Dueño del proceso)</w:t>
      </w:r>
      <w:r w:rsidRPr="00111094">
        <w:rPr>
          <w:rFonts w:ascii="Times New Roman" w:hAnsi="Times New Roman" w:cs="Times New Roman"/>
          <w:lang w:val="es-MX"/>
        </w:rPr>
        <w:br/>
      </w:r>
      <w:r w:rsidRPr="00111094">
        <w:rPr>
          <w:rFonts w:ascii="Times New Roman" w:hAnsi="Times New Roman" w:cs="Times New Roman"/>
          <w:b/>
          <w:bCs/>
          <w:lang w:val="es-MX"/>
        </w:rPr>
        <w:t xml:space="preserve">C = </w:t>
      </w:r>
      <w:r w:rsidRPr="00111094">
        <w:rPr>
          <w:rFonts w:ascii="Times New Roman" w:hAnsi="Times New Roman" w:cs="Times New Roman"/>
          <w:lang w:val="es-MX"/>
        </w:rPr>
        <w:t>Consulted (Consulta experta / aporta información)</w:t>
      </w:r>
      <w:r w:rsidRPr="00111094">
        <w:rPr>
          <w:rFonts w:ascii="Times New Roman" w:hAnsi="Times New Roman" w:cs="Times New Roman"/>
          <w:lang w:val="es-MX"/>
        </w:rPr>
        <w:br/>
      </w:r>
      <w:r w:rsidRPr="00111094">
        <w:rPr>
          <w:rFonts w:ascii="Times New Roman" w:hAnsi="Times New Roman" w:cs="Times New Roman"/>
          <w:b/>
          <w:bCs/>
          <w:lang w:val="es-MX"/>
        </w:rPr>
        <w:t xml:space="preserve">I = </w:t>
      </w:r>
      <w:r w:rsidRPr="00111094">
        <w:rPr>
          <w:rFonts w:ascii="Times New Roman" w:hAnsi="Times New Roman" w:cs="Times New Roman"/>
          <w:lang w:val="es-MX"/>
        </w:rPr>
        <w:t>Informed (Debe ser informado)</w:t>
      </w:r>
    </w:p>
    <w:p w14:paraId="793CC4D7" w14:textId="77777777" w:rsidR="00E81C27" w:rsidRPr="00111094" w:rsidRDefault="00E81C27" w:rsidP="008267E1">
      <w:pPr>
        <w:spacing w:after="0"/>
        <w:ind w:left="720"/>
        <w:rPr>
          <w:rFonts w:ascii="Times New Roman" w:hAnsi="Times New Roman" w:cs="Times New Roman"/>
          <w:lang w:val="es-MX"/>
        </w:rPr>
      </w:pPr>
    </w:p>
    <w:p w14:paraId="1384BC33"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t>1. Procesos de Ingreso y Descarga</w:t>
      </w:r>
    </w:p>
    <w:tbl>
      <w:tblPr>
        <w:tblStyle w:val="GridTable4Accent1"/>
        <w:tblW w:w="0" w:type="auto"/>
        <w:tblLook w:val="04A0" w:firstRow="1" w:lastRow="0" w:firstColumn="1" w:lastColumn="0" w:noHBand="0" w:noVBand="1"/>
      </w:tblPr>
      <w:tblGrid>
        <w:gridCol w:w="1642"/>
        <w:gridCol w:w="604"/>
        <w:gridCol w:w="1171"/>
        <w:gridCol w:w="967"/>
        <w:gridCol w:w="1126"/>
        <w:gridCol w:w="961"/>
        <w:gridCol w:w="1095"/>
        <w:gridCol w:w="1183"/>
        <w:gridCol w:w="827"/>
      </w:tblGrid>
      <w:tr w:rsidR="002020E5" w:rsidRPr="00111094" w14:paraId="70CAD20A" w14:textId="77777777" w:rsidTr="004E4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4A580"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0CBE0974"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717D5478"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701E7BAC"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5C7B6DE5"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0633C023" w14:textId="1AA907EA"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Sistemas</w:t>
            </w:r>
          </w:p>
        </w:tc>
        <w:tc>
          <w:tcPr>
            <w:tcW w:w="0" w:type="auto"/>
            <w:hideMark/>
          </w:tcPr>
          <w:p w14:paraId="0A5EBF4E" w14:textId="645FE1BF"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Seguridad</w:t>
            </w:r>
          </w:p>
        </w:tc>
        <w:tc>
          <w:tcPr>
            <w:tcW w:w="0" w:type="auto"/>
            <w:hideMark/>
          </w:tcPr>
          <w:p w14:paraId="6FDDDCD7"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Transporte</w:t>
            </w:r>
          </w:p>
        </w:tc>
        <w:tc>
          <w:tcPr>
            <w:tcW w:w="0" w:type="auto"/>
            <w:hideMark/>
          </w:tcPr>
          <w:p w14:paraId="2D6E0537"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Cliente</w:t>
            </w:r>
          </w:p>
        </w:tc>
      </w:tr>
      <w:tr w:rsidR="002020E5" w:rsidRPr="00111094" w14:paraId="394C38B3"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E8B947"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Coordinación de turnos</w:t>
            </w:r>
          </w:p>
        </w:tc>
        <w:tc>
          <w:tcPr>
            <w:tcW w:w="0" w:type="auto"/>
            <w:hideMark/>
          </w:tcPr>
          <w:p w14:paraId="0E18A52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628459C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0A75F3C1"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A14E44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E85E489"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19D41D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8F2FE4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1D113C8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6E7C88BA" w14:textId="77777777" w:rsidTr="004E4011">
        <w:tc>
          <w:tcPr>
            <w:cnfStyle w:val="001000000000" w:firstRow="0" w:lastRow="0" w:firstColumn="1" w:lastColumn="0" w:oddVBand="0" w:evenVBand="0" w:oddHBand="0" w:evenHBand="0" w:firstRowFirstColumn="0" w:firstRowLastColumn="0" w:lastRowFirstColumn="0" w:lastRowLastColumn="0"/>
            <w:tcW w:w="0" w:type="auto"/>
            <w:hideMark/>
          </w:tcPr>
          <w:p w14:paraId="3C27F834"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Control documental ingreso</w:t>
            </w:r>
          </w:p>
        </w:tc>
        <w:tc>
          <w:tcPr>
            <w:tcW w:w="0" w:type="auto"/>
            <w:hideMark/>
          </w:tcPr>
          <w:p w14:paraId="6469C02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47FE5DA8"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45BD1A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51876C94"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35D5357"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E5307D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25FED9E"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52B703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734AD6CC"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9641DB"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Control en garita / CCTV</w:t>
            </w:r>
          </w:p>
        </w:tc>
        <w:tc>
          <w:tcPr>
            <w:tcW w:w="0" w:type="auto"/>
            <w:hideMark/>
          </w:tcPr>
          <w:p w14:paraId="316932D2"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2BCF67F9"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ED4927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C031B32"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E3729B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5479E62"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R/A</w:t>
            </w:r>
          </w:p>
        </w:tc>
        <w:tc>
          <w:tcPr>
            <w:tcW w:w="0" w:type="auto"/>
            <w:hideMark/>
          </w:tcPr>
          <w:p w14:paraId="7793CDB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C480DE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443C984A" w14:textId="77777777" w:rsidTr="004E4011">
        <w:tc>
          <w:tcPr>
            <w:cnfStyle w:val="001000000000" w:firstRow="0" w:lastRow="0" w:firstColumn="1" w:lastColumn="0" w:oddVBand="0" w:evenVBand="0" w:oddHBand="0" w:evenHBand="0" w:firstRowFirstColumn="0" w:firstRowLastColumn="0" w:lastRowFirstColumn="0" w:lastRowLastColumn="0"/>
            <w:tcW w:w="0" w:type="auto"/>
            <w:hideMark/>
          </w:tcPr>
          <w:p w14:paraId="191F35A4"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Descarga contenedor</w:t>
            </w:r>
          </w:p>
        </w:tc>
        <w:tc>
          <w:tcPr>
            <w:tcW w:w="0" w:type="auto"/>
            <w:hideMark/>
          </w:tcPr>
          <w:p w14:paraId="5D598CD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F7D4A7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149F2EDF"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9D5E0DA"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5D1FDBBE"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A3DEBF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492BB80"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C2FE3A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77939063" w14:textId="77777777" w:rsidTr="004E4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AB31F0"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Registro en WMS</w:t>
            </w:r>
          </w:p>
        </w:tc>
        <w:tc>
          <w:tcPr>
            <w:tcW w:w="0" w:type="auto"/>
            <w:hideMark/>
          </w:tcPr>
          <w:p w14:paraId="39A7A2F9"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F23FBA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527B1827"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575A7731"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49B89A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A</w:t>
            </w:r>
          </w:p>
        </w:tc>
        <w:tc>
          <w:tcPr>
            <w:tcW w:w="0" w:type="auto"/>
            <w:hideMark/>
          </w:tcPr>
          <w:p w14:paraId="1DFC0F3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9E0015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19FB94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61BA0432" w14:textId="77777777" w:rsidTr="004E4011">
        <w:tc>
          <w:tcPr>
            <w:cnfStyle w:val="001000000000" w:firstRow="0" w:lastRow="0" w:firstColumn="1" w:lastColumn="0" w:oddVBand="0" w:evenVBand="0" w:oddHBand="0" w:evenHBand="0" w:firstRowFirstColumn="0" w:firstRowLastColumn="0" w:lastRowFirstColumn="0" w:lastRowLastColumn="0"/>
            <w:tcW w:w="0" w:type="auto"/>
            <w:hideMark/>
          </w:tcPr>
          <w:p w14:paraId="73171D9F"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Reporte de diferencias (DMA/DMI)</w:t>
            </w:r>
          </w:p>
        </w:tc>
        <w:tc>
          <w:tcPr>
            <w:tcW w:w="0" w:type="auto"/>
            <w:hideMark/>
          </w:tcPr>
          <w:p w14:paraId="58D8601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7FEBFC0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B312517"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476896D5"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26F3B0E"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0393B1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E9D95C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E872598"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bl>
    <w:p w14:paraId="383FD30C" w14:textId="72111F1E" w:rsidR="00E81C27" w:rsidRPr="00111094" w:rsidRDefault="00E81C27" w:rsidP="00E81C27">
      <w:pPr>
        <w:spacing w:after="0"/>
        <w:rPr>
          <w:rFonts w:ascii="Times New Roman" w:hAnsi="Times New Roman" w:cs="Times New Roman"/>
          <w:lang w:val="es-MX"/>
        </w:rPr>
      </w:pPr>
    </w:p>
    <w:p w14:paraId="039047E2"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t>2. Procesos de Almacenaje Fiscal</w:t>
      </w:r>
    </w:p>
    <w:tbl>
      <w:tblPr>
        <w:tblStyle w:val="GridTable4Accent1"/>
        <w:tblW w:w="0" w:type="auto"/>
        <w:tblLook w:val="04A0" w:firstRow="1" w:lastRow="0" w:firstColumn="1" w:lastColumn="0" w:noHBand="0" w:noVBand="1"/>
      </w:tblPr>
      <w:tblGrid>
        <w:gridCol w:w="1951"/>
        <w:gridCol w:w="758"/>
        <w:gridCol w:w="1484"/>
        <w:gridCol w:w="1220"/>
        <w:gridCol w:w="1280"/>
        <w:gridCol w:w="961"/>
        <w:gridCol w:w="1095"/>
        <w:gridCol w:w="827"/>
      </w:tblGrid>
      <w:tr w:rsidR="00E81C27" w:rsidRPr="00111094" w14:paraId="16726C9C" w14:textId="77777777" w:rsidTr="00202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25861"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2DA572AE"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3F2D5733"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49771F23"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79F252DC"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6061B742" w14:textId="678E2D16"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Sistemas</w:t>
            </w:r>
          </w:p>
        </w:tc>
        <w:tc>
          <w:tcPr>
            <w:tcW w:w="0" w:type="auto"/>
            <w:hideMark/>
          </w:tcPr>
          <w:p w14:paraId="1FC04A34"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Seguridad</w:t>
            </w:r>
          </w:p>
        </w:tc>
        <w:tc>
          <w:tcPr>
            <w:tcW w:w="0" w:type="auto"/>
            <w:hideMark/>
          </w:tcPr>
          <w:p w14:paraId="2EEB5D98"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Cliente</w:t>
            </w:r>
          </w:p>
        </w:tc>
      </w:tr>
      <w:tr w:rsidR="00E81C27" w:rsidRPr="00111094" w14:paraId="57D7B40D"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BD4EB9"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Asignación de posiciones</w:t>
            </w:r>
          </w:p>
        </w:tc>
        <w:tc>
          <w:tcPr>
            <w:tcW w:w="0" w:type="auto"/>
            <w:hideMark/>
          </w:tcPr>
          <w:p w14:paraId="7F81F5E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37C4ACC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0F2588A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2DF7CB7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644ECBF"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A</w:t>
            </w:r>
          </w:p>
        </w:tc>
        <w:tc>
          <w:tcPr>
            <w:tcW w:w="0" w:type="auto"/>
            <w:hideMark/>
          </w:tcPr>
          <w:p w14:paraId="6D3B196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F4B53B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1FF2F7F8"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09233A62"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Movimientos internos</w:t>
            </w:r>
          </w:p>
        </w:tc>
        <w:tc>
          <w:tcPr>
            <w:tcW w:w="0" w:type="auto"/>
            <w:hideMark/>
          </w:tcPr>
          <w:p w14:paraId="2783650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6C82D9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788AB8F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CE719A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48D0C70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0C6F646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86AB01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0509DFD7"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1F97BF"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Control inventario</w:t>
            </w:r>
          </w:p>
        </w:tc>
        <w:tc>
          <w:tcPr>
            <w:tcW w:w="0" w:type="auto"/>
            <w:hideMark/>
          </w:tcPr>
          <w:p w14:paraId="220D4C2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732E94B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5D0BD43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9D95AE9"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2816C12"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A1BB6B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43CA16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2607F57F"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66DCFDA4"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Auditorías aduaneras</w:t>
            </w:r>
          </w:p>
        </w:tc>
        <w:tc>
          <w:tcPr>
            <w:tcW w:w="0" w:type="auto"/>
            <w:hideMark/>
          </w:tcPr>
          <w:p w14:paraId="46FB61CE"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34E404E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2A9C4545"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481A228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DAAC924"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BF343D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E7E802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bl>
    <w:p w14:paraId="1A61D6FD" w14:textId="546487AC" w:rsidR="00E81C27" w:rsidRPr="00111094" w:rsidRDefault="00E81C27" w:rsidP="00E81C27">
      <w:pPr>
        <w:spacing w:after="0"/>
        <w:rPr>
          <w:rFonts w:ascii="Times New Roman" w:hAnsi="Times New Roman" w:cs="Times New Roman"/>
          <w:lang w:val="es-MX"/>
        </w:rPr>
      </w:pPr>
    </w:p>
    <w:p w14:paraId="3681772F"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t>3. Verificaciones Aduaneras</w:t>
      </w:r>
    </w:p>
    <w:tbl>
      <w:tblPr>
        <w:tblStyle w:val="GridTable4Accent1"/>
        <w:tblW w:w="0" w:type="auto"/>
        <w:tblLook w:val="04A0" w:firstRow="1" w:lastRow="0" w:firstColumn="1" w:lastColumn="0" w:noHBand="0" w:noVBand="1"/>
      </w:tblPr>
      <w:tblGrid>
        <w:gridCol w:w="2198"/>
        <w:gridCol w:w="702"/>
        <w:gridCol w:w="1371"/>
        <w:gridCol w:w="1129"/>
        <w:gridCol w:w="1225"/>
        <w:gridCol w:w="961"/>
        <w:gridCol w:w="1095"/>
        <w:gridCol w:w="895"/>
      </w:tblGrid>
      <w:tr w:rsidR="00E81C27" w:rsidRPr="00111094" w14:paraId="13951065" w14:textId="77777777" w:rsidTr="00202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C626A9"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0FC5DA0B"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344A97C3"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2CACDD6C"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7EB739F1"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5636DE37"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Sistemas</w:t>
            </w:r>
          </w:p>
        </w:tc>
        <w:tc>
          <w:tcPr>
            <w:tcW w:w="0" w:type="auto"/>
            <w:hideMark/>
          </w:tcPr>
          <w:p w14:paraId="11F7D400"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Seguridad</w:t>
            </w:r>
          </w:p>
        </w:tc>
        <w:tc>
          <w:tcPr>
            <w:tcW w:w="0" w:type="auto"/>
            <w:hideMark/>
          </w:tcPr>
          <w:p w14:paraId="6B8CCCAE"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Aduana</w:t>
            </w:r>
          </w:p>
        </w:tc>
      </w:tr>
      <w:tr w:rsidR="00E81C27" w:rsidRPr="00111094" w14:paraId="07B26593"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A2BCCB"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Coordinación con Aduana</w:t>
            </w:r>
          </w:p>
        </w:tc>
        <w:tc>
          <w:tcPr>
            <w:tcW w:w="0" w:type="auto"/>
            <w:hideMark/>
          </w:tcPr>
          <w:p w14:paraId="7631AA3C"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6A5CAE9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0A3AFC1"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229A361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11AB67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8D63CCB"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DE7263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662D22BB"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61EF7E75"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Preparación mercadería</w:t>
            </w:r>
          </w:p>
        </w:tc>
        <w:tc>
          <w:tcPr>
            <w:tcW w:w="0" w:type="auto"/>
            <w:hideMark/>
          </w:tcPr>
          <w:p w14:paraId="3BD3485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38AF26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7482D147"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9A38BE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723AE12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7DD6765"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3D464D5"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698E4FB6"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9A5A97"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Acompañamiento verificación</w:t>
            </w:r>
          </w:p>
        </w:tc>
        <w:tc>
          <w:tcPr>
            <w:tcW w:w="0" w:type="auto"/>
            <w:hideMark/>
          </w:tcPr>
          <w:p w14:paraId="789239F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CC64373"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7D16455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5A6F7ED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261BC60"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A84602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36A8C1F"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r>
      <w:tr w:rsidR="00E81C27" w:rsidRPr="00111094" w14:paraId="0275AF7B"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1394D9C7"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Carga de resultados</w:t>
            </w:r>
          </w:p>
        </w:tc>
        <w:tc>
          <w:tcPr>
            <w:tcW w:w="0" w:type="auto"/>
            <w:hideMark/>
          </w:tcPr>
          <w:p w14:paraId="507366E8"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63FB44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4F444D7"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2A01AA5F"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CF1D62E"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04B26A1F"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B9DDEB5"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r>
    </w:tbl>
    <w:p w14:paraId="77D9C078" w14:textId="61461F4D" w:rsidR="00E81C27" w:rsidRPr="00111094" w:rsidRDefault="00E81C27" w:rsidP="00E81C27">
      <w:pPr>
        <w:spacing w:after="0"/>
        <w:rPr>
          <w:rFonts w:ascii="Times New Roman" w:hAnsi="Times New Roman" w:cs="Times New Roman"/>
          <w:lang w:val="es-MX"/>
        </w:rPr>
      </w:pPr>
    </w:p>
    <w:p w14:paraId="77B9C40A"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lastRenderedPageBreak/>
        <w:t>4. Servicios de Valor Agregado (VAS)</w:t>
      </w:r>
    </w:p>
    <w:tbl>
      <w:tblPr>
        <w:tblStyle w:val="GridTable4Accent1"/>
        <w:tblW w:w="0" w:type="auto"/>
        <w:tblLook w:val="04A0" w:firstRow="1" w:lastRow="0" w:firstColumn="1" w:lastColumn="0" w:noHBand="0" w:noVBand="1"/>
      </w:tblPr>
      <w:tblGrid>
        <w:gridCol w:w="2424"/>
        <w:gridCol w:w="867"/>
        <w:gridCol w:w="1707"/>
        <w:gridCol w:w="1400"/>
        <w:gridCol w:w="1390"/>
        <w:gridCol w:w="961"/>
        <w:gridCol w:w="827"/>
      </w:tblGrid>
      <w:tr w:rsidR="00E81C27" w:rsidRPr="00111094" w14:paraId="72478BC4" w14:textId="77777777" w:rsidTr="00202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A29B8F"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75369463"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49E79931"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54ECD720"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1D05B6CD"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7F429795"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Sistemas</w:t>
            </w:r>
          </w:p>
        </w:tc>
        <w:tc>
          <w:tcPr>
            <w:tcW w:w="0" w:type="auto"/>
            <w:hideMark/>
          </w:tcPr>
          <w:p w14:paraId="38BE296A"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Cliente</w:t>
            </w:r>
          </w:p>
        </w:tc>
      </w:tr>
      <w:tr w:rsidR="00E81C27" w:rsidRPr="00111094" w14:paraId="2906DF5D"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C9CA40"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Reempaque / reetiquetado</w:t>
            </w:r>
          </w:p>
        </w:tc>
        <w:tc>
          <w:tcPr>
            <w:tcW w:w="0" w:type="auto"/>
            <w:hideMark/>
          </w:tcPr>
          <w:p w14:paraId="0160D06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A276FA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55F460D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B35175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5ECE282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5E6F9B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r>
      <w:tr w:rsidR="00E81C27" w:rsidRPr="00111094" w14:paraId="3D67477E"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07B3AC42"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Control de calidad</w:t>
            </w:r>
          </w:p>
        </w:tc>
        <w:tc>
          <w:tcPr>
            <w:tcW w:w="0" w:type="auto"/>
            <w:hideMark/>
          </w:tcPr>
          <w:p w14:paraId="12E41FA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49FA5B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0BA5E32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6074DEA"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1144FD8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EBFC14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r>
      <w:tr w:rsidR="00E81C27" w:rsidRPr="00111094" w14:paraId="1220344E"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2E802B"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Preparación de muestras</w:t>
            </w:r>
          </w:p>
        </w:tc>
        <w:tc>
          <w:tcPr>
            <w:tcW w:w="0" w:type="auto"/>
            <w:hideMark/>
          </w:tcPr>
          <w:p w14:paraId="18F7D1D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639948B"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A04933B"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C91064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22AB262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AE3041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r>
      <w:tr w:rsidR="00E81C27" w:rsidRPr="00111094" w14:paraId="4015118B"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78836149"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Registro en WMS</w:t>
            </w:r>
          </w:p>
        </w:tc>
        <w:tc>
          <w:tcPr>
            <w:tcW w:w="0" w:type="auto"/>
            <w:hideMark/>
          </w:tcPr>
          <w:p w14:paraId="63381C4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AA1222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2A8675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61917CE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25716CE8"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A</w:t>
            </w:r>
          </w:p>
        </w:tc>
        <w:tc>
          <w:tcPr>
            <w:tcW w:w="0" w:type="auto"/>
            <w:hideMark/>
          </w:tcPr>
          <w:p w14:paraId="0B6BC29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bl>
    <w:p w14:paraId="034ED08D" w14:textId="77777777" w:rsidR="00E81C27" w:rsidRPr="00111094" w:rsidRDefault="00365364" w:rsidP="00E81C27">
      <w:pPr>
        <w:spacing w:after="0"/>
        <w:rPr>
          <w:rFonts w:ascii="Times New Roman" w:hAnsi="Times New Roman" w:cs="Times New Roman"/>
          <w:lang w:val="es-MX"/>
        </w:rPr>
      </w:pPr>
      <w:r>
        <w:rPr>
          <w:rFonts w:ascii="Times New Roman" w:hAnsi="Times New Roman" w:cs="Times New Roman"/>
          <w:lang w:val="es-MX"/>
        </w:rPr>
        <w:pict w14:anchorId="359911AB">
          <v:rect id="_x0000_i1025" style="width:0;height:1.5pt" o:hralign="center" o:hrstd="t" o:hr="t" fillcolor="#a0a0a0" stroked="f"/>
        </w:pict>
      </w:r>
    </w:p>
    <w:p w14:paraId="01A3568B"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t>5. Egreso y Liberación</w:t>
      </w:r>
    </w:p>
    <w:tbl>
      <w:tblPr>
        <w:tblStyle w:val="GridTable4Accent1"/>
        <w:tblW w:w="0" w:type="auto"/>
        <w:tblLook w:val="04A0" w:firstRow="1" w:lastRow="0" w:firstColumn="1" w:lastColumn="0" w:noHBand="0" w:noVBand="1"/>
      </w:tblPr>
      <w:tblGrid>
        <w:gridCol w:w="1851"/>
        <w:gridCol w:w="736"/>
        <w:gridCol w:w="1440"/>
        <w:gridCol w:w="1185"/>
        <w:gridCol w:w="1259"/>
        <w:gridCol w:w="1095"/>
        <w:gridCol w:w="1183"/>
        <w:gridCol w:w="827"/>
      </w:tblGrid>
      <w:tr w:rsidR="002020E5" w:rsidRPr="00111094" w14:paraId="4A03956D" w14:textId="77777777" w:rsidTr="00202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3BB124"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7707AE13"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7CAE1399"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3D32C8CC"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604E0975"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2CCDB50E" w14:textId="2ABB35FE"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Seguridad</w:t>
            </w:r>
          </w:p>
        </w:tc>
        <w:tc>
          <w:tcPr>
            <w:tcW w:w="0" w:type="auto"/>
            <w:hideMark/>
          </w:tcPr>
          <w:p w14:paraId="6AA7B4F9"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Transporte</w:t>
            </w:r>
          </w:p>
        </w:tc>
        <w:tc>
          <w:tcPr>
            <w:tcW w:w="0" w:type="auto"/>
            <w:hideMark/>
          </w:tcPr>
          <w:p w14:paraId="3ED69AF6"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Cliente</w:t>
            </w:r>
          </w:p>
        </w:tc>
      </w:tr>
      <w:tr w:rsidR="002020E5" w:rsidRPr="00111094" w14:paraId="7DBB8E0B"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884A12"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Validación documental</w:t>
            </w:r>
          </w:p>
        </w:tc>
        <w:tc>
          <w:tcPr>
            <w:tcW w:w="0" w:type="auto"/>
            <w:hideMark/>
          </w:tcPr>
          <w:p w14:paraId="358E555A"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306D3C1B"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69A7AC8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609387C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6CC75A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CCA160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FBCEC22"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3FC47F93"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1F4536F5"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Preparación para egreso</w:t>
            </w:r>
          </w:p>
        </w:tc>
        <w:tc>
          <w:tcPr>
            <w:tcW w:w="0" w:type="auto"/>
            <w:hideMark/>
          </w:tcPr>
          <w:p w14:paraId="3D5A0B54"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2716371"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1300BC4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E4465B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40FEB02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5B81153"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017D5221"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4AA03D62"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5EFE19"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Control final en garita</w:t>
            </w:r>
          </w:p>
        </w:tc>
        <w:tc>
          <w:tcPr>
            <w:tcW w:w="0" w:type="auto"/>
            <w:hideMark/>
          </w:tcPr>
          <w:p w14:paraId="0746E64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45FC88CF"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0419395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6B913F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54003B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R/A</w:t>
            </w:r>
          </w:p>
        </w:tc>
        <w:tc>
          <w:tcPr>
            <w:tcW w:w="0" w:type="auto"/>
            <w:hideMark/>
          </w:tcPr>
          <w:p w14:paraId="53DC19B0"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DD25F5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2020E5" w:rsidRPr="00111094" w14:paraId="03DA83DB"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005FBBF6"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Registro de salida</w:t>
            </w:r>
          </w:p>
        </w:tc>
        <w:tc>
          <w:tcPr>
            <w:tcW w:w="0" w:type="auto"/>
            <w:hideMark/>
          </w:tcPr>
          <w:p w14:paraId="73BA7A4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3F29CB6"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D72D7F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59D332FB"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1657BFBF"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3F63BFD4"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70C2FFC1"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bl>
    <w:p w14:paraId="71011C08" w14:textId="6B1316E1" w:rsidR="00E81C27" w:rsidRPr="00111094" w:rsidRDefault="00E81C27" w:rsidP="00E81C27">
      <w:pPr>
        <w:spacing w:after="0"/>
        <w:rPr>
          <w:rFonts w:ascii="Times New Roman" w:hAnsi="Times New Roman" w:cs="Times New Roman"/>
          <w:lang w:val="es-MX"/>
        </w:rPr>
      </w:pPr>
    </w:p>
    <w:p w14:paraId="529D56F1" w14:textId="77777777" w:rsidR="00E81C27" w:rsidRPr="00111094" w:rsidRDefault="00E81C27" w:rsidP="00E81C27">
      <w:pPr>
        <w:spacing w:after="0"/>
        <w:rPr>
          <w:rFonts w:ascii="Times New Roman" w:hAnsi="Times New Roman" w:cs="Times New Roman"/>
          <w:b/>
          <w:bCs/>
          <w:lang w:val="es-MX"/>
        </w:rPr>
      </w:pPr>
      <w:r w:rsidRPr="00111094">
        <w:rPr>
          <w:rFonts w:ascii="Times New Roman" w:hAnsi="Times New Roman" w:cs="Times New Roman"/>
          <w:b/>
          <w:bCs/>
          <w:lang w:val="es-MX"/>
        </w:rPr>
        <w:t>6. Gestión de Merma y Scrap</w:t>
      </w:r>
    </w:p>
    <w:tbl>
      <w:tblPr>
        <w:tblStyle w:val="GridTable4Accent1"/>
        <w:tblW w:w="0" w:type="auto"/>
        <w:tblLook w:val="04A0" w:firstRow="1" w:lastRow="0" w:firstColumn="1" w:lastColumn="0" w:noHBand="0" w:noVBand="1"/>
      </w:tblPr>
      <w:tblGrid>
        <w:gridCol w:w="2255"/>
        <w:gridCol w:w="873"/>
        <w:gridCol w:w="1719"/>
        <w:gridCol w:w="1411"/>
        <w:gridCol w:w="1396"/>
        <w:gridCol w:w="1095"/>
        <w:gridCol w:w="827"/>
      </w:tblGrid>
      <w:tr w:rsidR="00E81C27" w:rsidRPr="00111094" w14:paraId="6DFE1419" w14:textId="77777777" w:rsidTr="00202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1D3516"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Proceso</w:t>
            </w:r>
          </w:p>
        </w:tc>
        <w:tc>
          <w:tcPr>
            <w:tcW w:w="0" w:type="auto"/>
            <w:hideMark/>
          </w:tcPr>
          <w:p w14:paraId="708A8F84"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Jefe DF</w:t>
            </w:r>
          </w:p>
        </w:tc>
        <w:tc>
          <w:tcPr>
            <w:tcW w:w="0" w:type="auto"/>
            <w:hideMark/>
          </w:tcPr>
          <w:p w14:paraId="0EB0A4FB"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Coord. Operativo</w:t>
            </w:r>
          </w:p>
        </w:tc>
        <w:tc>
          <w:tcPr>
            <w:tcW w:w="0" w:type="auto"/>
            <w:hideMark/>
          </w:tcPr>
          <w:p w14:paraId="29B5E58F"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Adm. Aduana</w:t>
            </w:r>
          </w:p>
        </w:tc>
        <w:tc>
          <w:tcPr>
            <w:tcW w:w="0" w:type="auto"/>
            <w:hideMark/>
          </w:tcPr>
          <w:p w14:paraId="42347784"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Operarios DF</w:t>
            </w:r>
          </w:p>
        </w:tc>
        <w:tc>
          <w:tcPr>
            <w:tcW w:w="0" w:type="auto"/>
            <w:hideMark/>
          </w:tcPr>
          <w:p w14:paraId="71D9D140"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Seguridad</w:t>
            </w:r>
          </w:p>
        </w:tc>
        <w:tc>
          <w:tcPr>
            <w:tcW w:w="0" w:type="auto"/>
            <w:hideMark/>
          </w:tcPr>
          <w:p w14:paraId="4C3D7D55" w14:textId="77777777" w:rsidR="00E81C27" w:rsidRPr="00111094" w:rsidRDefault="00E81C27" w:rsidP="00E81C2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Cliente</w:t>
            </w:r>
          </w:p>
        </w:tc>
      </w:tr>
      <w:tr w:rsidR="00E81C27" w:rsidRPr="00111094" w14:paraId="72618075"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55E457"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Identificación NCR</w:t>
            </w:r>
          </w:p>
        </w:tc>
        <w:tc>
          <w:tcPr>
            <w:tcW w:w="0" w:type="auto"/>
            <w:hideMark/>
          </w:tcPr>
          <w:p w14:paraId="4525AEC1"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51ADF116"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1906C411"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39C894F"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174C59F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7243065"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17FDDC62"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218A0CAE"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Registro DMA/DMI</w:t>
            </w:r>
          </w:p>
        </w:tc>
        <w:tc>
          <w:tcPr>
            <w:tcW w:w="0" w:type="auto"/>
            <w:hideMark/>
          </w:tcPr>
          <w:p w14:paraId="4815329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7041F031"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CA869E2"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53F2D41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25BFAA7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4FC2400"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54FF0017" w14:textId="77777777" w:rsidTr="00202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FC60EA"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Aislamiento mercadería</w:t>
            </w:r>
          </w:p>
        </w:tc>
        <w:tc>
          <w:tcPr>
            <w:tcW w:w="0" w:type="auto"/>
            <w:hideMark/>
          </w:tcPr>
          <w:p w14:paraId="6D1EA528"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4BB2D98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275102D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69E7AFCD"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b/>
                <w:bCs/>
                <w:sz w:val="20"/>
                <w:szCs w:val="20"/>
                <w:lang w:val="es-MX"/>
              </w:rPr>
              <w:t>R</w:t>
            </w:r>
          </w:p>
        </w:tc>
        <w:tc>
          <w:tcPr>
            <w:tcW w:w="0" w:type="auto"/>
            <w:hideMark/>
          </w:tcPr>
          <w:p w14:paraId="78502B4E"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369A3564" w14:textId="77777777" w:rsidR="00E81C27" w:rsidRPr="00111094" w:rsidRDefault="00E81C27" w:rsidP="00E81C2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r>
      <w:tr w:rsidR="00E81C27" w:rsidRPr="00111094" w14:paraId="148534C2" w14:textId="77777777" w:rsidTr="002020E5">
        <w:tc>
          <w:tcPr>
            <w:cnfStyle w:val="001000000000" w:firstRow="0" w:lastRow="0" w:firstColumn="1" w:lastColumn="0" w:oddVBand="0" w:evenVBand="0" w:oddHBand="0" w:evenHBand="0" w:firstRowFirstColumn="0" w:firstRowLastColumn="0" w:lastRowFirstColumn="0" w:lastRowLastColumn="0"/>
            <w:tcW w:w="0" w:type="auto"/>
            <w:hideMark/>
          </w:tcPr>
          <w:p w14:paraId="55B34620" w14:textId="77777777" w:rsidR="00E81C27" w:rsidRPr="00111094" w:rsidRDefault="00E81C27" w:rsidP="00E81C27">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Disposición final</w:t>
            </w:r>
          </w:p>
        </w:tc>
        <w:tc>
          <w:tcPr>
            <w:tcW w:w="0" w:type="auto"/>
            <w:hideMark/>
          </w:tcPr>
          <w:p w14:paraId="5996164F"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A</w:t>
            </w:r>
          </w:p>
        </w:tc>
        <w:tc>
          <w:tcPr>
            <w:tcW w:w="0" w:type="auto"/>
            <w:hideMark/>
          </w:tcPr>
          <w:p w14:paraId="6DE2C8FC"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30456827"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R</w:t>
            </w:r>
          </w:p>
        </w:tc>
        <w:tc>
          <w:tcPr>
            <w:tcW w:w="0" w:type="auto"/>
            <w:hideMark/>
          </w:tcPr>
          <w:p w14:paraId="71B97CB4"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c>
          <w:tcPr>
            <w:tcW w:w="0" w:type="auto"/>
            <w:hideMark/>
          </w:tcPr>
          <w:p w14:paraId="73F1EBBD"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I</w:t>
            </w:r>
          </w:p>
        </w:tc>
        <w:tc>
          <w:tcPr>
            <w:tcW w:w="0" w:type="auto"/>
            <w:hideMark/>
          </w:tcPr>
          <w:p w14:paraId="22EDB6A9" w14:textId="77777777" w:rsidR="00E81C27" w:rsidRPr="00111094" w:rsidRDefault="00E81C27" w:rsidP="00E81C2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111094">
              <w:rPr>
                <w:rFonts w:ascii="Times New Roman" w:hAnsi="Times New Roman" w:cs="Times New Roman"/>
                <w:sz w:val="20"/>
                <w:szCs w:val="20"/>
                <w:lang w:val="es-MX"/>
              </w:rPr>
              <w:t>C</w:t>
            </w:r>
          </w:p>
        </w:tc>
      </w:tr>
    </w:tbl>
    <w:p w14:paraId="46448AEB" w14:textId="590D660E" w:rsidR="00E81C27" w:rsidRPr="00111094" w:rsidRDefault="00E81C27" w:rsidP="00E81C27">
      <w:pPr>
        <w:spacing w:after="0"/>
        <w:rPr>
          <w:rFonts w:ascii="Times New Roman" w:hAnsi="Times New Roman" w:cs="Times New Roman"/>
          <w:lang w:val="es-MX"/>
        </w:rPr>
      </w:pPr>
    </w:p>
    <w:p w14:paraId="4217E155" w14:textId="77777777" w:rsidR="002020E5" w:rsidRDefault="002020E5" w:rsidP="00F55C5A">
      <w:pPr>
        <w:spacing w:after="0"/>
        <w:ind w:firstLine="720"/>
        <w:jc w:val="both"/>
        <w:rPr>
          <w:rFonts w:ascii="Times New Roman" w:hAnsi="Times New Roman" w:cs="Times New Roman"/>
        </w:rPr>
      </w:pPr>
      <w:r w:rsidRPr="00111094">
        <w:rPr>
          <w:rFonts w:ascii="Times New Roman" w:hAnsi="Times New Roman" w:cs="Times New Roman"/>
        </w:rPr>
        <w:t>El modelo de operaciones del Depósito Fiscal Zona Norte se basa en procesos estandarizados, alta integración tecnológica y cumplimiento aduanero riguroso, permitiendo alcanzar niveles de eficiencia y control superiores al promedio del sector. Los recursos humanos, la infraestructura y los SLA propuestos aseguran un desempeño operativo robusto, escalable y orientado a clientes multinacionales con altos estándares de calidad y trazabilidad.</w:t>
      </w:r>
    </w:p>
    <w:p w14:paraId="3A07EB57" w14:textId="77777777" w:rsidR="004D40C5" w:rsidRPr="00111094" w:rsidRDefault="004D40C5" w:rsidP="00F55C5A">
      <w:pPr>
        <w:spacing w:after="0"/>
        <w:ind w:firstLine="720"/>
        <w:jc w:val="both"/>
        <w:rPr>
          <w:rFonts w:ascii="Times New Roman" w:hAnsi="Times New Roman" w:cs="Times New Roman"/>
        </w:rPr>
      </w:pPr>
    </w:p>
    <w:p w14:paraId="54606800" w14:textId="77777777" w:rsidR="003D7299" w:rsidRPr="00111094" w:rsidRDefault="003D7299" w:rsidP="00F55C5A">
      <w:pPr>
        <w:spacing w:after="0"/>
        <w:jc w:val="both"/>
        <w:rPr>
          <w:rFonts w:ascii="Times New Roman" w:hAnsi="Times New Roman" w:cs="Times New Roman"/>
        </w:rPr>
      </w:pPr>
    </w:p>
    <w:p w14:paraId="012CBD1E" w14:textId="77777777" w:rsidR="003D7299" w:rsidRPr="00111094" w:rsidRDefault="003D7299" w:rsidP="00F55C5A">
      <w:pPr>
        <w:spacing w:after="0"/>
        <w:jc w:val="both"/>
        <w:rPr>
          <w:rFonts w:ascii="Times New Roman" w:hAnsi="Times New Roman" w:cs="Times New Roman"/>
          <w:lang w:val="es-MX"/>
        </w:rPr>
      </w:pPr>
    </w:p>
    <w:p w14:paraId="59BE5415" w14:textId="77777777" w:rsidR="00ED7D6C" w:rsidRPr="00111094" w:rsidRDefault="00ED7D6C" w:rsidP="00ED7D6C">
      <w:pPr>
        <w:rPr>
          <w:rFonts w:ascii="Times New Roman" w:hAnsi="Times New Roman" w:cs="Times New Roman"/>
        </w:rPr>
      </w:pPr>
    </w:p>
    <w:p w14:paraId="6EF85BED" w14:textId="77777777" w:rsidR="00ED7D6C" w:rsidRPr="00111094" w:rsidRDefault="00ED7D6C" w:rsidP="00ED7D6C">
      <w:pPr>
        <w:spacing w:before="240"/>
        <w:rPr>
          <w:rFonts w:ascii="Times New Roman" w:hAnsi="Times New Roman" w:cs="Times New Roman"/>
          <w:sz w:val="24"/>
          <w:szCs w:val="24"/>
        </w:rPr>
      </w:pPr>
    </w:p>
    <w:p w14:paraId="527904A3" w14:textId="55C8D090" w:rsidR="005B545C" w:rsidRPr="00111094" w:rsidRDefault="005B545C" w:rsidP="00ED7D6C">
      <w:pPr>
        <w:pStyle w:val="Prrafodelista"/>
        <w:spacing w:before="240"/>
        <w:ind w:left="2880"/>
        <w:rPr>
          <w:rFonts w:ascii="Times New Roman" w:hAnsi="Times New Roman" w:cs="Times New Roman"/>
          <w:sz w:val="24"/>
          <w:szCs w:val="24"/>
        </w:rPr>
      </w:pPr>
    </w:p>
    <w:p w14:paraId="575A619D" w14:textId="77777777" w:rsidR="0090017D" w:rsidRPr="00111094" w:rsidRDefault="0090017D" w:rsidP="00127EE1">
      <w:pPr>
        <w:pStyle w:val="Prrafodelista"/>
        <w:numPr>
          <w:ilvl w:val="3"/>
          <w:numId w:val="17"/>
        </w:numPr>
        <w:spacing w:before="240"/>
        <w:rPr>
          <w:rFonts w:ascii="Times New Roman" w:hAnsi="Times New Roman" w:cs="Times New Roman"/>
          <w:sz w:val="24"/>
          <w:szCs w:val="24"/>
        </w:rPr>
      </w:pPr>
      <w:r w:rsidRPr="00111094">
        <w:rPr>
          <w:rFonts w:ascii="Times New Roman" w:hAnsi="Times New Roman" w:cs="Times New Roman"/>
          <w:sz w:val="24"/>
          <w:szCs w:val="24"/>
        </w:rPr>
        <w:br w:type="page"/>
      </w:r>
    </w:p>
    <w:p w14:paraId="40604094" w14:textId="6D545554" w:rsidR="00656ED2" w:rsidRPr="00111094" w:rsidRDefault="000577D0"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76" w:name="_Toc228778776"/>
      <w:r w:rsidRPr="00111094">
        <w:rPr>
          <w:rFonts w:ascii="Times New Roman" w:hAnsi="Times New Roman" w:cs="Times New Roman"/>
          <w:color w:val="4F81BD" w:themeColor="accent1"/>
          <w:w w:val="70"/>
          <w:sz w:val="40"/>
          <w:szCs w:val="40"/>
        </w:rPr>
        <w:lastRenderedPageBreak/>
        <w:t xml:space="preserve">CAPÍTULO </w:t>
      </w:r>
      <w:r w:rsidR="00C0460F" w:rsidRPr="00111094">
        <w:rPr>
          <w:rFonts w:ascii="Times New Roman" w:hAnsi="Times New Roman" w:cs="Times New Roman"/>
          <w:color w:val="4F81BD" w:themeColor="accent1"/>
          <w:w w:val="70"/>
          <w:sz w:val="40"/>
          <w:szCs w:val="40"/>
        </w:rPr>
        <w:t>9</w:t>
      </w:r>
      <w:r w:rsidR="00656ED2" w:rsidRPr="00111094">
        <w:rPr>
          <w:rFonts w:ascii="Times New Roman" w:hAnsi="Times New Roman" w:cs="Times New Roman"/>
          <w:color w:val="4F81BD" w:themeColor="accent1"/>
          <w:w w:val="70"/>
          <w:sz w:val="40"/>
          <w:szCs w:val="40"/>
        </w:rPr>
        <w:t xml:space="preserve"> - </w:t>
      </w:r>
      <w:r w:rsidR="00C0460F" w:rsidRPr="00111094">
        <w:rPr>
          <w:rFonts w:ascii="Times New Roman" w:hAnsi="Times New Roman" w:cs="Times New Roman"/>
          <w:color w:val="4F81BD" w:themeColor="accent1"/>
          <w:w w:val="70"/>
          <w:sz w:val="40"/>
          <w:szCs w:val="40"/>
        </w:rPr>
        <w:t xml:space="preserve">ANALISIS FINANCIERO </w:t>
      </w:r>
      <w:r w:rsidR="00656ED2" w:rsidRPr="00111094">
        <w:rPr>
          <w:rFonts w:ascii="Times New Roman" w:hAnsi="Times New Roman" w:cs="Times New Roman"/>
          <w:color w:val="4F81BD" w:themeColor="accent1"/>
          <w:w w:val="70"/>
          <w:sz w:val="40"/>
          <w:szCs w:val="40"/>
        </w:rPr>
        <w:t>Y ECONOMICA</w:t>
      </w:r>
      <w:bookmarkEnd w:id="76"/>
    </w:p>
    <w:p w14:paraId="53D3D2C0" w14:textId="77777777" w:rsidR="00960597" w:rsidRPr="00111094" w:rsidRDefault="00960597" w:rsidP="00F55C5A">
      <w:pPr>
        <w:pStyle w:val="Ttulo2"/>
        <w:spacing w:after="240"/>
        <w:jc w:val="both"/>
        <w:rPr>
          <w:rFonts w:ascii="Times New Roman" w:hAnsi="Times New Roman" w:cs="Times New Roman"/>
          <w:lang w:val="es-MX"/>
        </w:rPr>
      </w:pPr>
      <w:bookmarkStart w:id="77" w:name="_Toc228778777"/>
      <w:r w:rsidRPr="00111094">
        <w:rPr>
          <w:rFonts w:ascii="Times New Roman" w:hAnsi="Times New Roman" w:cs="Times New Roman"/>
          <w:lang w:val="es-MX"/>
        </w:rPr>
        <w:t>Resumen Ejecutivo</w:t>
      </w:r>
      <w:bookmarkEnd w:id="77"/>
    </w:p>
    <w:p w14:paraId="19A201A3" w14:textId="77777777" w:rsidR="009B3FD9" w:rsidRPr="00111094" w:rsidRDefault="009B3FD9" w:rsidP="00F55C5A">
      <w:pPr>
        <w:spacing w:after="0"/>
        <w:ind w:firstLine="720"/>
        <w:rPr>
          <w:rFonts w:ascii="Times New Roman" w:hAnsi="Times New Roman" w:cs="Times New Roman"/>
          <w:lang w:val="es-MX"/>
        </w:rPr>
      </w:pPr>
      <w:r w:rsidRPr="00111094">
        <w:rPr>
          <w:rFonts w:ascii="Times New Roman" w:hAnsi="Times New Roman" w:cs="Times New Roman"/>
          <w:lang w:val="es-MX"/>
        </w:rPr>
        <w:t>El proyecto se inserta en el mercado de servicios logísticos integrados para comercio exterior, con una propuesta disruptiva que desafía la lógica tradicional de los depósitos fiscales de infraestructura básica y baja integración tecnológica.</w:t>
      </w:r>
    </w:p>
    <w:p w14:paraId="772577B0" w14:textId="77777777" w:rsidR="009B3FD9" w:rsidRPr="00111094" w:rsidRDefault="009B3FD9" w:rsidP="00F55C5A">
      <w:pPr>
        <w:spacing w:after="0"/>
        <w:ind w:firstLine="720"/>
        <w:rPr>
          <w:rFonts w:ascii="Times New Roman" w:hAnsi="Times New Roman" w:cs="Times New Roman"/>
          <w:lang w:val="es-MX"/>
        </w:rPr>
      </w:pPr>
      <w:r w:rsidRPr="00111094">
        <w:rPr>
          <w:rFonts w:ascii="Times New Roman" w:hAnsi="Times New Roman" w:cs="Times New Roman"/>
          <w:lang w:val="es-MX"/>
        </w:rPr>
        <w:t>TASA Logística apunta a clientes AAA, que valoran el cumplimiento normativo aduanero, la eficiencia operativa, la sustentabilidad y la trazabilidad en tiempo real.</w:t>
      </w:r>
    </w:p>
    <w:p w14:paraId="4F399A06" w14:textId="77777777" w:rsidR="009B3FD9" w:rsidRPr="00111094" w:rsidRDefault="009B3FD9" w:rsidP="00F55C5A">
      <w:pPr>
        <w:spacing w:after="0"/>
        <w:ind w:firstLine="720"/>
        <w:rPr>
          <w:rFonts w:ascii="Times New Roman" w:hAnsi="Times New Roman" w:cs="Times New Roman"/>
          <w:lang w:val="es-MX"/>
        </w:rPr>
      </w:pPr>
      <w:r w:rsidRPr="00111094">
        <w:rPr>
          <w:rFonts w:ascii="Times New Roman" w:hAnsi="Times New Roman" w:cs="Times New Roman"/>
          <w:lang w:val="es-MX"/>
        </w:rPr>
        <w:t>El servicio se estructura bajo un modelo 3PL integrado, que combina Depósito Fiscal, almacenaje nacional, transporte y servicios de valor agregado en una única solución operativa. Esta diferenciación incrementa el valor percibido del servicio y permite sostener precios con márgenes superiores frente a competidores con modelos fragmentados.</w:t>
      </w:r>
    </w:p>
    <w:p w14:paraId="520FE1B9" w14:textId="3D45FB2A" w:rsidR="009B3FD9" w:rsidRPr="00111094" w:rsidRDefault="004D40C5" w:rsidP="00F55C5A">
      <w:pPr>
        <w:spacing w:after="0"/>
        <w:ind w:firstLine="720"/>
        <w:rPr>
          <w:rFonts w:ascii="Times New Roman" w:hAnsi="Times New Roman" w:cs="Times New Roman"/>
          <w:lang w:val="es-MX"/>
        </w:rPr>
      </w:pPr>
      <w:r w:rsidRPr="004D40C5">
        <w:rPr>
          <w:rFonts w:ascii="Times New Roman" w:hAnsi="Times New Roman" w:cs="Times New Roman"/>
          <w:lang w:val="es-MX"/>
        </w:rPr>
        <w:t xml:space="preserve">En línea con lo desarrollado en el Capítulo 6, la inversión inicial del proyecto se estructura en un rango estimado de USD 18 a 23 millones, adoptándose para el análisis financiero un escenario base </w:t>
      </w:r>
      <w:r>
        <w:rPr>
          <w:rFonts w:ascii="Times New Roman" w:hAnsi="Times New Roman" w:cs="Times New Roman"/>
          <w:lang w:val="es-MX"/>
        </w:rPr>
        <w:t xml:space="preserve">promedio </w:t>
      </w:r>
      <w:r w:rsidRPr="004D40C5">
        <w:rPr>
          <w:rFonts w:ascii="Times New Roman" w:hAnsi="Times New Roman" w:cs="Times New Roman"/>
          <w:lang w:val="es-MX"/>
        </w:rPr>
        <w:t>de USD 20,65 millones</w:t>
      </w:r>
      <w:r>
        <w:rPr>
          <w:rFonts w:ascii="Times New Roman" w:hAnsi="Times New Roman" w:cs="Times New Roman"/>
          <w:lang w:val="es-MX"/>
        </w:rPr>
        <w:t>. Es</w:t>
      </w:r>
      <w:r w:rsidR="009B3FD9" w:rsidRPr="00111094">
        <w:rPr>
          <w:rFonts w:ascii="Times New Roman" w:hAnsi="Times New Roman" w:cs="Times New Roman"/>
          <w:lang w:val="es-MX"/>
        </w:rPr>
        <w:t>tructurada en infraestructura, tecnología, sustentabilidad y capital de trabajo. Esta inversión no solo habilita la operación del negocio, sino que refleja una decisión estratégica alineada con los valores de innovación, calidad y sustentabilidad de TASA Logística.</w:t>
      </w:r>
    </w:p>
    <w:p w14:paraId="7994EEB0" w14:textId="4634DC02" w:rsidR="001A3744" w:rsidRPr="00111094" w:rsidRDefault="001A3744" w:rsidP="00F55C5A">
      <w:pPr>
        <w:pStyle w:val="Ttulo2"/>
        <w:spacing w:after="240"/>
        <w:jc w:val="both"/>
        <w:rPr>
          <w:rFonts w:ascii="Times New Roman" w:hAnsi="Times New Roman" w:cs="Times New Roman"/>
          <w:lang w:val="es-MX"/>
        </w:rPr>
      </w:pPr>
      <w:bookmarkStart w:id="78" w:name="_Toc228778778"/>
      <w:r>
        <w:rPr>
          <w:rFonts w:ascii="Times New Roman" w:hAnsi="Times New Roman" w:cs="Times New Roman"/>
          <w:lang w:val="es-MX"/>
        </w:rPr>
        <w:t>Detalle de Inversiones:</w:t>
      </w:r>
      <w:bookmarkEnd w:id="78"/>
      <w:r>
        <w:rPr>
          <w:rFonts w:ascii="Times New Roman" w:hAnsi="Times New Roman" w:cs="Times New Roman"/>
          <w:lang w:val="es-MX"/>
        </w:rPr>
        <w:t xml:space="preserve"> </w:t>
      </w:r>
    </w:p>
    <w:p w14:paraId="67630077" w14:textId="77777777" w:rsidR="001A3744" w:rsidRDefault="00960597" w:rsidP="00AF7D5A">
      <w:pPr>
        <w:spacing w:after="0"/>
        <w:ind w:left="720"/>
        <w:rPr>
          <w:rFonts w:ascii="Times New Roman" w:hAnsi="Times New Roman" w:cs="Times New Roman"/>
          <w:lang w:val="es-MX"/>
        </w:rPr>
      </w:pPr>
      <w:r w:rsidRPr="001A3744">
        <w:rPr>
          <w:rFonts w:ascii="Times New Roman" w:hAnsi="Times New Roman" w:cs="Times New Roman"/>
          <w:b/>
          <w:bCs/>
          <w:lang w:val="es-MX"/>
        </w:rPr>
        <w:t xml:space="preserve">1) Inversión en tecnología – USD 2.000.000 a 3.000.000 </w:t>
      </w:r>
      <w:r w:rsidRPr="001A3744">
        <w:rPr>
          <w:rFonts w:ascii="Times New Roman" w:hAnsi="Times New Roman" w:cs="Times New Roman"/>
          <w:b/>
          <w:bCs/>
          <w:lang w:val="es-MX"/>
        </w:rPr>
        <w:br/>
      </w:r>
      <w:r w:rsidRPr="00111094">
        <w:rPr>
          <w:rFonts w:ascii="Times New Roman" w:hAnsi="Times New Roman" w:cs="Times New Roman"/>
          <w:lang w:val="es-MX"/>
        </w:rPr>
        <w:t>Se destina a la adquisición de un WMS integrado con Aduana, CCTV bajo RG 4352/18, servidores, fibra óptica redundante y terminales RF, asegurando trazabilidad completa.</w:t>
      </w:r>
    </w:p>
    <w:p w14:paraId="36A03829" w14:textId="1972B903" w:rsidR="001A3744" w:rsidRDefault="00960597" w:rsidP="00AF7D5A">
      <w:pPr>
        <w:spacing w:after="0"/>
        <w:ind w:left="720"/>
        <w:rPr>
          <w:rFonts w:ascii="Times New Roman" w:hAnsi="Times New Roman" w:cs="Times New Roman"/>
          <w:lang w:val="es-MX"/>
        </w:rPr>
      </w:pPr>
      <w:r w:rsidRPr="001A3744">
        <w:rPr>
          <w:rFonts w:ascii="Times New Roman" w:hAnsi="Times New Roman" w:cs="Times New Roman"/>
          <w:b/>
          <w:bCs/>
          <w:lang w:val="es-MX"/>
        </w:rPr>
        <w:t xml:space="preserve">2) Inversión </w:t>
      </w:r>
      <w:r w:rsidR="00D16D62">
        <w:rPr>
          <w:rFonts w:ascii="Times New Roman" w:hAnsi="Times New Roman" w:cs="Times New Roman"/>
          <w:b/>
          <w:bCs/>
          <w:lang w:val="es-MX"/>
        </w:rPr>
        <w:t>en sustentabilidad energética</w:t>
      </w:r>
      <w:r w:rsidRPr="001A3744">
        <w:rPr>
          <w:rFonts w:ascii="Times New Roman" w:hAnsi="Times New Roman" w:cs="Times New Roman"/>
          <w:b/>
          <w:bCs/>
          <w:lang w:val="es-MX"/>
        </w:rPr>
        <w:t xml:space="preserve"> – USD 500.000</w:t>
      </w:r>
      <w:r w:rsidR="00F400AE" w:rsidRPr="001A3744">
        <w:rPr>
          <w:rFonts w:ascii="Times New Roman" w:hAnsi="Times New Roman" w:cs="Times New Roman"/>
          <w:b/>
          <w:bCs/>
          <w:lang w:val="es-MX"/>
        </w:rPr>
        <w:t xml:space="preserve"> a 800.000</w:t>
      </w:r>
      <w:r w:rsidRPr="001A3744">
        <w:rPr>
          <w:rFonts w:ascii="Times New Roman" w:hAnsi="Times New Roman" w:cs="Times New Roman"/>
          <w:b/>
          <w:bCs/>
          <w:lang w:val="es-MX"/>
        </w:rPr>
        <w:br/>
      </w:r>
      <w:r w:rsidRPr="00111094">
        <w:rPr>
          <w:rFonts w:ascii="Times New Roman" w:hAnsi="Times New Roman" w:cs="Times New Roman"/>
          <w:lang w:val="es-MX"/>
        </w:rPr>
        <w:t>Se incorpora un sistema de paneles solares para cubrir entre el 25–30 % del consumo energético del depósito y reducir emisiones, alineado con certificación LEED Silver.</w:t>
      </w:r>
    </w:p>
    <w:p w14:paraId="48F0569E" w14:textId="3B973E4F" w:rsidR="00960597" w:rsidRDefault="00960597" w:rsidP="00AF7D5A">
      <w:pPr>
        <w:spacing w:after="0"/>
        <w:ind w:left="720"/>
        <w:rPr>
          <w:rFonts w:ascii="Times New Roman" w:hAnsi="Times New Roman" w:cs="Times New Roman"/>
          <w:lang w:val="es-MX"/>
        </w:rPr>
      </w:pPr>
      <w:r w:rsidRPr="001A3744">
        <w:rPr>
          <w:rFonts w:ascii="Times New Roman" w:hAnsi="Times New Roman" w:cs="Times New Roman"/>
          <w:b/>
          <w:bCs/>
          <w:lang w:val="es-MX"/>
        </w:rPr>
        <w:t>3) Inversión constructiva – USD 15–20 millones</w:t>
      </w:r>
      <w:r w:rsidRPr="001A3744">
        <w:rPr>
          <w:rFonts w:ascii="Times New Roman" w:hAnsi="Times New Roman" w:cs="Times New Roman"/>
          <w:b/>
          <w:bCs/>
          <w:lang w:val="es-MX"/>
        </w:rPr>
        <w:br/>
      </w:r>
      <w:r w:rsidRPr="00111094">
        <w:rPr>
          <w:rFonts w:ascii="Times New Roman" w:hAnsi="Times New Roman" w:cs="Times New Roman"/>
          <w:lang w:val="es-MX"/>
        </w:rPr>
        <w:t>Se construye una nave premium de 25.000–30.000 m², con pisos H35, 15 m de altura libre, racks de alta densidad, playa de maniobras, sistema contra incendio NFPA y accesos controlados.</w:t>
      </w:r>
    </w:p>
    <w:p w14:paraId="3F2D56F7" w14:textId="77777777" w:rsidR="00AF7D5A" w:rsidRDefault="00AF7D5A" w:rsidP="00AF7D5A">
      <w:pPr>
        <w:spacing w:after="0"/>
        <w:ind w:left="720"/>
        <w:rPr>
          <w:rFonts w:ascii="Times New Roman" w:hAnsi="Times New Roman" w:cs="Times New Roman"/>
          <w:lang w:val="es-MX"/>
        </w:rPr>
      </w:pPr>
    </w:p>
    <w:tbl>
      <w:tblPr>
        <w:tblStyle w:val="PlainTable5"/>
        <w:tblW w:w="5000" w:type="pct"/>
        <w:tblLook w:val="04A0" w:firstRow="1" w:lastRow="0" w:firstColumn="1" w:lastColumn="0" w:noHBand="0" w:noVBand="1"/>
      </w:tblPr>
      <w:tblGrid>
        <w:gridCol w:w="4034"/>
        <w:gridCol w:w="1848"/>
        <w:gridCol w:w="1848"/>
        <w:gridCol w:w="1846"/>
      </w:tblGrid>
      <w:tr w:rsidR="001A3744" w:rsidRPr="001A3744" w14:paraId="2A2EC58E" w14:textId="77777777" w:rsidTr="00CE1129">
        <w:trPr>
          <w:cnfStyle w:val="100000000000" w:firstRow="1" w:lastRow="0" w:firstColumn="0" w:lastColumn="0" w:oddVBand="0" w:evenVBand="0" w:oddHBand="0" w:evenHBand="0" w:firstRowFirstColumn="0" w:firstRowLastColumn="0" w:lastRowFirstColumn="0" w:lastRowLastColumn="0"/>
          <w:trHeight w:val="312"/>
        </w:trPr>
        <w:tc>
          <w:tcPr>
            <w:cnfStyle w:val="001000000100" w:firstRow="0" w:lastRow="0" w:firstColumn="1" w:lastColumn="0" w:oddVBand="0" w:evenVBand="0" w:oddHBand="0" w:evenHBand="0" w:firstRowFirstColumn="1" w:firstRowLastColumn="0" w:lastRowFirstColumn="0" w:lastRowLastColumn="0"/>
            <w:tcW w:w="2106" w:type="pct"/>
            <w:noWrap/>
            <w:hideMark/>
          </w:tcPr>
          <w:p w14:paraId="0ABA539C" w14:textId="77777777"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Inversiones</w:t>
            </w:r>
          </w:p>
        </w:tc>
        <w:tc>
          <w:tcPr>
            <w:tcW w:w="965" w:type="pct"/>
            <w:noWrap/>
            <w:hideMark/>
          </w:tcPr>
          <w:p w14:paraId="2926360E" w14:textId="5CDA74C2" w:rsidR="001A3744" w:rsidRPr="001A3744" w:rsidRDefault="001A3744" w:rsidP="001A37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Mínimo</w:t>
            </w:r>
          </w:p>
        </w:tc>
        <w:tc>
          <w:tcPr>
            <w:tcW w:w="965" w:type="pct"/>
            <w:noWrap/>
            <w:hideMark/>
          </w:tcPr>
          <w:p w14:paraId="39F47B45" w14:textId="77777777" w:rsidR="001A3744" w:rsidRPr="001A3744" w:rsidRDefault="001A3744" w:rsidP="001A37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Promedio</w:t>
            </w:r>
          </w:p>
        </w:tc>
        <w:tc>
          <w:tcPr>
            <w:tcW w:w="964" w:type="pct"/>
            <w:noWrap/>
            <w:hideMark/>
          </w:tcPr>
          <w:p w14:paraId="7329EB24" w14:textId="6FC0CB5C" w:rsidR="001A3744" w:rsidRPr="001A3744" w:rsidRDefault="001A3744" w:rsidP="001A37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Máximo</w:t>
            </w:r>
          </w:p>
        </w:tc>
      </w:tr>
      <w:tr w:rsidR="001A3744" w:rsidRPr="001A3744" w14:paraId="4286FD12" w14:textId="77777777" w:rsidTr="00CE112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5F5DADA1" w14:textId="17D88E87"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Tecnología</w:t>
            </w:r>
          </w:p>
        </w:tc>
        <w:tc>
          <w:tcPr>
            <w:tcW w:w="965" w:type="pct"/>
            <w:noWrap/>
            <w:hideMark/>
          </w:tcPr>
          <w:p w14:paraId="27DAD98C"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2.000.000</w:t>
            </w:r>
          </w:p>
        </w:tc>
        <w:tc>
          <w:tcPr>
            <w:tcW w:w="965" w:type="pct"/>
            <w:noWrap/>
            <w:hideMark/>
          </w:tcPr>
          <w:p w14:paraId="11D8A475"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2.500.000</w:t>
            </w:r>
          </w:p>
        </w:tc>
        <w:tc>
          <w:tcPr>
            <w:tcW w:w="964" w:type="pct"/>
            <w:noWrap/>
            <w:hideMark/>
          </w:tcPr>
          <w:p w14:paraId="3F29D2C1"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3.000.000</w:t>
            </w:r>
          </w:p>
        </w:tc>
      </w:tr>
      <w:tr w:rsidR="001A3744" w:rsidRPr="001A3744" w14:paraId="2B4B0D8C" w14:textId="77777777" w:rsidTr="00CE1129">
        <w:trPr>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4FA775E7" w14:textId="77777777"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Capital de Trabajo</w:t>
            </w:r>
          </w:p>
        </w:tc>
        <w:tc>
          <w:tcPr>
            <w:tcW w:w="965" w:type="pct"/>
            <w:noWrap/>
            <w:hideMark/>
          </w:tcPr>
          <w:p w14:paraId="6662FB01"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500.000</w:t>
            </w:r>
          </w:p>
        </w:tc>
        <w:tc>
          <w:tcPr>
            <w:tcW w:w="965" w:type="pct"/>
            <w:noWrap/>
            <w:hideMark/>
          </w:tcPr>
          <w:p w14:paraId="7E443844"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650.000</w:t>
            </w:r>
          </w:p>
        </w:tc>
        <w:tc>
          <w:tcPr>
            <w:tcW w:w="964" w:type="pct"/>
            <w:noWrap/>
            <w:hideMark/>
          </w:tcPr>
          <w:p w14:paraId="1A2F7FEB"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800.000</w:t>
            </w:r>
          </w:p>
        </w:tc>
      </w:tr>
      <w:tr w:rsidR="001A3744" w:rsidRPr="001A3744" w14:paraId="5F2E812A" w14:textId="77777777" w:rsidTr="00CE112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79539005" w14:textId="77777777"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Obra de Civil e Infraestructura</w:t>
            </w:r>
          </w:p>
        </w:tc>
        <w:tc>
          <w:tcPr>
            <w:tcW w:w="965" w:type="pct"/>
            <w:noWrap/>
            <w:hideMark/>
          </w:tcPr>
          <w:p w14:paraId="15C8F9B1"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15.000.000</w:t>
            </w:r>
          </w:p>
        </w:tc>
        <w:tc>
          <w:tcPr>
            <w:tcW w:w="965" w:type="pct"/>
            <w:noWrap/>
            <w:hideMark/>
          </w:tcPr>
          <w:p w14:paraId="5A1FC81A"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17.500.000</w:t>
            </w:r>
          </w:p>
        </w:tc>
        <w:tc>
          <w:tcPr>
            <w:tcW w:w="964" w:type="pct"/>
            <w:noWrap/>
            <w:hideMark/>
          </w:tcPr>
          <w:p w14:paraId="104C6E42"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20.000.000</w:t>
            </w:r>
          </w:p>
        </w:tc>
      </w:tr>
      <w:tr w:rsidR="001A3744" w:rsidRPr="001A3744" w14:paraId="62AB3CD0" w14:textId="77777777" w:rsidTr="00CE1129">
        <w:trPr>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161E0206" w14:textId="74B82D88"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Inversión Total</w:t>
            </w:r>
          </w:p>
        </w:tc>
        <w:tc>
          <w:tcPr>
            <w:tcW w:w="965" w:type="pct"/>
            <w:noWrap/>
            <w:hideMark/>
          </w:tcPr>
          <w:p w14:paraId="18406AE3"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USD 17.500.000</w:t>
            </w:r>
          </w:p>
        </w:tc>
        <w:tc>
          <w:tcPr>
            <w:tcW w:w="965" w:type="pct"/>
            <w:noWrap/>
            <w:hideMark/>
          </w:tcPr>
          <w:p w14:paraId="7A513D9C"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USD 20.650.000</w:t>
            </w:r>
          </w:p>
        </w:tc>
        <w:tc>
          <w:tcPr>
            <w:tcW w:w="964" w:type="pct"/>
            <w:noWrap/>
            <w:hideMark/>
          </w:tcPr>
          <w:p w14:paraId="19B57DE3"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USD 23.800.000</w:t>
            </w:r>
          </w:p>
        </w:tc>
      </w:tr>
      <w:tr w:rsidR="001A3744" w:rsidRPr="001A3744" w14:paraId="2B61A951" w14:textId="77777777" w:rsidTr="00CE112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5E48DF1D" w14:textId="77777777" w:rsidR="001A3744" w:rsidRPr="001A3744" w:rsidRDefault="001A3744" w:rsidP="001A3744">
            <w:pPr>
              <w:rPr>
                <w:rFonts w:ascii="Times New Roman" w:eastAsia="Times New Roman" w:hAnsi="Times New Roman" w:cs="Times New Roman"/>
                <w:b/>
                <w:bCs/>
                <w:color w:val="000000"/>
                <w:sz w:val="20"/>
                <w:szCs w:val="20"/>
                <w:lang w:val="es-MX" w:eastAsia="es-MX"/>
              </w:rPr>
            </w:pPr>
          </w:p>
        </w:tc>
        <w:tc>
          <w:tcPr>
            <w:tcW w:w="965" w:type="pct"/>
            <w:noWrap/>
            <w:hideMark/>
          </w:tcPr>
          <w:p w14:paraId="2CA4366D"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-15%</w:t>
            </w:r>
          </w:p>
        </w:tc>
        <w:tc>
          <w:tcPr>
            <w:tcW w:w="965" w:type="pct"/>
            <w:noWrap/>
            <w:hideMark/>
          </w:tcPr>
          <w:p w14:paraId="32C8B3BD"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p>
        </w:tc>
        <w:tc>
          <w:tcPr>
            <w:tcW w:w="964" w:type="pct"/>
            <w:noWrap/>
            <w:hideMark/>
          </w:tcPr>
          <w:p w14:paraId="58A41FB8" w14:textId="71D8AD73"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+15%</w:t>
            </w:r>
          </w:p>
        </w:tc>
      </w:tr>
      <w:tr w:rsidR="001A3744" w:rsidRPr="001A3744" w14:paraId="11CDE6F9" w14:textId="77777777" w:rsidTr="00CE1129">
        <w:trPr>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5CA9493D" w14:textId="77777777" w:rsidR="001A3744" w:rsidRPr="001A3744" w:rsidRDefault="001A3744" w:rsidP="001A3744">
            <w:pPr>
              <w:rPr>
                <w:rFonts w:ascii="Times New Roman" w:eastAsia="Times New Roman" w:hAnsi="Times New Roman" w:cs="Times New Roman"/>
                <w:color w:val="000000"/>
                <w:sz w:val="20"/>
                <w:szCs w:val="20"/>
                <w:lang w:val="es-MX" w:eastAsia="es-MX"/>
              </w:rPr>
            </w:pPr>
          </w:p>
        </w:tc>
        <w:tc>
          <w:tcPr>
            <w:tcW w:w="965" w:type="pct"/>
            <w:noWrap/>
            <w:hideMark/>
          </w:tcPr>
          <w:p w14:paraId="656B8791" w14:textId="77777777" w:rsidR="001A3744" w:rsidRPr="001A3744" w:rsidRDefault="001A3744" w:rsidP="001A374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p>
        </w:tc>
        <w:tc>
          <w:tcPr>
            <w:tcW w:w="965" w:type="pct"/>
            <w:noWrap/>
            <w:hideMark/>
          </w:tcPr>
          <w:p w14:paraId="693CC0C8" w14:textId="77777777" w:rsidR="001A3744" w:rsidRPr="001A3744" w:rsidRDefault="001A3744" w:rsidP="001A374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p>
        </w:tc>
        <w:tc>
          <w:tcPr>
            <w:tcW w:w="964" w:type="pct"/>
            <w:noWrap/>
            <w:hideMark/>
          </w:tcPr>
          <w:p w14:paraId="5ABCA334" w14:textId="77777777" w:rsidR="001A3744" w:rsidRPr="001A3744" w:rsidRDefault="001A3744" w:rsidP="001A374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s-MX" w:eastAsia="es-MX"/>
              </w:rPr>
            </w:pPr>
          </w:p>
        </w:tc>
      </w:tr>
      <w:tr w:rsidR="001A3744" w:rsidRPr="001A3744" w14:paraId="4652F48E" w14:textId="77777777" w:rsidTr="00CE112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23229335" w14:textId="300BB1FF"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Aporte de Capital Propio</w:t>
            </w:r>
            <w:r>
              <w:rPr>
                <w:rFonts w:ascii="Times New Roman" w:eastAsia="Times New Roman" w:hAnsi="Times New Roman" w:cs="Times New Roman"/>
                <w:b/>
                <w:bCs/>
                <w:color w:val="000000"/>
                <w:sz w:val="20"/>
                <w:szCs w:val="20"/>
                <w:lang w:val="es-MX" w:eastAsia="es-MX"/>
              </w:rPr>
              <w:t xml:space="preserve"> 40%</w:t>
            </w:r>
            <w:r w:rsidRPr="001A3744">
              <w:rPr>
                <w:rFonts w:ascii="Times New Roman" w:eastAsia="Times New Roman" w:hAnsi="Times New Roman" w:cs="Times New Roman"/>
                <w:b/>
                <w:bCs/>
                <w:color w:val="000000"/>
                <w:sz w:val="20"/>
                <w:szCs w:val="20"/>
                <w:lang w:val="es-MX" w:eastAsia="es-MX"/>
              </w:rPr>
              <w:t xml:space="preserve"> </w:t>
            </w:r>
          </w:p>
        </w:tc>
        <w:tc>
          <w:tcPr>
            <w:tcW w:w="965" w:type="pct"/>
            <w:noWrap/>
            <w:hideMark/>
          </w:tcPr>
          <w:p w14:paraId="00762D4D"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7.000.000</w:t>
            </w:r>
          </w:p>
        </w:tc>
        <w:tc>
          <w:tcPr>
            <w:tcW w:w="965" w:type="pct"/>
            <w:noWrap/>
            <w:hideMark/>
          </w:tcPr>
          <w:p w14:paraId="50B49CAB"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8.260.000</w:t>
            </w:r>
          </w:p>
        </w:tc>
        <w:tc>
          <w:tcPr>
            <w:tcW w:w="964" w:type="pct"/>
            <w:noWrap/>
            <w:hideMark/>
          </w:tcPr>
          <w:p w14:paraId="3BEB20B8" w14:textId="77777777" w:rsidR="001A3744" w:rsidRPr="001A3744" w:rsidRDefault="001A3744" w:rsidP="001A374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9.520.000</w:t>
            </w:r>
          </w:p>
        </w:tc>
      </w:tr>
      <w:tr w:rsidR="001A3744" w:rsidRPr="001A3744" w14:paraId="61277908" w14:textId="77777777" w:rsidTr="00CE1129">
        <w:trPr>
          <w:trHeight w:val="312"/>
        </w:trPr>
        <w:tc>
          <w:tcPr>
            <w:cnfStyle w:val="001000000000" w:firstRow="0" w:lastRow="0" w:firstColumn="1" w:lastColumn="0" w:oddVBand="0" w:evenVBand="0" w:oddHBand="0" w:evenHBand="0" w:firstRowFirstColumn="0" w:firstRowLastColumn="0" w:lastRowFirstColumn="0" w:lastRowLastColumn="0"/>
            <w:tcW w:w="2106" w:type="pct"/>
            <w:noWrap/>
            <w:hideMark/>
          </w:tcPr>
          <w:p w14:paraId="777CD0E3" w14:textId="21C95E6F" w:rsidR="001A3744" w:rsidRPr="001A3744" w:rsidRDefault="001A3744" w:rsidP="001A3744">
            <w:pP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 xml:space="preserve">Deuda </w:t>
            </w:r>
            <w:r>
              <w:rPr>
                <w:rFonts w:ascii="Times New Roman" w:eastAsia="Times New Roman" w:hAnsi="Times New Roman" w:cs="Times New Roman"/>
                <w:b/>
                <w:bCs/>
                <w:color w:val="000000"/>
                <w:sz w:val="20"/>
                <w:szCs w:val="20"/>
                <w:lang w:val="es-MX" w:eastAsia="es-MX"/>
              </w:rPr>
              <w:t>–</w:t>
            </w:r>
            <w:r w:rsidRPr="001A3744">
              <w:rPr>
                <w:rFonts w:ascii="Times New Roman" w:eastAsia="Times New Roman" w:hAnsi="Times New Roman" w:cs="Times New Roman"/>
                <w:b/>
                <w:bCs/>
                <w:color w:val="000000"/>
                <w:sz w:val="20"/>
                <w:szCs w:val="20"/>
                <w:lang w:val="es-MX" w:eastAsia="es-MX"/>
              </w:rPr>
              <w:t xml:space="preserve"> Préstamo</w:t>
            </w:r>
            <w:r>
              <w:rPr>
                <w:rFonts w:ascii="Times New Roman" w:eastAsia="Times New Roman" w:hAnsi="Times New Roman" w:cs="Times New Roman"/>
                <w:b/>
                <w:bCs/>
                <w:color w:val="000000"/>
                <w:sz w:val="20"/>
                <w:szCs w:val="20"/>
                <w:lang w:val="es-MX" w:eastAsia="es-MX"/>
              </w:rPr>
              <w:t xml:space="preserve"> 60%</w:t>
            </w:r>
            <w:r w:rsidRPr="001A3744">
              <w:rPr>
                <w:rFonts w:ascii="Times New Roman" w:eastAsia="Times New Roman" w:hAnsi="Times New Roman" w:cs="Times New Roman"/>
                <w:b/>
                <w:bCs/>
                <w:color w:val="000000"/>
                <w:sz w:val="20"/>
                <w:szCs w:val="20"/>
                <w:lang w:val="es-MX" w:eastAsia="es-MX"/>
              </w:rPr>
              <w:t xml:space="preserve"> </w:t>
            </w:r>
          </w:p>
        </w:tc>
        <w:tc>
          <w:tcPr>
            <w:tcW w:w="965" w:type="pct"/>
            <w:noWrap/>
            <w:hideMark/>
          </w:tcPr>
          <w:p w14:paraId="0A66847C"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10.500.000</w:t>
            </w:r>
          </w:p>
        </w:tc>
        <w:tc>
          <w:tcPr>
            <w:tcW w:w="965" w:type="pct"/>
            <w:noWrap/>
            <w:hideMark/>
          </w:tcPr>
          <w:p w14:paraId="19F551CE"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12.390.000</w:t>
            </w:r>
          </w:p>
        </w:tc>
        <w:tc>
          <w:tcPr>
            <w:tcW w:w="964" w:type="pct"/>
            <w:noWrap/>
            <w:hideMark/>
          </w:tcPr>
          <w:p w14:paraId="73500D9F" w14:textId="77777777" w:rsidR="001A3744" w:rsidRPr="001A3744" w:rsidRDefault="001A3744" w:rsidP="001A3744">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s-MX" w:eastAsia="es-MX"/>
              </w:rPr>
            </w:pPr>
            <w:r w:rsidRPr="001A3744">
              <w:rPr>
                <w:rFonts w:ascii="Times New Roman" w:eastAsia="Times New Roman" w:hAnsi="Times New Roman" w:cs="Times New Roman"/>
                <w:color w:val="000000"/>
                <w:sz w:val="20"/>
                <w:szCs w:val="20"/>
                <w:lang w:val="es-MX" w:eastAsia="es-MX"/>
              </w:rPr>
              <w:t>USD 14.280.000</w:t>
            </w:r>
          </w:p>
        </w:tc>
      </w:tr>
    </w:tbl>
    <w:p w14:paraId="68B4FDBE" w14:textId="77777777" w:rsidR="00CE1129" w:rsidRPr="00CE1129" w:rsidRDefault="00CE1129" w:rsidP="00CE112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5377A230" w14:textId="6557D27F" w:rsidR="001A3744" w:rsidRPr="001A3744" w:rsidRDefault="001A3744" w:rsidP="00F55C5A">
      <w:pPr>
        <w:spacing w:after="0"/>
        <w:jc w:val="both"/>
        <w:rPr>
          <w:rFonts w:ascii="Times New Roman" w:hAnsi="Times New Roman" w:cs="Times New Roman"/>
          <w:b/>
          <w:bCs/>
          <w:lang w:val="es-MX"/>
        </w:rPr>
      </w:pPr>
      <w:r w:rsidRPr="001A3744">
        <w:rPr>
          <w:rFonts w:ascii="Times New Roman" w:hAnsi="Times New Roman" w:cs="Times New Roman"/>
          <w:b/>
          <w:bCs/>
          <w:lang w:val="es-MX"/>
        </w:rPr>
        <w:t>Cálculo de Intereses – Préstamo Proyecto Depósito Fiscal</w:t>
      </w:r>
    </w:p>
    <w:p w14:paraId="154019E6" w14:textId="77777777" w:rsidR="001A3744" w:rsidRDefault="001A3744" w:rsidP="00F55C5A">
      <w:pPr>
        <w:pStyle w:val="Prrafodelista"/>
        <w:numPr>
          <w:ilvl w:val="0"/>
          <w:numId w:val="17"/>
        </w:numPr>
        <w:spacing w:after="0"/>
        <w:jc w:val="both"/>
        <w:rPr>
          <w:rFonts w:ascii="Times New Roman" w:hAnsi="Times New Roman" w:cs="Times New Roman"/>
          <w:lang w:val="es-MX"/>
        </w:rPr>
      </w:pPr>
      <w:r w:rsidRPr="001A3744">
        <w:rPr>
          <w:rFonts w:ascii="Times New Roman" w:hAnsi="Times New Roman" w:cs="Times New Roman"/>
          <w:lang w:val="es-MX"/>
        </w:rPr>
        <w:t>Monto del préstamo (60 %): USD 12.390.000</w:t>
      </w:r>
    </w:p>
    <w:p w14:paraId="336C8003" w14:textId="77777777" w:rsidR="001A3744" w:rsidRDefault="001A3744" w:rsidP="00F55C5A">
      <w:pPr>
        <w:pStyle w:val="Prrafodelista"/>
        <w:numPr>
          <w:ilvl w:val="0"/>
          <w:numId w:val="17"/>
        </w:numPr>
        <w:spacing w:after="0"/>
        <w:jc w:val="both"/>
        <w:rPr>
          <w:rFonts w:ascii="Times New Roman" w:hAnsi="Times New Roman" w:cs="Times New Roman"/>
          <w:lang w:val="es-MX"/>
        </w:rPr>
      </w:pPr>
      <w:r w:rsidRPr="001A3744">
        <w:rPr>
          <w:rFonts w:ascii="Times New Roman" w:hAnsi="Times New Roman" w:cs="Times New Roman"/>
          <w:lang w:val="es-MX"/>
        </w:rPr>
        <w:lastRenderedPageBreak/>
        <w:t>Plazo: 10 años</w:t>
      </w:r>
    </w:p>
    <w:p w14:paraId="38E78892" w14:textId="77777777" w:rsidR="001A3744" w:rsidRDefault="001A3744" w:rsidP="00F55C5A">
      <w:pPr>
        <w:pStyle w:val="Prrafodelista"/>
        <w:numPr>
          <w:ilvl w:val="0"/>
          <w:numId w:val="17"/>
        </w:numPr>
        <w:spacing w:after="0"/>
        <w:jc w:val="both"/>
        <w:rPr>
          <w:rFonts w:ascii="Times New Roman" w:hAnsi="Times New Roman" w:cs="Times New Roman"/>
          <w:lang w:val="es-MX"/>
        </w:rPr>
      </w:pPr>
      <w:r w:rsidRPr="001A3744">
        <w:rPr>
          <w:rFonts w:ascii="Times New Roman" w:hAnsi="Times New Roman" w:cs="Times New Roman"/>
          <w:lang w:val="es-MX"/>
        </w:rPr>
        <w:t>Tasa Nominal Anual (TNA): 20 %</w:t>
      </w:r>
    </w:p>
    <w:p w14:paraId="6F95D2B2" w14:textId="07573DB9" w:rsidR="001A3744" w:rsidRDefault="001A3744" w:rsidP="00F55C5A">
      <w:pPr>
        <w:pStyle w:val="Prrafodelista"/>
        <w:numPr>
          <w:ilvl w:val="0"/>
          <w:numId w:val="17"/>
        </w:numPr>
        <w:spacing w:after="0"/>
        <w:jc w:val="both"/>
        <w:rPr>
          <w:rFonts w:ascii="Times New Roman" w:hAnsi="Times New Roman" w:cs="Times New Roman"/>
          <w:lang w:val="es-MX"/>
        </w:rPr>
      </w:pPr>
      <w:r w:rsidRPr="001A3744">
        <w:rPr>
          <w:rFonts w:ascii="Times New Roman" w:hAnsi="Times New Roman" w:cs="Times New Roman"/>
          <w:lang w:val="es-MX"/>
        </w:rPr>
        <w:t>Sistema de amortización: Lineal de capital</w:t>
      </w:r>
    </w:p>
    <w:tbl>
      <w:tblPr>
        <w:tblW w:w="5456" w:type="pct"/>
        <w:tblInd w:w="-289" w:type="dxa"/>
        <w:tblCellMar>
          <w:left w:w="70" w:type="dxa"/>
          <w:right w:w="70" w:type="dxa"/>
        </w:tblCellMar>
        <w:tblLook w:val="04A0" w:firstRow="1" w:lastRow="0" w:firstColumn="1" w:lastColumn="0" w:noHBand="0" w:noVBand="1"/>
      </w:tblPr>
      <w:tblGrid>
        <w:gridCol w:w="1446"/>
        <w:gridCol w:w="967"/>
        <w:gridCol w:w="967"/>
        <w:gridCol w:w="874"/>
        <w:gridCol w:w="874"/>
        <w:gridCol w:w="873"/>
        <w:gridCol w:w="873"/>
        <w:gridCol w:w="873"/>
        <w:gridCol w:w="873"/>
        <w:gridCol w:w="873"/>
        <w:gridCol w:w="873"/>
      </w:tblGrid>
      <w:tr w:rsidR="001A3744" w:rsidRPr="001A3744" w14:paraId="2A540724" w14:textId="77777777" w:rsidTr="00CE1129">
        <w:trPr>
          <w:trHeight w:val="312"/>
        </w:trPr>
        <w:tc>
          <w:tcPr>
            <w:tcW w:w="696" w:type="pct"/>
            <w:tcBorders>
              <w:top w:val="single" w:sz="4" w:space="0" w:color="auto"/>
              <w:left w:val="single" w:sz="4" w:space="0" w:color="auto"/>
              <w:bottom w:val="single" w:sz="4" w:space="0" w:color="auto"/>
              <w:right w:val="single" w:sz="4" w:space="0" w:color="auto"/>
            </w:tcBorders>
            <w:vAlign w:val="center"/>
            <w:hideMark/>
          </w:tcPr>
          <w:p w14:paraId="2983C98B" w14:textId="23352F62"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Préstamo</w:t>
            </w:r>
          </w:p>
        </w:tc>
        <w:tc>
          <w:tcPr>
            <w:tcW w:w="466" w:type="pct"/>
            <w:tcBorders>
              <w:top w:val="single" w:sz="4" w:space="0" w:color="auto"/>
              <w:left w:val="nil"/>
              <w:bottom w:val="single" w:sz="4" w:space="0" w:color="auto"/>
              <w:right w:val="single" w:sz="4" w:space="0" w:color="auto"/>
            </w:tcBorders>
            <w:vAlign w:val="center"/>
            <w:hideMark/>
          </w:tcPr>
          <w:p w14:paraId="3FD792F7"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1</w:t>
            </w:r>
          </w:p>
        </w:tc>
        <w:tc>
          <w:tcPr>
            <w:tcW w:w="466" w:type="pct"/>
            <w:tcBorders>
              <w:top w:val="single" w:sz="4" w:space="0" w:color="auto"/>
              <w:left w:val="nil"/>
              <w:bottom w:val="single" w:sz="4" w:space="0" w:color="auto"/>
              <w:right w:val="single" w:sz="4" w:space="0" w:color="auto"/>
            </w:tcBorders>
            <w:vAlign w:val="center"/>
            <w:hideMark/>
          </w:tcPr>
          <w:p w14:paraId="4C2DF3C8"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2</w:t>
            </w:r>
          </w:p>
        </w:tc>
        <w:tc>
          <w:tcPr>
            <w:tcW w:w="421" w:type="pct"/>
            <w:tcBorders>
              <w:top w:val="single" w:sz="4" w:space="0" w:color="auto"/>
              <w:left w:val="nil"/>
              <w:bottom w:val="single" w:sz="4" w:space="0" w:color="auto"/>
              <w:right w:val="single" w:sz="4" w:space="0" w:color="auto"/>
            </w:tcBorders>
            <w:vAlign w:val="center"/>
            <w:hideMark/>
          </w:tcPr>
          <w:p w14:paraId="19EE28A2"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3</w:t>
            </w:r>
          </w:p>
        </w:tc>
        <w:tc>
          <w:tcPr>
            <w:tcW w:w="421" w:type="pct"/>
            <w:tcBorders>
              <w:top w:val="single" w:sz="4" w:space="0" w:color="auto"/>
              <w:left w:val="nil"/>
              <w:bottom w:val="single" w:sz="4" w:space="0" w:color="auto"/>
              <w:right w:val="single" w:sz="4" w:space="0" w:color="auto"/>
            </w:tcBorders>
            <w:vAlign w:val="center"/>
            <w:hideMark/>
          </w:tcPr>
          <w:p w14:paraId="609994AF"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4</w:t>
            </w:r>
          </w:p>
        </w:tc>
        <w:tc>
          <w:tcPr>
            <w:tcW w:w="421" w:type="pct"/>
            <w:tcBorders>
              <w:top w:val="single" w:sz="4" w:space="0" w:color="auto"/>
              <w:left w:val="nil"/>
              <w:bottom w:val="single" w:sz="4" w:space="0" w:color="auto"/>
              <w:right w:val="single" w:sz="4" w:space="0" w:color="auto"/>
            </w:tcBorders>
            <w:vAlign w:val="center"/>
            <w:hideMark/>
          </w:tcPr>
          <w:p w14:paraId="7EE9E280"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5</w:t>
            </w:r>
          </w:p>
        </w:tc>
        <w:tc>
          <w:tcPr>
            <w:tcW w:w="421" w:type="pct"/>
            <w:tcBorders>
              <w:top w:val="single" w:sz="4" w:space="0" w:color="auto"/>
              <w:left w:val="nil"/>
              <w:bottom w:val="single" w:sz="4" w:space="0" w:color="auto"/>
              <w:right w:val="single" w:sz="4" w:space="0" w:color="auto"/>
            </w:tcBorders>
            <w:vAlign w:val="center"/>
            <w:hideMark/>
          </w:tcPr>
          <w:p w14:paraId="6DA33C09"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6</w:t>
            </w:r>
          </w:p>
        </w:tc>
        <w:tc>
          <w:tcPr>
            <w:tcW w:w="421" w:type="pct"/>
            <w:tcBorders>
              <w:top w:val="single" w:sz="4" w:space="0" w:color="auto"/>
              <w:left w:val="nil"/>
              <w:bottom w:val="single" w:sz="4" w:space="0" w:color="auto"/>
              <w:right w:val="single" w:sz="4" w:space="0" w:color="auto"/>
            </w:tcBorders>
            <w:vAlign w:val="center"/>
            <w:hideMark/>
          </w:tcPr>
          <w:p w14:paraId="2A432912"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7</w:t>
            </w:r>
          </w:p>
        </w:tc>
        <w:tc>
          <w:tcPr>
            <w:tcW w:w="421" w:type="pct"/>
            <w:tcBorders>
              <w:top w:val="single" w:sz="4" w:space="0" w:color="auto"/>
              <w:left w:val="nil"/>
              <w:bottom w:val="single" w:sz="4" w:space="0" w:color="auto"/>
              <w:right w:val="single" w:sz="4" w:space="0" w:color="auto"/>
            </w:tcBorders>
            <w:vAlign w:val="center"/>
            <w:hideMark/>
          </w:tcPr>
          <w:p w14:paraId="6D8B5E7E"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8</w:t>
            </w:r>
          </w:p>
        </w:tc>
        <w:tc>
          <w:tcPr>
            <w:tcW w:w="421" w:type="pct"/>
            <w:tcBorders>
              <w:top w:val="single" w:sz="4" w:space="0" w:color="auto"/>
              <w:left w:val="nil"/>
              <w:bottom w:val="single" w:sz="4" w:space="0" w:color="auto"/>
              <w:right w:val="single" w:sz="4" w:space="0" w:color="auto"/>
            </w:tcBorders>
            <w:vAlign w:val="center"/>
            <w:hideMark/>
          </w:tcPr>
          <w:p w14:paraId="16B50881"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9</w:t>
            </w:r>
          </w:p>
        </w:tc>
        <w:tc>
          <w:tcPr>
            <w:tcW w:w="421" w:type="pct"/>
            <w:tcBorders>
              <w:top w:val="single" w:sz="4" w:space="0" w:color="auto"/>
              <w:left w:val="nil"/>
              <w:bottom w:val="single" w:sz="4" w:space="0" w:color="auto"/>
              <w:right w:val="single" w:sz="4" w:space="0" w:color="auto"/>
            </w:tcBorders>
            <w:vAlign w:val="center"/>
            <w:hideMark/>
          </w:tcPr>
          <w:p w14:paraId="3A13F2BD"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20"/>
                <w:szCs w:val="20"/>
                <w:lang w:val="es-MX" w:eastAsia="es-MX"/>
              </w:rPr>
            </w:pPr>
            <w:r w:rsidRPr="001A3744">
              <w:rPr>
                <w:rFonts w:ascii="Times New Roman" w:eastAsia="Times New Roman" w:hAnsi="Times New Roman" w:cs="Times New Roman"/>
                <w:b/>
                <w:bCs/>
                <w:color w:val="000000"/>
                <w:sz w:val="20"/>
                <w:szCs w:val="20"/>
                <w:lang w:val="es-MX" w:eastAsia="es-MX"/>
              </w:rPr>
              <w:t>Año 10</w:t>
            </w:r>
          </w:p>
        </w:tc>
      </w:tr>
      <w:tr w:rsidR="001A3744" w:rsidRPr="001A3744" w14:paraId="5BB53458" w14:textId="77777777" w:rsidTr="00CE1129">
        <w:trPr>
          <w:trHeight w:val="312"/>
        </w:trPr>
        <w:tc>
          <w:tcPr>
            <w:tcW w:w="696" w:type="pct"/>
            <w:tcBorders>
              <w:top w:val="nil"/>
              <w:left w:val="single" w:sz="4" w:space="0" w:color="auto"/>
              <w:bottom w:val="single" w:sz="4" w:space="0" w:color="auto"/>
              <w:right w:val="single" w:sz="4" w:space="0" w:color="auto"/>
            </w:tcBorders>
            <w:vAlign w:val="center"/>
            <w:hideMark/>
          </w:tcPr>
          <w:p w14:paraId="74A2B8AE"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Saldo inicial deuda</w:t>
            </w:r>
          </w:p>
        </w:tc>
        <w:tc>
          <w:tcPr>
            <w:tcW w:w="466" w:type="pct"/>
            <w:tcBorders>
              <w:top w:val="nil"/>
              <w:left w:val="nil"/>
              <w:bottom w:val="single" w:sz="4" w:space="0" w:color="auto"/>
              <w:right w:val="single" w:sz="4" w:space="0" w:color="auto"/>
            </w:tcBorders>
            <w:vAlign w:val="center"/>
            <w:hideMark/>
          </w:tcPr>
          <w:p w14:paraId="2193EBCA"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12.390.000</w:t>
            </w:r>
          </w:p>
        </w:tc>
        <w:tc>
          <w:tcPr>
            <w:tcW w:w="466" w:type="pct"/>
            <w:tcBorders>
              <w:top w:val="nil"/>
              <w:left w:val="nil"/>
              <w:bottom w:val="single" w:sz="4" w:space="0" w:color="auto"/>
              <w:right w:val="single" w:sz="4" w:space="0" w:color="auto"/>
            </w:tcBorders>
            <w:vAlign w:val="center"/>
            <w:hideMark/>
          </w:tcPr>
          <w:p w14:paraId="42C97288"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11.151.000</w:t>
            </w:r>
          </w:p>
        </w:tc>
        <w:tc>
          <w:tcPr>
            <w:tcW w:w="421" w:type="pct"/>
            <w:tcBorders>
              <w:top w:val="nil"/>
              <w:left w:val="nil"/>
              <w:bottom w:val="single" w:sz="4" w:space="0" w:color="auto"/>
              <w:right w:val="single" w:sz="4" w:space="0" w:color="auto"/>
            </w:tcBorders>
            <w:vAlign w:val="center"/>
            <w:hideMark/>
          </w:tcPr>
          <w:p w14:paraId="453BB68E"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9.912.000</w:t>
            </w:r>
          </w:p>
        </w:tc>
        <w:tc>
          <w:tcPr>
            <w:tcW w:w="421" w:type="pct"/>
            <w:tcBorders>
              <w:top w:val="nil"/>
              <w:left w:val="nil"/>
              <w:bottom w:val="single" w:sz="4" w:space="0" w:color="auto"/>
              <w:right w:val="single" w:sz="4" w:space="0" w:color="auto"/>
            </w:tcBorders>
            <w:vAlign w:val="center"/>
            <w:hideMark/>
          </w:tcPr>
          <w:p w14:paraId="1ED735B0"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8.673.000</w:t>
            </w:r>
          </w:p>
        </w:tc>
        <w:tc>
          <w:tcPr>
            <w:tcW w:w="421" w:type="pct"/>
            <w:tcBorders>
              <w:top w:val="nil"/>
              <w:left w:val="nil"/>
              <w:bottom w:val="single" w:sz="4" w:space="0" w:color="auto"/>
              <w:right w:val="single" w:sz="4" w:space="0" w:color="auto"/>
            </w:tcBorders>
            <w:vAlign w:val="center"/>
            <w:hideMark/>
          </w:tcPr>
          <w:p w14:paraId="41335B15"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7.434.000</w:t>
            </w:r>
          </w:p>
        </w:tc>
        <w:tc>
          <w:tcPr>
            <w:tcW w:w="421" w:type="pct"/>
            <w:tcBorders>
              <w:top w:val="nil"/>
              <w:left w:val="nil"/>
              <w:bottom w:val="single" w:sz="4" w:space="0" w:color="auto"/>
              <w:right w:val="single" w:sz="4" w:space="0" w:color="auto"/>
            </w:tcBorders>
            <w:vAlign w:val="center"/>
            <w:hideMark/>
          </w:tcPr>
          <w:p w14:paraId="6A3A0CAB"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6.195.000</w:t>
            </w:r>
          </w:p>
        </w:tc>
        <w:tc>
          <w:tcPr>
            <w:tcW w:w="421" w:type="pct"/>
            <w:tcBorders>
              <w:top w:val="nil"/>
              <w:left w:val="nil"/>
              <w:bottom w:val="single" w:sz="4" w:space="0" w:color="auto"/>
              <w:right w:val="single" w:sz="4" w:space="0" w:color="auto"/>
            </w:tcBorders>
            <w:vAlign w:val="center"/>
            <w:hideMark/>
          </w:tcPr>
          <w:p w14:paraId="5004E65E"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4.956.000</w:t>
            </w:r>
          </w:p>
        </w:tc>
        <w:tc>
          <w:tcPr>
            <w:tcW w:w="421" w:type="pct"/>
            <w:tcBorders>
              <w:top w:val="nil"/>
              <w:left w:val="nil"/>
              <w:bottom w:val="single" w:sz="4" w:space="0" w:color="auto"/>
              <w:right w:val="single" w:sz="4" w:space="0" w:color="auto"/>
            </w:tcBorders>
            <w:vAlign w:val="center"/>
            <w:hideMark/>
          </w:tcPr>
          <w:p w14:paraId="670693B7"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3.717.000</w:t>
            </w:r>
          </w:p>
        </w:tc>
        <w:tc>
          <w:tcPr>
            <w:tcW w:w="421" w:type="pct"/>
            <w:tcBorders>
              <w:top w:val="nil"/>
              <w:left w:val="nil"/>
              <w:bottom w:val="single" w:sz="4" w:space="0" w:color="auto"/>
              <w:right w:val="single" w:sz="4" w:space="0" w:color="auto"/>
            </w:tcBorders>
            <w:vAlign w:val="center"/>
            <w:hideMark/>
          </w:tcPr>
          <w:p w14:paraId="025DBF15"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2.478.000</w:t>
            </w:r>
          </w:p>
        </w:tc>
        <w:tc>
          <w:tcPr>
            <w:tcW w:w="421" w:type="pct"/>
            <w:tcBorders>
              <w:top w:val="nil"/>
              <w:left w:val="nil"/>
              <w:bottom w:val="single" w:sz="4" w:space="0" w:color="auto"/>
              <w:right w:val="single" w:sz="4" w:space="0" w:color="auto"/>
            </w:tcBorders>
            <w:vAlign w:val="center"/>
            <w:hideMark/>
          </w:tcPr>
          <w:p w14:paraId="617835CF"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r>
      <w:tr w:rsidR="001A3744" w:rsidRPr="001A3744" w14:paraId="20609BC7" w14:textId="77777777" w:rsidTr="00CE1129">
        <w:trPr>
          <w:trHeight w:val="312"/>
        </w:trPr>
        <w:tc>
          <w:tcPr>
            <w:tcW w:w="696" w:type="pct"/>
            <w:tcBorders>
              <w:top w:val="nil"/>
              <w:left w:val="single" w:sz="4" w:space="0" w:color="auto"/>
              <w:bottom w:val="single" w:sz="4" w:space="0" w:color="auto"/>
              <w:right w:val="single" w:sz="4" w:space="0" w:color="auto"/>
            </w:tcBorders>
            <w:vAlign w:val="center"/>
            <w:hideMark/>
          </w:tcPr>
          <w:p w14:paraId="51A60542"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Amortización capital</w:t>
            </w:r>
          </w:p>
        </w:tc>
        <w:tc>
          <w:tcPr>
            <w:tcW w:w="466" w:type="pct"/>
            <w:tcBorders>
              <w:top w:val="nil"/>
              <w:left w:val="nil"/>
              <w:bottom w:val="single" w:sz="4" w:space="0" w:color="auto"/>
              <w:right w:val="single" w:sz="4" w:space="0" w:color="auto"/>
            </w:tcBorders>
            <w:vAlign w:val="center"/>
            <w:hideMark/>
          </w:tcPr>
          <w:p w14:paraId="6924A764"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66" w:type="pct"/>
            <w:tcBorders>
              <w:top w:val="nil"/>
              <w:left w:val="nil"/>
              <w:bottom w:val="single" w:sz="4" w:space="0" w:color="auto"/>
              <w:right w:val="single" w:sz="4" w:space="0" w:color="auto"/>
            </w:tcBorders>
            <w:vAlign w:val="center"/>
            <w:hideMark/>
          </w:tcPr>
          <w:p w14:paraId="3E368F2E"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4E1FA81C"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2F811031"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0556EF5C"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732961CD"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1599FD52"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4F97F267"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133B3B6D"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62638E8D"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r>
      <w:tr w:rsidR="001A3744" w:rsidRPr="001A3744" w14:paraId="6971448E" w14:textId="77777777" w:rsidTr="00CE1129">
        <w:trPr>
          <w:trHeight w:val="312"/>
        </w:trPr>
        <w:tc>
          <w:tcPr>
            <w:tcW w:w="696" w:type="pct"/>
            <w:tcBorders>
              <w:top w:val="nil"/>
              <w:left w:val="single" w:sz="4" w:space="0" w:color="auto"/>
              <w:bottom w:val="single" w:sz="4" w:space="0" w:color="auto"/>
              <w:right w:val="single" w:sz="4" w:space="0" w:color="auto"/>
            </w:tcBorders>
            <w:vAlign w:val="center"/>
            <w:hideMark/>
          </w:tcPr>
          <w:p w14:paraId="3544F1FE" w14:textId="61E9357C" w:rsidR="001A3744" w:rsidRPr="001A3744" w:rsidRDefault="001A3744" w:rsidP="001A3744">
            <w:pPr>
              <w:spacing w:after="0" w:line="240" w:lineRule="auto"/>
              <w:jc w:val="center"/>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Intereses (20%)</w:t>
            </w:r>
          </w:p>
        </w:tc>
        <w:tc>
          <w:tcPr>
            <w:tcW w:w="466" w:type="pct"/>
            <w:tcBorders>
              <w:top w:val="nil"/>
              <w:left w:val="nil"/>
              <w:bottom w:val="single" w:sz="4" w:space="0" w:color="auto"/>
              <w:right w:val="single" w:sz="4" w:space="0" w:color="auto"/>
            </w:tcBorders>
            <w:vAlign w:val="center"/>
            <w:hideMark/>
          </w:tcPr>
          <w:p w14:paraId="310468CD"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2.478.000</w:t>
            </w:r>
          </w:p>
        </w:tc>
        <w:tc>
          <w:tcPr>
            <w:tcW w:w="466" w:type="pct"/>
            <w:tcBorders>
              <w:top w:val="nil"/>
              <w:left w:val="nil"/>
              <w:bottom w:val="single" w:sz="4" w:space="0" w:color="auto"/>
              <w:right w:val="single" w:sz="4" w:space="0" w:color="auto"/>
            </w:tcBorders>
            <w:vAlign w:val="center"/>
            <w:hideMark/>
          </w:tcPr>
          <w:p w14:paraId="11355DE9"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2.230.200</w:t>
            </w:r>
          </w:p>
        </w:tc>
        <w:tc>
          <w:tcPr>
            <w:tcW w:w="421" w:type="pct"/>
            <w:tcBorders>
              <w:top w:val="nil"/>
              <w:left w:val="nil"/>
              <w:bottom w:val="single" w:sz="4" w:space="0" w:color="auto"/>
              <w:right w:val="single" w:sz="4" w:space="0" w:color="auto"/>
            </w:tcBorders>
            <w:vAlign w:val="center"/>
            <w:hideMark/>
          </w:tcPr>
          <w:p w14:paraId="47607A87"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1.982.400</w:t>
            </w:r>
          </w:p>
        </w:tc>
        <w:tc>
          <w:tcPr>
            <w:tcW w:w="421" w:type="pct"/>
            <w:tcBorders>
              <w:top w:val="nil"/>
              <w:left w:val="nil"/>
              <w:bottom w:val="single" w:sz="4" w:space="0" w:color="auto"/>
              <w:right w:val="single" w:sz="4" w:space="0" w:color="auto"/>
            </w:tcBorders>
            <w:vAlign w:val="center"/>
            <w:hideMark/>
          </w:tcPr>
          <w:p w14:paraId="5B496070"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1.734.600</w:t>
            </w:r>
          </w:p>
        </w:tc>
        <w:tc>
          <w:tcPr>
            <w:tcW w:w="421" w:type="pct"/>
            <w:tcBorders>
              <w:top w:val="nil"/>
              <w:left w:val="nil"/>
              <w:bottom w:val="single" w:sz="4" w:space="0" w:color="auto"/>
              <w:right w:val="single" w:sz="4" w:space="0" w:color="auto"/>
            </w:tcBorders>
            <w:vAlign w:val="center"/>
            <w:hideMark/>
          </w:tcPr>
          <w:p w14:paraId="290588E6"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1.486.800</w:t>
            </w:r>
          </w:p>
        </w:tc>
        <w:tc>
          <w:tcPr>
            <w:tcW w:w="421" w:type="pct"/>
            <w:tcBorders>
              <w:top w:val="nil"/>
              <w:left w:val="nil"/>
              <w:bottom w:val="single" w:sz="4" w:space="0" w:color="auto"/>
              <w:right w:val="single" w:sz="4" w:space="0" w:color="auto"/>
            </w:tcBorders>
            <w:vAlign w:val="center"/>
            <w:hideMark/>
          </w:tcPr>
          <w:p w14:paraId="54619BB9"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3F9FDC94"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991.200</w:t>
            </w:r>
          </w:p>
        </w:tc>
        <w:tc>
          <w:tcPr>
            <w:tcW w:w="421" w:type="pct"/>
            <w:tcBorders>
              <w:top w:val="nil"/>
              <w:left w:val="nil"/>
              <w:bottom w:val="single" w:sz="4" w:space="0" w:color="auto"/>
              <w:right w:val="single" w:sz="4" w:space="0" w:color="auto"/>
            </w:tcBorders>
            <w:vAlign w:val="center"/>
            <w:hideMark/>
          </w:tcPr>
          <w:p w14:paraId="72DDE178"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743.400</w:t>
            </w:r>
          </w:p>
        </w:tc>
        <w:tc>
          <w:tcPr>
            <w:tcW w:w="421" w:type="pct"/>
            <w:tcBorders>
              <w:top w:val="nil"/>
              <w:left w:val="nil"/>
              <w:bottom w:val="single" w:sz="4" w:space="0" w:color="auto"/>
              <w:right w:val="single" w:sz="4" w:space="0" w:color="auto"/>
            </w:tcBorders>
            <w:vAlign w:val="center"/>
            <w:hideMark/>
          </w:tcPr>
          <w:p w14:paraId="451FB247"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495.600</w:t>
            </w:r>
          </w:p>
        </w:tc>
        <w:tc>
          <w:tcPr>
            <w:tcW w:w="421" w:type="pct"/>
            <w:tcBorders>
              <w:top w:val="nil"/>
              <w:left w:val="nil"/>
              <w:bottom w:val="single" w:sz="4" w:space="0" w:color="auto"/>
              <w:right w:val="single" w:sz="4" w:space="0" w:color="auto"/>
            </w:tcBorders>
            <w:vAlign w:val="center"/>
            <w:hideMark/>
          </w:tcPr>
          <w:p w14:paraId="6C072708" w14:textId="77777777" w:rsidR="001A3744" w:rsidRPr="001A3744" w:rsidRDefault="001A3744" w:rsidP="001A3744">
            <w:pPr>
              <w:spacing w:after="0" w:line="240" w:lineRule="auto"/>
              <w:jc w:val="right"/>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247.800</w:t>
            </w:r>
          </w:p>
        </w:tc>
      </w:tr>
      <w:tr w:rsidR="001A3744" w:rsidRPr="001A3744" w14:paraId="49ADF2C0" w14:textId="77777777" w:rsidTr="00CE1129">
        <w:trPr>
          <w:trHeight w:val="312"/>
        </w:trPr>
        <w:tc>
          <w:tcPr>
            <w:tcW w:w="696" w:type="pct"/>
            <w:tcBorders>
              <w:top w:val="nil"/>
              <w:left w:val="single" w:sz="4" w:space="0" w:color="auto"/>
              <w:bottom w:val="single" w:sz="4" w:space="0" w:color="auto"/>
              <w:right w:val="single" w:sz="4" w:space="0" w:color="auto"/>
            </w:tcBorders>
            <w:vAlign w:val="center"/>
            <w:hideMark/>
          </w:tcPr>
          <w:p w14:paraId="395FF618"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Servicio de deuda anual</w:t>
            </w:r>
          </w:p>
        </w:tc>
        <w:tc>
          <w:tcPr>
            <w:tcW w:w="466" w:type="pct"/>
            <w:tcBorders>
              <w:top w:val="nil"/>
              <w:left w:val="nil"/>
              <w:bottom w:val="single" w:sz="4" w:space="0" w:color="auto"/>
              <w:right w:val="single" w:sz="4" w:space="0" w:color="auto"/>
            </w:tcBorders>
            <w:vAlign w:val="center"/>
            <w:hideMark/>
          </w:tcPr>
          <w:p w14:paraId="3170CFE2"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3.717.000</w:t>
            </w:r>
          </w:p>
        </w:tc>
        <w:tc>
          <w:tcPr>
            <w:tcW w:w="466" w:type="pct"/>
            <w:tcBorders>
              <w:top w:val="nil"/>
              <w:left w:val="nil"/>
              <w:bottom w:val="single" w:sz="4" w:space="0" w:color="auto"/>
              <w:right w:val="single" w:sz="4" w:space="0" w:color="auto"/>
            </w:tcBorders>
            <w:vAlign w:val="center"/>
            <w:hideMark/>
          </w:tcPr>
          <w:p w14:paraId="4FE3F0C9"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3.469.200</w:t>
            </w:r>
          </w:p>
        </w:tc>
        <w:tc>
          <w:tcPr>
            <w:tcW w:w="421" w:type="pct"/>
            <w:tcBorders>
              <w:top w:val="nil"/>
              <w:left w:val="nil"/>
              <w:bottom w:val="single" w:sz="4" w:space="0" w:color="auto"/>
              <w:right w:val="single" w:sz="4" w:space="0" w:color="auto"/>
            </w:tcBorders>
            <w:vAlign w:val="center"/>
            <w:hideMark/>
          </w:tcPr>
          <w:p w14:paraId="76992722"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3.221.400</w:t>
            </w:r>
          </w:p>
        </w:tc>
        <w:tc>
          <w:tcPr>
            <w:tcW w:w="421" w:type="pct"/>
            <w:tcBorders>
              <w:top w:val="nil"/>
              <w:left w:val="nil"/>
              <w:bottom w:val="single" w:sz="4" w:space="0" w:color="auto"/>
              <w:right w:val="single" w:sz="4" w:space="0" w:color="auto"/>
            </w:tcBorders>
            <w:vAlign w:val="center"/>
            <w:hideMark/>
          </w:tcPr>
          <w:p w14:paraId="6C7F3491"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2.973.600</w:t>
            </w:r>
          </w:p>
        </w:tc>
        <w:tc>
          <w:tcPr>
            <w:tcW w:w="421" w:type="pct"/>
            <w:tcBorders>
              <w:top w:val="nil"/>
              <w:left w:val="nil"/>
              <w:bottom w:val="single" w:sz="4" w:space="0" w:color="auto"/>
              <w:right w:val="single" w:sz="4" w:space="0" w:color="auto"/>
            </w:tcBorders>
            <w:vAlign w:val="center"/>
            <w:hideMark/>
          </w:tcPr>
          <w:p w14:paraId="67108A32"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2.725.800</w:t>
            </w:r>
          </w:p>
        </w:tc>
        <w:tc>
          <w:tcPr>
            <w:tcW w:w="421" w:type="pct"/>
            <w:tcBorders>
              <w:top w:val="nil"/>
              <w:left w:val="nil"/>
              <w:bottom w:val="single" w:sz="4" w:space="0" w:color="auto"/>
              <w:right w:val="single" w:sz="4" w:space="0" w:color="auto"/>
            </w:tcBorders>
            <w:vAlign w:val="center"/>
            <w:hideMark/>
          </w:tcPr>
          <w:p w14:paraId="0092932F"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2.478.000</w:t>
            </w:r>
          </w:p>
        </w:tc>
        <w:tc>
          <w:tcPr>
            <w:tcW w:w="421" w:type="pct"/>
            <w:tcBorders>
              <w:top w:val="nil"/>
              <w:left w:val="nil"/>
              <w:bottom w:val="single" w:sz="4" w:space="0" w:color="auto"/>
              <w:right w:val="single" w:sz="4" w:space="0" w:color="auto"/>
            </w:tcBorders>
            <w:vAlign w:val="center"/>
            <w:hideMark/>
          </w:tcPr>
          <w:p w14:paraId="12251E96"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2.230.200</w:t>
            </w:r>
          </w:p>
        </w:tc>
        <w:tc>
          <w:tcPr>
            <w:tcW w:w="421" w:type="pct"/>
            <w:tcBorders>
              <w:top w:val="nil"/>
              <w:left w:val="nil"/>
              <w:bottom w:val="single" w:sz="4" w:space="0" w:color="auto"/>
              <w:right w:val="single" w:sz="4" w:space="0" w:color="auto"/>
            </w:tcBorders>
            <w:vAlign w:val="center"/>
            <w:hideMark/>
          </w:tcPr>
          <w:p w14:paraId="35130FED"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1.982.400</w:t>
            </w:r>
          </w:p>
        </w:tc>
        <w:tc>
          <w:tcPr>
            <w:tcW w:w="421" w:type="pct"/>
            <w:tcBorders>
              <w:top w:val="nil"/>
              <w:left w:val="nil"/>
              <w:bottom w:val="single" w:sz="4" w:space="0" w:color="auto"/>
              <w:right w:val="single" w:sz="4" w:space="0" w:color="auto"/>
            </w:tcBorders>
            <w:vAlign w:val="center"/>
            <w:hideMark/>
          </w:tcPr>
          <w:p w14:paraId="3756B540"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1.734.600</w:t>
            </w:r>
          </w:p>
        </w:tc>
        <w:tc>
          <w:tcPr>
            <w:tcW w:w="421" w:type="pct"/>
            <w:tcBorders>
              <w:top w:val="nil"/>
              <w:left w:val="nil"/>
              <w:bottom w:val="single" w:sz="4" w:space="0" w:color="auto"/>
              <w:right w:val="single" w:sz="4" w:space="0" w:color="auto"/>
            </w:tcBorders>
            <w:vAlign w:val="center"/>
            <w:hideMark/>
          </w:tcPr>
          <w:p w14:paraId="147438A6"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1.486.800</w:t>
            </w:r>
          </w:p>
        </w:tc>
      </w:tr>
      <w:tr w:rsidR="001A3744" w:rsidRPr="001A3744" w14:paraId="61B348F0" w14:textId="77777777" w:rsidTr="00CE1129">
        <w:trPr>
          <w:trHeight w:val="312"/>
        </w:trPr>
        <w:tc>
          <w:tcPr>
            <w:tcW w:w="696" w:type="pct"/>
            <w:tcBorders>
              <w:top w:val="nil"/>
              <w:left w:val="single" w:sz="4" w:space="0" w:color="auto"/>
              <w:bottom w:val="single" w:sz="4" w:space="0" w:color="auto"/>
              <w:right w:val="single" w:sz="4" w:space="0" w:color="auto"/>
            </w:tcBorders>
            <w:vAlign w:val="center"/>
            <w:hideMark/>
          </w:tcPr>
          <w:p w14:paraId="31467D4D" w14:textId="77777777" w:rsidR="001A3744" w:rsidRPr="001A3744" w:rsidRDefault="001A3744" w:rsidP="001A3744">
            <w:pPr>
              <w:spacing w:after="0" w:line="240" w:lineRule="auto"/>
              <w:jc w:val="center"/>
              <w:rPr>
                <w:rFonts w:ascii="Times New Roman" w:eastAsia="Times New Roman" w:hAnsi="Times New Roman" w:cs="Times New Roman"/>
                <w:b/>
                <w:bCs/>
                <w:color w:val="000000"/>
                <w:sz w:val="18"/>
                <w:szCs w:val="18"/>
                <w:lang w:val="es-MX" w:eastAsia="es-MX"/>
              </w:rPr>
            </w:pPr>
            <w:r w:rsidRPr="001A3744">
              <w:rPr>
                <w:rFonts w:ascii="Times New Roman" w:eastAsia="Times New Roman" w:hAnsi="Times New Roman" w:cs="Times New Roman"/>
                <w:b/>
                <w:bCs/>
                <w:color w:val="000000"/>
                <w:sz w:val="18"/>
                <w:szCs w:val="18"/>
                <w:lang w:val="es-MX" w:eastAsia="es-MX"/>
              </w:rPr>
              <w:t>Saldo final deuda</w:t>
            </w:r>
          </w:p>
        </w:tc>
        <w:tc>
          <w:tcPr>
            <w:tcW w:w="466" w:type="pct"/>
            <w:tcBorders>
              <w:top w:val="nil"/>
              <w:left w:val="nil"/>
              <w:bottom w:val="single" w:sz="4" w:space="0" w:color="auto"/>
              <w:right w:val="single" w:sz="4" w:space="0" w:color="auto"/>
            </w:tcBorders>
            <w:vAlign w:val="center"/>
            <w:hideMark/>
          </w:tcPr>
          <w:p w14:paraId="7841CCBC"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11.151.000</w:t>
            </w:r>
          </w:p>
        </w:tc>
        <w:tc>
          <w:tcPr>
            <w:tcW w:w="466" w:type="pct"/>
            <w:tcBorders>
              <w:top w:val="nil"/>
              <w:left w:val="nil"/>
              <w:bottom w:val="single" w:sz="4" w:space="0" w:color="auto"/>
              <w:right w:val="single" w:sz="4" w:space="0" w:color="auto"/>
            </w:tcBorders>
            <w:vAlign w:val="center"/>
            <w:hideMark/>
          </w:tcPr>
          <w:p w14:paraId="0F58395E"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9.912.000</w:t>
            </w:r>
          </w:p>
        </w:tc>
        <w:tc>
          <w:tcPr>
            <w:tcW w:w="421" w:type="pct"/>
            <w:tcBorders>
              <w:top w:val="nil"/>
              <w:left w:val="nil"/>
              <w:bottom w:val="single" w:sz="4" w:space="0" w:color="auto"/>
              <w:right w:val="single" w:sz="4" w:space="0" w:color="auto"/>
            </w:tcBorders>
            <w:vAlign w:val="center"/>
            <w:hideMark/>
          </w:tcPr>
          <w:p w14:paraId="469D825F"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8.673.000</w:t>
            </w:r>
          </w:p>
        </w:tc>
        <w:tc>
          <w:tcPr>
            <w:tcW w:w="421" w:type="pct"/>
            <w:tcBorders>
              <w:top w:val="nil"/>
              <w:left w:val="nil"/>
              <w:bottom w:val="single" w:sz="4" w:space="0" w:color="auto"/>
              <w:right w:val="single" w:sz="4" w:space="0" w:color="auto"/>
            </w:tcBorders>
            <w:vAlign w:val="center"/>
            <w:hideMark/>
          </w:tcPr>
          <w:p w14:paraId="239F4B55"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7.434.000</w:t>
            </w:r>
          </w:p>
        </w:tc>
        <w:tc>
          <w:tcPr>
            <w:tcW w:w="421" w:type="pct"/>
            <w:tcBorders>
              <w:top w:val="nil"/>
              <w:left w:val="nil"/>
              <w:bottom w:val="single" w:sz="4" w:space="0" w:color="auto"/>
              <w:right w:val="single" w:sz="4" w:space="0" w:color="auto"/>
            </w:tcBorders>
            <w:vAlign w:val="center"/>
            <w:hideMark/>
          </w:tcPr>
          <w:p w14:paraId="3119C709"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6.195.000</w:t>
            </w:r>
          </w:p>
        </w:tc>
        <w:tc>
          <w:tcPr>
            <w:tcW w:w="421" w:type="pct"/>
            <w:tcBorders>
              <w:top w:val="nil"/>
              <w:left w:val="nil"/>
              <w:bottom w:val="single" w:sz="4" w:space="0" w:color="auto"/>
              <w:right w:val="single" w:sz="4" w:space="0" w:color="auto"/>
            </w:tcBorders>
            <w:vAlign w:val="center"/>
            <w:hideMark/>
          </w:tcPr>
          <w:p w14:paraId="44F55EDD"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4.956.000</w:t>
            </w:r>
          </w:p>
        </w:tc>
        <w:tc>
          <w:tcPr>
            <w:tcW w:w="421" w:type="pct"/>
            <w:tcBorders>
              <w:top w:val="nil"/>
              <w:left w:val="nil"/>
              <w:bottom w:val="single" w:sz="4" w:space="0" w:color="auto"/>
              <w:right w:val="single" w:sz="4" w:space="0" w:color="auto"/>
            </w:tcBorders>
            <w:vAlign w:val="center"/>
            <w:hideMark/>
          </w:tcPr>
          <w:p w14:paraId="14451FC7"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3.717.000</w:t>
            </w:r>
          </w:p>
        </w:tc>
        <w:tc>
          <w:tcPr>
            <w:tcW w:w="421" w:type="pct"/>
            <w:tcBorders>
              <w:top w:val="nil"/>
              <w:left w:val="nil"/>
              <w:bottom w:val="single" w:sz="4" w:space="0" w:color="auto"/>
              <w:right w:val="single" w:sz="4" w:space="0" w:color="auto"/>
            </w:tcBorders>
            <w:vAlign w:val="center"/>
            <w:hideMark/>
          </w:tcPr>
          <w:p w14:paraId="3AE0C074"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2.478.000</w:t>
            </w:r>
          </w:p>
        </w:tc>
        <w:tc>
          <w:tcPr>
            <w:tcW w:w="421" w:type="pct"/>
            <w:tcBorders>
              <w:top w:val="nil"/>
              <w:left w:val="nil"/>
              <w:bottom w:val="single" w:sz="4" w:space="0" w:color="auto"/>
              <w:right w:val="single" w:sz="4" w:space="0" w:color="auto"/>
            </w:tcBorders>
            <w:vAlign w:val="center"/>
            <w:hideMark/>
          </w:tcPr>
          <w:p w14:paraId="5B43ED98"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1.239.000</w:t>
            </w:r>
          </w:p>
        </w:tc>
        <w:tc>
          <w:tcPr>
            <w:tcW w:w="421" w:type="pct"/>
            <w:tcBorders>
              <w:top w:val="nil"/>
              <w:left w:val="nil"/>
              <w:bottom w:val="single" w:sz="4" w:space="0" w:color="auto"/>
              <w:right w:val="single" w:sz="4" w:space="0" w:color="auto"/>
            </w:tcBorders>
            <w:vAlign w:val="center"/>
            <w:hideMark/>
          </w:tcPr>
          <w:p w14:paraId="57FEB6AF" w14:textId="77777777" w:rsidR="001A3744" w:rsidRPr="001A3744" w:rsidRDefault="001A3744" w:rsidP="001A3744">
            <w:pPr>
              <w:spacing w:after="0" w:line="240" w:lineRule="auto"/>
              <w:jc w:val="right"/>
              <w:rPr>
                <w:rFonts w:ascii="Times New Roman" w:eastAsia="Times New Roman" w:hAnsi="Times New Roman" w:cs="Times New Roman"/>
                <w:color w:val="000000"/>
                <w:sz w:val="18"/>
                <w:szCs w:val="18"/>
                <w:lang w:val="es-MX" w:eastAsia="es-MX"/>
              </w:rPr>
            </w:pPr>
            <w:r w:rsidRPr="001A3744">
              <w:rPr>
                <w:rFonts w:ascii="Times New Roman" w:eastAsia="Times New Roman" w:hAnsi="Times New Roman" w:cs="Times New Roman"/>
                <w:color w:val="000000"/>
                <w:sz w:val="18"/>
                <w:szCs w:val="18"/>
                <w:lang w:val="es-MX" w:eastAsia="es-MX"/>
              </w:rPr>
              <w:t>0</w:t>
            </w:r>
          </w:p>
        </w:tc>
      </w:tr>
    </w:tbl>
    <w:p w14:paraId="5CEFF786" w14:textId="77777777" w:rsidR="00CE1129" w:rsidRPr="00CE1129" w:rsidRDefault="00CE1129" w:rsidP="00CE1129">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303C6797" w14:textId="77777777" w:rsidR="009B3FD9" w:rsidRPr="009B3FD9" w:rsidRDefault="009B3FD9" w:rsidP="00F55C5A">
      <w:pPr>
        <w:pStyle w:val="Ttulo2"/>
        <w:spacing w:after="240"/>
        <w:jc w:val="both"/>
        <w:rPr>
          <w:rFonts w:ascii="Times New Roman" w:hAnsi="Times New Roman" w:cs="Times New Roman"/>
          <w:lang w:val="es-MX"/>
        </w:rPr>
      </w:pPr>
      <w:bookmarkStart w:id="79" w:name="_Toc228778779"/>
      <w:r w:rsidRPr="009B3FD9">
        <w:rPr>
          <w:rFonts w:ascii="Times New Roman" w:hAnsi="Times New Roman" w:cs="Times New Roman"/>
          <w:lang w:val="es-MX"/>
        </w:rPr>
        <w:t>Supuestos del modelo financiero</w:t>
      </w:r>
      <w:bookmarkEnd w:id="79"/>
    </w:p>
    <w:p w14:paraId="185ED716" w14:textId="77777777" w:rsidR="009B3FD9" w:rsidRPr="009B3FD9" w:rsidRDefault="009B3FD9" w:rsidP="00F55C5A">
      <w:pPr>
        <w:spacing w:after="0"/>
        <w:ind w:firstLine="720"/>
        <w:jc w:val="both"/>
        <w:rPr>
          <w:rFonts w:ascii="Times New Roman" w:hAnsi="Times New Roman" w:cs="Times New Roman"/>
          <w:sz w:val="24"/>
          <w:szCs w:val="24"/>
          <w:lang w:val="es-MX"/>
        </w:rPr>
      </w:pPr>
      <w:r w:rsidRPr="009B3FD9">
        <w:rPr>
          <w:rFonts w:ascii="Times New Roman" w:hAnsi="Times New Roman" w:cs="Times New Roman"/>
          <w:sz w:val="24"/>
          <w:szCs w:val="24"/>
          <w:lang w:val="es-MX"/>
        </w:rPr>
        <w:t>El análisis se desarrolló en USD, considerando la naturaleza dolarizada del comercio exterior y de los principales drivers de ingresos y costos del negocio.</w:t>
      </w:r>
      <w:r w:rsidRPr="009B3FD9">
        <w:rPr>
          <w:rFonts w:ascii="Times New Roman" w:hAnsi="Times New Roman" w:cs="Times New Roman"/>
          <w:sz w:val="24"/>
          <w:szCs w:val="24"/>
          <w:lang w:val="es-MX"/>
        </w:rPr>
        <w:br/>
        <w:t>Las ventas proyectadas presentan un ramp-up acelerado en los primeros años, seguido de una etapa de maduración progresiva.</w:t>
      </w:r>
    </w:p>
    <w:p w14:paraId="096E288F" w14:textId="77777777" w:rsidR="009B3FD9" w:rsidRPr="009B3FD9" w:rsidRDefault="009B3FD9" w:rsidP="00F55C5A">
      <w:pPr>
        <w:spacing w:after="0"/>
        <w:jc w:val="both"/>
        <w:rPr>
          <w:rFonts w:ascii="Times New Roman" w:hAnsi="Times New Roman" w:cs="Times New Roman"/>
          <w:sz w:val="24"/>
          <w:szCs w:val="24"/>
          <w:lang w:val="es-MX"/>
        </w:rPr>
      </w:pPr>
      <w:r w:rsidRPr="009B3FD9">
        <w:rPr>
          <w:rFonts w:ascii="Times New Roman" w:hAnsi="Times New Roman" w:cs="Times New Roman"/>
          <w:sz w:val="24"/>
          <w:szCs w:val="24"/>
          <w:lang w:val="es-MX"/>
        </w:rPr>
        <w:t>La estructura de costos se modeló con:</w:t>
      </w:r>
    </w:p>
    <w:p w14:paraId="6216A6F3" w14:textId="77777777" w:rsidR="009B3FD9" w:rsidRPr="009B3FD9" w:rsidRDefault="009B3FD9">
      <w:pPr>
        <w:numPr>
          <w:ilvl w:val="0"/>
          <w:numId w:val="77"/>
        </w:numPr>
        <w:spacing w:after="0"/>
        <w:jc w:val="both"/>
        <w:rPr>
          <w:rFonts w:ascii="Times New Roman" w:hAnsi="Times New Roman" w:cs="Times New Roman"/>
          <w:sz w:val="24"/>
          <w:szCs w:val="24"/>
          <w:lang w:val="es-MX"/>
        </w:rPr>
      </w:pPr>
      <w:r w:rsidRPr="009B3FD9">
        <w:rPr>
          <w:rFonts w:ascii="Times New Roman" w:hAnsi="Times New Roman" w:cs="Times New Roman"/>
          <w:sz w:val="24"/>
          <w:szCs w:val="24"/>
          <w:lang w:val="es-MX"/>
        </w:rPr>
        <w:t>Mark-up promedio del 30 %</w:t>
      </w:r>
    </w:p>
    <w:p w14:paraId="1A0FB08A" w14:textId="77777777" w:rsidR="009B3FD9" w:rsidRPr="009B3FD9" w:rsidRDefault="009B3FD9">
      <w:pPr>
        <w:numPr>
          <w:ilvl w:val="0"/>
          <w:numId w:val="77"/>
        </w:numPr>
        <w:spacing w:after="0"/>
        <w:jc w:val="both"/>
        <w:rPr>
          <w:rFonts w:ascii="Times New Roman" w:hAnsi="Times New Roman" w:cs="Times New Roman"/>
          <w:sz w:val="24"/>
          <w:szCs w:val="24"/>
          <w:lang w:val="es-MX"/>
        </w:rPr>
      </w:pPr>
      <w:r w:rsidRPr="009B3FD9">
        <w:rPr>
          <w:rFonts w:ascii="Times New Roman" w:hAnsi="Times New Roman" w:cs="Times New Roman"/>
          <w:sz w:val="24"/>
          <w:szCs w:val="24"/>
          <w:lang w:val="es-MX"/>
        </w:rPr>
        <w:t>70 % de costos fijos y 30 % de costos variables, coherente con una operación intensiva en infraestructura.</w:t>
      </w:r>
    </w:p>
    <w:p w14:paraId="66F46610" w14:textId="77777777" w:rsidR="009B3FD9" w:rsidRPr="00111094" w:rsidRDefault="009B3FD9" w:rsidP="00F55C5A">
      <w:pPr>
        <w:spacing w:after="0"/>
        <w:jc w:val="both"/>
        <w:rPr>
          <w:rFonts w:ascii="Times New Roman" w:hAnsi="Times New Roman" w:cs="Times New Roman"/>
          <w:sz w:val="24"/>
          <w:szCs w:val="24"/>
          <w:lang w:val="es-MX"/>
        </w:rPr>
      </w:pPr>
      <w:r w:rsidRPr="009B3FD9">
        <w:rPr>
          <w:rFonts w:ascii="Times New Roman" w:hAnsi="Times New Roman" w:cs="Times New Roman"/>
          <w:sz w:val="24"/>
          <w:szCs w:val="24"/>
          <w:lang w:val="es-MX"/>
        </w:rPr>
        <w:t>La amortización anual del activo se estimó en USD 2,065 millones, y se aplicó una tasa de impuesto a las ganancias del 30 %, considerando impuesto nulo en los ejercicios con resultado negativo.</w:t>
      </w:r>
    </w:p>
    <w:p w14:paraId="6ABDEED6" w14:textId="1CFFA68F" w:rsidR="009B3FD9" w:rsidRPr="00111094" w:rsidRDefault="009B3FD9" w:rsidP="00F55C5A">
      <w:pPr>
        <w:pStyle w:val="Ttulo2"/>
        <w:spacing w:after="240"/>
        <w:jc w:val="both"/>
        <w:rPr>
          <w:rFonts w:ascii="Times New Roman" w:hAnsi="Times New Roman" w:cs="Times New Roman"/>
          <w:lang w:val="es-MX"/>
        </w:rPr>
      </w:pPr>
      <w:bookmarkStart w:id="80" w:name="_Toc228778780"/>
      <w:r w:rsidRPr="00111094">
        <w:rPr>
          <w:rFonts w:ascii="Times New Roman" w:hAnsi="Times New Roman" w:cs="Times New Roman"/>
          <w:lang w:val="es-MX"/>
        </w:rPr>
        <w:t>Evaluación financiera</w:t>
      </w:r>
      <w:bookmarkEnd w:id="80"/>
    </w:p>
    <w:p w14:paraId="3E0D1F3B" w14:textId="473DD51C" w:rsidR="00111094" w:rsidRPr="009B3FD9" w:rsidRDefault="00111094" w:rsidP="00F55C5A">
      <w:pPr>
        <w:ind w:firstLine="720"/>
        <w:jc w:val="both"/>
        <w:rPr>
          <w:rFonts w:ascii="Times New Roman" w:hAnsi="Times New Roman" w:cs="Times New Roman"/>
          <w:lang w:val="es-MX"/>
        </w:rPr>
      </w:pPr>
      <w:r w:rsidRPr="00111094">
        <w:rPr>
          <w:rFonts w:ascii="Times New Roman" w:hAnsi="Times New Roman" w:cs="Times New Roman"/>
          <w:lang w:val="es-MX"/>
        </w:rPr>
        <w:t>La evaluación económica se realizó a partir del Free Cash Flow del proyecto, calculado como EBIT después de impuestos más amortizaciones, sin considerar la estructura de financiamiento, con el objetivo de analizar la creación de valor intrínseca del proyecto.</w:t>
      </w:r>
    </w:p>
    <w:tbl>
      <w:tblPr>
        <w:tblStyle w:val="PlainTable5"/>
        <w:tblW w:w="0" w:type="auto"/>
        <w:tblLook w:val="04A0" w:firstRow="1" w:lastRow="0" w:firstColumn="1" w:lastColumn="0" w:noHBand="0" w:noVBand="1"/>
      </w:tblPr>
      <w:tblGrid>
        <w:gridCol w:w="2516"/>
        <w:gridCol w:w="3828"/>
      </w:tblGrid>
      <w:tr w:rsidR="007653D9" w:rsidRPr="007653D9" w14:paraId="379D5BC7" w14:textId="77777777" w:rsidTr="007653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6AAA2EA" w14:textId="77777777" w:rsidR="007653D9" w:rsidRPr="007653D9" w:rsidRDefault="007653D9" w:rsidP="007653D9">
            <w:pPr>
              <w:spacing w:line="276" w:lineRule="auto"/>
              <w:jc w:val="center"/>
              <w:rPr>
                <w:rFonts w:ascii="Times New Roman" w:hAnsi="Times New Roman" w:cs="Times New Roman"/>
                <w:b/>
                <w:bCs/>
                <w:sz w:val="20"/>
                <w:szCs w:val="20"/>
                <w:lang w:val="es-MX"/>
              </w:rPr>
            </w:pPr>
            <w:r w:rsidRPr="007653D9">
              <w:rPr>
                <w:rFonts w:ascii="Times New Roman" w:hAnsi="Times New Roman" w:cs="Times New Roman"/>
                <w:b/>
                <w:bCs/>
                <w:sz w:val="20"/>
                <w:szCs w:val="20"/>
                <w:lang w:val="es-MX"/>
              </w:rPr>
              <w:t>Concepto</w:t>
            </w:r>
          </w:p>
        </w:tc>
        <w:tc>
          <w:tcPr>
            <w:tcW w:w="0" w:type="auto"/>
            <w:hideMark/>
          </w:tcPr>
          <w:p w14:paraId="2B38A84D" w14:textId="77777777" w:rsidR="007653D9" w:rsidRPr="007653D9" w:rsidRDefault="007653D9" w:rsidP="007653D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7653D9">
              <w:rPr>
                <w:rFonts w:ascii="Times New Roman" w:hAnsi="Times New Roman" w:cs="Times New Roman"/>
                <w:b/>
                <w:bCs/>
                <w:sz w:val="20"/>
                <w:szCs w:val="20"/>
                <w:lang w:val="es-MX"/>
              </w:rPr>
              <w:t>Resultado</w:t>
            </w:r>
          </w:p>
        </w:tc>
      </w:tr>
      <w:tr w:rsidR="007653D9" w:rsidRPr="007653D9" w14:paraId="431FCB45"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D6B7E9"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Inversión inicial</w:t>
            </w:r>
          </w:p>
        </w:tc>
        <w:tc>
          <w:tcPr>
            <w:tcW w:w="0" w:type="auto"/>
            <w:hideMark/>
          </w:tcPr>
          <w:p w14:paraId="0A5A3E97"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USD 20.650.000</w:t>
            </w:r>
          </w:p>
        </w:tc>
      </w:tr>
      <w:tr w:rsidR="007653D9" w:rsidRPr="007653D9" w14:paraId="6182EE81"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35C5FA8C"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Horizonte de evaluación</w:t>
            </w:r>
          </w:p>
        </w:tc>
        <w:tc>
          <w:tcPr>
            <w:tcW w:w="0" w:type="auto"/>
            <w:hideMark/>
          </w:tcPr>
          <w:p w14:paraId="07299698"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10 años</w:t>
            </w:r>
          </w:p>
        </w:tc>
      </w:tr>
      <w:tr w:rsidR="007653D9" w:rsidRPr="007653D9" w14:paraId="22328B94"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04A7EC"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Moneda de análisis</w:t>
            </w:r>
          </w:p>
        </w:tc>
        <w:tc>
          <w:tcPr>
            <w:tcW w:w="0" w:type="auto"/>
            <w:hideMark/>
          </w:tcPr>
          <w:p w14:paraId="08AAF981"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USD</w:t>
            </w:r>
          </w:p>
        </w:tc>
      </w:tr>
      <w:tr w:rsidR="007653D9" w:rsidRPr="007653D9" w14:paraId="486E2CD3"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08216BB6"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Tasa de descuento</w:t>
            </w:r>
          </w:p>
        </w:tc>
        <w:tc>
          <w:tcPr>
            <w:tcW w:w="0" w:type="auto"/>
            <w:hideMark/>
          </w:tcPr>
          <w:p w14:paraId="052DC86A"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10 % anual</w:t>
            </w:r>
          </w:p>
        </w:tc>
      </w:tr>
      <w:tr w:rsidR="007653D9" w:rsidRPr="007653D9" w14:paraId="54319316"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BA7BD6"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Ventas Año 1</w:t>
            </w:r>
          </w:p>
        </w:tc>
        <w:tc>
          <w:tcPr>
            <w:tcW w:w="0" w:type="auto"/>
            <w:hideMark/>
          </w:tcPr>
          <w:p w14:paraId="1E2D8AC6"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USD 9.860.000</w:t>
            </w:r>
          </w:p>
        </w:tc>
      </w:tr>
      <w:tr w:rsidR="007653D9" w:rsidRPr="007653D9" w14:paraId="3B4FF27C"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0CE4A5F0"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Crecimiento inicial</w:t>
            </w:r>
          </w:p>
        </w:tc>
        <w:tc>
          <w:tcPr>
            <w:tcW w:w="0" w:type="auto"/>
            <w:hideMark/>
          </w:tcPr>
          <w:p w14:paraId="3ABE8DBA"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Ramp-up acelerado + maduración progresiva</w:t>
            </w:r>
          </w:p>
        </w:tc>
      </w:tr>
      <w:tr w:rsidR="007653D9" w:rsidRPr="007653D9" w14:paraId="2FF64FDB"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1657B1"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EBITDA promedio</w:t>
            </w:r>
          </w:p>
        </w:tc>
        <w:tc>
          <w:tcPr>
            <w:tcW w:w="0" w:type="auto"/>
            <w:hideMark/>
          </w:tcPr>
          <w:p w14:paraId="452ED035"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Creciente y positivo desde Año 1</w:t>
            </w:r>
          </w:p>
        </w:tc>
      </w:tr>
      <w:tr w:rsidR="007653D9" w:rsidRPr="007653D9" w14:paraId="0338C4A8"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17624CCB"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Resultado operativo positivo</w:t>
            </w:r>
          </w:p>
        </w:tc>
        <w:tc>
          <w:tcPr>
            <w:tcW w:w="0" w:type="auto"/>
            <w:hideMark/>
          </w:tcPr>
          <w:p w14:paraId="3128BF1F"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A partir del Año 3</w:t>
            </w:r>
          </w:p>
        </w:tc>
      </w:tr>
      <w:tr w:rsidR="007653D9" w:rsidRPr="007653D9" w14:paraId="5A34ED6C"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DD23F1"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b/>
                <w:bCs/>
                <w:sz w:val="20"/>
                <w:szCs w:val="20"/>
                <w:lang w:val="es-MX"/>
              </w:rPr>
              <w:t>VAN (10 %)</w:t>
            </w:r>
          </w:p>
        </w:tc>
        <w:tc>
          <w:tcPr>
            <w:tcW w:w="0" w:type="auto"/>
            <w:hideMark/>
          </w:tcPr>
          <w:p w14:paraId="45B8B642"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b/>
                <w:bCs/>
                <w:sz w:val="20"/>
                <w:szCs w:val="20"/>
                <w:lang w:val="es-MX"/>
              </w:rPr>
              <w:t>USD 10.039.402</w:t>
            </w:r>
          </w:p>
        </w:tc>
      </w:tr>
      <w:tr w:rsidR="007653D9" w:rsidRPr="007653D9" w14:paraId="65416E55"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3B853435"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b/>
                <w:bCs/>
                <w:sz w:val="20"/>
                <w:szCs w:val="20"/>
                <w:lang w:val="es-MX"/>
              </w:rPr>
              <w:t>TIR</w:t>
            </w:r>
          </w:p>
        </w:tc>
        <w:tc>
          <w:tcPr>
            <w:tcW w:w="0" w:type="auto"/>
            <w:hideMark/>
          </w:tcPr>
          <w:p w14:paraId="0030A548"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b/>
                <w:bCs/>
                <w:sz w:val="20"/>
                <w:szCs w:val="20"/>
                <w:lang w:val="es-MX"/>
              </w:rPr>
              <w:t>19 %</w:t>
            </w:r>
          </w:p>
        </w:tc>
      </w:tr>
      <w:tr w:rsidR="007653D9" w:rsidRPr="007653D9" w14:paraId="2B5F9B20"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328F0B"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b/>
                <w:bCs/>
                <w:sz w:val="20"/>
                <w:szCs w:val="20"/>
                <w:lang w:val="es-MX"/>
              </w:rPr>
              <w:t>Payback</w:t>
            </w:r>
          </w:p>
        </w:tc>
        <w:tc>
          <w:tcPr>
            <w:tcW w:w="0" w:type="auto"/>
            <w:hideMark/>
          </w:tcPr>
          <w:p w14:paraId="20A66AE5"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b/>
                <w:bCs/>
                <w:sz w:val="20"/>
                <w:szCs w:val="20"/>
                <w:lang w:val="es-MX"/>
              </w:rPr>
              <w:t>6,4 años</w:t>
            </w:r>
          </w:p>
        </w:tc>
      </w:tr>
      <w:tr w:rsidR="007653D9" w:rsidRPr="007653D9" w14:paraId="5792FC4B"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0DCEDC7E"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b/>
                <w:bCs/>
                <w:sz w:val="20"/>
                <w:szCs w:val="20"/>
                <w:lang w:val="es-MX"/>
              </w:rPr>
              <w:lastRenderedPageBreak/>
              <w:t>ROI simple</w:t>
            </w:r>
          </w:p>
        </w:tc>
        <w:tc>
          <w:tcPr>
            <w:tcW w:w="0" w:type="auto"/>
            <w:hideMark/>
          </w:tcPr>
          <w:p w14:paraId="53ED7449"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b/>
                <w:bCs/>
                <w:sz w:val="20"/>
                <w:szCs w:val="20"/>
                <w:lang w:val="es-MX"/>
              </w:rPr>
              <w:t>49 %</w:t>
            </w:r>
          </w:p>
        </w:tc>
      </w:tr>
      <w:tr w:rsidR="007653D9" w:rsidRPr="007653D9" w14:paraId="018A091E"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E5B90A"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Punto de equilibrio</w:t>
            </w:r>
          </w:p>
        </w:tc>
        <w:tc>
          <w:tcPr>
            <w:tcW w:w="0" w:type="auto"/>
            <w:hideMark/>
          </w:tcPr>
          <w:p w14:paraId="53F88EC5"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Año 5–6</w:t>
            </w:r>
          </w:p>
        </w:tc>
      </w:tr>
      <w:tr w:rsidR="007653D9" w:rsidRPr="007653D9" w14:paraId="2DB6B776"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278C6671"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Variable más sensible</w:t>
            </w:r>
          </w:p>
        </w:tc>
        <w:tc>
          <w:tcPr>
            <w:tcW w:w="0" w:type="auto"/>
            <w:hideMark/>
          </w:tcPr>
          <w:p w14:paraId="5042CCC6"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Ventas</w:t>
            </w:r>
          </w:p>
        </w:tc>
      </w:tr>
      <w:tr w:rsidR="007653D9" w:rsidRPr="007653D9" w14:paraId="2C6F3418" w14:textId="77777777" w:rsidTr="00765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A8FED6"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Riesgo financiero</w:t>
            </w:r>
          </w:p>
        </w:tc>
        <w:tc>
          <w:tcPr>
            <w:tcW w:w="0" w:type="auto"/>
            <w:hideMark/>
          </w:tcPr>
          <w:p w14:paraId="4F4530D5" w14:textId="77777777" w:rsidR="007653D9" w:rsidRPr="007653D9" w:rsidRDefault="007653D9" w:rsidP="007653D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Moderado</w:t>
            </w:r>
          </w:p>
        </w:tc>
      </w:tr>
      <w:tr w:rsidR="007653D9" w:rsidRPr="007653D9" w14:paraId="619C52A7" w14:textId="77777777" w:rsidTr="007653D9">
        <w:tc>
          <w:tcPr>
            <w:cnfStyle w:val="001000000000" w:firstRow="0" w:lastRow="0" w:firstColumn="1" w:lastColumn="0" w:oddVBand="0" w:evenVBand="0" w:oddHBand="0" w:evenHBand="0" w:firstRowFirstColumn="0" w:firstRowLastColumn="0" w:lastRowFirstColumn="0" w:lastRowLastColumn="0"/>
            <w:tcW w:w="0" w:type="auto"/>
            <w:hideMark/>
          </w:tcPr>
          <w:p w14:paraId="412E58F5" w14:textId="77777777" w:rsidR="007653D9" w:rsidRPr="007653D9" w:rsidRDefault="007653D9" w:rsidP="007653D9">
            <w:pPr>
              <w:spacing w:line="276" w:lineRule="auto"/>
              <w:rPr>
                <w:rFonts w:ascii="Times New Roman" w:hAnsi="Times New Roman" w:cs="Times New Roman"/>
                <w:sz w:val="20"/>
                <w:szCs w:val="20"/>
                <w:lang w:val="es-MX"/>
              </w:rPr>
            </w:pPr>
            <w:r w:rsidRPr="007653D9">
              <w:rPr>
                <w:rFonts w:ascii="Times New Roman" w:hAnsi="Times New Roman" w:cs="Times New Roman"/>
                <w:sz w:val="20"/>
                <w:szCs w:val="20"/>
                <w:lang w:val="es-MX"/>
              </w:rPr>
              <w:t>Conclusión económica</w:t>
            </w:r>
          </w:p>
        </w:tc>
        <w:tc>
          <w:tcPr>
            <w:tcW w:w="0" w:type="auto"/>
            <w:hideMark/>
          </w:tcPr>
          <w:p w14:paraId="2A17797C" w14:textId="77777777" w:rsidR="007653D9" w:rsidRPr="007653D9" w:rsidRDefault="007653D9" w:rsidP="007653D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7653D9">
              <w:rPr>
                <w:rFonts w:ascii="Times New Roman" w:hAnsi="Times New Roman" w:cs="Times New Roman"/>
                <w:sz w:val="20"/>
                <w:szCs w:val="20"/>
                <w:lang w:val="es-MX"/>
              </w:rPr>
              <w:t>Proyecto rentable y generador de valor</w:t>
            </w:r>
          </w:p>
        </w:tc>
      </w:tr>
    </w:tbl>
    <w:p w14:paraId="0357AD93" w14:textId="1662B1BE" w:rsidR="00CE1129" w:rsidRPr="00CE1129" w:rsidRDefault="00CE1129" w:rsidP="00CE1129">
      <w:pPr>
        <w:jc w:val="both"/>
        <w:rPr>
          <w:rFonts w:ascii="Times New Roman" w:hAnsi="Times New Roman" w:cs="Times New Roman"/>
          <w:sz w:val="24"/>
          <w:szCs w:val="24"/>
        </w:rPr>
      </w:pPr>
      <w:r w:rsidRPr="00CE1129">
        <w:rPr>
          <w:rFonts w:ascii="Times New Roman" w:hAnsi="Times New Roman" w:cs="Times New Roman"/>
          <w:i/>
          <w:iCs/>
          <w:color w:val="A6A6A6" w:themeColor="background1" w:themeShade="A6"/>
          <w:sz w:val="20"/>
          <w:szCs w:val="20"/>
        </w:rPr>
        <w:t>Nota. Elaboración propia sobre la base de supuestos del proyecto.</w:t>
      </w:r>
      <w:r>
        <w:rPr>
          <w:rFonts w:ascii="Times New Roman" w:hAnsi="Times New Roman" w:cs="Times New Roman"/>
          <w:i/>
          <w:iCs/>
          <w:color w:val="A6A6A6" w:themeColor="background1" w:themeShade="A6"/>
          <w:sz w:val="20"/>
          <w:szCs w:val="20"/>
        </w:rPr>
        <w:tab/>
      </w:r>
    </w:p>
    <w:p w14:paraId="5630DB4B" w14:textId="614A8831" w:rsidR="00A65134" w:rsidRPr="00111094" w:rsidRDefault="00111094" w:rsidP="00490476">
      <w:pPr>
        <w:spacing w:before="24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lang w:val="es-MX"/>
        </w:rPr>
        <w:t>Estos indicadores confirman que el proyecto genera valor económico por encima del costo de capital y presenta una rentabilidad atractiva para un proyecto de infraestructura logística de largo plazo.</w:t>
      </w:r>
    </w:p>
    <w:p w14:paraId="20E68BEF" w14:textId="10C2B6DB" w:rsidR="002463F0" w:rsidRPr="00111094" w:rsidRDefault="002463F0" w:rsidP="00960597">
      <w:pPr>
        <w:pStyle w:val="Ttulo2"/>
        <w:spacing w:after="240"/>
        <w:rPr>
          <w:rFonts w:ascii="Times New Roman" w:hAnsi="Times New Roman" w:cs="Times New Roman"/>
          <w:lang w:val="es-MX"/>
        </w:rPr>
      </w:pPr>
      <w:bookmarkStart w:id="81" w:name="_Toc228778781"/>
      <w:r w:rsidRPr="00111094">
        <w:rPr>
          <w:rFonts w:ascii="Times New Roman" w:hAnsi="Times New Roman" w:cs="Times New Roman"/>
          <w:lang w:val="es-MX"/>
        </w:rPr>
        <w:t xml:space="preserve">EERR </w:t>
      </w:r>
      <w:r w:rsidR="0026441C" w:rsidRPr="00111094">
        <w:rPr>
          <w:rFonts w:ascii="Times New Roman" w:hAnsi="Times New Roman" w:cs="Times New Roman"/>
          <w:lang w:val="es-MX"/>
        </w:rPr>
        <w:t>+</w:t>
      </w:r>
      <w:r w:rsidRPr="00111094">
        <w:rPr>
          <w:rFonts w:ascii="Times New Roman" w:hAnsi="Times New Roman" w:cs="Times New Roman"/>
          <w:lang w:val="es-MX"/>
        </w:rPr>
        <w:t xml:space="preserve"> </w:t>
      </w:r>
      <w:r w:rsidR="0026441C" w:rsidRPr="00111094">
        <w:rPr>
          <w:rFonts w:ascii="Times New Roman" w:hAnsi="Times New Roman" w:cs="Times New Roman"/>
          <w:lang w:val="es-MX"/>
        </w:rPr>
        <w:t xml:space="preserve">Free </w:t>
      </w:r>
      <w:r w:rsidRPr="00111094">
        <w:rPr>
          <w:rFonts w:ascii="Times New Roman" w:hAnsi="Times New Roman" w:cs="Times New Roman"/>
          <w:lang w:val="es-MX"/>
        </w:rPr>
        <w:t>Cash Flow</w:t>
      </w:r>
      <w:bookmarkEnd w:id="81"/>
    </w:p>
    <w:p w14:paraId="49729552" w14:textId="7DA85C09" w:rsidR="002463F0" w:rsidRDefault="00E43896" w:rsidP="00490476">
      <w:pPr>
        <w:spacing w:after="0"/>
        <w:ind w:left="-709"/>
        <w:rPr>
          <w:rFonts w:ascii="Times New Roman" w:hAnsi="Times New Roman" w:cs="Times New Roman"/>
          <w:lang w:val="es-MX"/>
        </w:rPr>
      </w:pPr>
      <w:r w:rsidRPr="00E43896">
        <w:rPr>
          <w:noProof/>
          <w:lang w:eastAsia="es-AR"/>
        </w:rPr>
        <w:drawing>
          <wp:inline distT="0" distB="0" distL="0" distR="0" wp14:anchorId="323ADCA7" wp14:editId="09F20518">
            <wp:extent cx="6841286" cy="3984172"/>
            <wp:effectExtent l="0" t="0" r="0" b="0"/>
            <wp:docPr id="6271503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56429" cy="3992991"/>
                    </a:xfrm>
                    <a:prstGeom prst="rect">
                      <a:avLst/>
                    </a:prstGeom>
                    <a:noFill/>
                    <a:ln>
                      <a:noFill/>
                    </a:ln>
                  </pic:spPr>
                </pic:pic>
              </a:graphicData>
            </a:graphic>
          </wp:inline>
        </w:drawing>
      </w:r>
    </w:p>
    <w:p w14:paraId="250D8E38"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3FC5D7B2" w14:textId="77777777" w:rsidR="00F732FE" w:rsidRPr="00F732FE" w:rsidRDefault="00F732FE" w:rsidP="00F55C5A">
      <w:pPr>
        <w:spacing w:after="0"/>
        <w:ind w:firstLine="720"/>
        <w:jc w:val="both"/>
        <w:rPr>
          <w:rFonts w:ascii="Times New Roman" w:hAnsi="Times New Roman" w:cs="Times New Roman"/>
          <w:sz w:val="24"/>
          <w:szCs w:val="24"/>
          <w:lang w:val="es-MX"/>
        </w:rPr>
      </w:pPr>
      <w:r w:rsidRPr="00F732FE">
        <w:rPr>
          <w:rFonts w:ascii="Times New Roman" w:hAnsi="Times New Roman" w:cs="Times New Roman"/>
          <w:sz w:val="24"/>
          <w:szCs w:val="24"/>
          <w:lang w:val="es-MX"/>
        </w:rPr>
        <w:t>Los indicadores financieros del proyecto —Valor Actual Neto (VAN), Tasa Interna de Retorno (TIR) y período de recupero (Payback)— fueron calculados a partir del Free Cash Flow del proyecto, de manera independiente de la estructura de financiamiento, con el objetivo de evaluar la creación de valor económico intrínseca del negocio.</w:t>
      </w:r>
    </w:p>
    <w:p w14:paraId="5FE6D540" w14:textId="77777777" w:rsidR="00F732FE" w:rsidRPr="00F732FE" w:rsidRDefault="00F732FE" w:rsidP="00F55C5A">
      <w:pPr>
        <w:spacing w:after="0"/>
        <w:ind w:firstLine="720"/>
        <w:jc w:val="both"/>
        <w:rPr>
          <w:rFonts w:ascii="Times New Roman" w:hAnsi="Times New Roman" w:cs="Times New Roman"/>
          <w:sz w:val="24"/>
          <w:szCs w:val="24"/>
          <w:lang w:val="es-MX"/>
        </w:rPr>
      </w:pPr>
      <w:r w:rsidRPr="00F732FE">
        <w:rPr>
          <w:rFonts w:ascii="Times New Roman" w:hAnsi="Times New Roman" w:cs="Times New Roman"/>
          <w:sz w:val="24"/>
          <w:szCs w:val="24"/>
          <w:lang w:val="es-MX"/>
        </w:rPr>
        <w:t>El análisis se desarrolló bajo un enfoque conservador, combinando indicadores financieros descontados (VAN y TIR) con métricas simples de recupero (Payback y ROI), a fin de reflejar un escenario realista de maduración y recuperación de la inversión en un proyecto de infraestructura logística de largo plazo.</w:t>
      </w:r>
    </w:p>
    <w:p w14:paraId="6D893F57" w14:textId="77777777" w:rsidR="00F732FE" w:rsidRPr="00F732FE" w:rsidRDefault="00F732FE" w:rsidP="00F55C5A">
      <w:pPr>
        <w:spacing w:after="0"/>
        <w:ind w:firstLine="720"/>
        <w:jc w:val="both"/>
        <w:rPr>
          <w:rFonts w:ascii="Times New Roman" w:hAnsi="Times New Roman" w:cs="Times New Roman"/>
          <w:sz w:val="24"/>
          <w:szCs w:val="24"/>
          <w:lang w:val="es-MX"/>
        </w:rPr>
      </w:pPr>
      <w:r w:rsidRPr="00F732FE">
        <w:rPr>
          <w:rFonts w:ascii="Times New Roman" w:hAnsi="Times New Roman" w:cs="Times New Roman"/>
          <w:sz w:val="24"/>
          <w:szCs w:val="24"/>
          <w:lang w:val="es-MX"/>
        </w:rPr>
        <w:lastRenderedPageBreak/>
        <w:t>El Valor Actual Neto (VAN) fue calculado utilizando una tasa de descuento del 10 % anual en USD, la cual representa el costo de capital del proyecto y refleja el rendimiento mínimo exigido por los inversores para compensar el valor del dinero en el tiempo y el riesgo asumido. Dicha tasa resulta coherente con proyectos de infraestructura logística, con flujos dolarizados y un nivel de riesgo operativo moderado, permitiendo una valoración prudente y consistente del Depósito Fiscal Zona Norte.</w:t>
      </w:r>
    </w:p>
    <w:p w14:paraId="79E4DFFD" w14:textId="21B06766" w:rsidR="00F732FE" w:rsidRPr="00F732FE" w:rsidRDefault="00F732FE" w:rsidP="00F55C5A">
      <w:pPr>
        <w:spacing w:after="0"/>
        <w:ind w:firstLine="720"/>
        <w:jc w:val="both"/>
        <w:rPr>
          <w:rFonts w:ascii="Times New Roman" w:hAnsi="Times New Roman" w:cs="Times New Roman"/>
          <w:sz w:val="24"/>
          <w:szCs w:val="24"/>
          <w:lang w:val="es-MX"/>
        </w:rPr>
      </w:pPr>
      <w:r w:rsidRPr="00F732FE">
        <w:rPr>
          <w:rFonts w:ascii="Times New Roman" w:hAnsi="Times New Roman" w:cs="Times New Roman"/>
          <w:sz w:val="24"/>
          <w:szCs w:val="24"/>
          <w:lang w:val="es-MX"/>
        </w:rPr>
        <w:t>Por su parte, el Return on Investment (ROI) presentado corresponde a un ROI simple, calculado como la relación entre el flujo neto acumulado del proyecto y la inversión inicial, sin aplicar descuento temporal. Su inclusión tiene como finalidad brindar una referencia intuitiva del retorno total del proyecto a lo largo del horizonte de evaluación. No obstante, para la toma de decisiones de inversión, los indicadores centrales considerados son el VAN y la TIR, dado que incorporan explícitamente el valor del dinero en el tiempo y el riesgo asociado al proyecto.</w:t>
      </w:r>
    </w:p>
    <w:p w14:paraId="79ABE56B" w14:textId="2C7BBFD8" w:rsidR="00960597" w:rsidRDefault="00F732FE" w:rsidP="00F55C5A">
      <w:pPr>
        <w:pStyle w:val="Ttulo2"/>
        <w:spacing w:after="240"/>
        <w:jc w:val="both"/>
        <w:rPr>
          <w:rFonts w:ascii="Times New Roman" w:hAnsi="Times New Roman" w:cs="Times New Roman"/>
          <w:lang w:val="es-MX"/>
        </w:rPr>
      </w:pPr>
      <w:bookmarkStart w:id="82" w:name="_Toc228778782"/>
      <w:r w:rsidRPr="00111094">
        <w:rPr>
          <w:rFonts w:ascii="Times New Roman" w:hAnsi="Times New Roman" w:cs="Times New Roman"/>
          <w:lang w:val="es-MX"/>
        </w:rPr>
        <w:t xml:space="preserve">Análisis de </w:t>
      </w:r>
      <w:r>
        <w:rPr>
          <w:rFonts w:ascii="Times New Roman" w:hAnsi="Times New Roman" w:cs="Times New Roman"/>
          <w:lang w:val="es-MX"/>
        </w:rPr>
        <w:t>s</w:t>
      </w:r>
      <w:r w:rsidRPr="00111094">
        <w:rPr>
          <w:rFonts w:ascii="Times New Roman" w:hAnsi="Times New Roman" w:cs="Times New Roman"/>
          <w:lang w:val="es-MX"/>
        </w:rPr>
        <w:t>ensibilidad (</w:t>
      </w:r>
      <w:r w:rsidR="002463F0" w:rsidRPr="00111094">
        <w:rPr>
          <w:rFonts w:ascii="Times New Roman" w:hAnsi="Times New Roman" w:cs="Times New Roman"/>
          <w:lang w:val="es-MX"/>
        </w:rPr>
        <w:t>+/-</w:t>
      </w:r>
      <w:r w:rsidR="004E4011" w:rsidRPr="00111094">
        <w:rPr>
          <w:rFonts w:ascii="Times New Roman" w:hAnsi="Times New Roman" w:cs="Times New Roman"/>
          <w:lang w:val="es-MX"/>
        </w:rPr>
        <w:t>10</w:t>
      </w:r>
      <w:r w:rsidR="002463F0" w:rsidRPr="00111094">
        <w:rPr>
          <w:rFonts w:ascii="Times New Roman" w:hAnsi="Times New Roman" w:cs="Times New Roman"/>
          <w:lang w:val="es-MX"/>
        </w:rPr>
        <w:t>%)</w:t>
      </w:r>
      <w:bookmarkEnd w:id="82"/>
    </w:p>
    <w:p w14:paraId="5DE2F94E" w14:textId="3F2F23C1" w:rsidR="00111094" w:rsidRPr="00111094" w:rsidRDefault="00111094" w:rsidP="00F55C5A">
      <w:pPr>
        <w:ind w:firstLine="720"/>
        <w:jc w:val="both"/>
        <w:rPr>
          <w:rFonts w:ascii="Times New Roman" w:hAnsi="Times New Roman" w:cs="Times New Roman"/>
          <w:sz w:val="24"/>
          <w:szCs w:val="24"/>
        </w:rPr>
      </w:pPr>
      <w:r w:rsidRPr="00111094">
        <w:rPr>
          <w:rFonts w:ascii="Times New Roman" w:hAnsi="Times New Roman" w:cs="Times New Roman"/>
          <w:sz w:val="24"/>
          <w:szCs w:val="24"/>
        </w:rPr>
        <w:t>El análisis de sensibilidad se realizó sobre las variables críticas de ventas y costos, recalculando integralmente los flujos de fondos ante variaciones del ±10 %.</w:t>
      </w:r>
    </w:p>
    <w:tbl>
      <w:tblPr>
        <w:tblStyle w:val="PlainTable5"/>
        <w:tblW w:w="5000" w:type="pct"/>
        <w:tblLook w:val="04A0" w:firstRow="1" w:lastRow="0" w:firstColumn="1" w:lastColumn="0" w:noHBand="0" w:noVBand="1"/>
      </w:tblPr>
      <w:tblGrid>
        <w:gridCol w:w="1994"/>
        <w:gridCol w:w="1911"/>
        <w:gridCol w:w="1894"/>
        <w:gridCol w:w="1880"/>
        <w:gridCol w:w="1897"/>
      </w:tblGrid>
      <w:tr w:rsidR="004E4011" w:rsidRPr="00111094" w14:paraId="1E7B5EB5" w14:textId="77777777" w:rsidTr="004E4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F28BF43" w14:textId="77777777" w:rsidR="004E4011" w:rsidRPr="004E4011" w:rsidRDefault="004E4011" w:rsidP="004E4011">
            <w:pPr>
              <w:spacing w:line="276" w:lineRule="auto"/>
              <w:jc w:val="center"/>
              <w:rPr>
                <w:rFonts w:ascii="Times New Roman" w:hAnsi="Times New Roman" w:cs="Times New Roman"/>
                <w:b/>
                <w:bCs/>
                <w:sz w:val="20"/>
                <w:szCs w:val="20"/>
                <w:lang w:val="es-MX"/>
              </w:rPr>
            </w:pPr>
            <w:r w:rsidRPr="004E4011">
              <w:rPr>
                <w:rFonts w:ascii="Times New Roman" w:hAnsi="Times New Roman" w:cs="Times New Roman"/>
                <w:b/>
                <w:bCs/>
                <w:sz w:val="20"/>
                <w:szCs w:val="20"/>
                <w:lang w:val="es-MX"/>
              </w:rPr>
              <w:t>INDICADOR</w:t>
            </w:r>
          </w:p>
        </w:tc>
        <w:tc>
          <w:tcPr>
            <w:tcW w:w="0" w:type="auto"/>
            <w:hideMark/>
          </w:tcPr>
          <w:p w14:paraId="493E39B1" w14:textId="77777777" w:rsidR="004E4011" w:rsidRPr="004E4011" w:rsidRDefault="004E4011"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4E4011">
              <w:rPr>
                <w:rFonts w:ascii="Times New Roman" w:hAnsi="Times New Roman" w:cs="Times New Roman"/>
                <w:b/>
                <w:bCs/>
                <w:sz w:val="20"/>
                <w:szCs w:val="20"/>
                <w:lang w:val="es-MX"/>
              </w:rPr>
              <w:t>VENTAS +10 %</w:t>
            </w:r>
          </w:p>
        </w:tc>
        <w:tc>
          <w:tcPr>
            <w:tcW w:w="0" w:type="auto"/>
            <w:hideMark/>
          </w:tcPr>
          <w:p w14:paraId="733818A9" w14:textId="77777777" w:rsidR="004E4011" w:rsidRPr="004E4011" w:rsidRDefault="004E4011"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4E4011">
              <w:rPr>
                <w:rFonts w:ascii="Times New Roman" w:hAnsi="Times New Roman" w:cs="Times New Roman"/>
                <w:b/>
                <w:bCs/>
                <w:sz w:val="20"/>
                <w:szCs w:val="20"/>
                <w:lang w:val="es-MX"/>
              </w:rPr>
              <w:t>VENTAS –10 %</w:t>
            </w:r>
          </w:p>
        </w:tc>
        <w:tc>
          <w:tcPr>
            <w:tcW w:w="0" w:type="auto"/>
            <w:hideMark/>
          </w:tcPr>
          <w:p w14:paraId="4A16F1AC" w14:textId="77777777" w:rsidR="004E4011" w:rsidRPr="004E4011" w:rsidRDefault="004E4011"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4E4011">
              <w:rPr>
                <w:rFonts w:ascii="Times New Roman" w:hAnsi="Times New Roman" w:cs="Times New Roman"/>
                <w:b/>
                <w:bCs/>
                <w:sz w:val="20"/>
                <w:szCs w:val="20"/>
                <w:lang w:val="es-MX"/>
              </w:rPr>
              <w:t>COSTOS –10 %</w:t>
            </w:r>
          </w:p>
        </w:tc>
        <w:tc>
          <w:tcPr>
            <w:tcW w:w="0" w:type="auto"/>
            <w:hideMark/>
          </w:tcPr>
          <w:p w14:paraId="6D422B13" w14:textId="77777777" w:rsidR="004E4011" w:rsidRPr="004E4011" w:rsidRDefault="004E4011"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4E4011">
              <w:rPr>
                <w:rFonts w:ascii="Times New Roman" w:hAnsi="Times New Roman" w:cs="Times New Roman"/>
                <w:b/>
                <w:bCs/>
                <w:sz w:val="20"/>
                <w:szCs w:val="20"/>
                <w:lang w:val="es-MX"/>
              </w:rPr>
              <w:t>COSTOS +10 %</w:t>
            </w:r>
          </w:p>
        </w:tc>
      </w:tr>
      <w:tr w:rsidR="00C46D6A" w:rsidRPr="00111094" w14:paraId="6B9CDEED" w14:textId="77777777" w:rsidTr="00C46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ED0152" w14:textId="77777777" w:rsidR="00C46D6A" w:rsidRPr="004E4011" w:rsidRDefault="00C46D6A" w:rsidP="00C46D6A">
            <w:pPr>
              <w:spacing w:line="276" w:lineRule="auto"/>
              <w:jc w:val="left"/>
              <w:rPr>
                <w:rFonts w:ascii="Times New Roman" w:hAnsi="Times New Roman" w:cs="Times New Roman"/>
                <w:sz w:val="20"/>
                <w:szCs w:val="20"/>
                <w:lang w:val="es-MX"/>
              </w:rPr>
            </w:pPr>
            <w:r w:rsidRPr="004E4011">
              <w:rPr>
                <w:rFonts w:ascii="Times New Roman" w:hAnsi="Times New Roman" w:cs="Times New Roman"/>
                <w:sz w:val="20"/>
                <w:szCs w:val="20"/>
                <w:lang w:val="es-MX"/>
              </w:rPr>
              <w:t>PAYBACK (años)</w:t>
            </w:r>
          </w:p>
        </w:tc>
        <w:tc>
          <w:tcPr>
            <w:tcW w:w="0" w:type="auto"/>
          </w:tcPr>
          <w:p w14:paraId="08589024" w14:textId="034DCCF1"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4,82</w:t>
            </w:r>
          </w:p>
        </w:tc>
        <w:tc>
          <w:tcPr>
            <w:tcW w:w="0" w:type="auto"/>
          </w:tcPr>
          <w:p w14:paraId="489E778A" w14:textId="5ABBFC50"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color w:val="EE0000"/>
              </w:rPr>
              <w:t>10</w:t>
            </w:r>
          </w:p>
        </w:tc>
        <w:tc>
          <w:tcPr>
            <w:tcW w:w="0" w:type="auto"/>
          </w:tcPr>
          <w:p w14:paraId="025CC766" w14:textId="78CB5CD5"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9,38</w:t>
            </w:r>
          </w:p>
        </w:tc>
        <w:tc>
          <w:tcPr>
            <w:tcW w:w="0" w:type="auto"/>
          </w:tcPr>
          <w:p w14:paraId="3C5A3480" w14:textId="2CB54B12"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5,09</w:t>
            </w:r>
          </w:p>
        </w:tc>
      </w:tr>
      <w:tr w:rsidR="00C46D6A" w:rsidRPr="00111094" w14:paraId="1F0DAC50" w14:textId="77777777" w:rsidTr="00C46D6A">
        <w:tc>
          <w:tcPr>
            <w:cnfStyle w:val="001000000000" w:firstRow="0" w:lastRow="0" w:firstColumn="1" w:lastColumn="0" w:oddVBand="0" w:evenVBand="0" w:oddHBand="0" w:evenHBand="0" w:firstRowFirstColumn="0" w:firstRowLastColumn="0" w:lastRowFirstColumn="0" w:lastRowLastColumn="0"/>
            <w:tcW w:w="0" w:type="auto"/>
            <w:hideMark/>
          </w:tcPr>
          <w:p w14:paraId="7C21256D" w14:textId="77777777" w:rsidR="00C46D6A" w:rsidRPr="004E4011" w:rsidRDefault="00C46D6A" w:rsidP="00C46D6A">
            <w:pPr>
              <w:spacing w:line="276" w:lineRule="auto"/>
              <w:jc w:val="left"/>
              <w:rPr>
                <w:rFonts w:ascii="Times New Roman" w:hAnsi="Times New Roman" w:cs="Times New Roman"/>
                <w:sz w:val="20"/>
                <w:szCs w:val="20"/>
                <w:lang w:val="es-MX"/>
              </w:rPr>
            </w:pPr>
            <w:r w:rsidRPr="004E4011">
              <w:rPr>
                <w:rFonts w:ascii="Times New Roman" w:hAnsi="Times New Roman" w:cs="Times New Roman"/>
                <w:sz w:val="20"/>
                <w:szCs w:val="20"/>
                <w:lang w:val="es-MX"/>
              </w:rPr>
              <w:t>VAN (USD MM)</w:t>
            </w:r>
          </w:p>
        </w:tc>
        <w:tc>
          <w:tcPr>
            <w:tcW w:w="0" w:type="auto"/>
          </w:tcPr>
          <w:p w14:paraId="1EA5C634" w14:textId="420DB666"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21.688.633</w:t>
            </w:r>
          </w:p>
        </w:tc>
        <w:tc>
          <w:tcPr>
            <w:tcW w:w="0" w:type="auto"/>
          </w:tcPr>
          <w:p w14:paraId="58B17941" w14:textId="231B3E20"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color w:val="EE0000"/>
                <w:sz w:val="20"/>
                <w:szCs w:val="20"/>
                <w:lang w:val="es-MX"/>
              </w:rPr>
            </w:pPr>
            <w:r w:rsidRPr="00111094">
              <w:rPr>
                <w:rFonts w:ascii="Times New Roman" w:hAnsi="Times New Roman" w:cs="Times New Roman"/>
                <w:color w:val="EE0000"/>
              </w:rPr>
              <w:t>-1.609.830</w:t>
            </w:r>
          </w:p>
        </w:tc>
        <w:tc>
          <w:tcPr>
            <w:tcW w:w="0" w:type="auto"/>
          </w:tcPr>
          <w:p w14:paraId="2B858D94" w14:textId="672B07A5"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1.078.454</w:t>
            </w:r>
          </w:p>
        </w:tc>
        <w:tc>
          <w:tcPr>
            <w:tcW w:w="0" w:type="auto"/>
          </w:tcPr>
          <w:p w14:paraId="3D952DE0" w14:textId="78D143B8"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19.000.349</w:t>
            </w:r>
          </w:p>
        </w:tc>
      </w:tr>
      <w:tr w:rsidR="00C46D6A" w:rsidRPr="00111094" w14:paraId="3795DA3D" w14:textId="77777777" w:rsidTr="00C46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984CE8" w14:textId="77777777" w:rsidR="00C46D6A" w:rsidRPr="004E4011" w:rsidRDefault="00C46D6A" w:rsidP="00C46D6A">
            <w:pPr>
              <w:spacing w:line="276" w:lineRule="auto"/>
              <w:jc w:val="left"/>
              <w:rPr>
                <w:rFonts w:ascii="Times New Roman" w:hAnsi="Times New Roman" w:cs="Times New Roman"/>
                <w:sz w:val="20"/>
                <w:szCs w:val="20"/>
                <w:lang w:val="es-MX"/>
              </w:rPr>
            </w:pPr>
            <w:r w:rsidRPr="004E4011">
              <w:rPr>
                <w:rFonts w:ascii="Times New Roman" w:hAnsi="Times New Roman" w:cs="Times New Roman"/>
                <w:sz w:val="20"/>
                <w:szCs w:val="20"/>
                <w:lang w:val="es-MX"/>
              </w:rPr>
              <w:t>ROI</w:t>
            </w:r>
          </w:p>
        </w:tc>
        <w:tc>
          <w:tcPr>
            <w:tcW w:w="0" w:type="auto"/>
          </w:tcPr>
          <w:p w14:paraId="6FCB43EF" w14:textId="0F1FD093"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105%</w:t>
            </w:r>
          </w:p>
        </w:tc>
        <w:tc>
          <w:tcPr>
            <w:tcW w:w="0" w:type="auto"/>
          </w:tcPr>
          <w:p w14:paraId="63FA17FD" w14:textId="52914C13"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color w:val="EE0000"/>
                <w:sz w:val="20"/>
                <w:szCs w:val="20"/>
                <w:lang w:val="es-MX"/>
              </w:rPr>
            </w:pPr>
            <w:r w:rsidRPr="00111094">
              <w:rPr>
                <w:rFonts w:ascii="Times New Roman" w:hAnsi="Times New Roman" w:cs="Times New Roman"/>
                <w:color w:val="EE0000"/>
              </w:rPr>
              <w:t>-8%</w:t>
            </w:r>
          </w:p>
        </w:tc>
        <w:tc>
          <w:tcPr>
            <w:tcW w:w="0" w:type="auto"/>
          </w:tcPr>
          <w:p w14:paraId="0C7741F8" w14:textId="2B206958"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5%</w:t>
            </w:r>
          </w:p>
        </w:tc>
        <w:tc>
          <w:tcPr>
            <w:tcW w:w="0" w:type="auto"/>
          </w:tcPr>
          <w:p w14:paraId="562A80A3" w14:textId="157612CA" w:rsidR="00C46D6A" w:rsidRPr="004E4011" w:rsidRDefault="00C46D6A" w:rsidP="00C46D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92%</w:t>
            </w:r>
          </w:p>
        </w:tc>
      </w:tr>
      <w:tr w:rsidR="00C46D6A" w:rsidRPr="00111094" w14:paraId="7237E006" w14:textId="77777777" w:rsidTr="00C46D6A">
        <w:tc>
          <w:tcPr>
            <w:cnfStyle w:val="001000000000" w:firstRow="0" w:lastRow="0" w:firstColumn="1" w:lastColumn="0" w:oddVBand="0" w:evenVBand="0" w:oddHBand="0" w:evenHBand="0" w:firstRowFirstColumn="0" w:firstRowLastColumn="0" w:lastRowFirstColumn="0" w:lastRowLastColumn="0"/>
            <w:tcW w:w="0" w:type="auto"/>
            <w:hideMark/>
          </w:tcPr>
          <w:p w14:paraId="0AE214A7" w14:textId="77777777" w:rsidR="00C46D6A" w:rsidRPr="004E4011" w:rsidRDefault="00C46D6A" w:rsidP="00C46D6A">
            <w:pPr>
              <w:spacing w:line="276" w:lineRule="auto"/>
              <w:jc w:val="left"/>
              <w:rPr>
                <w:rFonts w:ascii="Times New Roman" w:hAnsi="Times New Roman" w:cs="Times New Roman"/>
                <w:sz w:val="20"/>
                <w:szCs w:val="20"/>
                <w:lang w:val="es-MX"/>
              </w:rPr>
            </w:pPr>
            <w:r w:rsidRPr="004E4011">
              <w:rPr>
                <w:rFonts w:ascii="Times New Roman" w:hAnsi="Times New Roman" w:cs="Times New Roman"/>
                <w:sz w:val="20"/>
                <w:szCs w:val="20"/>
                <w:lang w:val="es-MX"/>
              </w:rPr>
              <w:t>TIR</w:t>
            </w:r>
          </w:p>
        </w:tc>
        <w:tc>
          <w:tcPr>
            <w:tcW w:w="0" w:type="auto"/>
          </w:tcPr>
          <w:p w14:paraId="1E3F10E1" w14:textId="6DBB7D3D"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27%</w:t>
            </w:r>
          </w:p>
        </w:tc>
        <w:tc>
          <w:tcPr>
            <w:tcW w:w="0" w:type="auto"/>
          </w:tcPr>
          <w:p w14:paraId="747742C7" w14:textId="4CC06D4B"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color w:val="EE0000"/>
                <w:sz w:val="20"/>
                <w:szCs w:val="20"/>
                <w:lang w:val="es-MX"/>
              </w:rPr>
            </w:pPr>
            <w:r w:rsidRPr="00111094">
              <w:rPr>
                <w:rFonts w:ascii="Times New Roman" w:hAnsi="Times New Roman" w:cs="Times New Roman"/>
                <w:color w:val="EE0000"/>
              </w:rPr>
              <w:t>8%</w:t>
            </w:r>
          </w:p>
        </w:tc>
        <w:tc>
          <w:tcPr>
            <w:tcW w:w="0" w:type="auto"/>
          </w:tcPr>
          <w:p w14:paraId="1E49D198" w14:textId="0D2DB1E3"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11%</w:t>
            </w:r>
          </w:p>
        </w:tc>
        <w:tc>
          <w:tcPr>
            <w:tcW w:w="0" w:type="auto"/>
          </w:tcPr>
          <w:p w14:paraId="10FA6D18" w14:textId="2D0E0A90" w:rsidR="00C46D6A" w:rsidRPr="004E4011" w:rsidRDefault="00C46D6A" w:rsidP="00C46D6A">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0"/>
                <w:szCs w:val="20"/>
                <w:lang w:val="es-MX"/>
              </w:rPr>
            </w:pPr>
            <w:r w:rsidRPr="00111094">
              <w:rPr>
                <w:rFonts w:ascii="Times New Roman" w:hAnsi="Times New Roman" w:cs="Times New Roman"/>
              </w:rPr>
              <w:t>25%</w:t>
            </w:r>
          </w:p>
        </w:tc>
      </w:tr>
    </w:tbl>
    <w:p w14:paraId="611F29C0"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57243BAF" w14:textId="77777777" w:rsidR="00111094" w:rsidRPr="00111094" w:rsidRDefault="00111094" w:rsidP="00F55C5A">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Los resultados evidencian que las ventas constituyen el principal driver de valor del proyecto. Una caída estructural del 10 % en la facturación vuelve el proyecto marginalmente inviable desde el punto de vista financiero, mientras que variaciones similares en los costos presentan un impacto relevante pero secundario.</w:t>
      </w:r>
    </w:p>
    <w:p w14:paraId="24127C6C" w14:textId="77777777" w:rsidR="00111094" w:rsidRPr="00111094" w:rsidRDefault="00111094" w:rsidP="00F55C5A">
      <w:pPr>
        <w:spacing w:after="0"/>
        <w:ind w:firstLine="360"/>
        <w:jc w:val="both"/>
        <w:rPr>
          <w:rFonts w:ascii="Times New Roman" w:hAnsi="Times New Roman" w:cs="Times New Roman"/>
          <w:sz w:val="24"/>
          <w:szCs w:val="24"/>
        </w:rPr>
      </w:pPr>
      <w:r w:rsidRPr="00111094">
        <w:rPr>
          <w:rFonts w:ascii="Times New Roman" w:hAnsi="Times New Roman" w:cs="Times New Roman"/>
          <w:sz w:val="24"/>
          <w:szCs w:val="24"/>
        </w:rPr>
        <w:t xml:space="preserve">El análisis de escenarios de </w:t>
      </w:r>
      <w:r w:rsidRPr="00111094">
        <w:rPr>
          <w:rFonts w:ascii="Times New Roman" w:hAnsi="Times New Roman" w:cs="Times New Roman"/>
          <w:b/>
          <w:bCs/>
          <w:sz w:val="24"/>
          <w:szCs w:val="24"/>
        </w:rPr>
        <w:t>VAN =</w:t>
      </w:r>
      <w:r w:rsidRPr="00111094">
        <w:rPr>
          <w:rFonts w:ascii="Times New Roman" w:hAnsi="Times New Roman" w:cs="Times New Roman"/>
          <w:sz w:val="24"/>
          <w:szCs w:val="24"/>
        </w:rPr>
        <w:t xml:space="preserve"> </w:t>
      </w:r>
      <w:r w:rsidRPr="00111094">
        <w:rPr>
          <w:rFonts w:ascii="Times New Roman" w:hAnsi="Times New Roman" w:cs="Times New Roman"/>
          <w:b/>
          <w:bCs/>
          <w:sz w:val="24"/>
          <w:szCs w:val="24"/>
        </w:rPr>
        <w:t>0</w:t>
      </w:r>
      <w:r w:rsidRPr="00111094">
        <w:rPr>
          <w:rFonts w:ascii="Times New Roman" w:hAnsi="Times New Roman" w:cs="Times New Roman"/>
          <w:sz w:val="24"/>
          <w:szCs w:val="24"/>
        </w:rPr>
        <w:t xml:space="preserve"> indica que:</w:t>
      </w:r>
    </w:p>
    <w:p w14:paraId="743BF886" w14:textId="77777777" w:rsidR="00111094" w:rsidRPr="00111094" w:rsidRDefault="00111094">
      <w:pPr>
        <w:numPr>
          <w:ilvl w:val="0"/>
          <w:numId w:val="78"/>
        </w:numPr>
        <w:spacing w:after="0"/>
        <w:jc w:val="both"/>
        <w:rPr>
          <w:rFonts w:ascii="Times New Roman" w:hAnsi="Times New Roman" w:cs="Times New Roman"/>
          <w:sz w:val="24"/>
          <w:szCs w:val="24"/>
        </w:rPr>
      </w:pPr>
      <w:r w:rsidRPr="00111094">
        <w:rPr>
          <w:rFonts w:ascii="Times New Roman" w:hAnsi="Times New Roman" w:cs="Times New Roman"/>
          <w:sz w:val="24"/>
          <w:szCs w:val="24"/>
        </w:rPr>
        <w:t>El proyecto soporta una caída máxima de ventas de aproximadamente</w:t>
      </w:r>
      <w:r w:rsidRPr="00111094">
        <w:rPr>
          <w:rFonts w:ascii="Times New Roman" w:hAnsi="Times New Roman" w:cs="Times New Roman"/>
          <w:b/>
          <w:bCs/>
          <w:color w:val="EE0000"/>
          <w:sz w:val="24"/>
          <w:szCs w:val="24"/>
        </w:rPr>
        <w:t xml:space="preserve"> –8,6 %.</w:t>
      </w:r>
    </w:p>
    <w:p w14:paraId="3BBA1CD9" w14:textId="77777777" w:rsidR="00111094" w:rsidRPr="00111094" w:rsidRDefault="00111094">
      <w:pPr>
        <w:numPr>
          <w:ilvl w:val="0"/>
          <w:numId w:val="78"/>
        </w:numPr>
        <w:spacing w:after="0"/>
        <w:jc w:val="both"/>
        <w:rPr>
          <w:rFonts w:ascii="Times New Roman" w:hAnsi="Times New Roman" w:cs="Times New Roman"/>
          <w:sz w:val="24"/>
          <w:szCs w:val="24"/>
        </w:rPr>
      </w:pPr>
      <w:r w:rsidRPr="00111094">
        <w:rPr>
          <w:rFonts w:ascii="Times New Roman" w:hAnsi="Times New Roman" w:cs="Times New Roman"/>
          <w:sz w:val="24"/>
          <w:szCs w:val="24"/>
        </w:rPr>
        <w:t xml:space="preserve">El proyecto tolera un incremento de costos de hasta </w:t>
      </w:r>
      <w:r w:rsidRPr="00111094">
        <w:rPr>
          <w:rFonts w:ascii="Times New Roman" w:hAnsi="Times New Roman" w:cs="Times New Roman"/>
          <w:b/>
          <w:bCs/>
          <w:color w:val="EE0000"/>
          <w:sz w:val="24"/>
          <w:szCs w:val="24"/>
        </w:rPr>
        <w:t>+11,2 %.</w:t>
      </w:r>
    </w:p>
    <w:p w14:paraId="3AA01B66" w14:textId="76A6A98C" w:rsidR="00111094" w:rsidRPr="00111094" w:rsidRDefault="00F732FE" w:rsidP="00F55C5A">
      <w:pPr>
        <w:pStyle w:val="Ttulo2"/>
        <w:spacing w:after="240"/>
        <w:jc w:val="both"/>
        <w:rPr>
          <w:rFonts w:ascii="Times New Roman" w:hAnsi="Times New Roman" w:cs="Times New Roman"/>
          <w:lang w:val="es-MX"/>
        </w:rPr>
      </w:pPr>
      <w:bookmarkStart w:id="83" w:name="_Toc228778783"/>
      <w:r w:rsidRPr="00111094">
        <w:rPr>
          <w:rFonts w:ascii="Times New Roman" w:hAnsi="Times New Roman" w:cs="Times New Roman"/>
          <w:lang w:val="es-MX"/>
        </w:rPr>
        <w:t>Conclusión económica</w:t>
      </w:r>
      <w:bookmarkEnd w:id="83"/>
      <w:r w:rsidR="00E43896">
        <w:rPr>
          <w:rFonts w:ascii="Times New Roman" w:hAnsi="Times New Roman" w:cs="Times New Roman"/>
          <w:lang w:val="es-MX"/>
        </w:rPr>
        <w:t xml:space="preserve"> </w:t>
      </w:r>
    </w:p>
    <w:p w14:paraId="4C843A70" w14:textId="77777777" w:rsidR="00111094" w:rsidRDefault="00111094" w:rsidP="00F55C5A">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El análisis financiero confirma que la incorporación del Depósito Fiscal Zona Norte constituye una inversión económicamente viable y generadora de valor, siempre que se alcance una ocupación mínima consistente con el escenario base.</w:t>
      </w:r>
    </w:p>
    <w:p w14:paraId="2B47FBA3" w14:textId="05C0B248" w:rsidR="00111094" w:rsidRPr="00111094" w:rsidRDefault="00111094" w:rsidP="00F55C5A">
      <w:pPr>
        <w:spacing w:after="0"/>
        <w:ind w:firstLine="720"/>
        <w:jc w:val="both"/>
        <w:rPr>
          <w:rFonts w:ascii="Times New Roman" w:hAnsi="Times New Roman" w:cs="Times New Roman"/>
          <w:sz w:val="24"/>
          <w:szCs w:val="24"/>
        </w:rPr>
      </w:pPr>
      <w:r w:rsidRPr="00111094">
        <w:rPr>
          <w:rFonts w:ascii="Times New Roman" w:hAnsi="Times New Roman" w:cs="Times New Roman"/>
          <w:sz w:val="24"/>
          <w:szCs w:val="24"/>
        </w:rPr>
        <w:t>La sensibilidad identificada refuerza la importancia de asegurar contratos ancla, una estrategia comercial activa y un posicionamiento premium desde la etapa inicial del proyecto.</w:t>
      </w:r>
    </w:p>
    <w:p w14:paraId="0DB48DD2" w14:textId="6F5F9AC0" w:rsidR="00E10B3C" w:rsidRPr="00E10B3C" w:rsidRDefault="00F732FE" w:rsidP="00F55C5A">
      <w:pPr>
        <w:pStyle w:val="Ttulo2"/>
        <w:spacing w:after="240"/>
        <w:jc w:val="both"/>
        <w:rPr>
          <w:rFonts w:ascii="Times New Roman" w:hAnsi="Times New Roman" w:cs="Times New Roman"/>
          <w:lang w:val="es-MX"/>
        </w:rPr>
      </w:pPr>
      <w:bookmarkStart w:id="84" w:name="_Toc228778784"/>
      <w:r w:rsidRPr="00111094">
        <w:rPr>
          <w:rFonts w:ascii="Times New Roman" w:hAnsi="Times New Roman" w:cs="Times New Roman"/>
          <w:lang w:val="es-MX"/>
        </w:rPr>
        <w:lastRenderedPageBreak/>
        <w:t>Composición de</w:t>
      </w:r>
      <w:r w:rsidR="007C0B5C" w:rsidRPr="00111094">
        <w:rPr>
          <w:rFonts w:ascii="Times New Roman" w:hAnsi="Times New Roman" w:cs="Times New Roman"/>
          <w:lang w:val="es-MX"/>
        </w:rPr>
        <w:t xml:space="preserve"> </w:t>
      </w:r>
      <w:r w:rsidRPr="00111094">
        <w:rPr>
          <w:rFonts w:ascii="Times New Roman" w:hAnsi="Times New Roman" w:cs="Times New Roman"/>
          <w:lang w:val="es-MX"/>
        </w:rPr>
        <w:t>ventas año 1</w:t>
      </w:r>
      <w:bookmarkEnd w:id="84"/>
      <w:r w:rsidRPr="00111094">
        <w:rPr>
          <w:rFonts w:ascii="Times New Roman" w:hAnsi="Times New Roman" w:cs="Times New Roman"/>
          <w:lang w:val="es-MX"/>
        </w:rPr>
        <w:t xml:space="preserve"> </w:t>
      </w:r>
    </w:p>
    <w:p w14:paraId="3A28E666" w14:textId="77777777" w:rsidR="006638D0" w:rsidRPr="00111094" w:rsidRDefault="00E10B3C" w:rsidP="00F55C5A">
      <w:pPr>
        <w:spacing w:after="0"/>
        <w:jc w:val="both"/>
        <w:rPr>
          <w:rFonts w:ascii="Times New Roman" w:hAnsi="Times New Roman" w:cs="Times New Roman"/>
          <w:b/>
          <w:bCs/>
          <w:sz w:val="24"/>
          <w:szCs w:val="24"/>
          <w:lang w:val="es-MX"/>
        </w:rPr>
      </w:pPr>
      <w:r w:rsidRPr="00E10B3C">
        <w:rPr>
          <w:rFonts w:ascii="Times New Roman" w:hAnsi="Times New Roman" w:cs="Times New Roman"/>
          <w:b/>
          <w:bCs/>
          <w:sz w:val="24"/>
          <w:szCs w:val="24"/>
          <w:lang w:val="es-MX"/>
        </w:rPr>
        <w:t>Total objetivo Año 1: USD 9.860.000</w:t>
      </w:r>
    </w:p>
    <w:p w14:paraId="62B16B82" w14:textId="4E1BB790" w:rsidR="00E10B3C" w:rsidRPr="00111094" w:rsidRDefault="00E10B3C" w:rsidP="00F55C5A">
      <w:pPr>
        <w:spacing w:after="0"/>
        <w:ind w:firstLine="720"/>
        <w:jc w:val="both"/>
        <w:rPr>
          <w:rFonts w:ascii="Times New Roman" w:hAnsi="Times New Roman" w:cs="Times New Roman"/>
          <w:sz w:val="24"/>
          <w:szCs w:val="24"/>
          <w:lang w:val="es-MX"/>
        </w:rPr>
      </w:pPr>
      <w:r w:rsidRPr="00E10B3C">
        <w:rPr>
          <w:rFonts w:ascii="Times New Roman" w:hAnsi="Times New Roman" w:cs="Times New Roman"/>
          <w:sz w:val="24"/>
          <w:szCs w:val="24"/>
          <w:lang w:val="es-MX"/>
        </w:rPr>
        <w:t>Supuesto clave: operación en rampa de arranque, ocupación promedio ~55–60 %, foco en clientes AAA, mix balanceado entre almacenaje y servicios.</w:t>
      </w:r>
      <w:r w:rsidRPr="00111094">
        <w:rPr>
          <w:rFonts w:ascii="Times New Roman" w:hAnsi="Times New Roman" w:cs="Times New Roman"/>
          <w:sz w:val="24"/>
          <w:szCs w:val="24"/>
          <w:lang w:val="es-MX"/>
        </w:rPr>
        <w:t xml:space="preserve"> </w:t>
      </w:r>
    </w:p>
    <w:p w14:paraId="480851B8" w14:textId="096EED5F" w:rsidR="006638D0" w:rsidRPr="00E10B3C" w:rsidRDefault="006638D0" w:rsidP="00F55C5A">
      <w:pPr>
        <w:spacing w:before="240"/>
        <w:ind w:firstLine="720"/>
        <w:jc w:val="both"/>
        <w:rPr>
          <w:rFonts w:ascii="Times New Roman" w:hAnsi="Times New Roman" w:cs="Times New Roman"/>
          <w:sz w:val="24"/>
          <w:szCs w:val="24"/>
          <w:lang w:val="es-MX"/>
        </w:rPr>
      </w:pPr>
      <w:r w:rsidRPr="00111094">
        <w:rPr>
          <w:rFonts w:ascii="Times New Roman" w:hAnsi="Times New Roman" w:cs="Times New Roman"/>
          <w:sz w:val="24"/>
          <w:szCs w:val="24"/>
        </w:rPr>
        <w:t>Las ventas del Año 1 del Depósito Fiscal TASA se estructuran sobre una base sólida de ingresos recurrentes por almacenaje (45 %), complementados por servicios operativos, aduaneros y de valor agregado que explican la rentabilidad incremental del modelo. El mix de ingresos refleja una estrategia de precios basada en valor, alineada con infraestructura premium, integración 3PL, SLA garantizados y foco en clientes AAA.</w:t>
      </w:r>
    </w:p>
    <w:tbl>
      <w:tblPr>
        <w:tblStyle w:val="GridTable3Accent5"/>
        <w:tblW w:w="5000" w:type="pct"/>
        <w:tblLook w:val="04A0" w:firstRow="1" w:lastRow="0" w:firstColumn="1" w:lastColumn="0" w:noHBand="0" w:noVBand="1"/>
      </w:tblPr>
      <w:tblGrid>
        <w:gridCol w:w="4786"/>
        <w:gridCol w:w="2465"/>
        <w:gridCol w:w="2325"/>
      </w:tblGrid>
      <w:tr w:rsidR="00E10B3C" w:rsidRPr="00111094" w14:paraId="641FAF14" w14:textId="77777777" w:rsidTr="006638D0">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499" w:type="pct"/>
            <w:hideMark/>
          </w:tcPr>
          <w:p w14:paraId="157155FA" w14:textId="3FD0CEF9" w:rsidR="00E10B3C" w:rsidRPr="00E10B3C" w:rsidRDefault="00E10B3C" w:rsidP="004E4011">
            <w:pPr>
              <w:spacing w:line="276" w:lineRule="auto"/>
              <w:rPr>
                <w:rFonts w:ascii="Times New Roman" w:hAnsi="Times New Roman" w:cs="Times New Roman"/>
                <w:sz w:val="20"/>
                <w:szCs w:val="20"/>
                <w:lang w:val="es-MX"/>
              </w:rPr>
            </w:pPr>
            <w:r w:rsidRPr="00111094">
              <w:rPr>
                <w:rFonts w:ascii="Times New Roman" w:hAnsi="Times New Roman" w:cs="Times New Roman"/>
                <w:sz w:val="20"/>
                <w:szCs w:val="20"/>
                <w:lang w:val="es-MX"/>
              </w:rPr>
              <w:t>Participación por clasificación de ingresos</w:t>
            </w:r>
          </w:p>
        </w:tc>
        <w:tc>
          <w:tcPr>
            <w:tcW w:w="1287" w:type="pct"/>
            <w:hideMark/>
          </w:tcPr>
          <w:p w14:paraId="37FC13D7"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 sobre ventas</w:t>
            </w:r>
          </w:p>
        </w:tc>
        <w:tc>
          <w:tcPr>
            <w:tcW w:w="1214" w:type="pct"/>
            <w:hideMark/>
          </w:tcPr>
          <w:p w14:paraId="5C91E589"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Ventas USD</w:t>
            </w:r>
          </w:p>
        </w:tc>
      </w:tr>
      <w:tr w:rsidR="00E10B3C" w:rsidRPr="00111094" w14:paraId="2A577447" w14:textId="77777777" w:rsidTr="006638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2E8C8B34"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1. Almacenaje DF</w:t>
            </w:r>
          </w:p>
        </w:tc>
        <w:tc>
          <w:tcPr>
            <w:tcW w:w="1287" w:type="pct"/>
            <w:hideMark/>
          </w:tcPr>
          <w:p w14:paraId="60C503C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45 %</w:t>
            </w:r>
          </w:p>
        </w:tc>
        <w:tc>
          <w:tcPr>
            <w:tcW w:w="1214" w:type="pct"/>
            <w:hideMark/>
          </w:tcPr>
          <w:p w14:paraId="013005B4"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4.437.000</w:t>
            </w:r>
          </w:p>
        </w:tc>
      </w:tr>
      <w:tr w:rsidR="00E10B3C" w:rsidRPr="00111094" w14:paraId="2EF781BC" w14:textId="77777777" w:rsidTr="006638D0">
        <w:trPr>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78148FDF"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2. Ingreso / Egreso / Manipuleo</w:t>
            </w:r>
          </w:p>
        </w:tc>
        <w:tc>
          <w:tcPr>
            <w:tcW w:w="1287" w:type="pct"/>
            <w:hideMark/>
          </w:tcPr>
          <w:p w14:paraId="47E05FAD"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20 %</w:t>
            </w:r>
          </w:p>
        </w:tc>
        <w:tc>
          <w:tcPr>
            <w:tcW w:w="1214" w:type="pct"/>
            <w:hideMark/>
          </w:tcPr>
          <w:p w14:paraId="05C3433F"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1.972.000</w:t>
            </w:r>
          </w:p>
        </w:tc>
      </w:tr>
      <w:tr w:rsidR="00E10B3C" w:rsidRPr="00111094" w14:paraId="1089F2FE" w14:textId="77777777" w:rsidTr="006638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6838C576"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3. Verificaciones aduaneras</w:t>
            </w:r>
          </w:p>
        </w:tc>
        <w:tc>
          <w:tcPr>
            <w:tcW w:w="1287" w:type="pct"/>
            <w:hideMark/>
          </w:tcPr>
          <w:p w14:paraId="64FC3A99"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10 %</w:t>
            </w:r>
          </w:p>
        </w:tc>
        <w:tc>
          <w:tcPr>
            <w:tcW w:w="1214" w:type="pct"/>
            <w:hideMark/>
          </w:tcPr>
          <w:p w14:paraId="3B60EDA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986.000</w:t>
            </w:r>
          </w:p>
        </w:tc>
      </w:tr>
      <w:tr w:rsidR="00E10B3C" w:rsidRPr="00111094" w14:paraId="04F31EBB" w14:textId="77777777" w:rsidTr="006638D0">
        <w:trPr>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173BAD27"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4. Servicios VAS</w:t>
            </w:r>
          </w:p>
        </w:tc>
        <w:tc>
          <w:tcPr>
            <w:tcW w:w="1287" w:type="pct"/>
            <w:hideMark/>
          </w:tcPr>
          <w:p w14:paraId="676E7174"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10 %</w:t>
            </w:r>
          </w:p>
        </w:tc>
        <w:tc>
          <w:tcPr>
            <w:tcW w:w="1214" w:type="pct"/>
            <w:hideMark/>
          </w:tcPr>
          <w:p w14:paraId="13036980"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986.000</w:t>
            </w:r>
          </w:p>
        </w:tc>
      </w:tr>
      <w:tr w:rsidR="00E10B3C" w:rsidRPr="00111094" w14:paraId="73FC0682" w14:textId="77777777" w:rsidTr="006638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7DEEAD7E"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5. Servicios administrativos</w:t>
            </w:r>
          </w:p>
        </w:tc>
        <w:tc>
          <w:tcPr>
            <w:tcW w:w="1287" w:type="pct"/>
            <w:hideMark/>
          </w:tcPr>
          <w:p w14:paraId="4882B881"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8 %</w:t>
            </w:r>
          </w:p>
        </w:tc>
        <w:tc>
          <w:tcPr>
            <w:tcW w:w="1214" w:type="pct"/>
            <w:hideMark/>
          </w:tcPr>
          <w:p w14:paraId="59ECFEE9"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788.800</w:t>
            </w:r>
          </w:p>
        </w:tc>
      </w:tr>
      <w:tr w:rsidR="00E10B3C" w:rsidRPr="00111094" w14:paraId="75CA9543" w14:textId="77777777" w:rsidTr="006638D0">
        <w:trPr>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2692AF93"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6. Seguridad y tecnología</w:t>
            </w:r>
          </w:p>
        </w:tc>
        <w:tc>
          <w:tcPr>
            <w:tcW w:w="1287" w:type="pct"/>
            <w:hideMark/>
          </w:tcPr>
          <w:p w14:paraId="6466681A"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5 %</w:t>
            </w:r>
          </w:p>
        </w:tc>
        <w:tc>
          <w:tcPr>
            <w:tcW w:w="1214" w:type="pct"/>
            <w:hideMark/>
          </w:tcPr>
          <w:p w14:paraId="47B49525"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493.000</w:t>
            </w:r>
          </w:p>
        </w:tc>
      </w:tr>
      <w:tr w:rsidR="00E10B3C" w:rsidRPr="00111094" w14:paraId="7DEADCED" w14:textId="77777777" w:rsidTr="006638D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77CD2FF6"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sz w:val="20"/>
                <w:szCs w:val="20"/>
                <w:lang w:val="es-MX"/>
              </w:rPr>
              <w:t>7. Transporte integrado (opcional)</w:t>
            </w:r>
          </w:p>
        </w:tc>
        <w:tc>
          <w:tcPr>
            <w:tcW w:w="1287" w:type="pct"/>
            <w:hideMark/>
          </w:tcPr>
          <w:p w14:paraId="15B5DDB1"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2 %</w:t>
            </w:r>
          </w:p>
        </w:tc>
        <w:tc>
          <w:tcPr>
            <w:tcW w:w="1214" w:type="pct"/>
            <w:hideMark/>
          </w:tcPr>
          <w:p w14:paraId="7D06835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197.200</w:t>
            </w:r>
          </w:p>
        </w:tc>
      </w:tr>
      <w:tr w:rsidR="00E10B3C" w:rsidRPr="00111094" w14:paraId="06C04CC9" w14:textId="77777777" w:rsidTr="006638D0">
        <w:trPr>
          <w:trHeight w:val="20"/>
        </w:trPr>
        <w:tc>
          <w:tcPr>
            <w:cnfStyle w:val="001000000000" w:firstRow="0" w:lastRow="0" w:firstColumn="1" w:lastColumn="0" w:oddVBand="0" w:evenVBand="0" w:oddHBand="0" w:evenHBand="0" w:firstRowFirstColumn="0" w:firstRowLastColumn="0" w:lastRowFirstColumn="0" w:lastRowLastColumn="0"/>
            <w:tcW w:w="2499" w:type="pct"/>
            <w:hideMark/>
          </w:tcPr>
          <w:p w14:paraId="362A7565" w14:textId="77777777" w:rsidR="00E10B3C" w:rsidRPr="00E10B3C" w:rsidRDefault="00E10B3C" w:rsidP="004E4011">
            <w:pPr>
              <w:spacing w:line="276" w:lineRule="auto"/>
              <w:rPr>
                <w:rFonts w:ascii="Times New Roman" w:hAnsi="Times New Roman" w:cs="Times New Roman"/>
                <w:sz w:val="20"/>
                <w:szCs w:val="20"/>
                <w:lang w:val="es-MX"/>
              </w:rPr>
            </w:pPr>
            <w:r w:rsidRPr="00E10B3C">
              <w:rPr>
                <w:rFonts w:ascii="Times New Roman" w:hAnsi="Times New Roman" w:cs="Times New Roman"/>
                <w:b/>
                <w:bCs/>
                <w:sz w:val="20"/>
                <w:szCs w:val="20"/>
                <w:lang w:val="es-MX"/>
              </w:rPr>
              <w:t>TOTAL</w:t>
            </w:r>
          </w:p>
        </w:tc>
        <w:tc>
          <w:tcPr>
            <w:tcW w:w="1287" w:type="pct"/>
            <w:hideMark/>
          </w:tcPr>
          <w:p w14:paraId="15E682EE"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b/>
                <w:bCs/>
                <w:sz w:val="20"/>
                <w:szCs w:val="20"/>
                <w:lang w:val="es-MX"/>
              </w:rPr>
              <w:t>100 %</w:t>
            </w:r>
          </w:p>
        </w:tc>
        <w:tc>
          <w:tcPr>
            <w:tcW w:w="1214" w:type="pct"/>
            <w:hideMark/>
          </w:tcPr>
          <w:p w14:paraId="473992C4"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b/>
                <w:bCs/>
                <w:sz w:val="20"/>
                <w:szCs w:val="20"/>
                <w:lang w:val="es-MX"/>
              </w:rPr>
              <w:t>9.860.000</w:t>
            </w:r>
          </w:p>
        </w:tc>
      </w:tr>
    </w:tbl>
    <w:p w14:paraId="417CA4FA" w14:textId="77777777" w:rsidR="00490476" w:rsidRPr="00CE1129" w:rsidRDefault="00490476" w:rsidP="00490476">
      <w:pPr>
        <w:jc w:val="both"/>
        <w:rPr>
          <w:rFonts w:ascii="Times New Roman" w:hAnsi="Times New Roman" w:cs="Times New Roman"/>
          <w:i/>
          <w:iCs/>
          <w:color w:val="A6A6A6" w:themeColor="background1" w:themeShade="A6"/>
          <w:sz w:val="20"/>
          <w:szCs w:val="20"/>
        </w:rPr>
      </w:pPr>
      <w:r w:rsidRPr="00CE1129">
        <w:rPr>
          <w:rFonts w:ascii="Times New Roman" w:hAnsi="Times New Roman" w:cs="Times New Roman"/>
          <w:i/>
          <w:iCs/>
          <w:color w:val="A6A6A6" w:themeColor="background1" w:themeShade="A6"/>
          <w:sz w:val="20"/>
          <w:szCs w:val="20"/>
        </w:rPr>
        <w:t>Nota. Elaboración propia sobre la base de supuestos del proyecto.</w:t>
      </w:r>
    </w:p>
    <w:p w14:paraId="516FD72F" w14:textId="1ADD24A5" w:rsidR="00E10B3C" w:rsidRPr="00E10B3C" w:rsidRDefault="00E10B3C" w:rsidP="00E10B3C">
      <w:pPr>
        <w:spacing w:before="240"/>
        <w:rPr>
          <w:rFonts w:ascii="Times New Roman" w:hAnsi="Times New Roman" w:cs="Times New Roman"/>
          <w:b/>
          <w:bCs/>
          <w:sz w:val="24"/>
          <w:szCs w:val="24"/>
          <w:lang w:val="es-MX"/>
        </w:rPr>
      </w:pPr>
      <w:r w:rsidRPr="00E10B3C">
        <w:rPr>
          <w:rFonts w:ascii="Times New Roman" w:hAnsi="Times New Roman" w:cs="Times New Roman"/>
          <w:b/>
          <w:bCs/>
          <w:sz w:val="24"/>
          <w:szCs w:val="24"/>
          <w:lang w:val="es-MX"/>
        </w:rPr>
        <w:t xml:space="preserve">Detalle </w:t>
      </w:r>
      <w:r w:rsidR="00C46D6A" w:rsidRPr="00111094">
        <w:rPr>
          <w:rFonts w:ascii="Times New Roman" w:hAnsi="Times New Roman" w:cs="Times New Roman"/>
          <w:b/>
          <w:bCs/>
          <w:sz w:val="24"/>
          <w:szCs w:val="24"/>
          <w:lang w:val="es-MX"/>
        </w:rPr>
        <w:t>v</w:t>
      </w:r>
      <w:r w:rsidRPr="00111094">
        <w:rPr>
          <w:rFonts w:ascii="Times New Roman" w:hAnsi="Times New Roman" w:cs="Times New Roman"/>
          <w:b/>
          <w:bCs/>
          <w:sz w:val="24"/>
          <w:szCs w:val="24"/>
          <w:lang w:val="es-MX"/>
        </w:rPr>
        <w:t xml:space="preserve">enta por </w:t>
      </w:r>
      <w:r w:rsidRPr="00E10B3C">
        <w:rPr>
          <w:rFonts w:ascii="Times New Roman" w:hAnsi="Times New Roman" w:cs="Times New Roman"/>
          <w:b/>
          <w:bCs/>
          <w:sz w:val="24"/>
          <w:szCs w:val="24"/>
          <w:lang w:val="es-MX"/>
        </w:rPr>
        <w:t>clasificación</w:t>
      </w:r>
      <w:r w:rsidRPr="00111094">
        <w:rPr>
          <w:rFonts w:ascii="Times New Roman" w:hAnsi="Times New Roman" w:cs="Times New Roman"/>
          <w:b/>
          <w:bCs/>
          <w:sz w:val="24"/>
          <w:szCs w:val="24"/>
          <w:lang w:val="es-MX"/>
        </w:rPr>
        <w:t xml:space="preserve"> </w:t>
      </w:r>
      <w:r w:rsidR="00C46D6A" w:rsidRPr="00111094">
        <w:rPr>
          <w:rFonts w:ascii="Times New Roman" w:hAnsi="Times New Roman" w:cs="Times New Roman"/>
          <w:b/>
          <w:bCs/>
          <w:sz w:val="24"/>
          <w:szCs w:val="24"/>
          <w:lang w:val="es-MX"/>
        </w:rPr>
        <w:t>estimación</w:t>
      </w:r>
      <w:r w:rsidRPr="00111094">
        <w:rPr>
          <w:rFonts w:ascii="Times New Roman" w:hAnsi="Times New Roman" w:cs="Times New Roman"/>
          <w:b/>
          <w:bCs/>
          <w:sz w:val="24"/>
          <w:szCs w:val="24"/>
          <w:lang w:val="es-MX"/>
        </w:rPr>
        <w:t xml:space="preserve"> </w:t>
      </w:r>
      <w:r w:rsidR="00C46D6A" w:rsidRPr="00111094">
        <w:rPr>
          <w:rFonts w:ascii="Times New Roman" w:hAnsi="Times New Roman" w:cs="Times New Roman"/>
          <w:b/>
          <w:bCs/>
          <w:sz w:val="24"/>
          <w:szCs w:val="24"/>
          <w:lang w:val="es-MX"/>
        </w:rPr>
        <w:t>an</w:t>
      </w:r>
      <w:r w:rsidRPr="00111094">
        <w:rPr>
          <w:rFonts w:ascii="Times New Roman" w:hAnsi="Times New Roman" w:cs="Times New Roman"/>
          <w:b/>
          <w:bCs/>
          <w:sz w:val="24"/>
          <w:szCs w:val="24"/>
          <w:lang w:val="es-MX"/>
        </w:rPr>
        <w:t>ual</w:t>
      </w:r>
    </w:p>
    <w:p w14:paraId="4A9F0EE6"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t>1. Almacenaje bajo Depósito Fiscal – USD 4.437.000 (45%)</w:t>
      </w:r>
    </w:p>
    <w:tbl>
      <w:tblPr>
        <w:tblStyle w:val="PlainTable5"/>
        <w:tblW w:w="0" w:type="auto"/>
        <w:tblLayout w:type="fixed"/>
        <w:tblLook w:val="04A0" w:firstRow="1" w:lastRow="0" w:firstColumn="1" w:lastColumn="0" w:noHBand="0" w:noVBand="1"/>
      </w:tblPr>
      <w:tblGrid>
        <w:gridCol w:w="2871"/>
        <w:gridCol w:w="2211"/>
        <w:gridCol w:w="2385"/>
        <w:gridCol w:w="1893"/>
      </w:tblGrid>
      <w:tr w:rsidR="00E10B3C" w:rsidRPr="00E10B3C" w14:paraId="189AD063"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71" w:type="dxa"/>
            <w:hideMark/>
          </w:tcPr>
          <w:p w14:paraId="216EFE01" w14:textId="77777777" w:rsidR="00E10B3C" w:rsidRPr="00E10B3C" w:rsidRDefault="00E10B3C" w:rsidP="004E4011">
            <w:pPr>
              <w:spacing w:line="276" w:lineRule="auto"/>
              <w:jc w:val="center"/>
              <w:rPr>
                <w:rFonts w:ascii="Times New Roman" w:hAnsi="Times New Roman" w:cs="Times New Roman"/>
                <w:b/>
                <w:bCs/>
                <w:sz w:val="20"/>
                <w:szCs w:val="20"/>
                <w:lang w:val="es-MX"/>
              </w:rPr>
            </w:pPr>
            <w:r w:rsidRPr="00E10B3C">
              <w:rPr>
                <w:rFonts w:ascii="Times New Roman" w:hAnsi="Times New Roman" w:cs="Times New Roman"/>
                <w:b/>
                <w:bCs/>
                <w:sz w:val="20"/>
                <w:szCs w:val="20"/>
                <w:lang w:val="es-MX"/>
              </w:rPr>
              <w:t>Concepto</w:t>
            </w:r>
          </w:p>
        </w:tc>
        <w:tc>
          <w:tcPr>
            <w:tcW w:w="2211" w:type="dxa"/>
            <w:hideMark/>
          </w:tcPr>
          <w:p w14:paraId="3A1324DC"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E10B3C">
              <w:rPr>
                <w:rFonts w:ascii="Times New Roman" w:hAnsi="Times New Roman" w:cs="Times New Roman"/>
                <w:b/>
                <w:bCs/>
                <w:sz w:val="20"/>
                <w:szCs w:val="20"/>
                <w:lang w:val="es-MX"/>
              </w:rPr>
              <w:t>Precio</w:t>
            </w:r>
          </w:p>
        </w:tc>
        <w:tc>
          <w:tcPr>
            <w:tcW w:w="2385" w:type="dxa"/>
            <w:hideMark/>
          </w:tcPr>
          <w:p w14:paraId="0B79E41E"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E10B3C">
              <w:rPr>
                <w:rFonts w:ascii="Times New Roman" w:hAnsi="Times New Roman" w:cs="Times New Roman"/>
                <w:b/>
                <w:bCs/>
                <w:sz w:val="20"/>
                <w:szCs w:val="20"/>
                <w:lang w:val="es-MX"/>
              </w:rPr>
              <w:t>Cantidad</w:t>
            </w:r>
          </w:p>
        </w:tc>
        <w:tc>
          <w:tcPr>
            <w:tcW w:w="1893" w:type="dxa"/>
            <w:hideMark/>
          </w:tcPr>
          <w:p w14:paraId="5E30FE5B" w14:textId="144F101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s-MX"/>
              </w:rPr>
            </w:pPr>
            <w:r w:rsidRPr="00E10B3C">
              <w:rPr>
                <w:rFonts w:ascii="Times New Roman" w:hAnsi="Times New Roman" w:cs="Times New Roman"/>
                <w:b/>
                <w:bCs/>
                <w:sz w:val="20"/>
                <w:szCs w:val="20"/>
                <w:lang w:val="es-MX"/>
              </w:rPr>
              <w:t xml:space="preserve">Venta </w:t>
            </w:r>
          </w:p>
        </w:tc>
      </w:tr>
      <w:tr w:rsidR="00E10B3C" w:rsidRPr="00E10B3C" w14:paraId="11FE572C"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1" w:type="dxa"/>
            <w:hideMark/>
          </w:tcPr>
          <w:p w14:paraId="06392BF4" w14:textId="77777777" w:rsidR="00E10B3C" w:rsidRPr="00E10B3C" w:rsidRDefault="00E10B3C" w:rsidP="004E4011">
            <w:pPr>
              <w:spacing w:line="276" w:lineRule="auto"/>
              <w:jc w:val="left"/>
              <w:rPr>
                <w:rFonts w:ascii="Times New Roman" w:hAnsi="Times New Roman" w:cs="Times New Roman"/>
                <w:sz w:val="20"/>
                <w:szCs w:val="20"/>
                <w:lang w:val="es-MX"/>
              </w:rPr>
            </w:pPr>
            <w:r w:rsidRPr="00E10B3C">
              <w:rPr>
                <w:rFonts w:ascii="Times New Roman" w:hAnsi="Times New Roman" w:cs="Times New Roman"/>
                <w:sz w:val="20"/>
                <w:szCs w:val="20"/>
                <w:lang w:val="es-MX"/>
              </w:rPr>
              <w:t>Almacenaje DF estándar</w:t>
            </w:r>
          </w:p>
        </w:tc>
        <w:tc>
          <w:tcPr>
            <w:tcW w:w="2211" w:type="dxa"/>
            <w:hideMark/>
          </w:tcPr>
          <w:p w14:paraId="5A57D5C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USD 17 / m² / mes</w:t>
            </w:r>
          </w:p>
        </w:tc>
        <w:tc>
          <w:tcPr>
            <w:tcW w:w="2385" w:type="dxa"/>
            <w:hideMark/>
          </w:tcPr>
          <w:p w14:paraId="76B11E96"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sz w:val="20"/>
                <w:szCs w:val="20"/>
                <w:lang w:val="es-MX"/>
              </w:rPr>
              <w:t>21.700 m² promedio</w:t>
            </w:r>
          </w:p>
        </w:tc>
        <w:tc>
          <w:tcPr>
            <w:tcW w:w="1893" w:type="dxa"/>
            <w:hideMark/>
          </w:tcPr>
          <w:p w14:paraId="03EF64E5"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E10B3C">
              <w:rPr>
                <w:rFonts w:ascii="Times New Roman" w:hAnsi="Times New Roman" w:cs="Times New Roman"/>
                <w:b/>
                <w:bCs/>
                <w:sz w:val="20"/>
                <w:szCs w:val="20"/>
                <w:lang w:val="es-MX"/>
              </w:rPr>
              <w:t>USD 4.437.000</w:t>
            </w:r>
          </w:p>
        </w:tc>
      </w:tr>
    </w:tbl>
    <w:p w14:paraId="3C654AE3"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t>2. Ingreso / Egreso / Manipuleo – USD 1.972.000 (20%)</w:t>
      </w:r>
    </w:p>
    <w:tbl>
      <w:tblPr>
        <w:tblStyle w:val="PlainTable3"/>
        <w:tblW w:w="5000" w:type="pct"/>
        <w:tblLook w:val="04A0" w:firstRow="1" w:lastRow="0" w:firstColumn="1" w:lastColumn="0" w:noHBand="0" w:noVBand="1"/>
      </w:tblPr>
      <w:tblGrid>
        <w:gridCol w:w="3709"/>
        <w:gridCol w:w="1626"/>
        <w:gridCol w:w="2224"/>
        <w:gridCol w:w="2017"/>
      </w:tblGrid>
      <w:tr w:rsidR="00E10B3C" w:rsidRPr="00111094" w14:paraId="7B01DC02"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37" w:type="pct"/>
            <w:hideMark/>
          </w:tcPr>
          <w:p w14:paraId="14F6ABED"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849" w:type="pct"/>
            <w:hideMark/>
          </w:tcPr>
          <w:p w14:paraId="562E652F" w14:textId="5D655A89"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1161" w:type="pct"/>
            <w:hideMark/>
          </w:tcPr>
          <w:p w14:paraId="4CEC9DDB" w14:textId="72ADFED4"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 xml:space="preserve">Cantidad </w:t>
            </w:r>
          </w:p>
        </w:tc>
        <w:tc>
          <w:tcPr>
            <w:tcW w:w="1053" w:type="pct"/>
            <w:hideMark/>
          </w:tcPr>
          <w:p w14:paraId="2C70B5F9"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111094" w14:paraId="35B7A999"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pct"/>
            <w:hideMark/>
          </w:tcPr>
          <w:p w14:paraId="11622EAB"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Ingreso contenedor full</w:t>
            </w:r>
          </w:p>
        </w:tc>
        <w:tc>
          <w:tcPr>
            <w:tcW w:w="849" w:type="pct"/>
            <w:hideMark/>
          </w:tcPr>
          <w:p w14:paraId="7EA505F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220</w:t>
            </w:r>
          </w:p>
        </w:tc>
        <w:tc>
          <w:tcPr>
            <w:tcW w:w="1161" w:type="pct"/>
            <w:hideMark/>
          </w:tcPr>
          <w:p w14:paraId="1BE40A7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3.500</w:t>
            </w:r>
          </w:p>
        </w:tc>
        <w:tc>
          <w:tcPr>
            <w:tcW w:w="1053" w:type="pct"/>
            <w:hideMark/>
          </w:tcPr>
          <w:p w14:paraId="1672306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770.000</w:t>
            </w:r>
          </w:p>
        </w:tc>
      </w:tr>
      <w:tr w:rsidR="00E10B3C" w:rsidRPr="00111094" w14:paraId="15DE4FAA" w14:textId="77777777" w:rsidTr="00E10B3C">
        <w:tc>
          <w:tcPr>
            <w:cnfStyle w:val="001000000000" w:firstRow="0" w:lastRow="0" w:firstColumn="1" w:lastColumn="0" w:oddVBand="0" w:evenVBand="0" w:oddHBand="0" w:evenHBand="0" w:firstRowFirstColumn="0" w:firstRowLastColumn="0" w:lastRowFirstColumn="0" w:lastRowLastColumn="0"/>
            <w:tcW w:w="1937" w:type="pct"/>
            <w:hideMark/>
          </w:tcPr>
          <w:p w14:paraId="61F225AD"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Egreso contenedor full</w:t>
            </w:r>
          </w:p>
        </w:tc>
        <w:tc>
          <w:tcPr>
            <w:tcW w:w="849" w:type="pct"/>
            <w:hideMark/>
          </w:tcPr>
          <w:p w14:paraId="219C488C"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190</w:t>
            </w:r>
          </w:p>
        </w:tc>
        <w:tc>
          <w:tcPr>
            <w:tcW w:w="1161" w:type="pct"/>
            <w:hideMark/>
          </w:tcPr>
          <w:p w14:paraId="0397EF84"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3.500</w:t>
            </w:r>
          </w:p>
        </w:tc>
        <w:tc>
          <w:tcPr>
            <w:tcW w:w="1053" w:type="pct"/>
            <w:hideMark/>
          </w:tcPr>
          <w:p w14:paraId="76CC4775"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665.000</w:t>
            </w:r>
          </w:p>
        </w:tc>
      </w:tr>
      <w:tr w:rsidR="00E10B3C" w:rsidRPr="00111094" w14:paraId="7CBD19FD"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pct"/>
            <w:hideMark/>
          </w:tcPr>
          <w:p w14:paraId="0CA2DF7D"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Movimientos internos / picking</w:t>
            </w:r>
          </w:p>
        </w:tc>
        <w:tc>
          <w:tcPr>
            <w:tcW w:w="849" w:type="pct"/>
            <w:hideMark/>
          </w:tcPr>
          <w:p w14:paraId="5F6470C3"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8</w:t>
            </w:r>
          </w:p>
        </w:tc>
        <w:tc>
          <w:tcPr>
            <w:tcW w:w="1161" w:type="pct"/>
            <w:hideMark/>
          </w:tcPr>
          <w:p w14:paraId="2B46C514"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67.000 pallets</w:t>
            </w:r>
          </w:p>
        </w:tc>
        <w:tc>
          <w:tcPr>
            <w:tcW w:w="1053" w:type="pct"/>
            <w:hideMark/>
          </w:tcPr>
          <w:p w14:paraId="55035ABE"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537.000</w:t>
            </w:r>
          </w:p>
        </w:tc>
      </w:tr>
      <w:tr w:rsidR="00E10B3C" w:rsidRPr="00111094" w14:paraId="420DDF42" w14:textId="77777777" w:rsidTr="00E10B3C">
        <w:tc>
          <w:tcPr>
            <w:cnfStyle w:val="001000000000" w:firstRow="0" w:lastRow="0" w:firstColumn="1" w:lastColumn="0" w:oddVBand="0" w:evenVBand="0" w:oddHBand="0" w:evenHBand="0" w:firstRowFirstColumn="0" w:firstRowLastColumn="0" w:lastRowFirstColumn="0" w:lastRowLastColumn="0"/>
            <w:tcW w:w="1937" w:type="pct"/>
            <w:hideMark/>
          </w:tcPr>
          <w:p w14:paraId="7D9AFF7C" w14:textId="44B75BA2" w:rsidR="00E10B3C" w:rsidRPr="00E10B3C" w:rsidRDefault="00E10B3C" w:rsidP="004E4011">
            <w:pPr>
              <w:spacing w:line="276" w:lineRule="auto"/>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Total</w:t>
            </w:r>
            <w:r w:rsidRPr="00111094">
              <w:rPr>
                <w:rFonts w:ascii="Times New Roman" w:eastAsiaTheme="majorEastAsia" w:hAnsi="Times New Roman" w:cs="Times New Roman"/>
                <w:i/>
                <w:iCs/>
                <w:caps w:val="0"/>
                <w:sz w:val="20"/>
                <w:szCs w:val="20"/>
                <w:lang w:val="es-MX"/>
              </w:rPr>
              <w:t>: Ingreso / Egreso / Manipuleo</w:t>
            </w:r>
          </w:p>
        </w:tc>
        <w:tc>
          <w:tcPr>
            <w:tcW w:w="849" w:type="pct"/>
            <w:hideMark/>
          </w:tcPr>
          <w:p w14:paraId="3E482C90" w14:textId="77777777"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1161" w:type="pct"/>
            <w:hideMark/>
          </w:tcPr>
          <w:p w14:paraId="71E2552B" w14:textId="77777777"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1053" w:type="pct"/>
            <w:hideMark/>
          </w:tcPr>
          <w:p w14:paraId="12EA500E" w14:textId="169524B5"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E10B3C">
              <w:rPr>
                <w:rFonts w:ascii="Times New Roman" w:hAnsi="Times New Roman" w:cs="Times New Roman"/>
                <w:b/>
                <w:bCs/>
                <w:sz w:val="20"/>
                <w:szCs w:val="20"/>
                <w:lang w:val="es-MX"/>
              </w:rPr>
              <w:t xml:space="preserve">USD </w:t>
            </w:r>
            <w:r w:rsidRPr="00E10B3C">
              <w:rPr>
                <w:rFonts w:ascii="Times New Roman" w:eastAsiaTheme="majorEastAsia" w:hAnsi="Times New Roman" w:cs="Times New Roman"/>
                <w:b/>
                <w:bCs/>
                <w:i/>
                <w:iCs/>
                <w:caps/>
                <w:sz w:val="20"/>
                <w:szCs w:val="20"/>
                <w:lang w:val="es-MX"/>
              </w:rPr>
              <w:t>1.972.000</w:t>
            </w:r>
          </w:p>
        </w:tc>
      </w:tr>
    </w:tbl>
    <w:p w14:paraId="4FE3EE00" w14:textId="747A1B13" w:rsidR="00E10B3C" w:rsidRPr="00E10B3C" w:rsidRDefault="00E10B3C" w:rsidP="00E43896">
      <w:pPr>
        <w:spacing w:before="240"/>
        <w:ind w:firstLine="720"/>
        <w:rPr>
          <w:rFonts w:ascii="Times New Roman" w:hAnsi="Times New Roman" w:cs="Times New Roman"/>
          <w:b/>
          <w:bCs/>
          <w:sz w:val="24"/>
          <w:szCs w:val="24"/>
          <w:lang w:val="es-MX"/>
        </w:rPr>
      </w:pPr>
      <w:r w:rsidRPr="00E10B3C">
        <w:rPr>
          <w:rFonts w:ascii="Times New Roman" w:hAnsi="Times New Roman" w:cs="Times New Roman"/>
          <w:sz w:val="24"/>
          <w:szCs w:val="24"/>
          <w:lang w:val="es-MX"/>
        </w:rPr>
        <w:t>3. Verificaciones aduaneras – USD 986.000 (10%)</w:t>
      </w:r>
      <w:r w:rsidRPr="00111094">
        <w:rPr>
          <w:rFonts w:ascii="Times New Roman" w:hAnsi="Times New Roman" w:cs="Times New Roman"/>
          <w:sz w:val="24"/>
          <w:szCs w:val="24"/>
          <w:lang w:val="es-MX"/>
        </w:rPr>
        <w:t xml:space="preserve"> </w:t>
      </w:r>
      <w:r w:rsidRPr="00111094">
        <w:rPr>
          <w:rFonts w:ascii="Times New Roman" w:hAnsi="Times New Roman" w:cs="Times New Roman"/>
          <w:sz w:val="24"/>
          <w:szCs w:val="24"/>
          <w:lang w:val="es-MX"/>
        </w:rPr>
        <w:sym w:font="Wingdings" w:char="F0E0"/>
      </w:r>
      <w:r w:rsidRPr="00111094">
        <w:rPr>
          <w:rFonts w:ascii="Times New Roman" w:hAnsi="Times New Roman" w:cs="Times New Roman"/>
          <w:sz w:val="24"/>
          <w:szCs w:val="24"/>
          <w:lang w:val="es-MX"/>
        </w:rPr>
        <w:t xml:space="preserve"> </w:t>
      </w:r>
      <w:r w:rsidRPr="00E10B3C">
        <w:rPr>
          <w:rFonts w:ascii="Times New Roman" w:hAnsi="Times New Roman" w:cs="Times New Roman"/>
          <w:sz w:val="24"/>
          <w:szCs w:val="24"/>
          <w:lang w:val="es-MX"/>
        </w:rPr>
        <w:t>Driver clave de margen del negocio D</w:t>
      </w:r>
      <w:r w:rsidRPr="00111094">
        <w:rPr>
          <w:rFonts w:ascii="Times New Roman" w:hAnsi="Times New Roman" w:cs="Times New Roman"/>
          <w:sz w:val="24"/>
          <w:szCs w:val="24"/>
          <w:lang w:val="es-MX"/>
        </w:rPr>
        <w:t>eposito Fiscal</w:t>
      </w:r>
    </w:p>
    <w:tbl>
      <w:tblPr>
        <w:tblStyle w:val="PlainTable3"/>
        <w:tblW w:w="5000" w:type="pct"/>
        <w:tblLook w:val="04A0" w:firstRow="1" w:lastRow="0" w:firstColumn="1" w:lastColumn="0" w:noHBand="0" w:noVBand="1"/>
      </w:tblPr>
      <w:tblGrid>
        <w:gridCol w:w="5145"/>
        <w:gridCol w:w="1528"/>
        <w:gridCol w:w="1536"/>
        <w:gridCol w:w="1367"/>
      </w:tblGrid>
      <w:tr w:rsidR="00E10B3C" w:rsidRPr="00E10B3C" w14:paraId="609E7057"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86" w:type="pct"/>
            <w:hideMark/>
          </w:tcPr>
          <w:p w14:paraId="762E51B6"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798" w:type="pct"/>
            <w:hideMark/>
          </w:tcPr>
          <w:p w14:paraId="6A01998B" w14:textId="77777777" w:rsidR="00E10B3C" w:rsidRPr="00E10B3C" w:rsidRDefault="00E10B3C"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802" w:type="pct"/>
            <w:hideMark/>
          </w:tcPr>
          <w:p w14:paraId="5A6C4F06" w14:textId="77777777" w:rsidR="00E10B3C" w:rsidRPr="00E10B3C" w:rsidRDefault="00E10B3C"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Cantidad</w:t>
            </w:r>
          </w:p>
        </w:tc>
        <w:tc>
          <w:tcPr>
            <w:tcW w:w="714" w:type="pct"/>
            <w:hideMark/>
          </w:tcPr>
          <w:p w14:paraId="082077BE" w14:textId="77777777" w:rsidR="00E10B3C" w:rsidRPr="00E10B3C" w:rsidRDefault="00E10B3C" w:rsidP="004E401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E10B3C" w14:paraId="5C269D77"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6" w:type="pct"/>
            <w:hideMark/>
          </w:tcPr>
          <w:p w14:paraId="39489BEA"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Preparación verificación</w:t>
            </w:r>
          </w:p>
        </w:tc>
        <w:tc>
          <w:tcPr>
            <w:tcW w:w="798" w:type="pct"/>
            <w:hideMark/>
          </w:tcPr>
          <w:p w14:paraId="31921F79"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150</w:t>
            </w:r>
          </w:p>
        </w:tc>
        <w:tc>
          <w:tcPr>
            <w:tcW w:w="802" w:type="pct"/>
            <w:hideMark/>
          </w:tcPr>
          <w:p w14:paraId="4DCE390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2.000</w:t>
            </w:r>
          </w:p>
        </w:tc>
        <w:tc>
          <w:tcPr>
            <w:tcW w:w="714" w:type="pct"/>
            <w:hideMark/>
          </w:tcPr>
          <w:p w14:paraId="7B6E93BC"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300.000</w:t>
            </w:r>
          </w:p>
        </w:tc>
      </w:tr>
      <w:tr w:rsidR="00E10B3C" w:rsidRPr="00E10B3C" w14:paraId="5F855C10" w14:textId="77777777" w:rsidTr="00E10B3C">
        <w:tc>
          <w:tcPr>
            <w:cnfStyle w:val="001000000000" w:firstRow="0" w:lastRow="0" w:firstColumn="1" w:lastColumn="0" w:oddVBand="0" w:evenVBand="0" w:oddHBand="0" w:evenHBand="0" w:firstRowFirstColumn="0" w:firstRowLastColumn="0" w:lastRowFirstColumn="0" w:lastRowLastColumn="0"/>
            <w:tcW w:w="2686" w:type="pct"/>
            <w:hideMark/>
          </w:tcPr>
          <w:p w14:paraId="5073B5F9"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Acompañamiento</w:t>
            </w:r>
          </w:p>
        </w:tc>
        <w:tc>
          <w:tcPr>
            <w:tcW w:w="798" w:type="pct"/>
            <w:hideMark/>
          </w:tcPr>
          <w:p w14:paraId="0218DFD6"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200</w:t>
            </w:r>
          </w:p>
        </w:tc>
        <w:tc>
          <w:tcPr>
            <w:tcW w:w="802" w:type="pct"/>
            <w:hideMark/>
          </w:tcPr>
          <w:p w14:paraId="0F4FC812"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2.000</w:t>
            </w:r>
          </w:p>
        </w:tc>
        <w:tc>
          <w:tcPr>
            <w:tcW w:w="714" w:type="pct"/>
            <w:hideMark/>
          </w:tcPr>
          <w:p w14:paraId="02BB1E48"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400.000</w:t>
            </w:r>
          </w:p>
        </w:tc>
      </w:tr>
      <w:tr w:rsidR="00E10B3C" w:rsidRPr="00E10B3C" w14:paraId="7F4BF2AD"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6" w:type="pct"/>
            <w:hideMark/>
          </w:tcPr>
          <w:p w14:paraId="1A29BC97"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Reacondicionamiento</w:t>
            </w:r>
          </w:p>
        </w:tc>
        <w:tc>
          <w:tcPr>
            <w:tcW w:w="798" w:type="pct"/>
            <w:hideMark/>
          </w:tcPr>
          <w:p w14:paraId="4E34B11D"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140</w:t>
            </w:r>
          </w:p>
        </w:tc>
        <w:tc>
          <w:tcPr>
            <w:tcW w:w="802" w:type="pct"/>
            <w:hideMark/>
          </w:tcPr>
          <w:p w14:paraId="567B9195"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2.000</w:t>
            </w:r>
          </w:p>
        </w:tc>
        <w:tc>
          <w:tcPr>
            <w:tcW w:w="714" w:type="pct"/>
            <w:hideMark/>
          </w:tcPr>
          <w:p w14:paraId="5D8CD81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280.000</w:t>
            </w:r>
          </w:p>
        </w:tc>
      </w:tr>
      <w:tr w:rsidR="00E10B3C" w:rsidRPr="00E10B3C" w14:paraId="618DB4CC" w14:textId="77777777" w:rsidTr="00E10B3C">
        <w:tc>
          <w:tcPr>
            <w:cnfStyle w:val="001000000000" w:firstRow="0" w:lastRow="0" w:firstColumn="1" w:lastColumn="0" w:oddVBand="0" w:evenVBand="0" w:oddHBand="0" w:evenHBand="0" w:firstRowFirstColumn="0" w:firstRowLastColumn="0" w:lastRowFirstColumn="0" w:lastRowLastColumn="0"/>
            <w:tcW w:w="2686" w:type="pct"/>
            <w:hideMark/>
          </w:tcPr>
          <w:p w14:paraId="1FA9D9C0" w14:textId="37C43F9C" w:rsidR="00E10B3C" w:rsidRPr="00E10B3C" w:rsidRDefault="00E10B3C" w:rsidP="004E4011">
            <w:pPr>
              <w:spacing w:line="276" w:lineRule="auto"/>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Total</w:t>
            </w:r>
            <w:r w:rsidRPr="00111094">
              <w:rPr>
                <w:rFonts w:ascii="Times New Roman" w:eastAsiaTheme="majorEastAsia" w:hAnsi="Times New Roman" w:cs="Times New Roman"/>
                <w:i/>
                <w:iCs/>
                <w:caps w:val="0"/>
                <w:sz w:val="20"/>
                <w:szCs w:val="20"/>
                <w:lang w:val="es-MX"/>
              </w:rPr>
              <w:t xml:space="preserve"> Verificaciones aduaneras</w:t>
            </w:r>
          </w:p>
        </w:tc>
        <w:tc>
          <w:tcPr>
            <w:tcW w:w="798" w:type="pct"/>
            <w:hideMark/>
          </w:tcPr>
          <w:p w14:paraId="52135AD0" w14:textId="77777777"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802" w:type="pct"/>
            <w:hideMark/>
          </w:tcPr>
          <w:p w14:paraId="4B8FC304" w14:textId="77777777"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714" w:type="pct"/>
            <w:hideMark/>
          </w:tcPr>
          <w:p w14:paraId="6539480B" w14:textId="47931E8E" w:rsidR="00E10B3C" w:rsidRPr="00E10B3C" w:rsidRDefault="00E10B3C" w:rsidP="004E401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111094">
              <w:rPr>
                <w:rFonts w:ascii="Times New Roman" w:eastAsiaTheme="majorEastAsia" w:hAnsi="Times New Roman" w:cs="Times New Roman"/>
                <w:b/>
                <w:bCs/>
                <w:i/>
                <w:iCs/>
                <w:caps/>
                <w:sz w:val="20"/>
                <w:szCs w:val="20"/>
                <w:lang w:val="es-MX"/>
              </w:rPr>
              <w:t xml:space="preserve">USD </w:t>
            </w:r>
            <w:r w:rsidRPr="00E10B3C">
              <w:rPr>
                <w:rFonts w:ascii="Times New Roman" w:eastAsiaTheme="majorEastAsia" w:hAnsi="Times New Roman" w:cs="Times New Roman"/>
                <w:b/>
                <w:bCs/>
                <w:i/>
                <w:iCs/>
                <w:caps/>
                <w:sz w:val="20"/>
                <w:szCs w:val="20"/>
                <w:lang w:val="es-MX"/>
              </w:rPr>
              <w:t>986.000</w:t>
            </w:r>
          </w:p>
        </w:tc>
      </w:tr>
    </w:tbl>
    <w:p w14:paraId="0104E5DD"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lastRenderedPageBreak/>
        <w:t>4. Servicios de Valor Agregado (VAS) – USD 986.000 (10%)</w:t>
      </w:r>
    </w:p>
    <w:tbl>
      <w:tblPr>
        <w:tblStyle w:val="PlainTable3"/>
        <w:tblW w:w="5000" w:type="pct"/>
        <w:tblLook w:val="04A0" w:firstRow="1" w:lastRow="0" w:firstColumn="1" w:lastColumn="0" w:noHBand="0" w:noVBand="1"/>
      </w:tblPr>
      <w:tblGrid>
        <w:gridCol w:w="3721"/>
        <w:gridCol w:w="1578"/>
        <w:gridCol w:w="2670"/>
        <w:gridCol w:w="1607"/>
      </w:tblGrid>
      <w:tr w:rsidR="00E10B3C" w:rsidRPr="00111094" w14:paraId="2DC4829F"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43" w:type="pct"/>
            <w:hideMark/>
          </w:tcPr>
          <w:p w14:paraId="33F2F952"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824" w:type="pct"/>
            <w:hideMark/>
          </w:tcPr>
          <w:p w14:paraId="0B5394D0"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1394" w:type="pct"/>
            <w:hideMark/>
          </w:tcPr>
          <w:p w14:paraId="20809C42"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Cantidad</w:t>
            </w:r>
          </w:p>
        </w:tc>
        <w:tc>
          <w:tcPr>
            <w:tcW w:w="839" w:type="pct"/>
            <w:hideMark/>
          </w:tcPr>
          <w:p w14:paraId="00F76403"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111094" w14:paraId="470518CF"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3" w:type="pct"/>
            <w:hideMark/>
          </w:tcPr>
          <w:p w14:paraId="66D3E072"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Reetiquetado</w:t>
            </w:r>
          </w:p>
        </w:tc>
        <w:tc>
          <w:tcPr>
            <w:tcW w:w="824" w:type="pct"/>
            <w:hideMark/>
          </w:tcPr>
          <w:p w14:paraId="69565878"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0,18</w:t>
            </w:r>
          </w:p>
        </w:tc>
        <w:tc>
          <w:tcPr>
            <w:tcW w:w="1394" w:type="pct"/>
            <w:hideMark/>
          </w:tcPr>
          <w:p w14:paraId="308CD261"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2.200.000 etiquetas</w:t>
            </w:r>
          </w:p>
        </w:tc>
        <w:tc>
          <w:tcPr>
            <w:tcW w:w="839" w:type="pct"/>
            <w:hideMark/>
          </w:tcPr>
          <w:p w14:paraId="256FA476"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396.000</w:t>
            </w:r>
          </w:p>
        </w:tc>
      </w:tr>
      <w:tr w:rsidR="00E10B3C" w:rsidRPr="00111094" w14:paraId="216CDD70" w14:textId="77777777" w:rsidTr="00E10B3C">
        <w:tc>
          <w:tcPr>
            <w:cnfStyle w:val="001000000000" w:firstRow="0" w:lastRow="0" w:firstColumn="1" w:lastColumn="0" w:oddVBand="0" w:evenVBand="0" w:oddHBand="0" w:evenHBand="0" w:firstRowFirstColumn="0" w:firstRowLastColumn="0" w:lastRowFirstColumn="0" w:lastRowLastColumn="0"/>
            <w:tcW w:w="1943" w:type="pct"/>
            <w:hideMark/>
          </w:tcPr>
          <w:p w14:paraId="2995A427"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Reempaque / kits</w:t>
            </w:r>
          </w:p>
        </w:tc>
        <w:tc>
          <w:tcPr>
            <w:tcW w:w="824" w:type="pct"/>
            <w:hideMark/>
          </w:tcPr>
          <w:p w14:paraId="6CC735AC"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1,20</w:t>
            </w:r>
          </w:p>
        </w:tc>
        <w:tc>
          <w:tcPr>
            <w:tcW w:w="1394" w:type="pct"/>
            <w:hideMark/>
          </w:tcPr>
          <w:p w14:paraId="3162E898"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320.000 unidades</w:t>
            </w:r>
          </w:p>
        </w:tc>
        <w:tc>
          <w:tcPr>
            <w:tcW w:w="839" w:type="pct"/>
            <w:hideMark/>
          </w:tcPr>
          <w:p w14:paraId="3A81D248"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384.000</w:t>
            </w:r>
          </w:p>
        </w:tc>
      </w:tr>
      <w:tr w:rsidR="00E10B3C" w:rsidRPr="00111094" w14:paraId="5005CBC1"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3" w:type="pct"/>
            <w:hideMark/>
          </w:tcPr>
          <w:p w14:paraId="6877DDE3"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Controles / muestras</w:t>
            </w:r>
          </w:p>
        </w:tc>
        <w:tc>
          <w:tcPr>
            <w:tcW w:w="824" w:type="pct"/>
            <w:hideMark/>
          </w:tcPr>
          <w:p w14:paraId="59884340"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Promedio</w:t>
            </w:r>
          </w:p>
        </w:tc>
        <w:tc>
          <w:tcPr>
            <w:tcW w:w="1394" w:type="pct"/>
            <w:hideMark/>
          </w:tcPr>
          <w:p w14:paraId="5B88DCC5"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w:t>
            </w:r>
          </w:p>
        </w:tc>
        <w:tc>
          <w:tcPr>
            <w:tcW w:w="839" w:type="pct"/>
            <w:hideMark/>
          </w:tcPr>
          <w:p w14:paraId="2C8A4856"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206.000</w:t>
            </w:r>
          </w:p>
        </w:tc>
      </w:tr>
      <w:tr w:rsidR="00E10B3C" w:rsidRPr="00111094" w14:paraId="394E1F25" w14:textId="77777777" w:rsidTr="00E10B3C">
        <w:tc>
          <w:tcPr>
            <w:cnfStyle w:val="001000000000" w:firstRow="0" w:lastRow="0" w:firstColumn="1" w:lastColumn="0" w:oddVBand="0" w:evenVBand="0" w:oddHBand="0" w:evenHBand="0" w:firstRowFirstColumn="0" w:firstRowLastColumn="0" w:lastRowFirstColumn="0" w:lastRowLastColumn="0"/>
            <w:tcW w:w="1943" w:type="pct"/>
            <w:hideMark/>
          </w:tcPr>
          <w:p w14:paraId="09669404" w14:textId="0E70638F" w:rsidR="00E10B3C" w:rsidRPr="00E10B3C" w:rsidRDefault="00E10B3C" w:rsidP="004E4011">
            <w:pPr>
              <w:spacing w:line="276" w:lineRule="auto"/>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Total</w:t>
            </w:r>
            <w:r w:rsidRPr="00111094">
              <w:rPr>
                <w:rFonts w:ascii="Times New Roman" w:eastAsiaTheme="majorEastAsia" w:hAnsi="Times New Roman" w:cs="Times New Roman"/>
                <w:i/>
                <w:iCs/>
                <w:caps w:val="0"/>
                <w:sz w:val="20"/>
                <w:szCs w:val="20"/>
                <w:lang w:val="es-MX"/>
              </w:rPr>
              <w:t xml:space="preserve"> Servicios de Valor Agregado</w:t>
            </w:r>
          </w:p>
        </w:tc>
        <w:tc>
          <w:tcPr>
            <w:tcW w:w="824" w:type="pct"/>
            <w:hideMark/>
          </w:tcPr>
          <w:p w14:paraId="3F491C51"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1394" w:type="pct"/>
            <w:hideMark/>
          </w:tcPr>
          <w:p w14:paraId="72D03879"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839" w:type="pct"/>
            <w:hideMark/>
          </w:tcPr>
          <w:p w14:paraId="39136D1F" w14:textId="7AEF11B6"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111094">
              <w:rPr>
                <w:rFonts w:ascii="Times New Roman" w:eastAsiaTheme="majorEastAsia" w:hAnsi="Times New Roman" w:cs="Times New Roman"/>
                <w:b/>
                <w:bCs/>
                <w:i/>
                <w:iCs/>
                <w:caps/>
                <w:sz w:val="20"/>
                <w:szCs w:val="20"/>
                <w:lang w:val="es-MX"/>
              </w:rPr>
              <w:t xml:space="preserve">USD </w:t>
            </w:r>
            <w:r w:rsidRPr="00E10B3C">
              <w:rPr>
                <w:rFonts w:ascii="Times New Roman" w:eastAsiaTheme="majorEastAsia" w:hAnsi="Times New Roman" w:cs="Times New Roman"/>
                <w:b/>
                <w:bCs/>
                <w:i/>
                <w:iCs/>
                <w:caps/>
                <w:sz w:val="20"/>
                <w:szCs w:val="20"/>
                <w:lang w:val="es-MX"/>
              </w:rPr>
              <w:t>986.000</w:t>
            </w:r>
          </w:p>
        </w:tc>
      </w:tr>
    </w:tbl>
    <w:p w14:paraId="77318D02"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t>5. Servicios administrativos y aduaneros – USD 788.800 (8%)</w:t>
      </w:r>
    </w:p>
    <w:tbl>
      <w:tblPr>
        <w:tblStyle w:val="PlainTable3"/>
        <w:tblW w:w="5000" w:type="pct"/>
        <w:tblLook w:val="04A0" w:firstRow="1" w:lastRow="0" w:firstColumn="1" w:lastColumn="0" w:noHBand="0" w:noVBand="1"/>
      </w:tblPr>
      <w:tblGrid>
        <w:gridCol w:w="4205"/>
        <w:gridCol w:w="1741"/>
        <w:gridCol w:w="1747"/>
        <w:gridCol w:w="1883"/>
      </w:tblGrid>
      <w:tr w:rsidR="00E10B3C" w:rsidRPr="00111094" w14:paraId="74224CB7"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96" w:type="pct"/>
            <w:hideMark/>
          </w:tcPr>
          <w:p w14:paraId="42FB772B"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909" w:type="pct"/>
            <w:hideMark/>
          </w:tcPr>
          <w:p w14:paraId="441786C3"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912" w:type="pct"/>
            <w:hideMark/>
          </w:tcPr>
          <w:p w14:paraId="5599AE05"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Cantidad</w:t>
            </w:r>
          </w:p>
        </w:tc>
        <w:tc>
          <w:tcPr>
            <w:tcW w:w="983" w:type="pct"/>
            <w:hideMark/>
          </w:tcPr>
          <w:p w14:paraId="03B5E517"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111094" w14:paraId="080FCC08"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pct"/>
            <w:hideMark/>
          </w:tcPr>
          <w:p w14:paraId="62E5EC82"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Gestión documental DF</w:t>
            </w:r>
          </w:p>
        </w:tc>
        <w:tc>
          <w:tcPr>
            <w:tcW w:w="909" w:type="pct"/>
            <w:hideMark/>
          </w:tcPr>
          <w:p w14:paraId="29AF23F3"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95</w:t>
            </w:r>
          </w:p>
        </w:tc>
        <w:tc>
          <w:tcPr>
            <w:tcW w:w="912" w:type="pct"/>
            <w:hideMark/>
          </w:tcPr>
          <w:p w14:paraId="3F02EA42"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4.800</w:t>
            </w:r>
          </w:p>
        </w:tc>
        <w:tc>
          <w:tcPr>
            <w:tcW w:w="983" w:type="pct"/>
            <w:hideMark/>
          </w:tcPr>
          <w:p w14:paraId="6DE1BCAB"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456.000</w:t>
            </w:r>
          </w:p>
        </w:tc>
      </w:tr>
      <w:tr w:rsidR="00E10B3C" w:rsidRPr="00111094" w14:paraId="54E60D2B" w14:textId="77777777" w:rsidTr="00E10B3C">
        <w:tc>
          <w:tcPr>
            <w:cnfStyle w:val="001000000000" w:firstRow="0" w:lastRow="0" w:firstColumn="1" w:lastColumn="0" w:oddVBand="0" w:evenVBand="0" w:oddHBand="0" w:evenHBand="0" w:firstRowFirstColumn="0" w:firstRowLastColumn="0" w:lastRowFirstColumn="0" w:lastRowLastColumn="0"/>
            <w:tcW w:w="2196" w:type="pct"/>
            <w:hideMark/>
          </w:tcPr>
          <w:p w14:paraId="61131590"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Administración stock fiscal</w:t>
            </w:r>
          </w:p>
        </w:tc>
        <w:tc>
          <w:tcPr>
            <w:tcW w:w="909" w:type="pct"/>
            <w:hideMark/>
          </w:tcPr>
          <w:p w14:paraId="342F1A2B"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300 / mes</w:t>
            </w:r>
          </w:p>
        </w:tc>
        <w:tc>
          <w:tcPr>
            <w:tcW w:w="912" w:type="pct"/>
            <w:hideMark/>
          </w:tcPr>
          <w:p w14:paraId="0E0BA9D5"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80 clientes</w:t>
            </w:r>
          </w:p>
        </w:tc>
        <w:tc>
          <w:tcPr>
            <w:tcW w:w="983" w:type="pct"/>
            <w:hideMark/>
          </w:tcPr>
          <w:p w14:paraId="707F0B6B"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288.000</w:t>
            </w:r>
          </w:p>
        </w:tc>
      </w:tr>
      <w:tr w:rsidR="00E10B3C" w:rsidRPr="00111094" w14:paraId="75F4169A"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pct"/>
            <w:hideMark/>
          </w:tcPr>
          <w:p w14:paraId="189409DC"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Reportes / auditorías</w:t>
            </w:r>
          </w:p>
        </w:tc>
        <w:tc>
          <w:tcPr>
            <w:tcW w:w="909" w:type="pct"/>
            <w:hideMark/>
          </w:tcPr>
          <w:p w14:paraId="024AEB3B"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w:t>
            </w:r>
          </w:p>
        </w:tc>
        <w:tc>
          <w:tcPr>
            <w:tcW w:w="912" w:type="pct"/>
            <w:hideMark/>
          </w:tcPr>
          <w:p w14:paraId="0F2EF3A7"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w:t>
            </w:r>
          </w:p>
        </w:tc>
        <w:tc>
          <w:tcPr>
            <w:tcW w:w="983" w:type="pct"/>
            <w:hideMark/>
          </w:tcPr>
          <w:p w14:paraId="17461082"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44.800</w:t>
            </w:r>
          </w:p>
        </w:tc>
      </w:tr>
      <w:tr w:rsidR="00E10B3C" w:rsidRPr="00111094" w14:paraId="4C5CA101" w14:textId="77777777" w:rsidTr="00E10B3C">
        <w:tc>
          <w:tcPr>
            <w:cnfStyle w:val="001000000000" w:firstRow="0" w:lastRow="0" w:firstColumn="1" w:lastColumn="0" w:oddVBand="0" w:evenVBand="0" w:oddHBand="0" w:evenHBand="0" w:firstRowFirstColumn="0" w:firstRowLastColumn="0" w:lastRowFirstColumn="0" w:lastRowLastColumn="0"/>
            <w:tcW w:w="2196" w:type="pct"/>
            <w:hideMark/>
          </w:tcPr>
          <w:p w14:paraId="301407CF" w14:textId="76A89611" w:rsidR="00E10B3C" w:rsidRPr="00E10B3C" w:rsidRDefault="00E10B3C" w:rsidP="004E4011">
            <w:pPr>
              <w:spacing w:line="276" w:lineRule="auto"/>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Total</w:t>
            </w:r>
            <w:r w:rsidRPr="00111094">
              <w:rPr>
                <w:rFonts w:ascii="Times New Roman" w:eastAsiaTheme="majorEastAsia" w:hAnsi="Times New Roman" w:cs="Times New Roman"/>
                <w:i/>
                <w:iCs/>
                <w:caps w:val="0"/>
                <w:sz w:val="20"/>
                <w:szCs w:val="20"/>
                <w:lang w:val="es-MX"/>
              </w:rPr>
              <w:t xml:space="preserve"> Servicios administrativos y aduaneros</w:t>
            </w:r>
          </w:p>
        </w:tc>
        <w:tc>
          <w:tcPr>
            <w:tcW w:w="909" w:type="pct"/>
            <w:hideMark/>
          </w:tcPr>
          <w:p w14:paraId="0B7C5F67"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912" w:type="pct"/>
            <w:hideMark/>
          </w:tcPr>
          <w:p w14:paraId="3D64A5AB"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p>
        </w:tc>
        <w:tc>
          <w:tcPr>
            <w:tcW w:w="983" w:type="pct"/>
            <w:hideMark/>
          </w:tcPr>
          <w:p w14:paraId="59347440" w14:textId="0FC14602"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111094">
              <w:rPr>
                <w:rFonts w:ascii="Times New Roman" w:eastAsiaTheme="majorEastAsia" w:hAnsi="Times New Roman" w:cs="Times New Roman"/>
                <w:b/>
                <w:bCs/>
                <w:i/>
                <w:iCs/>
                <w:caps/>
                <w:sz w:val="20"/>
                <w:szCs w:val="20"/>
                <w:lang w:val="es-MX"/>
              </w:rPr>
              <w:t xml:space="preserve">USD </w:t>
            </w:r>
            <w:r w:rsidRPr="00E10B3C">
              <w:rPr>
                <w:rFonts w:ascii="Times New Roman" w:eastAsiaTheme="majorEastAsia" w:hAnsi="Times New Roman" w:cs="Times New Roman"/>
                <w:b/>
                <w:bCs/>
                <w:i/>
                <w:iCs/>
                <w:caps/>
                <w:sz w:val="20"/>
                <w:szCs w:val="20"/>
                <w:lang w:val="es-MX"/>
              </w:rPr>
              <w:t>788.800</w:t>
            </w:r>
          </w:p>
        </w:tc>
      </w:tr>
    </w:tbl>
    <w:p w14:paraId="517C5B8C"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t>6. Seguridad y tecnología – USD 493.000 (5%)</w:t>
      </w:r>
    </w:p>
    <w:tbl>
      <w:tblPr>
        <w:tblStyle w:val="PlainTable3"/>
        <w:tblW w:w="5000" w:type="pct"/>
        <w:tblLook w:val="04A0" w:firstRow="1" w:lastRow="0" w:firstColumn="1" w:lastColumn="0" w:noHBand="0" w:noVBand="1"/>
      </w:tblPr>
      <w:tblGrid>
        <w:gridCol w:w="3659"/>
        <w:gridCol w:w="2122"/>
        <w:gridCol w:w="1932"/>
        <w:gridCol w:w="1863"/>
      </w:tblGrid>
      <w:tr w:rsidR="00E10B3C" w:rsidRPr="00E10B3C" w14:paraId="08C6E812" w14:textId="77777777" w:rsidTr="00E10B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10" w:type="pct"/>
            <w:hideMark/>
          </w:tcPr>
          <w:p w14:paraId="2AD0ED4A"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1108" w:type="pct"/>
            <w:hideMark/>
          </w:tcPr>
          <w:p w14:paraId="2C2C0B26"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1009" w:type="pct"/>
            <w:hideMark/>
          </w:tcPr>
          <w:p w14:paraId="30B46D6C"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Cantidad</w:t>
            </w:r>
          </w:p>
        </w:tc>
        <w:tc>
          <w:tcPr>
            <w:tcW w:w="973" w:type="pct"/>
            <w:hideMark/>
          </w:tcPr>
          <w:p w14:paraId="14D6A00E"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E10B3C" w14:paraId="752707EE"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51C1A9BE"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Seguridad DF</w:t>
            </w:r>
          </w:p>
        </w:tc>
        <w:tc>
          <w:tcPr>
            <w:tcW w:w="1108" w:type="pct"/>
            <w:hideMark/>
          </w:tcPr>
          <w:p w14:paraId="0D99C880"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350 / mes</w:t>
            </w:r>
          </w:p>
        </w:tc>
        <w:tc>
          <w:tcPr>
            <w:tcW w:w="1009" w:type="pct"/>
            <w:hideMark/>
          </w:tcPr>
          <w:p w14:paraId="5FAD8E3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80 clientes</w:t>
            </w:r>
          </w:p>
        </w:tc>
        <w:tc>
          <w:tcPr>
            <w:tcW w:w="973" w:type="pct"/>
            <w:hideMark/>
          </w:tcPr>
          <w:p w14:paraId="2036E61F"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336.000</w:t>
            </w:r>
          </w:p>
        </w:tc>
      </w:tr>
      <w:tr w:rsidR="00E10B3C" w:rsidRPr="00E10B3C" w14:paraId="6FD0DF9F" w14:textId="77777777" w:rsidTr="00E10B3C">
        <w:tc>
          <w:tcPr>
            <w:cnfStyle w:val="001000000000" w:firstRow="0" w:lastRow="0" w:firstColumn="1" w:lastColumn="0" w:oddVBand="0" w:evenVBand="0" w:oddHBand="0" w:evenHBand="0" w:firstRowFirstColumn="0" w:firstRowLastColumn="0" w:lastRowFirstColumn="0" w:lastRowLastColumn="0"/>
            <w:tcW w:w="1910" w:type="pct"/>
            <w:hideMark/>
          </w:tcPr>
          <w:p w14:paraId="7568190A"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Acceso WMS / portal</w:t>
            </w:r>
          </w:p>
        </w:tc>
        <w:tc>
          <w:tcPr>
            <w:tcW w:w="1108" w:type="pct"/>
            <w:hideMark/>
          </w:tcPr>
          <w:p w14:paraId="35957DE8"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USD 180 / mes</w:t>
            </w:r>
          </w:p>
        </w:tc>
        <w:tc>
          <w:tcPr>
            <w:tcW w:w="1009" w:type="pct"/>
            <w:hideMark/>
          </w:tcPr>
          <w:p w14:paraId="430C0F10"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80 clientes</w:t>
            </w:r>
          </w:p>
        </w:tc>
        <w:tc>
          <w:tcPr>
            <w:tcW w:w="973" w:type="pct"/>
            <w:hideMark/>
          </w:tcPr>
          <w:p w14:paraId="40AAB43A" w14:textId="77777777" w:rsidR="00E10B3C" w:rsidRPr="00E10B3C" w:rsidRDefault="00E10B3C" w:rsidP="004E401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157.000</w:t>
            </w:r>
          </w:p>
        </w:tc>
      </w:tr>
      <w:tr w:rsidR="00E10B3C" w:rsidRPr="00E10B3C" w14:paraId="31B58E48" w14:textId="77777777" w:rsidTr="00E10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0" w:type="pct"/>
            <w:hideMark/>
          </w:tcPr>
          <w:p w14:paraId="3B1FCCB3" w14:textId="33247229" w:rsidR="00E10B3C" w:rsidRPr="00E10B3C" w:rsidRDefault="00E10B3C" w:rsidP="004E4011">
            <w:pPr>
              <w:spacing w:line="276" w:lineRule="auto"/>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Total</w:t>
            </w:r>
            <w:r w:rsidRPr="00111094">
              <w:rPr>
                <w:rFonts w:ascii="Times New Roman" w:hAnsi="Times New Roman" w:cs="Times New Roman"/>
              </w:rPr>
              <w:t xml:space="preserve"> </w:t>
            </w:r>
            <w:r w:rsidRPr="00111094">
              <w:rPr>
                <w:rFonts w:ascii="Times New Roman" w:eastAsiaTheme="majorEastAsia" w:hAnsi="Times New Roman" w:cs="Times New Roman"/>
                <w:i/>
                <w:iCs/>
                <w:caps w:val="0"/>
                <w:sz w:val="20"/>
                <w:szCs w:val="20"/>
                <w:lang w:val="es-MX"/>
              </w:rPr>
              <w:t>Seguridad y tecnología</w:t>
            </w:r>
          </w:p>
        </w:tc>
        <w:tc>
          <w:tcPr>
            <w:tcW w:w="1108" w:type="pct"/>
            <w:hideMark/>
          </w:tcPr>
          <w:p w14:paraId="4DFCC545"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p>
        </w:tc>
        <w:tc>
          <w:tcPr>
            <w:tcW w:w="1009" w:type="pct"/>
            <w:hideMark/>
          </w:tcPr>
          <w:p w14:paraId="7528C486" w14:textId="77777777"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p>
        </w:tc>
        <w:tc>
          <w:tcPr>
            <w:tcW w:w="973" w:type="pct"/>
            <w:hideMark/>
          </w:tcPr>
          <w:p w14:paraId="38084E6D" w14:textId="31F8EC2D" w:rsidR="00E10B3C" w:rsidRPr="00E10B3C" w:rsidRDefault="00E10B3C" w:rsidP="004E401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111094">
              <w:rPr>
                <w:rFonts w:ascii="Times New Roman" w:eastAsiaTheme="majorEastAsia" w:hAnsi="Times New Roman" w:cs="Times New Roman"/>
                <w:b/>
                <w:bCs/>
                <w:i/>
                <w:iCs/>
                <w:caps/>
                <w:sz w:val="20"/>
                <w:szCs w:val="20"/>
                <w:lang w:val="es-MX"/>
              </w:rPr>
              <w:t xml:space="preserve">USD </w:t>
            </w:r>
            <w:r w:rsidRPr="00E10B3C">
              <w:rPr>
                <w:rFonts w:ascii="Times New Roman" w:eastAsiaTheme="majorEastAsia" w:hAnsi="Times New Roman" w:cs="Times New Roman"/>
                <w:b/>
                <w:bCs/>
                <w:i/>
                <w:iCs/>
                <w:caps/>
                <w:sz w:val="20"/>
                <w:szCs w:val="20"/>
                <w:lang w:val="es-MX"/>
              </w:rPr>
              <w:t>493.000</w:t>
            </w:r>
          </w:p>
        </w:tc>
      </w:tr>
    </w:tbl>
    <w:p w14:paraId="73E2D0E8" w14:textId="77777777" w:rsidR="00E10B3C" w:rsidRPr="00E10B3C" w:rsidRDefault="00E10B3C" w:rsidP="00E43896">
      <w:pPr>
        <w:spacing w:before="240"/>
        <w:ind w:firstLine="720"/>
        <w:rPr>
          <w:rFonts w:ascii="Times New Roman" w:hAnsi="Times New Roman" w:cs="Times New Roman"/>
          <w:sz w:val="24"/>
          <w:szCs w:val="24"/>
          <w:lang w:val="es-MX"/>
        </w:rPr>
      </w:pPr>
      <w:r w:rsidRPr="00E10B3C">
        <w:rPr>
          <w:rFonts w:ascii="Times New Roman" w:hAnsi="Times New Roman" w:cs="Times New Roman"/>
          <w:sz w:val="24"/>
          <w:szCs w:val="24"/>
          <w:lang w:val="es-MX"/>
        </w:rPr>
        <w:t>7. Transporte integrado (opcional) – USD 197.200 (2%)</w:t>
      </w:r>
    </w:p>
    <w:tbl>
      <w:tblPr>
        <w:tblStyle w:val="PlainTable3"/>
        <w:tblW w:w="5000" w:type="pct"/>
        <w:tblLook w:val="04A0" w:firstRow="1" w:lastRow="0" w:firstColumn="1" w:lastColumn="0" w:noHBand="0" w:noVBand="1"/>
      </w:tblPr>
      <w:tblGrid>
        <w:gridCol w:w="2984"/>
        <w:gridCol w:w="2957"/>
        <w:gridCol w:w="1724"/>
        <w:gridCol w:w="1911"/>
      </w:tblGrid>
      <w:tr w:rsidR="00E10B3C" w:rsidRPr="00E10B3C" w14:paraId="39D404ED" w14:textId="77777777" w:rsidTr="00F55C5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8" w:type="pct"/>
            <w:hideMark/>
          </w:tcPr>
          <w:p w14:paraId="5F754EB6" w14:textId="77777777" w:rsidR="00E10B3C" w:rsidRPr="00E10B3C" w:rsidRDefault="00E10B3C" w:rsidP="004E4011">
            <w:pPr>
              <w:spacing w:line="276" w:lineRule="auto"/>
              <w:jc w:val="center"/>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Concepto</w:t>
            </w:r>
          </w:p>
        </w:tc>
        <w:tc>
          <w:tcPr>
            <w:tcW w:w="1544" w:type="pct"/>
            <w:hideMark/>
          </w:tcPr>
          <w:p w14:paraId="325994D4"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Precio</w:t>
            </w:r>
          </w:p>
        </w:tc>
        <w:tc>
          <w:tcPr>
            <w:tcW w:w="900" w:type="pct"/>
            <w:hideMark/>
          </w:tcPr>
          <w:p w14:paraId="31AF5465"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Cantidad</w:t>
            </w:r>
          </w:p>
        </w:tc>
        <w:tc>
          <w:tcPr>
            <w:tcW w:w="998" w:type="pct"/>
            <w:hideMark/>
          </w:tcPr>
          <w:p w14:paraId="2E457631" w14:textId="77777777" w:rsidR="00E10B3C" w:rsidRPr="00E10B3C" w:rsidRDefault="00E10B3C" w:rsidP="004E401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ajorEastAsia" w:hAnsi="Times New Roman" w:cs="Times New Roman"/>
                <w:i/>
                <w:iCs/>
                <w:caps w:val="0"/>
                <w:sz w:val="20"/>
                <w:szCs w:val="20"/>
                <w:lang w:val="es-MX"/>
              </w:rPr>
            </w:pPr>
            <w:r w:rsidRPr="00E10B3C">
              <w:rPr>
                <w:rFonts w:ascii="Times New Roman" w:eastAsiaTheme="majorEastAsia" w:hAnsi="Times New Roman" w:cs="Times New Roman"/>
                <w:i/>
                <w:iCs/>
                <w:caps w:val="0"/>
                <w:sz w:val="20"/>
                <w:szCs w:val="20"/>
                <w:lang w:val="es-MX"/>
              </w:rPr>
              <w:t>Ventas</w:t>
            </w:r>
          </w:p>
        </w:tc>
      </w:tr>
      <w:tr w:rsidR="00E10B3C" w:rsidRPr="00E10B3C" w14:paraId="76838035" w14:textId="77777777" w:rsidTr="00F5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pct"/>
            <w:hideMark/>
          </w:tcPr>
          <w:p w14:paraId="15CDCABF" w14:textId="77777777" w:rsidR="00E10B3C" w:rsidRPr="00E10B3C" w:rsidRDefault="00E10B3C" w:rsidP="004E4011">
            <w:pPr>
              <w:spacing w:line="276" w:lineRule="auto"/>
              <w:rPr>
                <w:rFonts w:ascii="Times New Roman" w:eastAsiaTheme="majorEastAsia" w:hAnsi="Times New Roman" w:cs="Times New Roman"/>
                <w:b w:val="0"/>
                <w:bCs w:val="0"/>
                <w:i/>
                <w:iCs/>
                <w:caps w:val="0"/>
                <w:sz w:val="20"/>
                <w:szCs w:val="20"/>
                <w:lang w:val="es-MX"/>
              </w:rPr>
            </w:pPr>
            <w:r w:rsidRPr="00E10B3C">
              <w:rPr>
                <w:rFonts w:ascii="Times New Roman" w:eastAsiaTheme="majorEastAsia" w:hAnsi="Times New Roman" w:cs="Times New Roman"/>
                <w:b w:val="0"/>
                <w:bCs w:val="0"/>
                <w:i/>
                <w:iCs/>
                <w:caps w:val="0"/>
                <w:sz w:val="20"/>
                <w:szCs w:val="20"/>
                <w:lang w:val="es-MX"/>
              </w:rPr>
              <w:t>Fletes AMBA / interior</w:t>
            </w:r>
          </w:p>
        </w:tc>
        <w:tc>
          <w:tcPr>
            <w:tcW w:w="1544" w:type="pct"/>
            <w:hideMark/>
          </w:tcPr>
          <w:p w14:paraId="12E7C247" w14:textId="77777777" w:rsidR="00E10B3C" w:rsidRPr="00E10B3C" w:rsidRDefault="00E10B3C"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Promedio USD 280</w:t>
            </w:r>
          </w:p>
        </w:tc>
        <w:tc>
          <w:tcPr>
            <w:tcW w:w="900" w:type="pct"/>
            <w:hideMark/>
          </w:tcPr>
          <w:p w14:paraId="6014DCCE" w14:textId="77777777" w:rsidR="00E10B3C" w:rsidRPr="00E10B3C" w:rsidRDefault="00E10B3C"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i/>
                <w:iCs/>
                <w:caps/>
                <w:sz w:val="20"/>
                <w:szCs w:val="20"/>
                <w:lang w:val="es-MX"/>
              </w:rPr>
            </w:pPr>
            <w:r w:rsidRPr="00E10B3C">
              <w:rPr>
                <w:rFonts w:ascii="Times New Roman" w:eastAsiaTheme="majorEastAsia" w:hAnsi="Times New Roman" w:cs="Times New Roman"/>
                <w:i/>
                <w:iCs/>
                <w:caps/>
                <w:sz w:val="20"/>
                <w:szCs w:val="20"/>
                <w:lang w:val="es-MX"/>
              </w:rPr>
              <w:t>705 viajes</w:t>
            </w:r>
          </w:p>
        </w:tc>
        <w:tc>
          <w:tcPr>
            <w:tcW w:w="998" w:type="pct"/>
            <w:hideMark/>
          </w:tcPr>
          <w:p w14:paraId="1B67C1D3" w14:textId="734AF2D1" w:rsidR="00E10B3C" w:rsidRPr="00E10B3C" w:rsidRDefault="00E10B3C" w:rsidP="004E401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
                <w:bCs/>
                <w:i/>
                <w:iCs/>
                <w:caps/>
                <w:sz w:val="20"/>
                <w:szCs w:val="20"/>
                <w:lang w:val="es-MX"/>
              </w:rPr>
            </w:pPr>
            <w:r w:rsidRPr="00111094">
              <w:rPr>
                <w:rFonts w:ascii="Times New Roman" w:eastAsiaTheme="majorEastAsia" w:hAnsi="Times New Roman" w:cs="Times New Roman"/>
                <w:b/>
                <w:bCs/>
                <w:i/>
                <w:iCs/>
                <w:caps/>
                <w:sz w:val="20"/>
                <w:szCs w:val="20"/>
                <w:lang w:val="es-MX"/>
              </w:rPr>
              <w:t xml:space="preserve">USD </w:t>
            </w:r>
            <w:r w:rsidRPr="00E10B3C">
              <w:rPr>
                <w:rFonts w:ascii="Times New Roman" w:eastAsiaTheme="majorEastAsia" w:hAnsi="Times New Roman" w:cs="Times New Roman"/>
                <w:b/>
                <w:bCs/>
                <w:i/>
                <w:iCs/>
                <w:caps/>
                <w:sz w:val="20"/>
                <w:szCs w:val="20"/>
                <w:lang w:val="es-MX"/>
              </w:rPr>
              <w:t>197.200</w:t>
            </w:r>
          </w:p>
        </w:tc>
      </w:tr>
    </w:tbl>
    <w:p w14:paraId="57FA5F01" w14:textId="77777777" w:rsidR="00F55C5A" w:rsidRDefault="00F55C5A" w:rsidP="00F55C5A">
      <w:pPr>
        <w:spacing w:after="0"/>
        <w:ind w:firstLine="720"/>
        <w:rPr>
          <w:rFonts w:ascii="Times New Roman" w:hAnsi="Times New Roman" w:cs="Times New Roman"/>
          <w:sz w:val="24"/>
          <w:szCs w:val="24"/>
        </w:rPr>
      </w:pPr>
    </w:p>
    <w:p w14:paraId="569029A0" w14:textId="0F9165C8" w:rsidR="00F55C5A" w:rsidRPr="00F55C5A" w:rsidRDefault="00F55C5A" w:rsidP="00F55C5A">
      <w:pPr>
        <w:spacing w:after="0"/>
        <w:ind w:firstLine="720"/>
        <w:jc w:val="both"/>
        <w:rPr>
          <w:rFonts w:ascii="Times New Roman" w:hAnsi="Times New Roman" w:cs="Times New Roman"/>
          <w:sz w:val="24"/>
          <w:szCs w:val="24"/>
        </w:rPr>
      </w:pPr>
      <w:r w:rsidRPr="00F55C5A">
        <w:rPr>
          <w:rFonts w:ascii="Times New Roman" w:hAnsi="Times New Roman" w:cs="Times New Roman"/>
          <w:sz w:val="24"/>
          <w:szCs w:val="24"/>
        </w:rPr>
        <w:t>El análisis financiero y económico desarrollado demuestra que el proyecto de incorporación del Depósito Fiscal en Zona Norte por parte de TASA Logística es económicamente viable, rentable y generador de valor bajo el escenario base. Los indicadores clave —VAN positivo, TIR superior al costo de capital y un período de recupero consistente con proyectos de infraestructura logística— confirman la solidez del modelo.</w:t>
      </w:r>
    </w:p>
    <w:p w14:paraId="6E753AE4" w14:textId="7399BB49" w:rsidR="00D440CB" w:rsidRPr="00111094" w:rsidRDefault="00F55C5A" w:rsidP="00F55C5A">
      <w:pPr>
        <w:spacing w:after="0"/>
        <w:ind w:firstLine="720"/>
        <w:jc w:val="both"/>
        <w:rPr>
          <w:rFonts w:ascii="Times New Roman" w:hAnsi="Times New Roman" w:cs="Times New Roman"/>
          <w:sz w:val="24"/>
          <w:szCs w:val="24"/>
        </w:rPr>
      </w:pPr>
      <w:r w:rsidRPr="00F55C5A">
        <w:rPr>
          <w:rFonts w:ascii="Times New Roman" w:hAnsi="Times New Roman" w:cs="Times New Roman"/>
          <w:sz w:val="24"/>
          <w:szCs w:val="24"/>
        </w:rPr>
        <w:t>El análisis de sensibilidad evidencia que las ventas constituyen la principal variable crítica del negocio, reforzando la necesidad de una estrategia comercial activa, contratos ancla y un posicionamiento premium desde la etapa inicial. En conjunto, los resultados validan la conveniencia de la inversión y su alineación con la estrategia de crecimiento de TASA Logística hacia servicios de mayor valor agregado.</w:t>
      </w:r>
    </w:p>
    <w:p w14:paraId="17D54F3D" w14:textId="173B9A57" w:rsidR="005B545C" w:rsidRPr="00111094" w:rsidRDefault="00DC2E81" w:rsidP="004C221A">
      <w:pPr>
        <w:spacing w:before="240"/>
        <w:rPr>
          <w:rFonts w:ascii="Times New Roman" w:eastAsiaTheme="majorEastAsia" w:hAnsi="Times New Roman" w:cs="Times New Roman"/>
          <w:b/>
          <w:bCs/>
          <w:color w:val="4F81BD" w:themeColor="accent1"/>
          <w:w w:val="70"/>
          <w:sz w:val="40"/>
          <w:szCs w:val="40"/>
        </w:rPr>
      </w:pPr>
      <w:r w:rsidRPr="00111094">
        <w:rPr>
          <w:rFonts w:ascii="Times New Roman" w:hAnsi="Times New Roman" w:cs="Times New Roman"/>
          <w:sz w:val="24"/>
          <w:szCs w:val="24"/>
          <w:lang w:val="es-MX"/>
        </w:rPr>
        <w:br/>
      </w:r>
      <w:r w:rsidR="005B545C" w:rsidRPr="00111094">
        <w:rPr>
          <w:rFonts w:ascii="Times New Roman" w:hAnsi="Times New Roman" w:cs="Times New Roman"/>
          <w:color w:val="4F81BD" w:themeColor="accent1"/>
          <w:w w:val="70"/>
          <w:sz w:val="40"/>
          <w:szCs w:val="40"/>
        </w:rPr>
        <w:br w:type="page"/>
      </w:r>
    </w:p>
    <w:p w14:paraId="3254FBD9" w14:textId="3B52CFF5" w:rsidR="00656ED2" w:rsidRPr="00111094" w:rsidRDefault="000577D0"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85" w:name="_Toc228778785"/>
      <w:r w:rsidRPr="00111094">
        <w:rPr>
          <w:rFonts w:ascii="Times New Roman" w:hAnsi="Times New Roman" w:cs="Times New Roman"/>
          <w:color w:val="4F81BD" w:themeColor="accent1"/>
          <w:w w:val="70"/>
          <w:sz w:val="40"/>
          <w:szCs w:val="40"/>
        </w:rPr>
        <w:lastRenderedPageBreak/>
        <w:t xml:space="preserve">CAPÍTULO </w:t>
      </w:r>
      <w:r w:rsidR="00C0460F" w:rsidRPr="00111094">
        <w:rPr>
          <w:rFonts w:ascii="Times New Roman" w:hAnsi="Times New Roman" w:cs="Times New Roman"/>
          <w:color w:val="4F81BD" w:themeColor="accent1"/>
          <w:w w:val="70"/>
          <w:sz w:val="40"/>
          <w:szCs w:val="40"/>
        </w:rPr>
        <w:t>10</w:t>
      </w:r>
      <w:r w:rsidR="00656ED2" w:rsidRPr="00111094">
        <w:rPr>
          <w:rFonts w:ascii="Times New Roman" w:hAnsi="Times New Roman" w:cs="Times New Roman"/>
          <w:color w:val="4F81BD" w:themeColor="accent1"/>
          <w:w w:val="70"/>
          <w:sz w:val="40"/>
          <w:szCs w:val="40"/>
        </w:rPr>
        <w:t xml:space="preserve"> -</w:t>
      </w:r>
      <w:r w:rsidR="00C0460F" w:rsidRPr="00111094">
        <w:rPr>
          <w:rFonts w:ascii="Times New Roman" w:hAnsi="Times New Roman" w:cs="Times New Roman"/>
          <w:color w:val="4F81BD" w:themeColor="accent1"/>
          <w:w w:val="70"/>
          <w:sz w:val="40"/>
          <w:szCs w:val="40"/>
        </w:rPr>
        <w:t xml:space="preserve"> CONCLUSIONES Y RECOMENDACIONES</w:t>
      </w:r>
      <w:bookmarkEnd w:id="85"/>
      <w:r w:rsidR="00C0460F" w:rsidRPr="00111094">
        <w:rPr>
          <w:rFonts w:ascii="Times New Roman" w:hAnsi="Times New Roman" w:cs="Times New Roman"/>
          <w:color w:val="4F81BD" w:themeColor="accent1"/>
          <w:w w:val="70"/>
          <w:sz w:val="40"/>
          <w:szCs w:val="40"/>
        </w:rPr>
        <w:t xml:space="preserve"> </w:t>
      </w:r>
    </w:p>
    <w:p w14:paraId="3132CCBA" w14:textId="77777777" w:rsidR="00263FF7" w:rsidRPr="00263FF7" w:rsidRDefault="00263FF7" w:rsidP="00BD1D89">
      <w:pPr>
        <w:pStyle w:val="Ttulo2"/>
        <w:spacing w:after="240"/>
        <w:jc w:val="both"/>
        <w:rPr>
          <w:rFonts w:ascii="Times New Roman" w:hAnsi="Times New Roman" w:cs="Times New Roman"/>
          <w:lang w:val="es-MX"/>
        </w:rPr>
      </w:pPr>
      <w:bookmarkStart w:id="86" w:name="_Toc228778786"/>
      <w:r w:rsidRPr="00263FF7">
        <w:rPr>
          <w:rFonts w:ascii="Times New Roman" w:hAnsi="Times New Roman" w:cs="Times New Roman"/>
          <w:lang w:val="es-MX"/>
        </w:rPr>
        <w:t>Conclusiones generales del trabajo</w:t>
      </w:r>
      <w:bookmarkEnd w:id="86"/>
    </w:p>
    <w:p w14:paraId="04E4C0E2" w14:textId="77777777" w:rsidR="00263FF7" w:rsidRPr="00263FF7" w:rsidRDefault="00263FF7" w:rsidP="00263FF7">
      <w:pPr>
        <w:spacing w:after="0"/>
        <w:ind w:firstLine="720"/>
        <w:jc w:val="both"/>
        <w:rPr>
          <w:rFonts w:ascii="Times New Roman" w:hAnsi="Times New Roman" w:cs="Times New Roman"/>
          <w:sz w:val="24"/>
          <w:szCs w:val="24"/>
          <w:lang w:val="es-MX"/>
        </w:rPr>
      </w:pPr>
      <w:r w:rsidRPr="00263FF7">
        <w:rPr>
          <w:rFonts w:ascii="Times New Roman" w:hAnsi="Times New Roman" w:cs="Times New Roman"/>
          <w:sz w:val="24"/>
          <w:szCs w:val="24"/>
          <w:lang w:val="es-MX"/>
        </w:rPr>
        <w:t>El presente trabajo tuvo como objetivo evaluar la viabilidad estratégica, operativa y económico-financiera de la incorporación de un Depósito Fiscal en Zona Norte como nueva unidad de negocios de TASA Logística. A partir del análisis del contexto del comercio exterior argentino, del marco regulatorio vigente, del mercado de operadores logísticos y de la estructura interna de la compañía, se concluye que el proyecto resulta consistente con la estrategia de crecimiento y diversificación de servicios de la organización.</w:t>
      </w:r>
    </w:p>
    <w:p w14:paraId="56C85240" w14:textId="77777777" w:rsidR="00263FF7" w:rsidRPr="00263FF7" w:rsidRDefault="00263FF7" w:rsidP="00263FF7">
      <w:pPr>
        <w:spacing w:after="0"/>
        <w:ind w:firstLine="720"/>
        <w:jc w:val="both"/>
        <w:rPr>
          <w:rFonts w:ascii="Times New Roman" w:hAnsi="Times New Roman" w:cs="Times New Roman"/>
          <w:sz w:val="24"/>
          <w:szCs w:val="24"/>
          <w:lang w:val="es-MX"/>
        </w:rPr>
      </w:pPr>
      <w:r w:rsidRPr="00263FF7">
        <w:rPr>
          <w:rFonts w:ascii="Times New Roman" w:hAnsi="Times New Roman" w:cs="Times New Roman"/>
          <w:sz w:val="24"/>
          <w:szCs w:val="24"/>
          <w:lang w:val="es-MX"/>
        </w:rPr>
        <w:t>El análisis del entorno y de la competencia evidenció un mercado con infraestructura fiscal limitada, bajo nivel de diferenciación y escasa integración logística, lo que abre una oportunidad clara para un operador con capacidades 3PL, foco en clientes AAA y estándares elevados de cumplimiento normativo, tecnología y sustentabilidad. En este sentido, la propuesta de valor definida para el Depósito Fiscal de TASA se posiciona como superadora frente a los modelos tradicionales, al integrar almacenaje fiscal, transporte, servicios de valor agregado y trazabilidad digital en una única solución.</w:t>
      </w:r>
    </w:p>
    <w:p w14:paraId="5E084B46" w14:textId="77777777" w:rsidR="00263FF7" w:rsidRPr="00263FF7" w:rsidRDefault="00263FF7" w:rsidP="00263FF7">
      <w:pPr>
        <w:spacing w:after="0"/>
        <w:ind w:firstLine="720"/>
        <w:jc w:val="both"/>
        <w:rPr>
          <w:rFonts w:ascii="Times New Roman" w:hAnsi="Times New Roman" w:cs="Times New Roman"/>
          <w:sz w:val="24"/>
          <w:szCs w:val="24"/>
          <w:lang w:val="es-MX"/>
        </w:rPr>
      </w:pPr>
      <w:r w:rsidRPr="00263FF7">
        <w:rPr>
          <w:rFonts w:ascii="Times New Roman" w:hAnsi="Times New Roman" w:cs="Times New Roman"/>
          <w:sz w:val="24"/>
          <w:szCs w:val="24"/>
          <w:lang w:val="es-MX"/>
        </w:rPr>
        <w:t>Desde el punto de vista operativo, el diseño del modelo de procesos, los SLA definidos y la observación directa de los predios permiten afirmar que TASA cuenta con las capacidades técnicas, organizacionales y de gestión necesarias para implementar y operar exitosamente el servicio, minimizando riesgos operativos y regulatorios.</w:t>
      </w:r>
    </w:p>
    <w:p w14:paraId="7F3C9717" w14:textId="77777777" w:rsidR="00263FF7" w:rsidRPr="00263FF7" w:rsidRDefault="00263FF7" w:rsidP="00AF7D5A">
      <w:pPr>
        <w:spacing w:after="0"/>
        <w:ind w:firstLine="720"/>
        <w:jc w:val="both"/>
        <w:rPr>
          <w:rFonts w:ascii="Times New Roman" w:hAnsi="Times New Roman" w:cs="Times New Roman"/>
          <w:sz w:val="24"/>
          <w:szCs w:val="24"/>
          <w:lang w:val="es-MX"/>
        </w:rPr>
      </w:pPr>
      <w:r w:rsidRPr="00263FF7">
        <w:rPr>
          <w:rFonts w:ascii="Times New Roman" w:hAnsi="Times New Roman" w:cs="Times New Roman"/>
          <w:sz w:val="24"/>
          <w:szCs w:val="24"/>
          <w:lang w:val="es-MX"/>
        </w:rPr>
        <w:t>En términos económico-financieros, los resultados del Capítulo 9 confirman que el proyecto es rentable y generador de valor bajo el escenario base, con un VAN positivo, una TIR superior al costo de capital y un plazo de recupero compatible con proyectos de infraestructura logística. El análisis de sensibilidad demuestra que, si bien el proyecto es sensible a variaciones en el nivel de ventas, mantiene su viabilidad ante escenarios conservadores razonables, lo que refuerza la solidez del modelo propuesto.</w:t>
      </w:r>
    </w:p>
    <w:p w14:paraId="527D4551" w14:textId="77777777" w:rsidR="00263FF7" w:rsidRPr="00263FF7" w:rsidRDefault="00263FF7" w:rsidP="00AF7D5A">
      <w:pPr>
        <w:spacing w:after="0"/>
        <w:ind w:firstLine="720"/>
        <w:jc w:val="both"/>
        <w:rPr>
          <w:rFonts w:ascii="Times New Roman" w:hAnsi="Times New Roman" w:cs="Times New Roman"/>
          <w:sz w:val="24"/>
          <w:szCs w:val="24"/>
          <w:lang w:val="es-MX"/>
        </w:rPr>
      </w:pPr>
      <w:r w:rsidRPr="00263FF7">
        <w:rPr>
          <w:rFonts w:ascii="Times New Roman" w:hAnsi="Times New Roman" w:cs="Times New Roman"/>
          <w:sz w:val="24"/>
          <w:szCs w:val="24"/>
          <w:lang w:val="es-MX"/>
        </w:rPr>
        <w:t>En conjunto, los resultados obtenidos validan la conveniencia estratégica y económica de incorporar el Depósito Fiscal como nueva unidad de negocios, alineada con la visión de largo plazo de TASA Logística y con las demandas actuales del mercado.</w:t>
      </w:r>
    </w:p>
    <w:p w14:paraId="70FCB4F4" w14:textId="4AB225C9" w:rsidR="00BD1D89" w:rsidRPr="00BD1D89" w:rsidRDefault="00BD1D89" w:rsidP="00AF7D5A">
      <w:pPr>
        <w:pStyle w:val="Ttulo2"/>
        <w:spacing w:after="240"/>
        <w:jc w:val="both"/>
        <w:rPr>
          <w:rFonts w:ascii="Times New Roman" w:hAnsi="Times New Roman" w:cs="Times New Roman"/>
          <w:lang w:val="es-MX"/>
        </w:rPr>
      </w:pPr>
      <w:bookmarkStart w:id="87" w:name="_Toc228778787"/>
      <w:r w:rsidRPr="00BD1D89">
        <w:rPr>
          <w:rFonts w:ascii="Times New Roman" w:hAnsi="Times New Roman" w:cs="Times New Roman"/>
          <w:lang w:val="es-MX"/>
        </w:rPr>
        <w:t>Recomendaciones estratégicas</w:t>
      </w:r>
      <w:bookmarkEnd w:id="87"/>
    </w:p>
    <w:p w14:paraId="29B6DE11" w14:textId="77777777" w:rsidR="00BD1D89" w:rsidRPr="00BD1D89" w:rsidRDefault="00BD1D89" w:rsidP="00AF7D5A">
      <w:pPr>
        <w:spacing w:after="0"/>
        <w:ind w:left="360" w:firstLine="72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t>A partir de las conclusiones alcanzadas, se proponen las siguientes recomendaciones para maximizar la probabilidad de éxito del proyecto:</w:t>
      </w:r>
    </w:p>
    <w:p w14:paraId="1ACB6394" w14:textId="77777777" w:rsidR="00BD1D89" w:rsidRPr="00BD1D89" w:rsidRDefault="00BD1D89">
      <w:pPr>
        <w:pStyle w:val="Prrafodelista"/>
        <w:numPr>
          <w:ilvl w:val="0"/>
          <w:numId w:val="79"/>
        </w:numPr>
        <w:spacing w:after="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t>Asegurar contratos ancla previos a la puesta en marcha, que garanticen un nivel mínimo de ocupación desde el inicio de operaciones, reduciendo el riesgo comercial identificado en el análisis de sensibilidad.</w:t>
      </w:r>
    </w:p>
    <w:p w14:paraId="3681AB12" w14:textId="77777777" w:rsidR="00BD1D89" w:rsidRPr="00BD1D89" w:rsidRDefault="00BD1D89">
      <w:pPr>
        <w:pStyle w:val="Prrafodelista"/>
        <w:numPr>
          <w:ilvl w:val="0"/>
          <w:numId w:val="79"/>
        </w:numPr>
        <w:spacing w:before="240" w:after="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t>Desarrollar una estrategia comercial proactiva y segmentada, orientada a clientes AAA de consumo masivo, industria, tecnología y farmacéutica, que valoren la integración logística y el cumplimiento normativo.</w:t>
      </w:r>
    </w:p>
    <w:p w14:paraId="599A854A" w14:textId="77777777" w:rsidR="00BD1D89" w:rsidRPr="00BD1D89" w:rsidRDefault="00BD1D89">
      <w:pPr>
        <w:pStyle w:val="Prrafodelista"/>
        <w:numPr>
          <w:ilvl w:val="0"/>
          <w:numId w:val="79"/>
        </w:numPr>
        <w:spacing w:before="240" w:after="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lastRenderedPageBreak/>
        <w:t>Sostener un posicionamiento premium basado en valor, evitando competir exclusivamente por precio y reforzando atributos diferenciales como trazabilidad, SLA garantizados, compliance y sustentabilidad.</w:t>
      </w:r>
    </w:p>
    <w:p w14:paraId="2C87CAA7" w14:textId="77777777" w:rsidR="00BD1D89" w:rsidRPr="00BD1D89" w:rsidRDefault="00BD1D89">
      <w:pPr>
        <w:pStyle w:val="Prrafodelista"/>
        <w:numPr>
          <w:ilvl w:val="0"/>
          <w:numId w:val="79"/>
        </w:numPr>
        <w:spacing w:before="240" w:after="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t>Invertir en tecnología y capacitación continua, asegurando la correcta integración de sistemas con los organismos aduaneros y la excelencia operativa del personal involucrado.</w:t>
      </w:r>
    </w:p>
    <w:p w14:paraId="53D7EBFF" w14:textId="27665CCD" w:rsidR="00AF7D5A" w:rsidRPr="00AF7D5A" w:rsidRDefault="00BD1D89">
      <w:pPr>
        <w:pStyle w:val="Prrafodelista"/>
        <w:numPr>
          <w:ilvl w:val="0"/>
          <w:numId w:val="79"/>
        </w:numPr>
        <w:spacing w:before="240" w:after="0"/>
        <w:jc w:val="both"/>
        <w:rPr>
          <w:rFonts w:ascii="Times New Roman" w:hAnsi="Times New Roman" w:cs="Times New Roman"/>
          <w:sz w:val="24"/>
          <w:szCs w:val="24"/>
          <w:lang w:val="es-MX"/>
        </w:rPr>
      </w:pPr>
      <w:r w:rsidRPr="00BD1D89">
        <w:rPr>
          <w:rFonts w:ascii="Times New Roman" w:hAnsi="Times New Roman" w:cs="Times New Roman"/>
          <w:sz w:val="24"/>
          <w:szCs w:val="24"/>
          <w:lang w:val="es-MX"/>
        </w:rPr>
        <w:t>Implementar un esquema de control de gestión con KPIs específicos, que permita monitorear ocupación, rentabilidad por cliente, cumplimiento de SLA y eficiencia operativa desde las primeras etapas del proyecto.</w:t>
      </w:r>
    </w:p>
    <w:p w14:paraId="7BC332CC" w14:textId="77777777" w:rsidR="00AF7D5A" w:rsidRPr="00AF7D5A" w:rsidRDefault="00AF7D5A" w:rsidP="00AF7D5A">
      <w:pPr>
        <w:pStyle w:val="Ttulo2"/>
        <w:spacing w:after="240"/>
        <w:jc w:val="both"/>
        <w:rPr>
          <w:rFonts w:ascii="Times New Roman" w:hAnsi="Times New Roman" w:cs="Times New Roman"/>
          <w:lang w:val="es-MX"/>
        </w:rPr>
      </w:pPr>
      <w:bookmarkStart w:id="88" w:name="_Toc228778788"/>
      <w:r w:rsidRPr="00AF7D5A">
        <w:rPr>
          <w:rFonts w:ascii="Times New Roman" w:hAnsi="Times New Roman" w:cs="Times New Roman"/>
          <w:lang w:val="es-MX"/>
        </w:rPr>
        <w:t>Recomendaciones estratégicas</w:t>
      </w:r>
      <w:bookmarkEnd w:id="88"/>
    </w:p>
    <w:p w14:paraId="0A80AA1C" w14:textId="77777777" w:rsidR="00AF7D5A" w:rsidRPr="00AF7D5A" w:rsidRDefault="00AF7D5A" w:rsidP="00AF7D5A">
      <w:pPr>
        <w:spacing w:after="0"/>
        <w:ind w:firstLine="72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A partir de las conclusiones alcanzadas, se proponen las siguientes recomendaciones para maximizar la probabilidad de éxito del proyecto:</w:t>
      </w:r>
    </w:p>
    <w:p w14:paraId="050A9A2A" w14:textId="77777777" w:rsidR="00AF7D5A" w:rsidRPr="00AF7D5A" w:rsidRDefault="00AF7D5A">
      <w:pPr>
        <w:numPr>
          <w:ilvl w:val="0"/>
          <w:numId w:val="80"/>
        </w:numPr>
        <w:tabs>
          <w:tab w:val="num" w:pos="720"/>
        </w:tabs>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Asegurar contratos ancla previos a la puesta en marcha, que garanticen un nivel mínimo de ocupación desde el inicio de operaciones, reduciendo el riesgo comercial identificado en el análisis de sensibilidad.</w:t>
      </w:r>
    </w:p>
    <w:p w14:paraId="02C8F442" w14:textId="77777777" w:rsidR="00AF7D5A" w:rsidRPr="00AF7D5A" w:rsidRDefault="00AF7D5A">
      <w:pPr>
        <w:numPr>
          <w:ilvl w:val="0"/>
          <w:numId w:val="80"/>
        </w:numPr>
        <w:tabs>
          <w:tab w:val="num" w:pos="720"/>
        </w:tabs>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Desarrollar una estrategia comercial proactiva y segmentada, orientada a clientes AAA de consumo masivo, industria, tecnología y farmacéutica, que valoren la integración logística y el cumplimiento normativo.</w:t>
      </w:r>
    </w:p>
    <w:p w14:paraId="724F47E3" w14:textId="77777777" w:rsidR="00AF7D5A" w:rsidRPr="00AF7D5A" w:rsidRDefault="00AF7D5A">
      <w:pPr>
        <w:numPr>
          <w:ilvl w:val="0"/>
          <w:numId w:val="80"/>
        </w:numPr>
        <w:tabs>
          <w:tab w:val="num" w:pos="720"/>
        </w:tabs>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Sostener un posicionamiento premium basado en valor, evitando competir exclusivamente por precio y reforzando atributos diferenciales como trazabilidad, SLA garantizados, compliance y sustentabilidad.</w:t>
      </w:r>
    </w:p>
    <w:p w14:paraId="6685CD58" w14:textId="77777777" w:rsidR="00AF7D5A" w:rsidRPr="00AF7D5A" w:rsidRDefault="00AF7D5A">
      <w:pPr>
        <w:numPr>
          <w:ilvl w:val="0"/>
          <w:numId w:val="80"/>
        </w:numPr>
        <w:tabs>
          <w:tab w:val="num" w:pos="720"/>
        </w:tabs>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Invertir en tecnología y capacitación continua, asegurando la correcta integración de sistemas con los organismos aduaneros y la excelencia operativa del personal involucrado.</w:t>
      </w:r>
    </w:p>
    <w:p w14:paraId="36239FE2" w14:textId="77777777" w:rsidR="00AF7D5A" w:rsidRPr="00AF7D5A" w:rsidRDefault="00AF7D5A">
      <w:pPr>
        <w:numPr>
          <w:ilvl w:val="0"/>
          <w:numId w:val="80"/>
        </w:numPr>
        <w:tabs>
          <w:tab w:val="num" w:pos="720"/>
        </w:tabs>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Implementar un esquema de control de gestión con KPIs específicos, que permita monitorear ocupación, rentabilidad por cliente, cumplimiento de SLA y eficiencia operativa desde las primeras etapas del proyecto.</w:t>
      </w:r>
    </w:p>
    <w:p w14:paraId="557291FA" w14:textId="07D15782" w:rsidR="00AF7D5A" w:rsidRPr="00AF7D5A" w:rsidRDefault="00AF7D5A" w:rsidP="00AF7D5A">
      <w:pPr>
        <w:pStyle w:val="Ttulo2"/>
        <w:spacing w:after="240"/>
        <w:jc w:val="both"/>
        <w:rPr>
          <w:rFonts w:ascii="Times New Roman" w:hAnsi="Times New Roman" w:cs="Times New Roman"/>
          <w:lang w:val="es-MX"/>
        </w:rPr>
      </w:pPr>
      <w:bookmarkStart w:id="89" w:name="_Toc228778789"/>
      <w:r w:rsidRPr="00AF7D5A">
        <w:rPr>
          <w:rFonts w:ascii="Times New Roman" w:hAnsi="Times New Roman" w:cs="Times New Roman"/>
          <w:lang w:val="es-MX"/>
        </w:rPr>
        <w:t>Limitaciones del estudio y futuras líneas de investigación</w:t>
      </w:r>
      <w:bookmarkEnd w:id="89"/>
    </w:p>
    <w:p w14:paraId="27571051" w14:textId="77777777" w:rsidR="00AF7D5A" w:rsidRPr="00AF7D5A" w:rsidRDefault="00AF7D5A" w:rsidP="00AF7D5A">
      <w:pPr>
        <w:spacing w:after="0"/>
        <w:ind w:firstLine="72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Si bien el presente trabajo ofrece una evaluación integral del proyecto, es importante reconocer ciertas limitaciones. Las proyecciones financieras se basan en supuestos de mercado y escenarios macroeconómicos que pueden verse afectados por cambios regulatorios, económicos o comerciales. Asimismo, el análisis no incorpora eventuales beneficios fiscales adicionales o esquemas de asociación estratégica que podrían mejorar la rentabilidad del proyecto.</w:t>
      </w:r>
    </w:p>
    <w:p w14:paraId="5219CDDD" w14:textId="77777777" w:rsidR="00AF7D5A" w:rsidRPr="00AF7D5A" w:rsidRDefault="00AF7D5A" w:rsidP="005975E3">
      <w:pPr>
        <w:spacing w:after="0"/>
        <w:ind w:firstLine="72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Como líneas futuras de investigación, se sugiere profundizar en:</w:t>
      </w:r>
    </w:p>
    <w:p w14:paraId="42FB7A57" w14:textId="77777777" w:rsidR="00AF7D5A" w:rsidRPr="00AF7D5A" w:rsidRDefault="00AF7D5A">
      <w:pPr>
        <w:numPr>
          <w:ilvl w:val="0"/>
          <w:numId w:val="81"/>
        </w:numPr>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El análisis de modelos asociativos con clientes estratégicos o desarrolladores inmobiliarios.</w:t>
      </w:r>
    </w:p>
    <w:p w14:paraId="44913A64" w14:textId="77777777" w:rsidR="00AF7D5A" w:rsidRPr="00AF7D5A" w:rsidRDefault="00AF7D5A">
      <w:pPr>
        <w:numPr>
          <w:ilvl w:val="0"/>
          <w:numId w:val="81"/>
        </w:numPr>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t>La evaluación de expansiones regionales del modelo de Depósito Fiscal a otras zonas logísticas del país.</w:t>
      </w:r>
    </w:p>
    <w:p w14:paraId="1279DF8E" w14:textId="77777777" w:rsidR="00AF7D5A" w:rsidRPr="00AF7D5A" w:rsidRDefault="00AF7D5A">
      <w:pPr>
        <w:numPr>
          <w:ilvl w:val="0"/>
          <w:numId w:val="81"/>
        </w:numPr>
        <w:spacing w:after="0"/>
        <w:jc w:val="both"/>
        <w:rPr>
          <w:rFonts w:ascii="Times New Roman" w:hAnsi="Times New Roman" w:cs="Times New Roman"/>
          <w:sz w:val="24"/>
          <w:szCs w:val="24"/>
          <w:lang w:val="es-MX"/>
        </w:rPr>
      </w:pPr>
      <w:r w:rsidRPr="00AF7D5A">
        <w:rPr>
          <w:rFonts w:ascii="Times New Roman" w:hAnsi="Times New Roman" w:cs="Times New Roman"/>
          <w:sz w:val="24"/>
          <w:szCs w:val="24"/>
          <w:lang w:val="es-MX"/>
        </w:rPr>
        <w:lastRenderedPageBreak/>
        <w:t>El impacto de la digitalización y automatización avanzada en la eficiencia operativa y la experiencia del cliente.</w:t>
      </w:r>
    </w:p>
    <w:p w14:paraId="5D670435" w14:textId="46C743F7" w:rsidR="00AF7D5A" w:rsidRPr="00AF7D5A" w:rsidRDefault="00AF7D5A" w:rsidP="00AF7D5A">
      <w:pPr>
        <w:pStyle w:val="Ttulo2"/>
        <w:spacing w:after="240"/>
        <w:jc w:val="both"/>
        <w:rPr>
          <w:rFonts w:ascii="Times New Roman" w:hAnsi="Times New Roman" w:cs="Times New Roman"/>
          <w:lang w:val="es-MX"/>
        </w:rPr>
      </w:pPr>
      <w:bookmarkStart w:id="90" w:name="_Toc228778790"/>
      <w:r w:rsidRPr="00AF7D5A">
        <w:rPr>
          <w:rFonts w:ascii="Times New Roman" w:hAnsi="Times New Roman" w:cs="Times New Roman"/>
          <w:lang w:val="es-MX"/>
        </w:rPr>
        <w:t>Conclusión</w:t>
      </w:r>
      <w:bookmarkEnd w:id="90"/>
    </w:p>
    <w:p w14:paraId="0A087DF1" w14:textId="41383E96" w:rsidR="00CA5383" w:rsidRDefault="00CA5383" w:rsidP="00CA5383">
      <w:pPr>
        <w:spacing w:after="0"/>
        <w:ind w:firstLine="720"/>
        <w:jc w:val="both"/>
        <w:rPr>
          <w:rFonts w:ascii="Times New Roman" w:hAnsi="Times New Roman" w:cs="Times New Roman"/>
          <w:sz w:val="24"/>
          <w:szCs w:val="24"/>
          <w:lang w:val="es-MX"/>
        </w:rPr>
      </w:pPr>
      <w:r w:rsidRPr="00CA5383">
        <w:rPr>
          <w:rFonts w:ascii="Times New Roman" w:hAnsi="Times New Roman" w:cs="Times New Roman"/>
          <w:sz w:val="24"/>
          <w:szCs w:val="24"/>
          <w:lang w:val="es-MX"/>
        </w:rPr>
        <w:t xml:space="preserve">La incorporación del Depósito Fiscal en Zona Norte representa una oportunidad estratégica sólida para TASA Logística, </w:t>
      </w:r>
      <w:r w:rsidR="00600247" w:rsidRPr="00600247">
        <w:rPr>
          <w:rFonts w:ascii="Times New Roman" w:hAnsi="Times New Roman" w:cs="Times New Roman"/>
          <w:sz w:val="24"/>
          <w:szCs w:val="24"/>
        </w:rPr>
        <w:t>al ampliar su propuesta de valor, fortalecer su posicionamiento competitivo y consolidar la generación de valor económico sostenible</w:t>
      </w:r>
      <w:r w:rsidRPr="00CA5383">
        <w:rPr>
          <w:rFonts w:ascii="Times New Roman" w:hAnsi="Times New Roman" w:cs="Times New Roman"/>
          <w:sz w:val="24"/>
          <w:szCs w:val="24"/>
          <w:lang w:val="es-MX"/>
        </w:rPr>
        <w:t xml:space="preserve"> en el mediano y largo plazo. El proyecto no solo es viable desde una perspectiva financiera, sino que constituye un paso coherente en la evolución de la compañía hacia servicios logísticos de mayor complejidad y valor agregado, consolidando su rol como operador logístico integral en el mercado argentino.</w:t>
      </w:r>
    </w:p>
    <w:p w14:paraId="234CEA02" w14:textId="77777777" w:rsidR="00CA5383" w:rsidRPr="00CA5383" w:rsidRDefault="00CA5383" w:rsidP="00CA5383">
      <w:pPr>
        <w:spacing w:after="0"/>
        <w:ind w:firstLine="720"/>
        <w:jc w:val="both"/>
        <w:rPr>
          <w:rFonts w:ascii="Times New Roman" w:hAnsi="Times New Roman" w:cs="Times New Roman"/>
          <w:sz w:val="24"/>
          <w:szCs w:val="24"/>
          <w:lang w:val="es-MX"/>
        </w:rPr>
      </w:pPr>
      <w:r w:rsidRPr="00CA5383">
        <w:rPr>
          <w:rFonts w:ascii="Times New Roman" w:hAnsi="Times New Roman" w:cs="Times New Roman"/>
          <w:sz w:val="24"/>
          <w:szCs w:val="24"/>
          <w:lang w:val="es-MX"/>
        </w:rPr>
        <w:t>Esta viabilidad se verifica bajo el escenario base del proyecto, siempre que se alcance un nivel de ocupación consistente con las proyecciones de ventas, tal como se evidencia en el análisis de sensibilidad del Capítulo 9.</w:t>
      </w:r>
    </w:p>
    <w:p w14:paraId="5F8ADEAC" w14:textId="77BBF678" w:rsidR="006F2EA4" w:rsidRPr="00111094" w:rsidRDefault="00CA5383" w:rsidP="00CA5383">
      <w:pPr>
        <w:spacing w:after="0"/>
        <w:ind w:firstLine="720"/>
        <w:jc w:val="both"/>
        <w:rPr>
          <w:rFonts w:ascii="Times New Roman" w:eastAsiaTheme="majorEastAsia" w:hAnsi="Times New Roman" w:cs="Times New Roman"/>
          <w:b/>
          <w:bCs/>
          <w:color w:val="4F81BD" w:themeColor="accent1"/>
          <w:sz w:val="24"/>
          <w:szCs w:val="24"/>
        </w:rPr>
      </w:pPr>
      <w:r w:rsidRPr="00CA5383">
        <w:rPr>
          <w:rFonts w:ascii="Times New Roman" w:hAnsi="Times New Roman" w:cs="Times New Roman"/>
          <w:sz w:val="24"/>
          <w:szCs w:val="24"/>
          <w:lang w:val="es-MX"/>
        </w:rPr>
        <w:t>De este modo, el trabajo cumple con el objetivo planteado al inicio de la investigación, demostrando la factibilidad estratégica, operativa y económica de incorporar un Depósito Fiscal en Zona Norte como nueva unidad de negocios.</w:t>
      </w:r>
      <w:r w:rsidR="006F2EA4" w:rsidRPr="00111094">
        <w:rPr>
          <w:rFonts w:ascii="Times New Roman" w:hAnsi="Times New Roman" w:cs="Times New Roman"/>
          <w:sz w:val="24"/>
          <w:szCs w:val="24"/>
        </w:rPr>
        <w:br w:type="page"/>
      </w:r>
    </w:p>
    <w:p w14:paraId="0ACA36A3" w14:textId="50CF0B7A" w:rsidR="007400AA" w:rsidRPr="00111094" w:rsidRDefault="007400AA"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91" w:name="_Toc228778791"/>
      <w:r w:rsidRPr="00111094">
        <w:rPr>
          <w:rFonts w:ascii="Times New Roman" w:hAnsi="Times New Roman" w:cs="Times New Roman"/>
          <w:color w:val="4F81BD" w:themeColor="accent1"/>
          <w:w w:val="70"/>
          <w:sz w:val="40"/>
          <w:szCs w:val="40"/>
        </w:rPr>
        <w:lastRenderedPageBreak/>
        <w:t>B</w:t>
      </w:r>
      <w:r w:rsidR="00656ED2" w:rsidRPr="00111094">
        <w:rPr>
          <w:rFonts w:ascii="Times New Roman" w:hAnsi="Times New Roman" w:cs="Times New Roman"/>
          <w:color w:val="4F81BD" w:themeColor="accent1"/>
          <w:w w:val="70"/>
          <w:sz w:val="40"/>
          <w:szCs w:val="40"/>
        </w:rPr>
        <w:t>IBLIOGRAFIA</w:t>
      </w:r>
      <w:bookmarkEnd w:id="91"/>
    </w:p>
    <w:p w14:paraId="59897614" w14:textId="77777777" w:rsidR="00C668A2" w:rsidRPr="00C668A2" w:rsidRDefault="00C668A2"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 xml:space="preserve">Vara-Horna, A. (2012). </w:t>
      </w:r>
      <w:r w:rsidRPr="00C668A2">
        <w:rPr>
          <w:rFonts w:ascii="Times New Roman" w:hAnsi="Times New Roman" w:cs="Times New Roman"/>
          <w:i/>
          <w:iCs/>
          <w:sz w:val="24"/>
          <w:szCs w:val="24"/>
        </w:rPr>
        <w:t>Desde la idea hasta la sustentación: siete pasos para una tesis exitosa</w:t>
      </w:r>
      <w:r w:rsidRPr="00C668A2">
        <w:rPr>
          <w:rFonts w:ascii="Times New Roman" w:hAnsi="Times New Roman" w:cs="Times New Roman"/>
          <w:sz w:val="24"/>
          <w:szCs w:val="24"/>
        </w:rPr>
        <w:t>. Universidad de San Martín de Porres.</w:t>
      </w:r>
    </w:p>
    <w:p w14:paraId="35580638" w14:textId="75B610D1" w:rsidR="00BF3ADD" w:rsidRPr="00C668A2" w:rsidRDefault="00C668A2"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 xml:space="preserve">Agencia de Recaudación y Control Aduanero. (2018). Resolución General N.º 4352/2018: Régimen de depósitos fiscales. </w:t>
      </w:r>
      <w:r w:rsidR="00E765F6" w:rsidRPr="00C668A2">
        <w:rPr>
          <w:rFonts w:ascii="Times New Roman" w:hAnsi="Times New Roman" w:cs="Times New Roman"/>
          <w:sz w:val="24"/>
          <w:szCs w:val="24"/>
        </w:rPr>
        <w:t xml:space="preserve">ARCA (ex </w:t>
      </w:r>
      <w:r w:rsidR="007400AA" w:rsidRPr="00C668A2">
        <w:rPr>
          <w:rFonts w:ascii="Times New Roman" w:hAnsi="Times New Roman" w:cs="Times New Roman"/>
          <w:sz w:val="24"/>
          <w:szCs w:val="24"/>
        </w:rPr>
        <w:t xml:space="preserve">AFIP 2018). </w:t>
      </w:r>
      <w:hyperlink r:id="rId51" w:history="1">
        <w:r w:rsidR="007400AA" w:rsidRPr="00C668A2">
          <w:rPr>
            <w:rStyle w:val="Hipervnculo"/>
            <w:rFonts w:ascii="Times New Roman" w:hAnsi="Times New Roman" w:cs="Times New Roman"/>
            <w:sz w:val="24"/>
            <w:szCs w:val="24"/>
          </w:rPr>
          <w:t>https://biblioteca.afip.gob.ar/dcp/REAG01004352_2018_04_06</w:t>
        </w:r>
      </w:hyperlink>
    </w:p>
    <w:p w14:paraId="430BFC04" w14:textId="1F2DF8A1" w:rsidR="00BF3ADD" w:rsidRPr="00C668A2" w:rsidRDefault="00C668A2"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 xml:space="preserve">Agencia de Recaudación y Control Aduanero. (s. f.). </w:t>
      </w:r>
      <w:r w:rsidRPr="00C668A2">
        <w:rPr>
          <w:rFonts w:ascii="Times New Roman" w:hAnsi="Times New Roman" w:cs="Times New Roman"/>
          <w:i/>
          <w:iCs/>
          <w:sz w:val="24"/>
          <w:szCs w:val="24"/>
        </w:rPr>
        <w:t>Requisitos y conceptos generales sobre depósitos fiscales</w:t>
      </w:r>
      <w:r w:rsidRPr="00C668A2">
        <w:rPr>
          <w:rFonts w:ascii="Times New Roman" w:hAnsi="Times New Roman" w:cs="Times New Roman"/>
          <w:sz w:val="24"/>
          <w:szCs w:val="24"/>
        </w:rPr>
        <w:t xml:space="preserve">. </w:t>
      </w:r>
      <w:r w:rsidR="00E765F6" w:rsidRPr="00C668A2">
        <w:rPr>
          <w:rFonts w:ascii="Times New Roman" w:hAnsi="Times New Roman" w:cs="Times New Roman"/>
          <w:sz w:val="24"/>
          <w:szCs w:val="24"/>
        </w:rPr>
        <w:t xml:space="preserve">ARCA (ex </w:t>
      </w:r>
      <w:r w:rsidR="007400AA" w:rsidRPr="00C668A2">
        <w:rPr>
          <w:rFonts w:ascii="Times New Roman" w:hAnsi="Times New Roman" w:cs="Times New Roman"/>
          <w:sz w:val="24"/>
          <w:szCs w:val="24"/>
        </w:rPr>
        <w:t>AFIP</w:t>
      </w:r>
      <w:r w:rsidR="00E765F6" w:rsidRPr="00C668A2">
        <w:rPr>
          <w:rFonts w:ascii="Times New Roman" w:hAnsi="Times New Roman" w:cs="Times New Roman"/>
          <w:sz w:val="24"/>
          <w:szCs w:val="24"/>
        </w:rPr>
        <w:t>)</w:t>
      </w:r>
      <w:r w:rsidR="007400AA" w:rsidRPr="00C668A2">
        <w:rPr>
          <w:rFonts w:ascii="Times New Roman" w:hAnsi="Times New Roman" w:cs="Times New Roman"/>
          <w:sz w:val="24"/>
          <w:szCs w:val="24"/>
        </w:rPr>
        <w:t>.</w:t>
      </w:r>
      <w:r w:rsidRPr="00C668A2">
        <w:rPr>
          <w:rFonts w:ascii="Times New Roman" w:hAnsi="Times New Roman" w:cs="Times New Roman"/>
          <w:sz w:val="24"/>
          <w:szCs w:val="24"/>
        </w:rPr>
        <w:t xml:space="preserve"> </w:t>
      </w:r>
      <w:hyperlink r:id="rId52" w:history="1">
        <w:r w:rsidR="007400AA" w:rsidRPr="00C668A2">
          <w:rPr>
            <w:rStyle w:val="Hipervnculo"/>
            <w:rFonts w:ascii="Times New Roman" w:hAnsi="Times New Roman" w:cs="Times New Roman"/>
            <w:sz w:val="24"/>
            <w:szCs w:val="24"/>
          </w:rPr>
          <w:t>https://www.afip.gob.ar/depositosFiscales/conceptos-generales/</w:t>
        </w:r>
      </w:hyperlink>
      <w:r w:rsidR="007400AA" w:rsidRPr="00C668A2">
        <w:rPr>
          <w:rFonts w:ascii="Times New Roman" w:hAnsi="Times New Roman" w:cs="Times New Roman"/>
          <w:sz w:val="24"/>
          <w:szCs w:val="24"/>
        </w:rPr>
        <w:t xml:space="preserve"> </w:t>
      </w:r>
    </w:p>
    <w:p w14:paraId="1D34F828" w14:textId="77777777" w:rsidR="00BF3ADD" w:rsidRPr="00C668A2" w:rsidRDefault="00BF3ADD"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Porter, M. E. (1985). Ventaja competitiva: creación y sostenimiento de un desempeño superior. CECSA.</w:t>
      </w:r>
    </w:p>
    <w:p w14:paraId="6AA2F8B1" w14:textId="77777777" w:rsidR="00BF3ADD" w:rsidRPr="00C668A2" w:rsidRDefault="00BF3ADD"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Christopher, M. (1998). Logística y gestión de la cadena de suministro: estrategias para la reducción de costos y mejora del servicio. Ediciones Deusto.</w:t>
      </w:r>
    </w:p>
    <w:p w14:paraId="638D40A1" w14:textId="235180D5" w:rsidR="00C668A2" w:rsidRPr="00C668A2" w:rsidRDefault="00C668A2" w:rsidP="00127EE1">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lang w:val="en-US"/>
        </w:rPr>
        <w:t xml:space="preserve">Christopher, M. (2016). </w:t>
      </w:r>
      <w:r w:rsidRPr="00C668A2">
        <w:rPr>
          <w:rFonts w:ascii="Times New Roman" w:hAnsi="Times New Roman" w:cs="Times New Roman"/>
          <w:i/>
          <w:iCs/>
          <w:sz w:val="24"/>
          <w:szCs w:val="24"/>
          <w:lang w:val="en-US"/>
        </w:rPr>
        <w:t>Logistics &amp; supply chain management</w:t>
      </w:r>
      <w:r w:rsidRPr="00C668A2">
        <w:rPr>
          <w:rFonts w:ascii="Times New Roman" w:hAnsi="Times New Roman" w:cs="Times New Roman"/>
          <w:sz w:val="24"/>
          <w:szCs w:val="24"/>
          <w:lang w:val="en-US"/>
        </w:rPr>
        <w:t xml:space="preserve"> (5th ed.). </w:t>
      </w:r>
      <w:r w:rsidRPr="00C668A2">
        <w:rPr>
          <w:rFonts w:ascii="Times New Roman" w:hAnsi="Times New Roman" w:cs="Times New Roman"/>
          <w:sz w:val="24"/>
          <w:szCs w:val="24"/>
        </w:rPr>
        <w:t>Pearson Education.</w:t>
      </w:r>
    </w:p>
    <w:p w14:paraId="48B89021" w14:textId="77777777" w:rsidR="00C668A2" w:rsidRPr="00C668A2" w:rsidRDefault="00C668A2" w:rsidP="00821284">
      <w:pPr>
        <w:pStyle w:val="Prrafodelista"/>
        <w:numPr>
          <w:ilvl w:val="0"/>
          <w:numId w:val="12"/>
        </w:numPr>
        <w:spacing w:before="240"/>
        <w:rPr>
          <w:rFonts w:ascii="Times New Roman" w:hAnsi="Times New Roman" w:cs="Times New Roman"/>
          <w:sz w:val="24"/>
          <w:szCs w:val="24"/>
          <w:lang w:val="es-MX"/>
        </w:rPr>
      </w:pPr>
      <w:r w:rsidRPr="00C668A2">
        <w:rPr>
          <w:rFonts w:ascii="Times New Roman" w:hAnsi="Times New Roman" w:cs="Times New Roman"/>
          <w:sz w:val="24"/>
          <w:szCs w:val="24"/>
          <w:lang w:val="en-US"/>
        </w:rPr>
        <w:t xml:space="preserve">Brealey, R. A., Myers, S. C., &amp; Allen, F. (2020). </w:t>
      </w:r>
      <w:r w:rsidRPr="00C668A2">
        <w:rPr>
          <w:rFonts w:ascii="Times New Roman" w:hAnsi="Times New Roman" w:cs="Times New Roman"/>
          <w:i/>
          <w:iCs/>
          <w:sz w:val="24"/>
          <w:szCs w:val="24"/>
          <w:lang w:val="en-US"/>
        </w:rPr>
        <w:t>Principles of corporate finance</w:t>
      </w:r>
      <w:r w:rsidRPr="00C668A2">
        <w:rPr>
          <w:rFonts w:ascii="Times New Roman" w:hAnsi="Times New Roman" w:cs="Times New Roman"/>
          <w:sz w:val="24"/>
          <w:szCs w:val="24"/>
          <w:lang w:val="en-US"/>
        </w:rPr>
        <w:t xml:space="preserve"> (13th ed.). </w:t>
      </w:r>
      <w:r w:rsidRPr="00C668A2">
        <w:rPr>
          <w:rFonts w:ascii="Times New Roman" w:hAnsi="Times New Roman" w:cs="Times New Roman"/>
          <w:sz w:val="24"/>
          <w:szCs w:val="24"/>
        </w:rPr>
        <w:t>McGraw-Hill Education.</w:t>
      </w:r>
    </w:p>
    <w:p w14:paraId="3C0E2E81" w14:textId="77777777" w:rsidR="00C668A2" w:rsidRPr="00C668A2" w:rsidRDefault="00C668A2" w:rsidP="005B28EA">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lang w:val="en-US"/>
        </w:rPr>
        <w:t xml:space="preserve">Ansoff, H. I. (1957). Strategies for diversification. </w:t>
      </w:r>
      <w:r w:rsidRPr="00C668A2">
        <w:rPr>
          <w:rStyle w:val="nfasis"/>
          <w:rFonts w:ascii="Times New Roman" w:hAnsi="Times New Roman" w:cs="Times New Roman"/>
          <w:sz w:val="24"/>
          <w:szCs w:val="24"/>
        </w:rPr>
        <w:t>Harvard Business Review, 35</w:t>
      </w:r>
      <w:r w:rsidRPr="00C668A2">
        <w:rPr>
          <w:rFonts w:ascii="Times New Roman" w:hAnsi="Times New Roman" w:cs="Times New Roman"/>
          <w:sz w:val="24"/>
          <w:szCs w:val="24"/>
        </w:rPr>
        <w:t>(5), 113–124.</w:t>
      </w:r>
    </w:p>
    <w:p w14:paraId="1F90E71A" w14:textId="2056C69D" w:rsidR="00C668A2" w:rsidRPr="00C668A2" w:rsidRDefault="00C668A2" w:rsidP="005B28EA">
      <w:pPr>
        <w:pStyle w:val="Prrafodelista"/>
        <w:numPr>
          <w:ilvl w:val="0"/>
          <w:numId w:val="12"/>
        </w:numPr>
        <w:spacing w:before="240"/>
        <w:rPr>
          <w:rFonts w:ascii="Times New Roman" w:hAnsi="Times New Roman" w:cs="Times New Roman"/>
          <w:sz w:val="24"/>
          <w:szCs w:val="24"/>
        </w:rPr>
      </w:pPr>
      <w:r w:rsidRPr="00C668A2">
        <w:rPr>
          <w:rFonts w:ascii="Times New Roman" w:hAnsi="Times New Roman" w:cs="Times New Roman"/>
          <w:sz w:val="24"/>
          <w:szCs w:val="24"/>
        </w:rPr>
        <w:t xml:space="preserve">Teece, D. J., Pisano, G., &amp; Shuen, A. (1997). </w:t>
      </w:r>
      <w:r w:rsidRPr="00C668A2">
        <w:rPr>
          <w:rFonts w:ascii="Times New Roman" w:hAnsi="Times New Roman" w:cs="Times New Roman"/>
          <w:sz w:val="24"/>
          <w:szCs w:val="24"/>
          <w:lang w:val="en-US"/>
        </w:rPr>
        <w:t xml:space="preserve">Dynamic capabilities and strategic management. </w:t>
      </w:r>
      <w:r w:rsidRPr="00C668A2">
        <w:rPr>
          <w:rStyle w:val="nfasis"/>
          <w:rFonts w:ascii="Times New Roman" w:hAnsi="Times New Roman" w:cs="Times New Roman"/>
          <w:sz w:val="24"/>
          <w:szCs w:val="24"/>
        </w:rPr>
        <w:t>Strategic Management Journal, 18</w:t>
      </w:r>
      <w:r w:rsidRPr="00C668A2">
        <w:rPr>
          <w:rFonts w:ascii="Times New Roman" w:hAnsi="Times New Roman" w:cs="Times New Roman"/>
          <w:sz w:val="24"/>
          <w:szCs w:val="24"/>
        </w:rPr>
        <w:t>(7), 509–533.</w:t>
      </w:r>
    </w:p>
    <w:p w14:paraId="21C30F4E" w14:textId="77777777" w:rsidR="00C668A2" w:rsidRPr="00111094" w:rsidRDefault="00C668A2" w:rsidP="00C668A2">
      <w:pPr>
        <w:pStyle w:val="Prrafodelista"/>
        <w:spacing w:before="240"/>
        <w:rPr>
          <w:rFonts w:ascii="Times New Roman" w:hAnsi="Times New Roman" w:cs="Times New Roman"/>
          <w:sz w:val="24"/>
          <w:szCs w:val="24"/>
        </w:rPr>
      </w:pPr>
    </w:p>
    <w:p w14:paraId="008064C0" w14:textId="77777777" w:rsidR="00BC62ED" w:rsidRPr="00111094" w:rsidRDefault="00BC62ED" w:rsidP="00BC62ED">
      <w:pPr>
        <w:spacing w:before="240"/>
        <w:rPr>
          <w:rFonts w:ascii="Times New Roman" w:hAnsi="Times New Roman" w:cs="Times New Roman"/>
          <w:sz w:val="24"/>
          <w:szCs w:val="24"/>
        </w:rPr>
      </w:pPr>
    </w:p>
    <w:p w14:paraId="0DFDBE9B" w14:textId="77777777" w:rsidR="00BC62ED" w:rsidRPr="00111094" w:rsidRDefault="00BC62ED" w:rsidP="00BC62ED">
      <w:pPr>
        <w:spacing w:before="240"/>
        <w:rPr>
          <w:rFonts w:ascii="Times New Roman" w:hAnsi="Times New Roman" w:cs="Times New Roman"/>
          <w:sz w:val="24"/>
          <w:szCs w:val="24"/>
        </w:rPr>
      </w:pPr>
    </w:p>
    <w:p w14:paraId="7067E897" w14:textId="77777777" w:rsidR="005B545C" w:rsidRPr="00111094" w:rsidRDefault="005B545C" w:rsidP="00127EE1">
      <w:pPr>
        <w:pStyle w:val="Prrafodelista"/>
        <w:numPr>
          <w:ilvl w:val="0"/>
          <w:numId w:val="12"/>
        </w:numPr>
        <w:spacing w:before="240"/>
        <w:rPr>
          <w:rFonts w:ascii="Times New Roman" w:eastAsiaTheme="majorEastAsia" w:hAnsi="Times New Roman" w:cs="Times New Roman"/>
          <w:b/>
          <w:bCs/>
          <w:color w:val="4F81BD" w:themeColor="accent1"/>
          <w:w w:val="75"/>
          <w:kern w:val="28"/>
          <w:sz w:val="40"/>
          <w:szCs w:val="40"/>
        </w:rPr>
      </w:pPr>
      <w:r w:rsidRPr="00111094">
        <w:rPr>
          <w:rFonts w:ascii="Times New Roman" w:hAnsi="Times New Roman" w:cs="Times New Roman"/>
          <w:b/>
          <w:bCs/>
          <w:color w:val="4F81BD" w:themeColor="accent1"/>
          <w:w w:val="75"/>
          <w:sz w:val="40"/>
          <w:szCs w:val="40"/>
        </w:rPr>
        <w:br w:type="page"/>
      </w:r>
    </w:p>
    <w:p w14:paraId="3D0185CF" w14:textId="4F33F6D6" w:rsidR="00656ED2" w:rsidRPr="00111094" w:rsidRDefault="00386539" w:rsidP="007762D6">
      <w:pPr>
        <w:pStyle w:val="Ttulo1"/>
        <w:pBdr>
          <w:bottom w:val="single" w:sz="12" w:space="1" w:color="4F81BD" w:themeColor="accent1"/>
        </w:pBdr>
        <w:spacing w:line="240" w:lineRule="auto"/>
        <w:rPr>
          <w:rFonts w:ascii="Times New Roman" w:hAnsi="Times New Roman" w:cs="Times New Roman"/>
          <w:color w:val="4F81BD" w:themeColor="accent1"/>
          <w:w w:val="70"/>
          <w:sz w:val="40"/>
          <w:szCs w:val="40"/>
        </w:rPr>
      </w:pPr>
      <w:bookmarkStart w:id="92" w:name="_Toc228778792"/>
      <w:r w:rsidRPr="00111094">
        <w:rPr>
          <w:rFonts w:ascii="Times New Roman" w:hAnsi="Times New Roman" w:cs="Times New Roman"/>
          <w:color w:val="4F81BD" w:themeColor="accent1"/>
          <w:w w:val="70"/>
          <w:sz w:val="40"/>
          <w:szCs w:val="40"/>
        </w:rPr>
        <w:lastRenderedPageBreak/>
        <w:t xml:space="preserve">GUIA DE </w:t>
      </w:r>
      <w:r w:rsidR="00656ED2" w:rsidRPr="00111094">
        <w:rPr>
          <w:rFonts w:ascii="Times New Roman" w:hAnsi="Times New Roman" w:cs="Times New Roman"/>
          <w:color w:val="4F81BD" w:themeColor="accent1"/>
          <w:w w:val="70"/>
          <w:sz w:val="40"/>
          <w:szCs w:val="40"/>
        </w:rPr>
        <w:t>ANEXOS</w:t>
      </w:r>
      <w:bookmarkEnd w:id="92"/>
    </w:p>
    <w:p w14:paraId="721C94A7" w14:textId="077E6B9F" w:rsidR="00E653A2" w:rsidRPr="00111094" w:rsidRDefault="00BC62ED" w:rsidP="00BE0F73">
      <w:pPr>
        <w:pStyle w:val="Ttulo2"/>
        <w:spacing w:after="240"/>
        <w:rPr>
          <w:rFonts w:ascii="Times New Roman" w:hAnsi="Times New Roman" w:cs="Times New Roman"/>
          <w:lang w:val="en-US"/>
        </w:rPr>
      </w:pPr>
      <w:bookmarkStart w:id="93" w:name="_Toc228778793"/>
      <w:r w:rsidRPr="00111094">
        <w:rPr>
          <w:rFonts w:ascii="Times New Roman" w:hAnsi="Times New Roman" w:cs="Times New Roman"/>
          <w:lang w:val="en-US"/>
        </w:rPr>
        <w:t>Anexo I - Investigation</w:t>
      </w:r>
      <w:r w:rsidR="00E653A2" w:rsidRPr="00111094">
        <w:rPr>
          <w:rFonts w:ascii="Times New Roman" w:hAnsi="Times New Roman" w:cs="Times New Roman"/>
          <w:lang w:val="en-US"/>
        </w:rPr>
        <w:t xml:space="preserve"> </w:t>
      </w:r>
      <w:r w:rsidR="0096306B" w:rsidRPr="00111094">
        <w:rPr>
          <w:rFonts w:ascii="Times New Roman" w:hAnsi="Times New Roman" w:cs="Times New Roman"/>
          <w:lang w:val="en-US"/>
        </w:rPr>
        <w:t>de mercado K</w:t>
      </w:r>
      <w:r w:rsidR="00E653A2" w:rsidRPr="00111094">
        <w:rPr>
          <w:rFonts w:ascii="Times New Roman" w:hAnsi="Times New Roman" w:cs="Times New Roman"/>
          <w:lang w:val="en-US"/>
        </w:rPr>
        <w:t xml:space="preserve">ey </w:t>
      </w:r>
      <w:r w:rsidR="0096306B" w:rsidRPr="00111094">
        <w:rPr>
          <w:rFonts w:ascii="Times New Roman" w:hAnsi="Times New Roman" w:cs="Times New Roman"/>
          <w:lang w:val="en-US"/>
        </w:rPr>
        <w:t>M</w:t>
      </w:r>
      <w:r w:rsidR="00E653A2" w:rsidRPr="00111094">
        <w:rPr>
          <w:rFonts w:ascii="Times New Roman" w:hAnsi="Times New Roman" w:cs="Times New Roman"/>
          <w:lang w:val="en-US"/>
        </w:rPr>
        <w:t>arket</w:t>
      </w:r>
      <w:bookmarkEnd w:id="93"/>
    </w:p>
    <w:p w14:paraId="65BDA17E" w14:textId="345250F2" w:rsidR="00BE0F73" w:rsidRPr="00111094" w:rsidRDefault="00BE0F73" w:rsidP="00F56437">
      <w:pPr>
        <w:ind w:firstLine="720"/>
        <w:rPr>
          <w:rFonts w:ascii="Times New Roman" w:hAnsi="Times New Roman" w:cs="Times New Roman"/>
          <w:lang w:val="es-MX"/>
        </w:rPr>
      </w:pPr>
      <w:r w:rsidRPr="00111094">
        <w:rPr>
          <w:rFonts w:ascii="Times New Roman" w:hAnsi="Times New Roman" w:cs="Times New Roman"/>
          <w:lang w:val="es-MX"/>
        </w:rPr>
        <w:t xml:space="preserve">Se detallan los pilares de la </w:t>
      </w:r>
      <w:r w:rsidR="00834E6B" w:rsidRPr="00111094">
        <w:rPr>
          <w:rFonts w:ascii="Times New Roman" w:hAnsi="Times New Roman" w:cs="Times New Roman"/>
          <w:lang w:val="es-MX"/>
        </w:rPr>
        <w:t>investigación</w:t>
      </w:r>
      <w:r w:rsidRPr="00111094">
        <w:rPr>
          <w:rFonts w:ascii="Times New Roman" w:hAnsi="Times New Roman" w:cs="Times New Roman"/>
          <w:lang w:val="es-MX"/>
        </w:rPr>
        <w:t>:</w:t>
      </w:r>
      <w:r w:rsidR="00A54C5E" w:rsidRPr="00111094">
        <w:rPr>
          <w:rFonts w:ascii="Times New Roman" w:hAnsi="Times New Roman" w:cs="Times New Roman"/>
          <w:noProof/>
          <w:lang w:eastAsia="es-AR"/>
        </w:rPr>
        <w:drawing>
          <wp:inline distT="0" distB="0" distL="0" distR="0" wp14:anchorId="5CFC9C96" wp14:editId="36CD354F">
            <wp:extent cx="5943600" cy="3083560"/>
            <wp:effectExtent l="0" t="0" r="0" b="2540"/>
            <wp:docPr id="19077993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9936" name="Imagen 1" descr="Interfaz de usuario gráfica&#10;&#10;El contenido generado por IA puede ser incorrecto."/>
                    <pic:cNvPicPr/>
                  </pic:nvPicPr>
                  <pic:blipFill rotWithShape="1">
                    <a:blip r:embed="rId53"/>
                    <a:srcRect t="18605"/>
                    <a:stretch>
                      <a:fillRect/>
                    </a:stretch>
                  </pic:blipFill>
                  <pic:spPr bwMode="auto">
                    <a:xfrm>
                      <a:off x="0" y="0"/>
                      <a:ext cx="5943600" cy="3083560"/>
                    </a:xfrm>
                    <a:prstGeom prst="rect">
                      <a:avLst/>
                    </a:prstGeom>
                    <a:ln>
                      <a:noFill/>
                    </a:ln>
                    <a:extLst>
                      <a:ext uri="{53640926-AAD7-44D8-BBD7-CCE9431645EC}">
                        <a14:shadowObscured xmlns:a14="http://schemas.microsoft.com/office/drawing/2010/main"/>
                      </a:ext>
                    </a:extLst>
                  </pic:spPr>
                </pic:pic>
              </a:graphicData>
            </a:graphic>
          </wp:inline>
        </w:drawing>
      </w:r>
    </w:p>
    <w:p w14:paraId="537F4061" w14:textId="5D2F64B9" w:rsidR="00BE0F73" w:rsidRPr="00111094" w:rsidRDefault="00AD74AA" w:rsidP="00F56437">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7E37F73A" wp14:editId="2B6B5B7E">
            <wp:extent cx="5943600" cy="3314700"/>
            <wp:effectExtent l="0" t="0" r="0" b="0"/>
            <wp:docPr id="87600346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03469" name=""/>
                    <pic:cNvPicPr/>
                  </pic:nvPicPr>
                  <pic:blipFill rotWithShape="1">
                    <a:blip r:embed="rId5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5"/>
                        </a:ext>
                      </a:extLst>
                    </a:blip>
                    <a:srcRect t="19444"/>
                    <a:stretch>
                      <a:fillRect/>
                    </a:stretch>
                  </pic:blipFill>
                  <pic:spPr bwMode="auto">
                    <a:xfrm>
                      <a:off x="0" y="0"/>
                      <a:ext cx="5943600" cy="3314700"/>
                    </a:xfrm>
                    <a:prstGeom prst="rect">
                      <a:avLst/>
                    </a:prstGeom>
                    <a:ln>
                      <a:noFill/>
                    </a:ln>
                    <a:extLst>
                      <a:ext uri="{53640926-AAD7-44D8-BBD7-CCE9431645EC}">
                        <a14:shadowObscured xmlns:a14="http://schemas.microsoft.com/office/drawing/2010/main"/>
                      </a:ext>
                    </a:extLst>
                  </pic:spPr>
                </pic:pic>
              </a:graphicData>
            </a:graphic>
          </wp:inline>
        </w:drawing>
      </w:r>
    </w:p>
    <w:p w14:paraId="058B2B88" w14:textId="00B7F1E0" w:rsidR="00872682" w:rsidRPr="00111094" w:rsidRDefault="00872682"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2BC6D872" wp14:editId="1340CD7D">
            <wp:extent cx="5613400" cy="3886200"/>
            <wp:effectExtent l="0" t="0" r="6350" b="0"/>
            <wp:docPr id="112333870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38705" name=""/>
                    <pic:cNvPicPr/>
                  </pic:nvPicPr>
                  <pic:blipFill>
                    <a:blip r:embed="rId5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7"/>
                        </a:ext>
                      </a:extLst>
                    </a:blip>
                    <a:stretch>
                      <a:fillRect/>
                    </a:stretch>
                  </pic:blipFill>
                  <pic:spPr>
                    <a:xfrm>
                      <a:off x="0" y="0"/>
                      <a:ext cx="5614092" cy="3886679"/>
                    </a:xfrm>
                    <a:prstGeom prst="rect">
                      <a:avLst/>
                    </a:prstGeom>
                  </pic:spPr>
                </pic:pic>
              </a:graphicData>
            </a:graphic>
          </wp:inline>
        </w:drawing>
      </w:r>
    </w:p>
    <w:p w14:paraId="737EC24D" w14:textId="77777777" w:rsidR="004C7D51" w:rsidRPr="00111094" w:rsidRDefault="00872682"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7EE4D8BA" wp14:editId="33A90D7C">
            <wp:extent cx="5613400" cy="3886200"/>
            <wp:effectExtent l="0" t="0" r="6350" b="0"/>
            <wp:docPr id="109395426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54260" name=""/>
                    <pic:cNvPicPr/>
                  </pic:nvPicPr>
                  <pic:blipFill>
                    <a:blip r:embed="rId5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9"/>
                        </a:ext>
                      </a:extLst>
                    </a:blip>
                    <a:stretch>
                      <a:fillRect/>
                    </a:stretch>
                  </pic:blipFill>
                  <pic:spPr>
                    <a:xfrm>
                      <a:off x="0" y="0"/>
                      <a:ext cx="5613539" cy="3886296"/>
                    </a:xfrm>
                    <a:prstGeom prst="rect">
                      <a:avLst/>
                    </a:prstGeom>
                  </pic:spPr>
                </pic:pic>
              </a:graphicData>
            </a:graphic>
          </wp:inline>
        </w:drawing>
      </w:r>
    </w:p>
    <w:p w14:paraId="14BF1310" w14:textId="50BCBBD5" w:rsidR="00872682" w:rsidRPr="00111094" w:rsidRDefault="000A0C2B"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6B5A6529" wp14:editId="1A6FE687">
            <wp:extent cx="5429956" cy="3759200"/>
            <wp:effectExtent l="0" t="0" r="0" b="0"/>
            <wp:docPr id="11387463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4633" name=""/>
                    <pic:cNvPicPr/>
                  </pic:nvPicPr>
                  <pic:blipFill>
                    <a:blip r:embed="rId6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1"/>
                        </a:ext>
                      </a:extLst>
                    </a:blip>
                    <a:stretch>
                      <a:fillRect/>
                    </a:stretch>
                  </pic:blipFill>
                  <pic:spPr>
                    <a:xfrm>
                      <a:off x="0" y="0"/>
                      <a:ext cx="5435807" cy="3763251"/>
                    </a:xfrm>
                    <a:prstGeom prst="rect">
                      <a:avLst/>
                    </a:prstGeom>
                  </pic:spPr>
                </pic:pic>
              </a:graphicData>
            </a:graphic>
          </wp:inline>
        </w:drawing>
      </w:r>
    </w:p>
    <w:p w14:paraId="202A3993" w14:textId="0EE3B412" w:rsidR="004C7D51" w:rsidRPr="00111094" w:rsidRDefault="004C7D51"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507FC2BF" wp14:editId="2265F851">
            <wp:extent cx="5435600" cy="3763108"/>
            <wp:effectExtent l="0" t="0" r="0" b="8890"/>
            <wp:docPr id="62398799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87995" name=""/>
                    <pic:cNvPicPr/>
                  </pic:nvPicPr>
                  <pic:blipFill>
                    <a:blip r:embed="rId6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3"/>
                        </a:ext>
                      </a:extLst>
                    </a:blip>
                    <a:stretch>
                      <a:fillRect/>
                    </a:stretch>
                  </pic:blipFill>
                  <pic:spPr>
                    <a:xfrm>
                      <a:off x="0" y="0"/>
                      <a:ext cx="5435742" cy="3763206"/>
                    </a:xfrm>
                    <a:prstGeom prst="rect">
                      <a:avLst/>
                    </a:prstGeom>
                  </pic:spPr>
                </pic:pic>
              </a:graphicData>
            </a:graphic>
          </wp:inline>
        </w:drawing>
      </w:r>
    </w:p>
    <w:p w14:paraId="70B77D4B" w14:textId="4646D069" w:rsidR="00BE0F73" w:rsidRPr="00111094" w:rsidRDefault="000138FF"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25B615CD" wp14:editId="25DC50E2">
            <wp:extent cx="5219700" cy="3613638"/>
            <wp:effectExtent l="0" t="0" r="0" b="6350"/>
            <wp:docPr id="181870849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08497" name=""/>
                    <pic:cNvPicPr/>
                  </pic:nvPicPr>
                  <pic:blipFill>
                    <a:blip r:embed="rId6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5"/>
                        </a:ext>
                      </a:extLst>
                    </a:blip>
                    <a:stretch>
                      <a:fillRect/>
                    </a:stretch>
                  </pic:blipFill>
                  <pic:spPr>
                    <a:xfrm>
                      <a:off x="0" y="0"/>
                      <a:ext cx="5223281" cy="3616117"/>
                    </a:xfrm>
                    <a:prstGeom prst="rect">
                      <a:avLst/>
                    </a:prstGeom>
                  </pic:spPr>
                </pic:pic>
              </a:graphicData>
            </a:graphic>
          </wp:inline>
        </w:drawing>
      </w:r>
    </w:p>
    <w:p w14:paraId="531D6B1C" w14:textId="243E6A45" w:rsidR="000138FF" w:rsidRPr="00111094" w:rsidRDefault="000138FF"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097F9430" wp14:editId="6FF41829">
            <wp:extent cx="5219700" cy="3613638"/>
            <wp:effectExtent l="0" t="0" r="0" b="6350"/>
            <wp:docPr id="98744214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42144" name=""/>
                    <pic:cNvPicPr/>
                  </pic:nvPicPr>
                  <pic:blipFill>
                    <a:blip r:embed="rId6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7"/>
                        </a:ext>
                      </a:extLst>
                    </a:blip>
                    <a:stretch>
                      <a:fillRect/>
                    </a:stretch>
                  </pic:blipFill>
                  <pic:spPr>
                    <a:xfrm>
                      <a:off x="0" y="0"/>
                      <a:ext cx="5223953" cy="3616582"/>
                    </a:xfrm>
                    <a:prstGeom prst="rect">
                      <a:avLst/>
                    </a:prstGeom>
                  </pic:spPr>
                </pic:pic>
              </a:graphicData>
            </a:graphic>
          </wp:inline>
        </w:drawing>
      </w:r>
    </w:p>
    <w:p w14:paraId="1A76BFE4" w14:textId="5EEFB71D" w:rsidR="000138FF" w:rsidRPr="00111094" w:rsidRDefault="000138FF"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2D50C128" wp14:editId="0F1FAC78">
            <wp:extent cx="4933950" cy="3415812"/>
            <wp:effectExtent l="0" t="0" r="0" b="0"/>
            <wp:docPr id="49467058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70581" name=""/>
                    <pic:cNvPicPr/>
                  </pic:nvPicPr>
                  <pic:blipFill>
                    <a:blip r:embed="rId6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9"/>
                        </a:ext>
                      </a:extLst>
                    </a:blip>
                    <a:stretch>
                      <a:fillRect/>
                    </a:stretch>
                  </pic:blipFill>
                  <pic:spPr>
                    <a:xfrm>
                      <a:off x="0" y="0"/>
                      <a:ext cx="4935461" cy="3416858"/>
                    </a:xfrm>
                    <a:prstGeom prst="rect">
                      <a:avLst/>
                    </a:prstGeom>
                  </pic:spPr>
                </pic:pic>
              </a:graphicData>
            </a:graphic>
          </wp:inline>
        </w:drawing>
      </w:r>
    </w:p>
    <w:p w14:paraId="0DBAB5D3" w14:textId="035AB61E" w:rsidR="000C6170" w:rsidRPr="00111094" w:rsidRDefault="000C6170"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4A094F8D" wp14:editId="5EF8F445">
            <wp:extent cx="4933950" cy="3415812"/>
            <wp:effectExtent l="0" t="0" r="0" b="0"/>
            <wp:docPr id="6408696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86966" name=""/>
                    <pic:cNvPicPr/>
                  </pic:nvPicPr>
                  <pic:blipFill>
                    <a:blip r:embed="rId7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1"/>
                        </a:ext>
                      </a:extLst>
                    </a:blip>
                    <a:stretch>
                      <a:fillRect/>
                    </a:stretch>
                  </pic:blipFill>
                  <pic:spPr>
                    <a:xfrm>
                      <a:off x="0" y="0"/>
                      <a:ext cx="4934375" cy="3416106"/>
                    </a:xfrm>
                    <a:prstGeom prst="rect">
                      <a:avLst/>
                    </a:prstGeom>
                  </pic:spPr>
                </pic:pic>
              </a:graphicData>
            </a:graphic>
          </wp:inline>
        </w:drawing>
      </w:r>
    </w:p>
    <w:p w14:paraId="253526FE" w14:textId="326CDECC" w:rsidR="000C6170" w:rsidRPr="00111094" w:rsidRDefault="000C6170"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15AC1134" wp14:editId="740DCD48">
            <wp:extent cx="5558367" cy="3848100"/>
            <wp:effectExtent l="0" t="0" r="4445" b="0"/>
            <wp:docPr id="84163187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631879" name=""/>
                    <pic:cNvPicPr/>
                  </pic:nvPicPr>
                  <pic:blipFill>
                    <a:blip r:embed="rId7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3"/>
                        </a:ext>
                      </a:extLst>
                    </a:blip>
                    <a:stretch>
                      <a:fillRect/>
                    </a:stretch>
                  </pic:blipFill>
                  <pic:spPr>
                    <a:xfrm>
                      <a:off x="0" y="0"/>
                      <a:ext cx="5561887" cy="3850537"/>
                    </a:xfrm>
                    <a:prstGeom prst="rect">
                      <a:avLst/>
                    </a:prstGeom>
                  </pic:spPr>
                </pic:pic>
              </a:graphicData>
            </a:graphic>
          </wp:inline>
        </w:drawing>
      </w:r>
    </w:p>
    <w:p w14:paraId="05E3356F" w14:textId="5F23F792" w:rsidR="000C6170" w:rsidRPr="00111094" w:rsidRDefault="000C6170"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01DD94FA" wp14:editId="787FE97C">
            <wp:extent cx="5668433" cy="3924300"/>
            <wp:effectExtent l="0" t="0" r="8890" b="0"/>
            <wp:docPr id="109907729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77296" name=""/>
                    <pic:cNvPicPr/>
                  </pic:nvPicPr>
                  <pic:blipFill>
                    <a:blip r:embed="rId7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5"/>
                        </a:ext>
                      </a:extLst>
                    </a:blip>
                    <a:stretch>
                      <a:fillRect/>
                    </a:stretch>
                  </pic:blipFill>
                  <pic:spPr>
                    <a:xfrm>
                      <a:off x="0" y="0"/>
                      <a:ext cx="5671685" cy="3926552"/>
                    </a:xfrm>
                    <a:prstGeom prst="rect">
                      <a:avLst/>
                    </a:prstGeom>
                  </pic:spPr>
                </pic:pic>
              </a:graphicData>
            </a:graphic>
          </wp:inline>
        </w:drawing>
      </w:r>
    </w:p>
    <w:p w14:paraId="75947691" w14:textId="1F6A6904" w:rsidR="000C6170" w:rsidRPr="00111094" w:rsidRDefault="000C6170"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504B8A48" wp14:editId="760D912A">
            <wp:extent cx="5238750" cy="3626827"/>
            <wp:effectExtent l="0" t="0" r="0" b="0"/>
            <wp:docPr id="167301691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16916" name=""/>
                    <pic:cNvPicPr/>
                  </pic:nvPicPr>
                  <pic:blipFill>
                    <a:blip r:embed="rId7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7"/>
                        </a:ext>
                      </a:extLst>
                    </a:blip>
                    <a:stretch>
                      <a:fillRect/>
                    </a:stretch>
                  </pic:blipFill>
                  <pic:spPr>
                    <a:xfrm>
                      <a:off x="0" y="0"/>
                      <a:ext cx="5241413" cy="3628670"/>
                    </a:xfrm>
                    <a:prstGeom prst="rect">
                      <a:avLst/>
                    </a:prstGeom>
                  </pic:spPr>
                </pic:pic>
              </a:graphicData>
            </a:graphic>
          </wp:inline>
        </w:drawing>
      </w:r>
    </w:p>
    <w:p w14:paraId="58DC4A43" w14:textId="6075D6E5" w:rsidR="003801DD" w:rsidRPr="00111094" w:rsidRDefault="003801DD"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23C2001C" wp14:editId="4D221D95">
            <wp:extent cx="5238750" cy="3626827"/>
            <wp:effectExtent l="0" t="0" r="0" b="0"/>
            <wp:docPr id="195397164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71646" name=""/>
                    <pic:cNvPicPr/>
                  </pic:nvPicPr>
                  <pic:blipFill>
                    <a:blip r:embed="rId7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79"/>
                        </a:ext>
                      </a:extLst>
                    </a:blip>
                    <a:stretch>
                      <a:fillRect/>
                    </a:stretch>
                  </pic:blipFill>
                  <pic:spPr>
                    <a:xfrm>
                      <a:off x="0" y="0"/>
                      <a:ext cx="5243373" cy="3630027"/>
                    </a:xfrm>
                    <a:prstGeom prst="rect">
                      <a:avLst/>
                    </a:prstGeom>
                  </pic:spPr>
                </pic:pic>
              </a:graphicData>
            </a:graphic>
          </wp:inline>
        </w:drawing>
      </w:r>
    </w:p>
    <w:p w14:paraId="102A53C5" w14:textId="3C9888F9" w:rsidR="003801DD" w:rsidRPr="00111094" w:rsidRDefault="003801DD"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42CB9DAF" wp14:editId="35E05444">
            <wp:extent cx="5181600" cy="3587262"/>
            <wp:effectExtent l="0" t="0" r="0" b="0"/>
            <wp:docPr id="182597428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74286" name=""/>
                    <pic:cNvPicPr/>
                  </pic:nvPicPr>
                  <pic:blipFill>
                    <a:blip r:embed="rId8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1"/>
                        </a:ext>
                      </a:extLst>
                    </a:blip>
                    <a:stretch>
                      <a:fillRect/>
                    </a:stretch>
                  </pic:blipFill>
                  <pic:spPr>
                    <a:xfrm>
                      <a:off x="0" y="0"/>
                      <a:ext cx="5185054" cy="3589653"/>
                    </a:xfrm>
                    <a:prstGeom prst="rect">
                      <a:avLst/>
                    </a:prstGeom>
                  </pic:spPr>
                </pic:pic>
              </a:graphicData>
            </a:graphic>
          </wp:inline>
        </w:drawing>
      </w:r>
    </w:p>
    <w:p w14:paraId="5E38E505" w14:textId="286234C9" w:rsidR="003801DD" w:rsidRPr="00111094" w:rsidRDefault="003801DD"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5A8FCCE6" wp14:editId="2ED144E0">
            <wp:extent cx="5181600" cy="3587262"/>
            <wp:effectExtent l="0" t="0" r="0" b="0"/>
            <wp:docPr id="174982756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27564" name=""/>
                    <pic:cNvPicPr/>
                  </pic:nvPicPr>
                  <pic:blipFill>
                    <a:blip r:embed="rId8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3"/>
                        </a:ext>
                      </a:extLst>
                    </a:blip>
                    <a:stretch>
                      <a:fillRect/>
                    </a:stretch>
                  </pic:blipFill>
                  <pic:spPr>
                    <a:xfrm>
                      <a:off x="0" y="0"/>
                      <a:ext cx="5183198" cy="3588368"/>
                    </a:xfrm>
                    <a:prstGeom prst="rect">
                      <a:avLst/>
                    </a:prstGeom>
                  </pic:spPr>
                </pic:pic>
              </a:graphicData>
            </a:graphic>
          </wp:inline>
        </w:drawing>
      </w:r>
    </w:p>
    <w:p w14:paraId="3C1804C7" w14:textId="474C294E" w:rsidR="003801DD" w:rsidRPr="00111094" w:rsidRDefault="003801DD"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4FD974B8" wp14:editId="4BFC7CD6">
            <wp:extent cx="5334000" cy="3692769"/>
            <wp:effectExtent l="0" t="0" r="0" b="3175"/>
            <wp:docPr id="148577094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70941" name=""/>
                    <pic:cNvPicPr/>
                  </pic:nvPicPr>
                  <pic:blipFill>
                    <a:blip r:embed="rId8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5"/>
                        </a:ext>
                      </a:extLst>
                    </a:blip>
                    <a:stretch>
                      <a:fillRect/>
                    </a:stretch>
                  </pic:blipFill>
                  <pic:spPr>
                    <a:xfrm>
                      <a:off x="0" y="0"/>
                      <a:ext cx="5337619" cy="3695274"/>
                    </a:xfrm>
                    <a:prstGeom prst="rect">
                      <a:avLst/>
                    </a:prstGeom>
                  </pic:spPr>
                </pic:pic>
              </a:graphicData>
            </a:graphic>
          </wp:inline>
        </w:drawing>
      </w:r>
    </w:p>
    <w:p w14:paraId="357F9A17" w14:textId="5F549417" w:rsidR="00D70EB9" w:rsidRPr="00111094" w:rsidRDefault="00D70EB9"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4AC22D57" wp14:editId="4E0BD343">
            <wp:extent cx="5334000" cy="3692769"/>
            <wp:effectExtent l="0" t="0" r="0" b="3175"/>
            <wp:docPr id="86531398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13980" name=""/>
                    <pic:cNvPicPr/>
                  </pic:nvPicPr>
                  <pic:blipFill>
                    <a:blip r:embed="rId8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7"/>
                        </a:ext>
                      </a:extLst>
                    </a:blip>
                    <a:stretch>
                      <a:fillRect/>
                    </a:stretch>
                  </pic:blipFill>
                  <pic:spPr>
                    <a:xfrm>
                      <a:off x="0" y="0"/>
                      <a:ext cx="5337825" cy="3695417"/>
                    </a:xfrm>
                    <a:prstGeom prst="rect">
                      <a:avLst/>
                    </a:prstGeom>
                  </pic:spPr>
                </pic:pic>
              </a:graphicData>
            </a:graphic>
          </wp:inline>
        </w:drawing>
      </w:r>
    </w:p>
    <w:p w14:paraId="38052E0D" w14:textId="5A9CA0D3" w:rsidR="00D70EB9" w:rsidRPr="00111094" w:rsidRDefault="00D70EB9"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45D292CC" wp14:editId="667DC2FC">
            <wp:extent cx="5393267" cy="3733800"/>
            <wp:effectExtent l="0" t="0" r="0" b="0"/>
            <wp:docPr id="28708997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89972" name=""/>
                    <pic:cNvPicPr/>
                  </pic:nvPicPr>
                  <pic:blipFill>
                    <a:blip r:embed="rId8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89"/>
                        </a:ext>
                      </a:extLst>
                    </a:blip>
                    <a:stretch>
                      <a:fillRect/>
                    </a:stretch>
                  </pic:blipFill>
                  <pic:spPr>
                    <a:xfrm>
                      <a:off x="0" y="0"/>
                      <a:ext cx="5394864" cy="3734906"/>
                    </a:xfrm>
                    <a:prstGeom prst="rect">
                      <a:avLst/>
                    </a:prstGeom>
                  </pic:spPr>
                </pic:pic>
              </a:graphicData>
            </a:graphic>
          </wp:inline>
        </w:drawing>
      </w:r>
    </w:p>
    <w:p w14:paraId="432FACFC" w14:textId="69DB2D10" w:rsidR="00D70EB9" w:rsidRPr="00111094" w:rsidRDefault="00D70EB9"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185CA23F" wp14:editId="3D65B738">
            <wp:extent cx="5475816" cy="3790950"/>
            <wp:effectExtent l="0" t="0" r="0" b="0"/>
            <wp:docPr id="185938866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88666" name=""/>
                    <pic:cNvPicPr/>
                  </pic:nvPicPr>
                  <pic:blipFill>
                    <a:blip r:embed="rId9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1"/>
                        </a:ext>
                      </a:extLst>
                    </a:blip>
                    <a:stretch>
                      <a:fillRect/>
                    </a:stretch>
                  </pic:blipFill>
                  <pic:spPr>
                    <a:xfrm>
                      <a:off x="0" y="0"/>
                      <a:ext cx="5480340" cy="3794082"/>
                    </a:xfrm>
                    <a:prstGeom prst="rect">
                      <a:avLst/>
                    </a:prstGeom>
                  </pic:spPr>
                </pic:pic>
              </a:graphicData>
            </a:graphic>
          </wp:inline>
        </w:drawing>
      </w:r>
    </w:p>
    <w:p w14:paraId="2D171BA2" w14:textId="30164900" w:rsidR="00D70EB9" w:rsidRPr="00111094" w:rsidRDefault="00D70EB9"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61FB3EFE" wp14:editId="3EF7AFA3">
            <wp:extent cx="5505450" cy="3811465"/>
            <wp:effectExtent l="0" t="0" r="0" b="0"/>
            <wp:docPr id="159096310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63106" name=""/>
                    <pic:cNvPicPr/>
                  </pic:nvPicPr>
                  <pic:blipFill>
                    <a:blip r:embed="rId9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3"/>
                        </a:ext>
                      </a:extLst>
                    </a:blip>
                    <a:stretch>
                      <a:fillRect/>
                    </a:stretch>
                  </pic:blipFill>
                  <pic:spPr>
                    <a:xfrm>
                      <a:off x="0" y="0"/>
                      <a:ext cx="5510957" cy="3815277"/>
                    </a:xfrm>
                    <a:prstGeom prst="rect">
                      <a:avLst/>
                    </a:prstGeom>
                  </pic:spPr>
                </pic:pic>
              </a:graphicData>
            </a:graphic>
          </wp:inline>
        </w:drawing>
      </w:r>
    </w:p>
    <w:p w14:paraId="5C2DF5DF" w14:textId="0B366BD3" w:rsidR="00F21CC7" w:rsidRPr="00111094" w:rsidRDefault="00F21CC7"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41D32AC2" wp14:editId="522AC788">
            <wp:extent cx="5334000" cy="3692769"/>
            <wp:effectExtent l="0" t="0" r="0" b="3175"/>
            <wp:docPr id="116942622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26223" name=""/>
                    <pic:cNvPicPr/>
                  </pic:nvPicPr>
                  <pic:blipFill>
                    <a:blip r:embed="rId9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5"/>
                        </a:ext>
                      </a:extLst>
                    </a:blip>
                    <a:stretch>
                      <a:fillRect/>
                    </a:stretch>
                  </pic:blipFill>
                  <pic:spPr>
                    <a:xfrm>
                      <a:off x="0" y="0"/>
                      <a:ext cx="5334273" cy="3692958"/>
                    </a:xfrm>
                    <a:prstGeom prst="rect">
                      <a:avLst/>
                    </a:prstGeom>
                  </pic:spPr>
                </pic:pic>
              </a:graphicData>
            </a:graphic>
          </wp:inline>
        </w:drawing>
      </w:r>
    </w:p>
    <w:p w14:paraId="5AA31F9D" w14:textId="24AA658F" w:rsidR="00F21CC7" w:rsidRPr="00111094" w:rsidRDefault="00F21CC7"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3806E934" wp14:editId="5BD2618C">
            <wp:extent cx="5295900" cy="3666392"/>
            <wp:effectExtent l="0" t="0" r="0" b="0"/>
            <wp:docPr id="62581303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13031" name=""/>
                    <pic:cNvPicPr/>
                  </pic:nvPicPr>
                  <pic:blipFill>
                    <a:blip r:embed="rId9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7"/>
                        </a:ext>
                      </a:extLst>
                    </a:blip>
                    <a:stretch>
                      <a:fillRect/>
                    </a:stretch>
                  </pic:blipFill>
                  <pic:spPr>
                    <a:xfrm>
                      <a:off x="0" y="0"/>
                      <a:ext cx="5298934" cy="3668492"/>
                    </a:xfrm>
                    <a:prstGeom prst="rect">
                      <a:avLst/>
                    </a:prstGeom>
                  </pic:spPr>
                </pic:pic>
              </a:graphicData>
            </a:graphic>
          </wp:inline>
        </w:drawing>
      </w:r>
    </w:p>
    <w:p w14:paraId="0F7FF7D8" w14:textId="1EEF05B8" w:rsidR="00F21CC7" w:rsidRPr="00111094" w:rsidRDefault="00F21CC7"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52BB18BE" wp14:editId="682ACFC1">
            <wp:extent cx="5486400" cy="3798277"/>
            <wp:effectExtent l="0" t="0" r="0" b="0"/>
            <wp:docPr id="172864374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43747" name=""/>
                    <pic:cNvPicPr/>
                  </pic:nvPicPr>
                  <pic:blipFill>
                    <a:blip r:embed="rId9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99"/>
                        </a:ext>
                      </a:extLst>
                    </a:blip>
                    <a:stretch>
                      <a:fillRect/>
                    </a:stretch>
                  </pic:blipFill>
                  <pic:spPr>
                    <a:xfrm>
                      <a:off x="0" y="0"/>
                      <a:ext cx="5487845" cy="3799277"/>
                    </a:xfrm>
                    <a:prstGeom prst="rect">
                      <a:avLst/>
                    </a:prstGeom>
                  </pic:spPr>
                </pic:pic>
              </a:graphicData>
            </a:graphic>
          </wp:inline>
        </w:drawing>
      </w:r>
    </w:p>
    <w:p w14:paraId="460EDF04" w14:textId="7CF9E2B4" w:rsidR="006334C7" w:rsidRPr="00111094" w:rsidRDefault="006334C7" w:rsidP="0068366A">
      <w:pPr>
        <w:rPr>
          <w:rFonts w:ascii="Times New Roman" w:hAnsi="Times New Roman" w:cs="Times New Roman"/>
          <w:noProof/>
        </w:rPr>
      </w:pPr>
      <w:r w:rsidRPr="00111094">
        <w:rPr>
          <w:rFonts w:ascii="Times New Roman" w:hAnsi="Times New Roman" w:cs="Times New Roman"/>
          <w:noProof/>
          <w:lang w:eastAsia="es-AR"/>
        </w:rPr>
        <w:lastRenderedPageBreak/>
        <w:drawing>
          <wp:inline distT="0" distB="0" distL="0" distR="0" wp14:anchorId="292E1A9E" wp14:editId="569E61ED">
            <wp:extent cx="5393267" cy="3733800"/>
            <wp:effectExtent l="0" t="0" r="0" b="0"/>
            <wp:docPr id="149114676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46765" name=""/>
                    <pic:cNvPicPr/>
                  </pic:nvPicPr>
                  <pic:blipFill>
                    <a:blip r:embed="rId10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1"/>
                        </a:ext>
                      </a:extLst>
                    </a:blip>
                    <a:stretch>
                      <a:fillRect/>
                    </a:stretch>
                  </pic:blipFill>
                  <pic:spPr>
                    <a:xfrm>
                      <a:off x="0" y="0"/>
                      <a:ext cx="5395096" cy="3735066"/>
                    </a:xfrm>
                    <a:prstGeom prst="rect">
                      <a:avLst/>
                    </a:prstGeom>
                  </pic:spPr>
                </pic:pic>
              </a:graphicData>
            </a:graphic>
          </wp:inline>
        </w:drawing>
      </w:r>
    </w:p>
    <w:p w14:paraId="1EA082F1" w14:textId="23438099" w:rsidR="006334C7" w:rsidRPr="00111094" w:rsidRDefault="006334C7"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6FA93B48" wp14:editId="1D3D3D2D">
            <wp:extent cx="5238750" cy="3626827"/>
            <wp:effectExtent l="0" t="0" r="0" b="0"/>
            <wp:docPr id="123773133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31332" name=""/>
                    <pic:cNvPicPr/>
                  </pic:nvPicPr>
                  <pic:blipFill>
                    <a:blip r:embed="rId10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1"/>
                        </a:ext>
                      </a:extLst>
                    </a:blip>
                    <a:stretch>
                      <a:fillRect/>
                    </a:stretch>
                  </pic:blipFill>
                  <pic:spPr>
                    <a:xfrm>
                      <a:off x="0" y="0"/>
                      <a:ext cx="5239435" cy="3627301"/>
                    </a:xfrm>
                    <a:prstGeom prst="rect">
                      <a:avLst/>
                    </a:prstGeom>
                  </pic:spPr>
                </pic:pic>
              </a:graphicData>
            </a:graphic>
          </wp:inline>
        </w:drawing>
      </w:r>
    </w:p>
    <w:p w14:paraId="649DE8E7" w14:textId="77777777" w:rsidR="00E72091" w:rsidRPr="00111094" w:rsidRDefault="00E72091" w:rsidP="0068366A">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0A36FA81" wp14:editId="1FACDF39">
            <wp:extent cx="5334000" cy="3692769"/>
            <wp:effectExtent l="0" t="0" r="0" b="3175"/>
            <wp:docPr id="170420668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06682" name=""/>
                    <pic:cNvPicPr/>
                  </pic:nvPicPr>
                  <pic:blipFill>
                    <a:blip r:embed="rId10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1"/>
                        </a:ext>
                      </a:extLst>
                    </a:blip>
                    <a:stretch>
                      <a:fillRect/>
                    </a:stretch>
                  </pic:blipFill>
                  <pic:spPr>
                    <a:xfrm>
                      <a:off x="0" y="0"/>
                      <a:ext cx="5335080" cy="3693516"/>
                    </a:xfrm>
                    <a:prstGeom prst="rect">
                      <a:avLst/>
                    </a:prstGeom>
                  </pic:spPr>
                </pic:pic>
              </a:graphicData>
            </a:graphic>
          </wp:inline>
        </w:drawing>
      </w:r>
    </w:p>
    <w:p w14:paraId="4FAAA952" w14:textId="77777777" w:rsidR="00CA1263" w:rsidRPr="00111094" w:rsidRDefault="00E72091" w:rsidP="0068366A">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4ECA11B7" wp14:editId="1FADF0C7">
            <wp:extent cx="5238750" cy="3626827"/>
            <wp:effectExtent l="0" t="0" r="0" b="0"/>
            <wp:docPr id="45270760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07609" name=""/>
                    <pic:cNvPicPr/>
                  </pic:nvPicPr>
                  <pic:blipFill>
                    <a:blip r:embed="rId10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1"/>
                        </a:ext>
                      </a:extLst>
                    </a:blip>
                    <a:stretch>
                      <a:fillRect/>
                    </a:stretch>
                  </pic:blipFill>
                  <pic:spPr>
                    <a:xfrm>
                      <a:off x="0" y="0"/>
                      <a:ext cx="5239288" cy="3627199"/>
                    </a:xfrm>
                    <a:prstGeom prst="rect">
                      <a:avLst/>
                    </a:prstGeom>
                  </pic:spPr>
                </pic:pic>
              </a:graphicData>
            </a:graphic>
          </wp:inline>
        </w:drawing>
      </w:r>
    </w:p>
    <w:p w14:paraId="4F81AE13" w14:textId="670CAF2B" w:rsidR="00CA1263" w:rsidRPr="00111094" w:rsidRDefault="00CA1263" w:rsidP="00F56437">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6CA8EECB" wp14:editId="04F3819E">
            <wp:extent cx="5448300" cy="3771900"/>
            <wp:effectExtent l="0" t="0" r="0" b="0"/>
            <wp:docPr id="118960403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04038" name=""/>
                    <pic:cNvPicPr/>
                  </pic:nvPicPr>
                  <pic:blipFill>
                    <a:blip r:embed="rId10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3"/>
                        </a:ext>
                      </a:extLst>
                    </a:blip>
                    <a:stretch>
                      <a:fillRect/>
                    </a:stretch>
                  </pic:blipFill>
                  <pic:spPr>
                    <a:xfrm>
                      <a:off x="0" y="0"/>
                      <a:ext cx="5450212" cy="3773224"/>
                    </a:xfrm>
                    <a:prstGeom prst="rect">
                      <a:avLst/>
                    </a:prstGeom>
                  </pic:spPr>
                </pic:pic>
              </a:graphicData>
            </a:graphic>
          </wp:inline>
        </w:drawing>
      </w:r>
    </w:p>
    <w:p w14:paraId="5990D564" w14:textId="6D62030E" w:rsidR="003E584C" w:rsidRPr="00111094" w:rsidRDefault="0024572F" w:rsidP="00F56437">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641C10BE" wp14:editId="6E8FD01B">
            <wp:extent cx="5448300" cy="3771900"/>
            <wp:effectExtent l="0" t="0" r="0" b="0"/>
            <wp:docPr id="126518299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82998" name=""/>
                    <pic:cNvPicPr/>
                  </pic:nvPicPr>
                  <pic:blipFill>
                    <a:blip r:embed="rId104">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5"/>
                        </a:ext>
                      </a:extLst>
                    </a:blip>
                    <a:stretch>
                      <a:fillRect/>
                    </a:stretch>
                  </pic:blipFill>
                  <pic:spPr>
                    <a:xfrm>
                      <a:off x="0" y="0"/>
                      <a:ext cx="5449677" cy="3772853"/>
                    </a:xfrm>
                    <a:prstGeom prst="rect">
                      <a:avLst/>
                    </a:prstGeom>
                  </pic:spPr>
                </pic:pic>
              </a:graphicData>
            </a:graphic>
          </wp:inline>
        </w:drawing>
      </w:r>
    </w:p>
    <w:p w14:paraId="606FBD93" w14:textId="3E7E8B60" w:rsidR="0024572F" w:rsidRPr="00111094" w:rsidRDefault="0024572F" w:rsidP="00F56437">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17B5C9BA" wp14:editId="06466C1E">
            <wp:extent cx="5467350" cy="3785088"/>
            <wp:effectExtent l="0" t="0" r="0" b="6350"/>
            <wp:docPr id="38602360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23602" name=""/>
                    <pic:cNvPicPr/>
                  </pic:nvPicPr>
                  <pic:blipFill>
                    <a:blip r:embed="rId106">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7"/>
                        </a:ext>
                      </a:extLst>
                    </a:blip>
                    <a:stretch>
                      <a:fillRect/>
                    </a:stretch>
                  </pic:blipFill>
                  <pic:spPr>
                    <a:xfrm>
                      <a:off x="0" y="0"/>
                      <a:ext cx="5470421" cy="3787214"/>
                    </a:xfrm>
                    <a:prstGeom prst="rect">
                      <a:avLst/>
                    </a:prstGeom>
                  </pic:spPr>
                </pic:pic>
              </a:graphicData>
            </a:graphic>
          </wp:inline>
        </w:drawing>
      </w:r>
    </w:p>
    <w:p w14:paraId="333B8006" w14:textId="2FF4320A" w:rsidR="00D46EBA" w:rsidRPr="00111094" w:rsidRDefault="00D46EBA" w:rsidP="00F56437">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46307D41" wp14:editId="23437F2F">
            <wp:extent cx="5334000" cy="3692769"/>
            <wp:effectExtent l="0" t="0" r="0" b="3175"/>
            <wp:docPr id="170841773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17730" name=""/>
                    <pic:cNvPicPr/>
                  </pic:nvPicPr>
                  <pic:blipFill>
                    <a:blip r:embed="rId108">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09"/>
                        </a:ext>
                      </a:extLst>
                    </a:blip>
                    <a:stretch>
                      <a:fillRect/>
                    </a:stretch>
                  </pic:blipFill>
                  <pic:spPr>
                    <a:xfrm>
                      <a:off x="0" y="0"/>
                      <a:ext cx="5335040" cy="3693489"/>
                    </a:xfrm>
                    <a:prstGeom prst="rect">
                      <a:avLst/>
                    </a:prstGeom>
                  </pic:spPr>
                </pic:pic>
              </a:graphicData>
            </a:graphic>
          </wp:inline>
        </w:drawing>
      </w:r>
    </w:p>
    <w:p w14:paraId="119C5542" w14:textId="67099D43" w:rsidR="00F56437" w:rsidRPr="00111094" w:rsidRDefault="00916F8B" w:rsidP="00F56437">
      <w:pPr>
        <w:rPr>
          <w:rFonts w:ascii="Times New Roman" w:hAnsi="Times New Roman" w:cs="Times New Roman"/>
          <w:lang w:val="es-MX"/>
        </w:rPr>
      </w:pPr>
      <w:r w:rsidRPr="00111094">
        <w:rPr>
          <w:rFonts w:ascii="Times New Roman" w:hAnsi="Times New Roman" w:cs="Times New Roman"/>
          <w:noProof/>
          <w:lang w:eastAsia="es-AR"/>
        </w:rPr>
        <w:lastRenderedPageBreak/>
        <w:drawing>
          <wp:inline distT="0" distB="0" distL="0" distR="0" wp14:anchorId="76E307DA" wp14:editId="129F73DC">
            <wp:extent cx="5505450" cy="3811465"/>
            <wp:effectExtent l="0" t="0" r="0" b="0"/>
            <wp:docPr id="71742853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28533" name=""/>
                    <pic:cNvPicPr/>
                  </pic:nvPicPr>
                  <pic:blipFill>
                    <a:blip r:embed="rId110">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1"/>
                        </a:ext>
                      </a:extLst>
                    </a:blip>
                    <a:stretch>
                      <a:fillRect/>
                    </a:stretch>
                  </pic:blipFill>
                  <pic:spPr>
                    <a:xfrm>
                      <a:off x="0" y="0"/>
                      <a:ext cx="5507595" cy="3812950"/>
                    </a:xfrm>
                    <a:prstGeom prst="rect">
                      <a:avLst/>
                    </a:prstGeom>
                  </pic:spPr>
                </pic:pic>
              </a:graphicData>
            </a:graphic>
          </wp:inline>
        </w:drawing>
      </w:r>
    </w:p>
    <w:p w14:paraId="1CD7C48B" w14:textId="04C7BA30" w:rsidR="00F56437" w:rsidRPr="00111094" w:rsidRDefault="00D46EBA" w:rsidP="00F56437">
      <w:pPr>
        <w:rPr>
          <w:rFonts w:ascii="Times New Roman" w:hAnsi="Times New Roman" w:cs="Times New Roman"/>
          <w:lang w:val="es-MX"/>
        </w:rPr>
      </w:pPr>
      <w:r w:rsidRPr="00111094">
        <w:rPr>
          <w:rFonts w:ascii="Times New Roman" w:hAnsi="Times New Roman" w:cs="Times New Roman"/>
          <w:noProof/>
          <w:lang w:eastAsia="es-AR"/>
        </w:rPr>
        <w:drawing>
          <wp:inline distT="0" distB="0" distL="0" distR="0" wp14:anchorId="7D3E88AB" wp14:editId="6C56D2E9">
            <wp:extent cx="5334000" cy="3692769"/>
            <wp:effectExtent l="0" t="0" r="0" b="3175"/>
            <wp:docPr id="176241845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18451" name=""/>
                    <pic:cNvPicPr/>
                  </pic:nvPicPr>
                  <pic:blipFill>
                    <a:blip r:embed="rId112">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3"/>
                        </a:ext>
                      </a:extLst>
                    </a:blip>
                    <a:stretch>
                      <a:fillRect/>
                    </a:stretch>
                  </pic:blipFill>
                  <pic:spPr>
                    <a:xfrm>
                      <a:off x="0" y="0"/>
                      <a:ext cx="5334832" cy="3693345"/>
                    </a:xfrm>
                    <a:prstGeom prst="rect">
                      <a:avLst/>
                    </a:prstGeom>
                  </pic:spPr>
                </pic:pic>
              </a:graphicData>
            </a:graphic>
          </wp:inline>
        </w:drawing>
      </w:r>
    </w:p>
    <w:p w14:paraId="2D89388C" w14:textId="71EC87B2" w:rsidR="00916F8B" w:rsidRPr="00111094" w:rsidRDefault="00916F8B" w:rsidP="00F56437">
      <w:pPr>
        <w:rPr>
          <w:rFonts w:ascii="Times New Roman" w:hAnsi="Times New Roman" w:cs="Times New Roman"/>
          <w:lang w:val="es-MX"/>
        </w:rPr>
      </w:pPr>
      <w:r w:rsidRPr="00111094">
        <w:rPr>
          <w:rFonts w:ascii="Times New Roman" w:hAnsi="Times New Roman" w:cs="Times New Roman"/>
          <w:lang w:val="es-MX"/>
        </w:rPr>
        <w:object w:dxaOrig="7804" w:dyaOrig="5393" w14:anchorId="1A1EA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0.3pt;height:269.05pt" o:ole="">
            <v:imagedata r:id="rId114" o:title=""/>
          </v:shape>
          <o:OLEObject Type="Embed" ProgID="PowerPoint.Slide.12" ShapeID="_x0000_i1026" DrawAspect="Content" ObjectID="_1851693886" r:id="rId115"/>
        </w:object>
      </w:r>
    </w:p>
    <w:p w14:paraId="00A8579D" w14:textId="77777777" w:rsidR="00452089" w:rsidRPr="00111094" w:rsidRDefault="00452089" w:rsidP="00F56437">
      <w:pPr>
        <w:rPr>
          <w:rFonts w:ascii="Times New Roman" w:hAnsi="Times New Roman" w:cs="Times New Roman"/>
          <w:lang w:val="es-MX"/>
        </w:rPr>
      </w:pPr>
      <w:r w:rsidRPr="00111094">
        <w:rPr>
          <w:rFonts w:ascii="Times New Roman" w:hAnsi="Times New Roman" w:cs="Times New Roman"/>
          <w:lang w:val="es-MX"/>
        </w:rPr>
        <w:object w:dxaOrig="7804" w:dyaOrig="5393" w14:anchorId="59339832">
          <v:shape id="_x0000_i1027" type="#_x0000_t75" style="width:390.3pt;height:269.05pt" o:ole="">
            <v:imagedata r:id="rId116" o:title=""/>
          </v:shape>
          <o:OLEObject Type="Embed" ProgID="PowerPoint.Slide.12" ShapeID="_x0000_i1027" DrawAspect="Content" ObjectID="_1851693887" r:id="rId117"/>
        </w:object>
      </w:r>
    </w:p>
    <w:p w14:paraId="6DEE0CF1" w14:textId="2B629985" w:rsidR="009F2E56" w:rsidRPr="00111094" w:rsidRDefault="00192DA8" w:rsidP="00F56437">
      <w:pPr>
        <w:rPr>
          <w:rFonts w:ascii="Times New Roman" w:hAnsi="Times New Roman" w:cs="Times New Roman"/>
          <w:lang w:val="es-MX"/>
        </w:rPr>
      </w:pPr>
      <w:r w:rsidRPr="00111094">
        <w:rPr>
          <w:rFonts w:ascii="Times New Roman" w:hAnsi="Times New Roman" w:cs="Times New Roman"/>
          <w:lang w:val="es-MX"/>
        </w:rPr>
        <w:object w:dxaOrig="7804" w:dyaOrig="5393" w14:anchorId="24B453A4">
          <v:shape id="_x0000_i1028" type="#_x0000_t75" style="width:390.3pt;height:269.05pt" o:ole="">
            <v:imagedata r:id="rId118" o:title=""/>
          </v:shape>
          <o:OLEObject Type="Embed" ProgID="PowerPoint.Slide.12" ShapeID="_x0000_i1028" DrawAspect="Content" ObjectID="_1851693888" r:id="rId119"/>
        </w:object>
      </w:r>
    </w:p>
    <w:p w14:paraId="4448C33D" w14:textId="3DD98C8C" w:rsidR="00D370A8" w:rsidRPr="00111094" w:rsidRDefault="00F56437" w:rsidP="00BE0F73">
      <w:pPr>
        <w:ind w:firstLine="720"/>
        <w:rPr>
          <w:rFonts w:ascii="Times New Roman" w:hAnsi="Times New Roman" w:cs="Times New Roman"/>
          <w:lang w:val="es-MX"/>
        </w:rPr>
      </w:pPr>
      <w:r w:rsidRPr="00111094">
        <w:rPr>
          <w:rFonts w:ascii="Times New Roman" w:hAnsi="Times New Roman" w:cs="Times New Roman"/>
          <w:lang w:val="es-MX"/>
        </w:rPr>
        <w:t>P</w:t>
      </w:r>
      <w:r w:rsidR="00BE0F73" w:rsidRPr="00111094">
        <w:rPr>
          <w:rFonts w:ascii="Times New Roman" w:hAnsi="Times New Roman" w:cs="Times New Roman"/>
          <w:lang w:val="es-MX"/>
        </w:rPr>
        <w:t xml:space="preserve">odrán analizar el 100% de la </w:t>
      </w:r>
      <w:r w:rsidR="00AC5C16" w:rsidRPr="00111094">
        <w:rPr>
          <w:rFonts w:ascii="Times New Roman" w:hAnsi="Times New Roman" w:cs="Times New Roman"/>
          <w:lang w:val="es-MX"/>
        </w:rPr>
        <w:t>investigación</w:t>
      </w:r>
      <w:r w:rsidR="00BE0F73" w:rsidRPr="00111094">
        <w:rPr>
          <w:rFonts w:ascii="Times New Roman" w:hAnsi="Times New Roman" w:cs="Times New Roman"/>
          <w:lang w:val="es-MX"/>
        </w:rPr>
        <w:t xml:space="preserve"> en el siguiente Documento:</w:t>
      </w:r>
    </w:p>
    <w:p w14:paraId="316C0F7D" w14:textId="06D9A309" w:rsidR="00834E6B" w:rsidRPr="00111094" w:rsidRDefault="00A636BB" w:rsidP="00BE0F73">
      <w:pPr>
        <w:ind w:firstLine="720"/>
        <w:rPr>
          <w:rFonts w:ascii="Times New Roman" w:hAnsi="Times New Roman" w:cs="Times New Roman"/>
          <w:lang w:val="es-MX"/>
        </w:rPr>
      </w:pPr>
      <w:r w:rsidRPr="00111094">
        <w:rPr>
          <w:rFonts w:ascii="Times New Roman" w:hAnsi="Times New Roman" w:cs="Times New Roman"/>
          <w:lang w:val="es-MX"/>
        </w:rPr>
        <w:object w:dxaOrig="1520" w:dyaOrig="987" w14:anchorId="34608C81">
          <v:shape id="_x0000_i1029" type="#_x0000_t75" style="width:75.8pt;height:49.25pt" o:ole="">
            <v:imagedata r:id="rId120" o:title=""/>
          </v:shape>
          <o:OLEObject Type="Embed" ProgID="Acrobat.Document.DC" ShapeID="_x0000_i1029" DrawAspect="Icon" ObjectID="_1851693889" r:id="rId121"/>
        </w:object>
      </w:r>
    </w:p>
    <w:p w14:paraId="5431B8EF" w14:textId="77777777" w:rsidR="00013204" w:rsidRPr="00111094" w:rsidRDefault="00013204" w:rsidP="00BE0F73">
      <w:pPr>
        <w:ind w:firstLine="720"/>
        <w:rPr>
          <w:rFonts w:ascii="Times New Roman" w:hAnsi="Times New Roman" w:cs="Times New Roman"/>
          <w:lang w:val="es-MX"/>
        </w:rPr>
      </w:pPr>
    </w:p>
    <w:p w14:paraId="4357822D" w14:textId="77777777" w:rsidR="00013204" w:rsidRPr="00111094" w:rsidRDefault="00013204" w:rsidP="00BE0F73">
      <w:pPr>
        <w:ind w:firstLine="720"/>
        <w:rPr>
          <w:rFonts w:ascii="Times New Roman" w:hAnsi="Times New Roman" w:cs="Times New Roman"/>
          <w:lang w:val="es-MX"/>
        </w:rPr>
      </w:pPr>
    </w:p>
    <w:p w14:paraId="511B6772" w14:textId="4CC07CD0" w:rsidR="00BE0F73" w:rsidRPr="00111094" w:rsidRDefault="00BE0F73" w:rsidP="00BE0F73">
      <w:pPr>
        <w:ind w:firstLine="720"/>
        <w:rPr>
          <w:rFonts w:ascii="Times New Roman" w:hAnsi="Times New Roman" w:cs="Times New Roman"/>
          <w:lang w:val="es-MX"/>
        </w:rPr>
      </w:pPr>
    </w:p>
    <w:p w14:paraId="068A1C57" w14:textId="77777777" w:rsidR="00774B45" w:rsidRPr="00111094" w:rsidRDefault="00774B45">
      <w:pPr>
        <w:rPr>
          <w:rFonts w:ascii="Times New Roman" w:eastAsiaTheme="majorEastAsia" w:hAnsi="Times New Roman" w:cs="Times New Roman"/>
          <w:b/>
          <w:bCs/>
          <w:color w:val="4F81BD" w:themeColor="accent1"/>
          <w:sz w:val="26"/>
          <w:szCs w:val="26"/>
        </w:rPr>
      </w:pPr>
      <w:r w:rsidRPr="00111094">
        <w:rPr>
          <w:rFonts w:ascii="Times New Roman" w:hAnsi="Times New Roman" w:cs="Times New Roman"/>
        </w:rPr>
        <w:br w:type="page"/>
      </w:r>
      <w:bookmarkStart w:id="94" w:name="_GoBack"/>
      <w:bookmarkEnd w:id="94"/>
    </w:p>
    <w:sectPr w:rsidR="00774B45" w:rsidRPr="00111094" w:rsidSect="00CE3E3A">
      <w:footerReference w:type="default" r:id="rId1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D3A81" w14:textId="77777777" w:rsidR="00365364" w:rsidRPr="00FE0455" w:rsidRDefault="00365364" w:rsidP="00990765">
      <w:pPr>
        <w:spacing w:after="0" w:line="240" w:lineRule="auto"/>
      </w:pPr>
      <w:r w:rsidRPr="00FE0455">
        <w:separator/>
      </w:r>
    </w:p>
  </w:endnote>
  <w:endnote w:type="continuationSeparator" w:id="0">
    <w:p w14:paraId="03C856A6" w14:textId="77777777" w:rsidR="00365364" w:rsidRPr="00FE0455" w:rsidRDefault="00365364" w:rsidP="00990765">
      <w:pPr>
        <w:spacing w:after="0" w:line="240" w:lineRule="auto"/>
      </w:pPr>
      <w:r w:rsidRPr="00FE0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27355" w14:textId="363688DB" w:rsidR="00EB7997" w:rsidRPr="00FE0455" w:rsidRDefault="00EB7997">
    <w:pPr>
      <w:pStyle w:val="Piedepgina"/>
    </w:pPr>
    <w:r w:rsidRPr="00FE0455">
      <w:rPr>
        <w:noProof/>
        <w:color w:val="808080" w:themeColor="background1" w:themeShade="80"/>
        <w:lang w:eastAsia="es-AR"/>
      </w:rPr>
      <mc:AlternateContent>
        <mc:Choice Requires="wpg">
          <w:drawing>
            <wp:anchor distT="0" distB="0" distL="0" distR="0" simplePos="0" relativeHeight="251658240" behindDoc="0" locked="0" layoutInCell="1" allowOverlap="1" wp14:anchorId="652D0070" wp14:editId="0A76C273">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upo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ángulo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EndPr/>
                            <w:sdtContent>
                              <w:p w14:paraId="490958DF" w14:textId="77777777" w:rsidR="00EB7997" w:rsidRPr="00FE0455" w:rsidRDefault="00EB7997">
                                <w:pPr>
                                  <w:jc w:val="right"/>
                                  <w:rPr>
                                    <w:color w:val="7F7F7F" w:themeColor="text1" w:themeTint="80"/>
                                  </w:rPr>
                                </w:pPr>
                                <w:r w:rsidRPr="00FE0455">
                                  <w:rPr>
                                    <w:color w:val="7F7F7F" w:themeColor="text1" w:themeTint="80"/>
                                  </w:rPr>
                                  <w:t>[Fecha]</w:t>
                                </w:r>
                              </w:p>
                            </w:sdtContent>
                          </w:sdt>
                          <w:p w14:paraId="06A34792" w14:textId="77777777" w:rsidR="00EB7997" w:rsidRPr="00FE0455" w:rsidRDefault="00EB7997">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2D0070" id="Grupo 43" o:spid="_x0000_s1026" style="position:absolute;margin-left:416.8pt;margin-top:0;width:468pt;height:25.2pt;z-index:251658240;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">
              <v:rect id="Rectángulo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Cuadro de texto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14:paraId="490958DF" w14:textId="77777777" w:rsidR="00EB7997" w:rsidRPr="00FE0455" w:rsidRDefault="00EB7997">
                          <w:pPr>
                            <w:jc w:val="right"/>
                            <w:rPr>
                              <w:color w:val="7F7F7F" w:themeColor="text1" w:themeTint="80"/>
                            </w:rPr>
                          </w:pPr>
                          <w:r w:rsidRPr="00FE0455">
                            <w:rPr>
                              <w:color w:val="7F7F7F" w:themeColor="text1" w:themeTint="80"/>
                            </w:rPr>
                            <w:t>[Fecha]</w:t>
                          </w:r>
                        </w:p>
                      </w:sdtContent>
                    </w:sdt>
                    <w:p w14:paraId="06A34792" w14:textId="77777777" w:rsidR="00EB7997" w:rsidRPr="00FE0455" w:rsidRDefault="00EB7997">
                      <w:pPr>
                        <w:jc w:val="right"/>
                        <w:rPr>
                          <w:color w:val="808080" w:themeColor="background1" w:themeShade="80"/>
                        </w:rPr>
                      </w:pPr>
                    </w:p>
                  </w:txbxContent>
                </v:textbox>
              </v:shape>
              <w10:wrap type="square" anchorx="margin" anchory="margin"/>
            </v:group>
          </w:pict>
        </mc:Fallback>
      </mc:AlternateContent>
    </w:r>
    <w:r w:rsidRPr="00FE0455">
      <w:rPr>
        <w:noProof/>
        <w:lang w:eastAsia="es-AR"/>
      </w:rPr>
      <mc:AlternateContent>
        <mc:Choice Requires="wps">
          <w:drawing>
            <wp:anchor distT="0" distB="0" distL="0" distR="0" simplePos="0" relativeHeight="251656192" behindDoc="0" locked="0" layoutInCell="1" allowOverlap="1" wp14:anchorId="090E6FA0" wp14:editId="09DD094C">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ángulo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FD5660" w14:textId="77777777" w:rsidR="00EB7997" w:rsidRPr="00FE0455" w:rsidRDefault="00EB7997">
                          <w:pPr>
                            <w:jc w:val="right"/>
                            <w:rPr>
                              <w:color w:val="FFFFFF" w:themeColor="background1"/>
                              <w:sz w:val="28"/>
                              <w:szCs w:val="28"/>
                            </w:rPr>
                          </w:pPr>
                          <w:r w:rsidRPr="00FE0455">
                            <w:rPr>
                              <w:color w:val="FFFFFF" w:themeColor="background1"/>
                              <w:sz w:val="28"/>
                              <w:szCs w:val="28"/>
                            </w:rPr>
                            <w:fldChar w:fldCharType="begin"/>
                          </w:r>
                          <w:r w:rsidRPr="00FE0455">
                            <w:rPr>
                              <w:color w:val="FFFFFF" w:themeColor="background1"/>
                              <w:sz w:val="28"/>
                              <w:szCs w:val="28"/>
                            </w:rPr>
                            <w:instrText>PAGE   \* MERGEFORMAT</w:instrText>
                          </w:r>
                          <w:r w:rsidRPr="00FE0455">
                            <w:rPr>
                              <w:color w:val="FFFFFF" w:themeColor="background1"/>
                              <w:sz w:val="28"/>
                              <w:szCs w:val="28"/>
                            </w:rPr>
                            <w:fldChar w:fldCharType="separate"/>
                          </w:r>
                          <w:r w:rsidR="006048A9">
                            <w:rPr>
                              <w:noProof/>
                              <w:color w:val="FFFFFF" w:themeColor="background1"/>
                              <w:sz w:val="28"/>
                              <w:szCs w:val="28"/>
                            </w:rPr>
                            <w:t>2</w:t>
                          </w:r>
                          <w:r w:rsidRPr="00FE0455">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45" o:spid="_x0000_s1029" style="position:absolute;margin-left:0;margin-top:0;width:36pt;height:25.2pt;z-index:25165619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" fillcolor="black [3213]" stroked="f" strokeweight="3pt">
              <v:textbox>
                <w:txbxContent>
                  <w:p w14:paraId="40FD5660" w14:textId="77777777" w:rsidR="00EB7997" w:rsidRPr="00FE0455" w:rsidRDefault="00EB7997">
                    <w:pPr>
                      <w:jc w:val="right"/>
                      <w:rPr>
                        <w:color w:val="FFFFFF" w:themeColor="background1"/>
                        <w:sz w:val="28"/>
                        <w:szCs w:val="28"/>
                      </w:rPr>
                    </w:pPr>
                    <w:r w:rsidRPr="00FE0455">
                      <w:rPr>
                        <w:color w:val="FFFFFF" w:themeColor="background1"/>
                        <w:sz w:val="28"/>
                        <w:szCs w:val="28"/>
                      </w:rPr>
                      <w:fldChar w:fldCharType="begin"/>
                    </w:r>
                    <w:r w:rsidRPr="00FE0455">
                      <w:rPr>
                        <w:color w:val="FFFFFF" w:themeColor="background1"/>
                        <w:sz w:val="28"/>
                        <w:szCs w:val="28"/>
                      </w:rPr>
                      <w:instrText>PAGE   \* MERGEFORMAT</w:instrText>
                    </w:r>
                    <w:r w:rsidRPr="00FE0455">
                      <w:rPr>
                        <w:color w:val="FFFFFF" w:themeColor="background1"/>
                        <w:sz w:val="28"/>
                        <w:szCs w:val="28"/>
                      </w:rPr>
                      <w:fldChar w:fldCharType="separate"/>
                    </w:r>
                    <w:r w:rsidR="006048A9">
                      <w:rPr>
                        <w:noProof/>
                        <w:color w:val="FFFFFF" w:themeColor="background1"/>
                        <w:sz w:val="28"/>
                        <w:szCs w:val="28"/>
                      </w:rPr>
                      <w:t>2</w:t>
                    </w:r>
                    <w:r w:rsidRPr="00FE0455">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E5452" w14:textId="77777777" w:rsidR="00365364" w:rsidRPr="00FE0455" w:rsidRDefault="00365364" w:rsidP="00990765">
      <w:pPr>
        <w:spacing w:after="0" w:line="240" w:lineRule="auto"/>
      </w:pPr>
      <w:r w:rsidRPr="00FE0455">
        <w:separator/>
      </w:r>
    </w:p>
  </w:footnote>
  <w:footnote w:type="continuationSeparator" w:id="0">
    <w:p w14:paraId="4F1DEB0A" w14:textId="77777777" w:rsidR="00365364" w:rsidRPr="00FE0455" w:rsidRDefault="00365364" w:rsidP="00990765">
      <w:pPr>
        <w:spacing w:after="0" w:line="240" w:lineRule="auto"/>
      </w:pPr>
      <w:r w:rsidRPr="00FE0455">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6">
    <w:nsid w:val="0032342E"/>
    <w:multiLevelType w:val="multilevel"/>
    <w:tmpl w:val="EC9A5B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06465F63"/>
    <w:multiLevelType w:val="hybridMultilevel"/>
    <w:tmpl w:val="392260D6"/>
    <w:lvl w:ilvl="0" w:tplc="FFFFFFFF">
      <w:numFmt w:val="bullet"/>
      <w:lvlText w:val="-"/>
      <w:lvlJc w:val="left"/>
      <w:pPr>
        <w:ind w:left="1440" w:hanging="360"/>
      </w:pPr>
      <w:rPr>
        <w:rFonts w:ascii="Cambria" w:eastAsiaTheme="minorEastAsia" w:hAnsi="Cambria" w:cstheme="minorBidi" w:hint="default"/>
        <w:b/>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06CC5E53"/>
    <w:multiLevelType w:val="multilevel"/>
    <w:tmpl w:val="C9262F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0C34490B"/>
    <w:multiLevelType w:val="multilevel"/>
    <w:tmpl w:val="DE6A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485A5E"/>
    <w:multiLevelType w:val="multilevel"/>
    <w:tmpl w:val="149ABAE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10E13E64"/>
    <w:multiLevelType w:val="multilevel"/>
    <w:tmpl w:val="F9E69DD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10A6671"/>
    <w:multiLevelType w:val="multilevel"/>
    <w:tmpl w:val="90A822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112437A3"/>
    <w:multiLevelType w:val="multilevel"/>
    <w:tmpl w:val="5B62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2DF1E6E"/>
    <w:multiLevelType w:val="hybridMultilevel"/>
    <w:tmpl w:val="34761C64"/>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nsid w:val="131E29B1"/>
    <w:multiLevelType w:val="multilevel"/>
    <w:tmpl w:val="662406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nsid w:val="158544E0"/>
    <w:multiLevelType w:val="multilevel"/>
    <w:tmpl w:val="EB08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A32FE5"/>
    <w:multiLevelType w:val="hybridMultilevel"/>
    <w:tmpl w:val="D5582D96"/>
    <w:lvl w:ilvl="0" w:tplc="0DBE7632">
      <w:start w:val="1"/>
      <w:numFmt w:val="decimal"/>
      <w:lvlText w:val="%1."/>
      <w:lvlJc w:val="left"/>
      <w:pPr>
        <w:ind w:left="780" w:hanging="360"/>
      </w:pPr>
      <w:rPr>
        <w:rFonts w:hint="default"/>
        <w:b/>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8">
    <w:nsid w:val="185A6AA9"/>
    <w:multiLevelType w:val="hybridMultilevel"/>
    <w:tmpl w:val="462C73D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nsid w:val="196F7887"/>
    <w:multiLevelType w:val="multilevel"/>
    <w:tmpl w:val="6742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B2634E2"/>
    <w:multiLevelType w:val="multilevel"/>
    <w:tmpl w:val="21C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E450244"/>
    <w:multiLevelType w:val="hybridMultilevel"/>
    <w:tmpl w:val="18F4AA8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211C61D2"/>
    <w:multiLevelType w:val="multilevel"/>
    <w:tmpl w:val="EBA6008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nsid w:val="22C04732"/>
    <w:multiLevelType w:val="multilevel"/>
    <w:tmpl w:val="FDC6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6067468"/>
    <w:multiLevelType w:val="multilevel"/>
    <w:tmpl w:val="0128B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62C24EE"/>
    <w:multiLevelType w:val="multilevel"/>
    <w:tmpl w:val="0E0417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6507310"/>
    <w:multiLevelType w:val="hybridMultilevel"/>
    <w:tmpl w:val="1AC43B98"/>
    <w:lvl w:ilvl="0" w:tplc="080A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nsid w:val="28CA752B"/>
    <w:multiLevelType w:val="hybridMultilevel"/>
    <w:tmpl w:val="96FCCCCC"/>
    <w:lvl w:ilvl="0" w:tplc="30245A54">
      <w:start w:val="1"/>
      <w:numFmt w:val="decimal"/>
      <w:lvlText w:val="%1"/>
      <w:lvlJc w:val="left"/>
      <w:pPr>
        <w:ind w:left="2160" w:hanging="360"/>
      </w:pPr>
      <w:rPr>
        <w:rFonts w:asciiTheme="minorHAnsi" w:eastAsiaTheme="minorEastAsia" w:hAnsiTheme="minorHAnsi" w:cstheme="minorBidi"/>
      </w:rPr>
    </w:lvl>
    <w:lvl w:ilvl="1" w:tplc="080A0019">
      <w:start w:val="1"/>
      <w:numFmt w:val="lowerLetter"/>
      <w:lvlText w:val="%2."/>
      <w:lvlJc w:val="left"/>
      <w:pPr>
        <w:ind w:left="2880" w:hanging="360"/>
      </w:pPr>
    </w:lvl>
    <w:lvl w:ilvl="2" w:tplc="080A001B">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8">
    <w:nsid w:val="29665C14"/>
    <w:multiLevelType w:val="hybridMultilevel"/>
    <w:tmpl w:val="605C44CA"/>
    <w:lvl w:ilvl="0" w:tplc="8CECA270">
      <w:start w:val="1"/>
      <w:numFmt w:val="bullet"/>
      <w:lvlText w:val="•"/>
      <w:lvlJc w:val="left"/>
      <w:pPr>
        <w:ind w:left="360" w:firstLine="0"/>
      </w:pPr>
      <w:rPr>
        <w:rFonts w:ascii="Arial" w:eastAsia="Arial" w:hAnsi="Arial" w:cs="Arial"/>
        <w:b w:val="0"/>
        <w:i w:val="0"/>
        <w:strike w:val="0"/>
        <w:dstrike w:val="0"/>
        <w:color w:val="00000A"/>
        <w:sz w:val="24"/>
        <w:szCs w:val="24"/>
        <w:u w:val="none" w:color="000000"/>
        <w:effect w:val="none"/>
        <w:bdr w:val="none" w:sz="0" w:space="0" w:color="auto" w:frame="1"/>
        <w:vertAlign w:val="baseline"/>
      </w:rPr>
    </w:lvl>
    <w:lvl w:ilvl="1" w:tplc="0E261BE4">
      <w:start w:val="1"/>
      <w:numFmt w:val="bullet"/>
      <w:lvlText w:val="o"/>
      <w:lvlJc w:val="left"/>
      <w:pPr>
        <w:ind w:left="900" w:firstLine="0"/>
      </w:pPr>
      <w:rPr>
        <w:rFonts w:ascii="Segoe UI Symbol" w:eastAsia="Segoe UI Symbol" w:hAnsi="Segoe UI Symbol" w:cs="Segoe UI Symbol"/>
        <w:b w:val="0"/>
        <w:i w:val="0"/>
        <w:strike w:val="0"/>
        <w:dstrike w:val="0"/>
        <w:color w:val="00000A"/>
        <w:sz w:val="24"/>
        <w:szCs w:val="24"/>
        <w:u w:val="none" w:color="000000"/>
        <w:effect w:val="none"/>
        <w:bdr w:val="none" w:sz="0" w:space="0" w:color="auto" w:frame="1"/>
        <w:vertAlign w:val="baseline"/>
      </w:rPr>
    </w:lvl>
    <w:lvl w:ilvl="2" w:tplc="4448F078">
      <w:start w:val="1"/>
      <w:numFmt w:val="bullet"/>
      <w:lvlRestart w:val="0"/>
      <w:lvlText w:val="•"/>
      <w:lvlJc w:val="left"/>
      <w:pPr>
        <w:ind w:left="1425" w:firstLine="0"/>
      </w:pPr>
      <w:rPr>
        <w:rFonts w:ascii="Arial" w:eastAsia="Arial" w:hAnsi="Arial" w:cs="Arial"/>
        <w:b w:val="0"/>
        <w:i w:val="0"/>
        <w:strike w:val="0"/>
        <w:dstrike w:val="0"/>
        <w:color w:val="00000A"/>
        <w:sz w:val="24"/>
        <w:szCs w:val="24"/>
        <w:u w:val="none" w:color="000000"/>
        <w:effect w:val="none"/>
        <w:bdr w:val="none" w:sz="0" w:space="0" w:color="auto" w:frame="1"/>
        <w:vertAlign w:val="baseline"/>
      </w:rPr>
    </w:lvl>
    <w:lvl w:ilvl="3" w:tplc="E176014E">
      <w:start w:val="1"/>
      <w:numFmt w:val="bullet"/>
      <w:lvlText w:val="•"/>
      <w:lvlJc w:val="left"/>
      <w:pPr>
        <w:ind w:left="2160" w:firstLine="0"/>
      </w:pPr>
      <w:rPr>
        <w:rFonts w:ascii="Arial" w:eastAsia="Arial" w:hAnsi="Arial" w:cs="Arial"/>
        <w:b w:val="0"/>
        <w:i w:val="0"/>
        <w:strike w:val="0"/>
        <w:dstrike w:val="0"/>
        <w:color w:val="00000A"/>
        <w:sz w:val="24"/>
        <w:szCs w:val="24"/>
        <w:u w:val="none" w:color="000000"/>
        <w:effect w:val="none"/>
        <w:bdr w:val="none" w:sz="0" w:space="0" w:color="auto" w:frame="1"/>
        <w:vertAlign w:val="baseline"/>
      </w:rPr>
    </w:lvl>
    <w:lvl w:ilvl="4" w:tplc="89B0B802">
      <w:start w:val="1"/>
      <w:numFmt w:val="bullet"/>
      <w:lvlText w:val="o"/>
      <w:lvlJc w:val="left"/>
      <w:pPr>
        <w:ind w:left="2880" w:firstLine="0"/>
      </w:pPr>
      <w:rPr>
        <w:rFonts w:ascii="Segoe UI Symbol" w:eastAsia="Segoe UI Symbol" w:hAnsi="Segoe UI Symbol" w:cs="Segoe UI Symbol"/>
        <w:b w:val="0"/>
        <w:i w:val="0"/>
        <w:strike w:val="0"/>
        <w:dstrike w:val="0"/>
        <w:color w:val="00000A"/>
        <w:sz w:val="24"/>
        <w:szCs w:val="24"/>
        <w:u w:val="none" w:color="000000"/>
        <w:effect w:val="none"/>
        <w:bdr w:val="none" w:sz="0" w:space="0" w:color="auto" w:frame="1"/>
        <w:vertAlign w:val="baseline"/>
      </w:rPr>
    </w:lvl>
    <w:lvl w:ilvl="5" w:tplc="C40A624C">
      <w:start w:val="1"/>
      <w:numFmt w:val="bullet"/>
      <w:lvlText w:val="▪"/>
      <w:lvlJc w:val="left"/>
      <w:pPr>
        <w:ind w:left="3600" w:firstLine="0"/>
      </w:pPr>
      <w:rPr>
        <w:rFonts w:ascii="Segoe UI Symbol" w:eastAsia="Segoe UI Symbol" w:hAnsi="Segoe UI Symbol" w:cs="Segoe UI Symbol"/>
        <w:b w:val="0"/>
        <w:i w:val="0"/>
        <w:strike w:val="0"/>
        <w:dstrike w:val="0"/>
        <w:color w:val="00000A"/>
        <w:sz w:val="24"/>
        <w:szCs w:val="24"/>
        <w:u w:val="none" w:color="000000"/>
        <w:effect w:val="none"/>
        <w:bdr w:val="none" w:sz="0" w:space="0" w:color="auto" w:frame="1"/>
        <w:vertAlign w:val="baseline"/>
      </w:rPr>
    </w:lvl>
    <w:lvl w:ilvl="6" w:tplc="5DA86E12">
      <w:start w:val="1"/>
      <w:numFmt w:val="bullet"/>
      <w:lvlText w:val="•"/>
      <w:lvlJc w:val="left"/>
      <w:pPr>
        <w:ind w:left="4320" w:firstLine="0"/>
      </w:pPr>
      <w:rPr>
        <w:rFonts w:ascii="Arial" w:eastAsia="Arial" w:hAnsi="Arial" w:cs="Arial"/>
        <w:b w:val="0"/>
        <w:i w:val="0"/>
        <w:strike w:val="0"/>
        <w:dstrike w:val="0"/>
        <w:color w:val="00000A"/>
        <w:sz w:val="24"/>
        <w:szCs w:val="24"/>
        <w:u w:val="none" w:color="000000"/>
        <w:effect w:val="none"/>
        <w:bdr w:val="none" w:sz="0" w:space="0" w:color="auto" w:frame="1"/>
        <w:vertAlign w:val="baseline"/>
      </w:rPr>
    </w:lvl>
    <w:lvl w:ilvl="7" w:tplc="0F686E16">
      <w:start w:val="1"/>
      <w:numFmt w:val="bullet"/>
      <w:lvlText w:val="o"/>
      <w:lvlJc w:val="left"/>
      <w:pPr>
        <w:ind w:left="5040" w:firstLine="0"/>
      </w:pPr>
      <w:rPr>
        <w:rFonts w:ascii="Segoe UI Symbol" w:eastAsia="Segoe UI Symbol" w:hAnsi="Segoe UI Symbol" w:cs="Segoe UI Symbol"/>
        <w:b w:val="0"/>
        <w:i w:val="0"/>
        <w:strike w:val="0"/>
        <w:dstrike w:val="0"/>
        <w:color w:val="00000A"/>
        <w:sz w:val="24"/>
        <w:szCs w:val="24"/>
        <w:u w:val="none" w:color="000000"/>
        <w:effect w:val="none"/>
        <w:bdr w:val="none" w:sz="0" w:space="0" w:color="auto" w:frame="1"/>
        <w:vertAlign w:val="baseline"/>
      </w:rPr>
    </w:lvl>
    <w:lvl w:ilvl="8" w:tplc="C5D0714C">
      <w:start w:val="1"/>
      <w:numFmt w:val="bullet"/>
      <w:lvlText w:val="▪"/>
      <w:lvlJc w:val="left"/>
      <w:pPr>
        <w:ind w:left="5760" w:firstLine="0"/>
      </w:pPr>
      <w:rPr>
        <w:rFonts w:ascii="Segoe UI Symbol" w:eastAsia="Segoe UI Symbol" w:hAnsi="Segoe UI Symbol" w:cs="Segoe UI Symbol"/>
        <w:b w:val="0"/>
        <w:i w:val="0"/>
        <w:strike w:val="0"/>
        <w:dstrike w:val="0"/>
        <w:color w:val="00000A"/>
        <w:sz w:val="24"/>
        <w:szCs w:val="24"/>
        <w:u w:val="none" w:color="000000"/>
        <w:effect w:val="none"/>
        <w:bdr w:val="none" w:sz="0" w:space="0" w:color="auto" w:frame="1"/>
        <w:vertAlign w:val="baseline"/>
      </w:rPr>
    </w:lvl>
  </w:abstractNum>
  <w:abstractNum w:abstractNumId="29">
    <w:nsid w:val="2A0A022B"/>
    <w:multiLevelType w:val="multilevel"/>
    <w:tmpl w:val="BAA6F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D640AE3"/>
    <w:multiLevelType w:val="multilevel"/>
    <w:tmpl w:val="D2E051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nsid w:val="30753E3F"/>
    <w:multiLevelType w:val="multilevel"/>
    <w:tmpl w:val="8E9EB78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2">
    <w:nsid w:val="318D2F5A"/>
    <w:multiLevelType w:val="hybridMultilevel"/>
    <w:tmpl w:val="85EAD34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34A861E8"/>
    <w:multiLevelType w:val="multilevel"/>
    <w:tmpl w:val="9C32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52A4918"/>
    <w:multiLevelType w:val="multilevel"/>
    <w:tmpl w:val="D916A5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nsid w:val="3D2863A3"/>
    <w:multiLevelType w:val="hybridMultilevel"/>
    <w:tmpl w:val="68D4E77E"/>
    <w:lvl w:ilvl="0" w:tplc="080A0003">
      <w:start w:val="1"/>
      <w:numFmt w:val="bullet"/>
      <w:lvlText w:val="o"/>
      <w:lvlJc w:val="left"/>
      <w:pPr>
        <w:ind w:left="1080" w:hanging="360"/>
      </w:pPr>
      <w:rPr>
        <w:rFonts w:ascii="Courier New" w:hAnsi="Courier New" w:cs="Courier New"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6">
    <w:nsid w:val="40D61248"/>
    <w:multiLevelType w:val="hybridMultilevel"/>
    <w:tmpl w:val="0264038E"/>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41BA4FE7"/>
    <w:multiLevelType w:val="hybridMultilevel"/>
    <w:tmpl w:val="FED82AF8"/>
    <w:lvl w:ilvl="0" w:tplc="080A000F">
      <w:start w:val="1"/>
      <w:numFmt w:val="decimal"/>
      <w:lvlText w:val="%1."/>
      <w:lvlJc w:val="left"/>
      <w:pPr>
        <w:ind w:left="720" w:hanging="360"/>
      </w:pPr>
      <w:rPr>
        <w:rFonts w:hint="default"/>
        <w:b/>
      </w:rPr>
    </w:lvl>
    <w:lvl w:ilvl="1" w:tplc="080A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453B2FD4"/>
    <w:multiLevelType w:val="hybridMultilevel"/>
    <w:tmpl w:val="41BAED46"/>
    <w:lvl w:ilvl="0" w:tplc="4A46C30C">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185CE1A6">
      <w:start w:val="1"/>
      <w:numFmt w:val="bullet"/>
      <w:lvlText w:val="o"/>
      <w:lvlJc w:val="left"/>
      <w:pPr>
        <w:ind w:left="147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37482566">
      <w:start w:val="1"/>
      <w:numFmt w:val="bullet"/>
      <w:lvlText w:val="▪"/>
      <w:lvlJc w:val="left"/>
      <w:pPr>
        <w:ind w:left="219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3668914C">
      <w:start w:val="1"/>
      <w:numFmt w:val="bullet"/>
      <w:lvlText w:val="•"/>
      <w:lvlJc w:val="left"/>
      <w:pPr>
        <w:ind w:left="291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7C820A86">
      <w:start w:val="1"/>
      <w:numFmt w:val="bullet"/>
      <w:lvlText w:val="o"/>
      <w:lvlJc w:val="left"/>
      <w:pPr>
        <w:ind w:left="363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16CA81C6">
      <w:start w:val="1"/>
      <w:numFmt w:val="bullet"/>
      <w:lvlText w:val="▪"/>
      <w:lvlJc w:val="left"/>
      <w:pPr>
        <w:ind w:left="435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287A3CDE">
      <w:start w:val="1"/>
      <w:numFmt w:val="bullet"/>
      <w:lvlText w:val="•"/>
      <w:lvlJc w:val="left"/>
      <w:pPr>
        <w:ind w:left="507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93CA28F0">
      <w:start w:val="1"/>
      <w:numFmt w:val="bullet"/>
      <w:lvlText w:val="o"/>
      <w:lvlJc w:val="left"/>
      <w:pPr>
        <w:ind w:left="579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0AAE3198">
      <w:start w:val="1"/>
      <w:numFmt w:val="bullet"/>
      <w:lvlText w:val="▪"/>
      <w:lvlJc w:val="left"/>
      <w:pPr>
        <w:ind w:left="6518"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39">
    <w:nsid w:val="45907773"/>
    <w:multiLevelType w:val="multilevel"/>
    <w:tmpl w:val="A32099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nsid w:val="45D65630"/>
    <w:multiLevelType w:val="hybridMultilevel"/>
    <w:tmpl w:val="AFAC02EA"/>
    <w:lvl w:ilvl="0" w:tplc="080A0003">
      <w:start w:val="1"/>
      <w:numFmt w:val="bullet"/>
      <w:lvlText w:val="o"/>
      <w:lvlJc w:val="left"/>
      <w:pPr>
        <w:ind w:left="0" w:hanging="360"/>
      </w:pPr>
      <w:rPr>
        <w:rFonts w:ascii="Courier New" w:hAnsi="Courier New" w:cs="Courier New"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41">
    <w:nsid w:val="45F45800"/>
    <w:multiLevelType w:val="multilevel"/>
    <w:tmpl w:val="64DA8C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2">
    <w:nsid w:val="49336DA0"/>
    <w:multiLevelType w:val="multilevel"/>
    <w:tmpl w:val="4C4C8B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99C3348"/>
    <w:multiLevelType w:val="hybridMultilevel"/>
    <w:tmpl w:val="B2226D92"/>
    <w:lvl w:ilvl="0" w:tplc="080A0003">
      <w:start w:val="1"/>
      <w:numFmt w:val="bullet"/>
      <w:lvlText w:val="o"/>
      <w:lvlJc w:val="left"/>
      <w:pPr>
        <w:ind w:left="720" w:hanging="360"/>
      </w:pPr>
      <w:rPr>
        <w:rFonts w:ascii="Courier New" w:hAnsi="Courier New" w:cs="Courier New" w:hint="default"/>
        <w: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49D8309F"/>
    <w:multiLevelType w:val="multilevel"/>
    <w:tmpl w:val="FDA693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
    <w:nsid w:val="4C120624"/>
    <w:multiLevelType w:val="hybridMultilevel"/>
    <w:tmpl w:val="9014E97C"/>
    <w:lvl w:ilvl="0" w:tplc="080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nsid w:val="510D2BE1"/>
    <w:multiLevelType w:val="hybridMultilevel"/>
    <w:tmpl w:val="8C7E38FA"/>
    <w:lvl w:ilvl="0" w:tplc="576647B6">
      <w:numFmt w:val="bullet"/>
      <w:lvlText w:val="-"/>
      <w:lvlJc w:val="left"/>
      <w:pPr>
        <w:ind w:left="720" w:hanging="360"/>
      </w:pPr>
      <w:rPr>
        <w:rFonts w:ascii="Cambria" w:eastAsiaTheme="minorEastAsia" w:hAnsi="Cambria" w:cstheme="minorBidi" w:hint="default"/>
        <w:b/>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51DA70DF"/>
    <w:multiLevelType w:val="multilevel"/>
    <w:tmpl w:val="B15219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nsid w:val="53983F73"/>
    <w:multiLevelType w:val="multilevel"/>
    <w:tmpl w:val="B64C08E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9">
    <w:nsid w:val="54DE06A0"/>
    <w:multiLevelType w:val="multilevel"/>
    <w:tmpl w:val="B40A89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nsid w:val="58B00F4B"/>
    <w:multiLevelType w:val="hybridMultilevel"/>
    <w:tmpl w:val="6680D4C2"/>
    <w:lvl w:ilvl="0" w:tplc="080A0003">
      <w:start w:val="1"/>
      <w:numFmt w:val="bullet"/>
      <w:lvlText w:val="o"/>
      <w:lvlJc w:val="left"/>
      <w:pPr>
        <w:ind w:left="720" w:hanging="360"/>
      </w:pPr>
      <w:rPr>
        <w:rFonts w:ascii="Courier New" w:hAnsi="Courier New" w:cs="Courier New" w:hint="default"/>
        <w: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nsid w:val="5912608C"/>
    <w:multiLevelType w:val="multilevel"/>
    <w:tmpl w:val="5560B1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9C058CA"/>
    <w:multiLevelType w:val="hybridMultilevel"/>
    <w:tmpl w:val="DC542894"/>
    <w:lvl w:ilvl="0" w:tplc="FFFFFFFF">
      <w:numFmt w:val="bullet"/>
      <w:lvlText w:val="-"/>
      <w:lvlJc w:val="left"/>
      <w:pPr>
        <w:ind w:left="720" w:hanging="360"/>
      </w:pPr>
      <w:rPr>
        <w:rFonts w:ascii="Cambria" w:eastAsiaTheme="minorEastAsia" w:hAnsi="Cambria" w:cstheme="minorBidi" w:hint="default"/>
        <w:b/>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Cambria" w:eastAsiaTheme="minorEastAsia" w:hAnsi="Cambria" w:cstheme="minorBidi" w:hint="default"/>
        <w:b/>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nsid w:val="5A4B2BCF"/>
    <w:multiLevelType w:val="hybridMultilevel"/>
    <w:tmpl w:val="06E0175A"/>
    <w:lvl w:ilvl="0" w:tplc="08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nsid w:val="5AB945DA"/>
    <w:multiLevelType w:val="hybridMultilevel"/>
    <w:tmpl w:val="F9746C6C"/>
    <w:lvl w:ilvl="0" w:tplc="E24E84CC">
      <w:start w:val="1"/>
      <w:numFmt w:val="bullet"/>
      <w:lvlText w:val=""/>
      <w:lvlJc w:val="left"/>
      <w:pPr>
        <w:ind w:left="720" w:firstLine="0"/>
      </w:pPr>
      <w:rPr>
        <w:rFonts w:ascii="Wingdings" w:eastAsia="Wingdings" w:hAnsi="Wingdings" w:cs="Wingdings"/>
        <w:b w:val="0"/>
        <w:i w:val="0"/>
        <w:strike w:val="0"/>
        <w:dstrike w:val="0"/>
        <w:color w:val="00000A"/>
        <w:sz w:val="28"/>
        <w:szCs w:val="28"/>
        <w:u w:val="none" w:color="000000"/>
        <w:effect w:val="none"/>
        <w:bdr w:val="none" w:sz="0" w:space="0" w:color="auto" w:frame="1"/>
        <w:vertAlign w:val="baseline"/>
      </w:rPr>
    </w:lvl>
    <w:lvl w:ilvl="1" w:tplc="F660730C">
      <w:start w:val="1"/>
      <w:numFmt w:val="bullet"/>
      <w:lvlText w:val="•"/>
      <w:lvlJc w:val="left"/>
      <w:pPr>
        <w:ind w:left="994" w:firstLine="0"/>
      </w:pPr>
      <w:rPr>
        <w:rFonts w:ascii="Arial" w:eastAsia="Arial" w:hAnsi="Arial" w:cs="Arial"/>
        <w:b w:val="0"/>
        <w:i w:val="0"/>
        <w:strike w:val="0"/>
        <w:dstrike w:val="0"/>
        <w:color w:val="00000A"/>
        <w:sz w:val="28"/>
        <w:szCs w:val="28"/>
        <w:u w:val="none" w:color="000000"/>
        <w:effect w:val="none"/>
        <w:bdr w:val="none" w:sz="0" w:space="0" w:color="auto" w:frame="1"/>
        <w:vertAlign w:val="baseline"/>
      </w:rPr>
    </w:lvl>
    <w:lvl w:ilvl="2" w:tplc="05D04D72">
      <w:start w:val="1"/>
      <w:numFmt w:val="bullet"/>
      <w:lvlText w:val="▪"/>
      <w:lvlJc w:val="left"/>
      <w:pPr>
        <w:ind w:left="1791" w:firstLine="0"/>
      </w:pPr>
      <w:rPr>
        <w:rFonts w:ascii="Segoe UI Symbol" w:eastAsia="Segoe UI Symbol" w:hAnsi="Segoe UI Symbol" w:cs="Segoe UI Symbol"/>
        <w:b w:val="0"/>
        <w:i w:val="0"/>
        <w:strike w:val="0"/>
        <w:dstrike w:val="0"/>
        <w:color w:val="00000A"/>
        <w:sz w:val="28"/>
        <w:szCs w:val="28"/>
        <w:u w:val="none" w:color="000000"/>
        <w:effect w:val="none"/>
        <w:bdr w:val="none" w:sz="0" w:space="0" w:color="auto" w:frame="1"/>
        <w:vertAlign w:val="baseline"/>
      </w:rPr>
    </w:lvl>
    <w:lvl w:ilvl="3" w:tplc="A04E502A">
      <w:start w:val="1"/>
      <w:numFmt w:val="bullet"/>
      <w:lvlText w:val="•"/>
      <w:lvlJc w:val="left"/>
      <w:pPr>
        <w:ind w:left="2511" w:firstLine="0"/>
      </w:pPr>
      <w:rPr>
        <w:rFonts w:ascii="Arial" w:eastAsia="Arial" w:hAnsi="Arial" w:cs="Arial"/>
        <w:b w:val="0"/>
        <w:i w:val="0"/>
        <w:strike w:val="0"/>
        <w:dstrike w:val="0"/>
        <w:color w:val="00000A"/>
        <w:sz w:val="28"/>
        <w:szCs w:val="28"/>
        <w:u w:val="none" w:color="000000"/>
        <w:effect w:val="none"/>
        <w:bdr w:val="none" w:sz="0" w:space="0" w:color="auto" w:frame="1"/>
        <w:vertAlign w:val="baseline"/>
      </w:rPr>
    </w:lvl>
    <w:lvl w:ilvl="4" w:tplc="BD7CB960">
      <w:start w:val="1"/>
      <w:numFmt w:val="bullet"/>
      <w:lvlText w:val="o"/>
      <w:lvlJc w:val="left"/>
      <w:pPr>
        <w:ind w:left="3231" w:firstLine="0"/>
      </w:pPr>
      <w:rPr>
        <w:rFonts w:ascii="Segoe UI Symbol" w:eastAsia="Segoe UI Symbol" w:hAnsi="Segoe UI Symbol" w:cs="Segoe UI Symbol"/>
        <w:b w:val="0"/>
        <w:i w:val="0"/>
        <w:strike w:val="0"/>
        <w:dstrike w:val="0"/>
        <w:color w:val="00000A"/>
        <w:sz w:val="28"/>
        <w:szCs w:val="28"/>
        <w:u w:val="none" w:color="000000"/>
        <w:effect w:val="none"/>
        <w:bdr w:val="none" w:sz="0" w:space="0" w:color="auto" w:frame="1"/>
        <w:vertAlign w:val="baseline"/>
      </w:rPr>
    </w:lvl>
    <w:lvl w:ilvl="5" w:tplc="08341000">
      <w:start w:val="1"/>
      <w:numFmt w:val="bullet"/>
      <w:lvlText w:val="▪"/>
      <w:lvlJc w:val="left"/>
      <w:pPr>
        <w:ind w:left="3951" w:firstLine="0"/>
      </w:pPr>
      <w:rPr>
        <w:rFonts w:ascii="Segoe UI Symbol" w:eastAsia="Segoe UI Symbol" w:hAnsi="Segoe UI Symbol" w:cs="Segoe UI Symbol"/>
        <w:b w:val="0"/>
        <w:i w:val="0"/>
        <w:strike w:val="0"/>
        <w:dstrike w:val="0"/>
        <w:color w:val="00000A"/>
        <w:sz w:val="28"/>
        <w:szCs w:val="28"/>
        <w:u w:val="none" w:color="000000"/>
        <w:effect w:val="none"/>
        <w:bdr w:val="none" w:sz="0" w:space="0" w:color="auto" w:frame="1"/>
        <w:vertAlign w:val="baseline"/>
      </w:rPr>
    </w:lvl>
    <w:lvl w:ilvl="6" w:tplc="40F671B4">
      <w:start w:val="1"/>
      <w:numFmt w:val="bullet"/>
      <w:lvlText w:val="•"/>
      <w:lvlJc w:val="left"/>
      <w:pPr>
        <w:ind w:left="4671" w:firstLine="0"/>
      </w:pPr>
      <w:rPr>
        <w:rFonts w:ascii="Arial" w:eastAsia="Arial" w:hAnsi="Arial" w:cs="Arial"/>
        <w:b w:val="0"/>
        <w:i w:val="0"/>
        <w:strike w:val="0"/>
        <w:dstrike w:val="0"/>
        <w:color w:val="00000A"/>
        <w:sz w:val="28"/>
        <w:szCs w:val="28"/>
        <w:u w:val="none" w:color="000000"/>
        <w:effect w:val="none"/>
        <w:bdr w:val="none" w:sz="0" w:space="0" w:color="auto" w:frame="1"/>
        <w:vertAlign w:val="baseline"/>
      </w:rPr>
    </w:lvl>
    <w:lvl w:ilvl="7" w:tplc="82382FEC">
      <w:start w:val="1"/>
      <w:numFmt w:val="bullet"/>
      <w:lvlText w:val="o"/>
      <w:lvlJc w:val="left"/>
      <w:pPr>
        <w:ind w:left="5391" w:firstLine="0"/>
      </w:pPr>
      <w:rPr>
        <w:rFonts w:ascii="Segoe UI Symbol" w:eastAsia="Segoe UI Symbol" w:hAnsi="Segoe UI Symbol" w:cs="Segoe UI Symbol"/>
        <w:b w:val="0"/>
        <w:i w:val="0"/>
        <w:strike w:val="0"/>
        <w:dstrike w:val="0"/>
        <w:color w:val="00000A"/>
        <w:sz w:val="28"/>
        <w:szCs w:val="28"/>
        <w:u w:val="none" w:color="000000"/>
        <w:effect w:val="none"/>
        <w:bdr w:val="none" w:sz="0" w:space="0" w:color="auto" w:frame="1"/>
        <w:vertAlign w:val="baseline"/>
      </w:rPr>
    </w:lvl>
    <w:lvl w:ilvl="8" w:tplc="C7303568">
      <w:start w:val="1"/>
      <w:numFmt w:val="bullet"/>
      <w:lvlText w:val="▪"/>
      <w:lvlJc w:val="left"/>
      <w:pPr>
        <w:ind w:left="6111" w:firstLine="0"/>
      </w:pPr>
      <w:rPr>
        <w:rFonts w:ascii="Segoe UI Symbol" w:eastAsia="Segoe UI Symbol" w:hAnsi="Segoe UI Symbol" w:cs="Segoe UI Symbol"/>
        <w:b w:val="0"/>
        <w:i w:val="0"/>
        <w:strike w:val="0"/>
        <w:dstrike w:val="0"/>
        <w:color w:val="00000A"/>
        <w:sz w:val="28"/>
        <w:szCs w:val="28"/>
        <w:u w:val="none" w:color="000000"/>
        <w:effect w:val="none"/>
        <w:bdr w:val="none" w:sz="0" w:space="0" w:color="auto" w:frame="1"/>
        <w:vertAlign w:val="baseline"/>
      </w:rPr>
    </w:lvl>
  </w:abstractNum>
  <w:abstractNum w:abstractNumId="55">
    <w:nsid w:val="5C7C487A"/>
    <w:multiLevelType w:val="multilevel"/>
    <w:tmpl w:val="84D2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C811876"/>
    <w:multiLevelType w:val="hybridMultilevel"/>
    <w:tmpl w:val="A58A3E12"/>
    <w:lvl w:ilvl="0" w:tplc="FFFFFFFF">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nsid w:val="62047EF5"/>
    <w:multiLevelType w:val="multilevel"/>
    <w:tmpl w:val="399803E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Cambria" w:eastAsiaTheme="minorEastAsia" w:hAnsi="Cambria" w:cstheme="minorBidi"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2B63594"/>
    <w:multiLevelType w:val="hybridMultilevel"/>
    <w:tmpl w:val="5EA45520"/>
    <w:lvl w:ilvl="0" w:tplc="080A0001">
      <w:start w:val="1"/>
      <w:numFmt w:val="bullet"/>
      <w:lvlText w:val=""/>
      <w:lvlJc w:val="left"/>
      <w:pPr>
        <w:ind w:left="780" w:hanging="360"/>
      </w:pPr>
      <w:rPr>
        <w:rFonts w:ascii="Symbol" w:hAnsi="Symbol" w:hint="default"/>
      </w:rPr>
    </w:lvl>
    <w:lvl w:ilvl="1" w:tplc="080A0003">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59">
    <w:nsid w:val="638E1BDF"/>
    <w:multiLevelType w:val="multilevel"/>
    <w:tmpl w:val="D970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4770277"/>
    <w:multiLevelType w:val="hybridMultilevel"/>
    <w:tmpl w:val="369A2568"/>
    <w:lvl w:ilvl="0" w:tplc="FFFFFFFF">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656D4A5D"/>
    <w:multiLevelType w:val="multilevel"/>
    <w:tmpl w:val="256038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7E04B92"/>
    <w:multiLevelType w:val="hybridMultilevel"/>
    <w:tmpl w:val="4FCA5120"/>
    <w:lvl w:ilvl="0" w:tplc="080A0003">
      <w:start w:val="1"/>
      <w:numFmt w:val="bullet"/>
      <w:lvlText w:val="o"/>
      <w:lvlJc w:val="left"/>
      <w:pPr>
        <w:ind w:left="720" w:hanging="360"/>
      </w:pPr>
      <w:rPr>
        <w:rFonts w:ascii="Courier New" w:hAnsi="Courier New" w:cs="Courier New" w:hint="default"/>
        <w: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nsid w:val="6B317FD4"/>
    <w:multiLevelType w:val="multilevel"/>
    <w:tmpl w:val="546663F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
    <w:nsid w:val="6B5603B1"/>
    <w:multiLevelType w:val="hybridMultilevel"/>
    <w:tmpl w:val="9DB493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5">
    <w:nsid w:val="70360FBE"/>
    <w:multiLevelType w:val="hybridMultilevel"/>
    <w:tmpl w:val="11486F76"/>
    <w:lvl w:ilvl="0" w:tplc="8CECA270">
      <w:start w:val="1"/>
      <w:numFmt w:val="bullet"/>
      <w:lvlText w:val="•"/>
      <w:lvlJc w:val="left"/>
      <w:pPr>
        <w:ind w:left="1080" w:hanging="360"/>
      </w:pPr>
      <w:rPr>
        <w:rFonts w:ascii="Arial" w:eastAsia="Arial" w:hAnsi="Arial" w:cs="Arial" w:hint="default"/>
        <w:b w:val="0"/>
        <w:i w:val="0"/>
        <w:strike w:val="0"/>
        <w:dstrike w:val="0"/>
        <w:color w:val="00000A"/>
        <w:sz w:val="24"/>
        <w:szCs w:val="24"/>
        <w:u w:val="none" w:color="000000"/>
        <w:effect w:val="none"/>
        <w:bdr w:val="none" w:sz="0" w:space="0" w:color="auto" w:frame="1"/>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
    <w:nsid w:val="713248B1"/>
    <w:multiLevelType w:val="multilevel"/>
    <w:tmpl w:val="E5CEB7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7">
    <w:nsid w:val="714C4602"/>
    <w:multiLevelType w:val="multilevel"/>
    <w:tmpl w:val="F762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1D727C1"/>
    <w:multiLevelType w:val="multilevel"/>
    <w:tmpl w:val="AD2CDC0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9">
    <w:nsid w:val="723C483E"/>
    <w:multiLevelType w:val="multilevel"/>
    <w:tmpl w:val="8B80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2A15737"/>
    <w:multiLevelType w:val="hybridMultilevel"/>
    <w:tmpl w:val="98F21506"/>
    <w:lvl w:ilvl="0" w:tplc="FFFFFFFF">
      <w:start w:val="1"/>
      <w:numFmt w:val="bullet"/>
      <w:lvlText w:val="o"/>
      <w:lvlJc w:val="left"/>
      <w:pPr>
        <w:ind w:left="720" w:hanging="360"/>
      </w:pPr>
      <w:rPr>
        <w:rFonts w:ascii="Courier New" w:hAnsi="Courier New" w:cs="Courier New" w:hint="default"/>
      </w:rPr>
    </w:lvl>
    <w:lvl w:ilvl="1" w:tplc="08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nsid w:val="73002A9C"/>
    <w:multiLevelType w:val="multilevel"/>
    <w:tmpl w:val="D178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3CB16B5"/>
    <w:multiLevelType w:val="multilevel"/>
    <w:tmpl w:val="A1140F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3">
    <w:nsid w:val="74EA0132"/>
    <w:multiLevelType w:val="multilevel"/>
    <w:tmpl w:val="0D92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63F1549"/>
    <w:multiLevelType w:val="multilevel"/>
    <w:tmpl w:val="8D12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81C22AC"/>
    <w:multiLevelType w:val="multilevel"/>
    <w:tmpl w:val="C73493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
    <w:nsid w:val="78F074D3"/>
    <w:multiLevelType w:val="multilevel"/>
    <w:tmpl w:val="1452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C772EF9"/>
    <w:multiLevelType w:val="multilevel"/>
    <w:tmpl w:val="80CA2A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DFD2680"/>
    <w:multiLevelType w:val="multilevel"/>
    <w:tmpl w:val="8CD086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9">
    <w:nsid w:val="7EBC53B2"/>
    <w:multiLevelType w:val="multilevel"/>
    <w:tmpl w:val="1F161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7ED054E0"/>
    <w:multiLevelType w:val="hybridMultilevel"/>
    <w:tmpl w:val="0EA643CA"/>
    <w:lvl w:ilvl="0" w:tplc="FFFFFFFF">
      <w:numFmt w:val="bullet"/>
      <w:lvlText w:val="-"/>
      <w:lvlJc w:val="left"/>
      <w:pPr>
        <w:ind w:left="720" w:hanging="360"/>
      </w:pPr>
      <w:rPr>
        <w:rFonts w:ascii="Cambria" w:eastAsiaTheme="minorEastAsia" w:hAnsi="Cambria" w:cstheme="minorBidi" w:hint="default"/>
        <w:b/>
      </w:rPr>
    </w:lvl>
    <w:lvl w:ilvl="1" w:tplc="FFFFFFFF">
      <w:numFmt w:val="bullet"/>
      <w:lvlText w:val="-"/>
      <w:lvlJc w:val="left"/>
      <w:pPr>
        <w:ind w:left="1440" w:hanging="360"/>
      </w:pPr>
      <w:rPr>
        <w:rFonts w:ascii="Cambria" w:eastAsiaTheme="minorEastAsia" w:hAnsi="Cambria" w:cstheme="minorBidi"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46"/>
  </w:num>
  <w:num w:numId="8">
    <w:abstractNumId w:val="27"/>
  </w:num>
  <w:num w:numId="9">
    <w:abstractNumId w:val="40"/>
  </w:num>
  <w:num w:numId="10">
    <w:abstractNumId w:val="14"/>
  </w:num>
  <w:num w:numId="11">
    <w:abstractNumId w:val="36"/>
  </w:num>
  <w:num w:numId="12">
    <w:abstractNumId w:val="50"/>
  </w:num>
  <w:num w:numId="13">
    <w:abstractNumId w:val="62"/>
  </w:num>
  <w:num w:numId="14">
    <w:abstractNumId w:val="37"/>
  </w:num>
  <w:num w:numId="15">
    <w:abstractNumId w:val="43"/>
  </w:num>
  <w:num w:numId="16">
    <w:abstractNumId w:val="45"/>
  </w:num>
  <w:num w:numId="17">
    <w:abstractNumId w:val="52"/>
  </w:num>
  <w:num w:numId="18">
    <w:abstractNumId w:val="35"/>
  </w:num>
  <w:num w:numId="19">
    <w:abstractNumId w:val="26"/>
  </w:num>
  <w:num w:numId="20">
    <w:abstractNumId w:val="21"/>
  </w:num>
  <w:num w:numId="21">
    <w:abstractNumId w:val="53"/>
  </w:num>
  <w:num w:numId="22">
    <w:abstractNumId w:val="25"/>
  </w:num>
  <w:num w:numId="23">
    <w:abstractNumId w:val="79"/>
  </w:num>
  <w:num w:numId="24">
    <w:abstractNumId w:val="76"/>
  </w:num>
  <w:num w:numId="25">
    <w:abstractNumId w:val="24"/>
  </w:num>
  <w:num w:numId="26">
    <w:abstractNumId w:val="51"/>
  </w:num>
  <w:num w:numId="27">
    <w:abstractNumId w:val="61"/>
  </w:num>
  <w:num w:numId="28">
    <w:abstractNumId w:val="58"/>
  </w:num>
  <w:num w:numId="29">
    <w:abstractNumId w:val="68"/>
  </w:num>
  <w:num w:numId="30">
    <w:abstractNumId w:val="11"/>
  </w:num>
  <w:num w:numId="31">
    <w:abstractNumId w:val="57"/>
  </w:num>
  <w:num w:numId="32">
    <w:abstractNumId w:val="7"/>
  </w:num>
  <w:num w:numId="33">
    <w:abstractNumId w:val="80"/>
  </w:num>
  <w:num w:numId="34">
    <w:abstractNumId w:val="77"/>
  </w:num>
  <w:num w:numId="35">
    <w:abstractNumId w:val="70"/>
  </w:num>
  <w:num w:numId="36">
    <w:abstractNumId w:val="64"/>
  </w:num>
  <w:num w:numId="37">
    <w:abstractNumId w:val="32"/>
  </w:num>
  <w:num w:numId="38">
    <w:abstractNumId w:val="56"/>
  </w:num>
  <w:num w:numId="39">
    <w:abstractNumId w:val="60"/>
  </w:num>
  <w:num w:numId="40">
    <w:abstractNumId w:val="17"/>
  </w:num>
  <w:num w:numId="41">
    <w:abstractNumId w:val="48"/>
  </w:num>
  <w:num w:numId="42">
    <w:abstractNumId w:val="55"/>
  </w:num>
  <w:num w:numId="43">
    <w:abstractNumId w:val="19"/>
  </w:num>
  <w:num w:numId="44">
    <w:abstractNumId w:val="78"/>
  </w:num>
  <w:num w:numId="45">
    <w:abstractNumId w:val="31"/>
  </w:num>
  <w:num w:numId="46">
    <w:abstractNumId w:val="9"/>
  </w:num>
  <w:num w:numId="47">
    <w:abstractNumId w:val="18"/>
  </w:num>
  <w:num w:numId="48">
    <w:abstractNumId w:val="73"/>
  </w:num>
  <w:num w:numId="49">
    <w:abstractNumId w:val="10"/>
  </w:num>
  <w:num w:numId="50">
    <w:abstractNumId w:val="29"/>
  </w:num>
  <w:num w:numId="51">
    <w:abstractNumId w:val="33"/>
  </w:num>
  <w:num w:numId="52">
    <w:abstractNumId w:val="13"/>
  </w:num>
  <w:num w:numId="53">
    <w:abstractNumId w:val="42"/>
  </w:num>
  <w:num w:numId="54">
    <w:abstractNumId w:val="71"/>
  </w:num>
  <w:num w:numId="55">
    <w:abstractNumId w:val="72"/>
  </w:num>
  <w:num w:numId="56">
    <w:abstractNumId w:val="8"/>
  </w:num>
  <w:num w:numId="57">
    <w:abstractNumId w:val="75"/>
  </w:num>
  <w:num w:numId="58">
    <w:abstractNumId w:val="66"/>
  </w:num>
  <w:num w:numId="59">
    <w:abstractNumId w:val="41"/>
  </w:num>
  <w:num w:numId="60">
    <w:abstractNumId w:val="22"/>
  </w:num>
  <w:num w:numId="61">
    <w:abstractNumId w:val="63"/>
  </w:num>
  <w:num w:numId="62">
    <w:abstractNumId w:val="39"/>
  </w:num>
  <w:num w:numId="63">
    <w:abstractNumId w:val="12"/>
  </w:num>
  <w:num w:numId="64">
    <w:abstractNumId w:val="20"/>
  </w:num>
  <w:num w:numId="65">
    <w:abstractNumId w:val="69"/>
  </w:num>
  <w:num w:numId="66">
    <w:abstractNumId w:val="44"/>
  </w:num>
  <w:num w:numId="67">
    <w:abstractNumId w:val="47"/>
  </w:num>
  <w:num w:numId="68">
    <w:abstractNumId w:val="15"/>
  </w:num>
  <w:num w:numId="69">
    <w:abstractNumId w:val="49"/>
  </w:num>
  <w:num w:numId="70">
    <w:abstractNumId w:val="6"/>
  </w:num>
  <w:num w:numId="71">
    <w:abstractNumId w:val="23"/>
  </w:num>
  <w:num w:numId="72">
    <w:abstractNumId w:val="38"/>
  </w:num>
  <w:num w:numId="73">
    <w:abstractNumId w:val="74"/>
  </w:num>
  <w:num w:numId="74">
    <w:abstractNumId w:val="54"/>
  </w:num>
  <w:num w:numId="75">
    <w:abstractNumId w:val="28"/>
  </w:num>
  <w:num w:numId="76">
    <w:abstractNumId w:val="59"/>
  </w:num>
  <w:num w:numId="77">
    <w:abstractNumId w:val="16"/>
  </w:num>
  <w:num w:numId="78">
    <w:abstractNumId w:val="67"/>
  </w:num>
  <w:num w:numId="79">
    <w:abstractNumId w:val="65"/>
  </w:num>
  <w:num w:numId="80">
    <w:abstractNumId w:val="30"/>
  </w:num>
  <w:num w:numId="81">
    <w:abstractNumId w:val="3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111E"/>
    <w:rsid w:val="00001BE5"/>
    <w:rsid w:val="00013204"/>
    <w:rsid w:val="000138FF"/>
    <w:rsid w:val="0001708B"/>
    <w:rsid w:val="00017A6F"/>
    <w:rsid w:val="000254C4"/>
    <w:rsid w:val="00030620"/>
    <w:rsid w:val="0003135E"/>
    <w:rsid w:val="00034616"/>
    <w:rsid w:val="0004297A"/>
    <w:rsid w:val="0005300E"/>
    <w:rsid w:val="000577D0"/>
    <w:rsid w:val="0006063C"/>
    <w:rsid w:val="00067CF1"/>
    <w:rsid w:val="000775F2"/>
    <w:rsid w:val="00085CCE"/>
    <w:rsid w:val="00086AA4"/>
    <w:rsid w:val="000A0C2B"/>
    <w:rsid w:val="000C6170"/>
    <w:rsid w:val="000D5550"/>
    <w:rsid w:val="000E03BE"/>
    <w:rsid w:val="000E0424"/>
    <w:rsid w:val="00106769"/>
    <w:rsid w:val="00107683"/>
    <w:rsid w:val="001105C4"/>
    <w:rsid w:val="00111094"/>
    <w:rsid w:val="00120EA2"/>
    <w:rsid w:val="00124016"/>
    <w:rsid w:val="00127EE1"/>
    <w:rsid w:val="0013770B"/>
    <w:rsid w:val="0015074B"/>
    <w:rsid w:val="00166F5A"/>
    <w:rsid w:val="00183B94"/>
    <w:rsid w:val="00191C50"/>
    <w:rsid w:val="00192DA8"/>
    <w:rsid w:val="001A19C1"/>
    <w:rsid w:val="001A1FCA"/>
    <w:rsid w:val="001A3744"/>
    <w:rsid w:val="001A4221"/>
    <w:rsid w:val="001B41BC"/>
    <w:rsid w:val="001D3E75"/>
    <w:rsid w:val="001D7E54"/>
    <w:rsid w:val="001E4612"/>
    <w:rsid w:val="001E472E"/>
    <w:rsid w:val="002020E5"/>
    <w:rsid w:val="002041EF"/>
    <w:rsid w:val="002138C2"/>
    <w:rsid w:val="0023162C"/>
    <w:rsid w:val="0024572F"/>
    <w:rsid w:val="002463F0"/>
    <w:rsid w:val="00263FF7"/>
    <w:rsid w:val="0026441C"/>
    <w:rsid w:val="00280BDF"/>
    <w:rsid w:val="00296299"/>
    <w:rsid w:val="0029639D"/>
    <w:rsid w:val="002A7F31"/>
    <w:rsid w:val="002C530C"/>
    <w:rsid w:val="002D1033"/>
    <w:rsid w:val="002D3EB1"/>
    <w:rsid w:val="002E2506"/>
    <w:rsid w:val="002F2CA5"/>
    <w:rsid w:val="003001D2"/>
    <w:rsid w:val="00305718"/>
    <w:rsid w:val="00307D9B"/>
    <w:rsid w:val="003269CD"/>
    <w:rsid w:val="00326F90"/>
    <w:rsid w:val="0033173A"/>
    <w:rsid w:val="003329EB"/>
    <w:rsid w:val="00345AAD"/>
    <w:rsid w:val="00346DE0"/>
    <w:rsid w:val="00350CE4"/>
    <w:rsid w:val="00355F27"/>
    <w:rsid w:val="00360047"/>
    <w:rsid w:val="00360676"/>
    <w:rsid w:val="00360709"/>
    <w:rsid w:val="00365364"/>
    <w:rsid w:val="00366EB0"/>
    <w:rsid w:val="003801DD"/>
    <w:rsid w:val="00384D8A"/>
    <w:rsid w:val="003855EE"/>
    <w:rsid w:val="00386539"/>
    <w:rsid w:val="00387256"/>
    <w:rsid w:val="00390DD7"/>
    <w:rsid w:val="00394D1B"/>
    <w:rsid w:val="003A3E61"/>
    <w:rsid w:val="003B4042"/>
    <w:rsid w:val="003C7B36"/>
    <w:rsid w:val="003D387B"/>
    <w:rsid w:val="003D682F"/>
    <w:rsid w:val="003D7299"/>
    <w:rsid w:val="003E584C"/>
    <w:rsid w:val="003F6033"/>
    <w:rsid w:val="004011C4"/>
    <w:rsid w:val="00411FC5"/>
    <w:rsid w:val="00413B3E"/>
    <w:rsid w:val="00434847"/>
    <w:rsid w:val="00437945"/>
    <w:rsid w:val="00452089"/>
    <w:rsid w:val="00456CA3"/>
    <w:rsid w:val="00463A84"/>
    <w:rsid w:val="00490476"/>
    <w:rsid w:val="004907A7"/>
    <w:rsid w:val="004A0709"/>
    <w:rsid w:val="004A1B33"/>
    <w:rsid w:val="004B06E4"/>
    <w:rsid w:val="004B7BEB"/>
    <w:rsid w:val="004C221A"/>
    <w:rsid w:val="004C7D51"/>
    <w:rsid w:val="004D40C5"/>
    <w:rsid w:val="004D769F"/>
    <w:rsid w:val="004E0184"/>
    <w:rsid w:val="004E18F1"/>
    <w:rsid w:val="004E33F3"/>
    <w:rsid w:val="004E4011"/>
    <w:rsid w:val="005016F9"/>
    <w:rsid w:val="005050E1"/>
    <w:rsid w:val="0051522C"/>
    <w:rsid w:val="005267E3"/>
    <w:rsid w:val="005320AD"/>
    <w:rsid w:val="005329A9"/>
    <w:rsid w:val="00533940"/>
    <w:rsid w:val="00555B12"/>
    <w:rsid w:val="00557736"/>
    <w:rsid w:val="00563C84"/>
    <w:rsid w:val="005849EA"/>
    <w:rsid w:val="00586880"/>
    <w:rsid w:val="005975E3"/>
    <w:rsid w:val="005B229C"/>
    <w:rsid w:val="005B545C"/>
    <w:rsid w:val="005D3ABE"/>
    <w:rsid w:val="005E5567"/>
    <w:rsid w:val="005F183E"/>
    <w:rsid w:val="005F6528"/>
    <w:rsid w:val="00600247"/>
    <w:rsid w:val="006048A9"/>
    <w:rsid w:val="00607E01"/>
    <w:rsid w:val="00611EB7"/>
    <w:rsid w:val="0061647F"/>
    <w:rsid w:val="006334C7"/>
    <w:rsid w:val="00633837"/>
    <w:rsid w:val="00641516"/>
    <w:rsid w:val="006556A2"/>
    <w:rsid w:val="00656ED2"/>
    <w:rsid w:val="006638D0"/>
    <w:rsid w:val="0066444A"/>
    <w:rsid w:val="00671C99"/>
    <w:rsid w:val="00673A8F"/>
    <w:rsid w:val="00680A53"/>
    <w:rsid w:val="0068366A"/>
    <w:rsid w:val="00685AE5"/>
    <w:rsid w:val="006A213F"/>
    <w:rsid w:val="006A23DD"/>
    <w:rsid w:val="006B19EA"/>
    <w:rsid w:val="006B33E9"/>
    <w:rsid w:val="006F2EA4"/>
    <w:rsid w:val="006F4697"/>
    <w:rsid w:val="006F69A3"/>
    <w:rsid w:val="007038D7"/>
    <w:rsid w:val="007101C0"/>
    <w:rsid w:val="00711E81"/>
    <w:rsid w:val="007209D7"/>
    <w:rsid w:val="0072259A"/>
    <w:rsid w:val="00723FF8"/>
    <w:rsid w:val="00727CCE"/>
    <w:rsid w:val="0073450D"/>
    <w:rsid w:val="00737A1F"/>
    <w:rsid w:val="007400AA"/>
    <w:rsid w:val="00742BA3"/>
    <w:rsid w:val="00763442"/>
    <w:rsid w:val="007653D9"/>
    <w:rsid w:val="00765448"/>
    <w:rsid w:val="00774B45"/>
    <w:rsid w:val="007762D6"/>
    <w:rsid w:val="00785182"/>
    <w:rsid w:val="00795904"/>
    <w:rsid w:val="007A02B0"/>
    <w:rsid w:val="007A6B56"/>
    <w:rsid w:val="007B04D5"/>
    <w:rsid w:val="007C0B5C"/>
    <w:rsid w:val="007C261F"/>
    <w:rsid w:val="007C45FA"/>
    <w:rsid w:val="007E37CC"/>
    <w:rsid w:val="007F7EFE"/>
    <w:rsid w:val="00814270"/>
    <w:rsid w:val="0082246F"/>
    <w:rsid w:val="008267E1"/>
    <w:rsid w:val="00834541"/>
    <w:rsid w:val="00834E6B"/>
    <w:rsid w:val="008504C4"/>
    <w:rsid w:val="00872682"/>
    <w:rsid w:val="0087272E"/>
    <w:rsid w:val="00875024"/>
    <w:rsid w:val="00876620"/>
    <w:rsid w:val="00884D65"/>
    <w:rsid w:val="0089395D"/>
    <w:rsid w:val="008B7EA1"/>
    <w:rsid w:val="008C766F"/>
    <w:rsid w:val="008E18D7"/>
    <w:rsid w:val="008E4BAC"/>
    <w:rsid w:val="008F3F97"/>
    <w:rsid w:val="0090017D"/>
    <w:rsid w:val="00900610"/>
    <w:rsid w:val="00915C62"/>
    <w:rsid w:val="00916F8B"/>
    <w:rsid w:val="009234F5"/>
    <w:rsid w:val="009265CE"/>
    <w:rsid w:val="00927041"/>
    <w:rsid w:val="00932978"/>
    <w:rsid w:val="00941C9F"/>
    <w:rsid w:val="00960597"/>
    <w:rsid w:val="0096306B"/>
    <w:rsid w:val="00990545"/>
    <w:rsid w:val="00990765"/>
    <w:rsid w:val="0099167B"/>
    <w:rsid w:val="00996FFE"/>
    <w:rsid w:val="009A1895"/>
    <w:rsid w:val="009B3FD9"/>
    <w:rsid w:val="009C019D"/>
    <w:rsid w:val="009C0EDD"/>
    <w:rsid w:val="009F26C4"/>
    <w:rsid w:val="009F2E56"/>
    <w:rsid w:val="009F4B91"/>
    <w:rsid w:val="009F6EE5"/>
    <w:rsid w:val="00A2637C"/>
    <w:rsid w:val="00A27A5F"/>
    <w:rsid w:val="00A3602E"/>
    <w:rsid w:val="00A366D8"/>
    <w:rsid w:val="00A54C5E"/>
    <w:rsid w:val="00A551F5"/>
    <w:rsid w:val="00A636BB"/>
    <w:rsid w:val="00A65134"/>
    <w:rsid w:val="00A81C1F"/>
    <w:rsid w:val="00A917B8"/>
    <w:rsid w:val="00A96197"/>
    <w:rsid w:val="00AA07D5"/>
    <w:rsid w:val="00AA1D8D"/>
    <w:rsid w:val="00AA29D0"/>
    <w:rsid w:val="00AA67DC"/>
    <w:rsid w:val="00AA6BA2"/>
    <w:rsid w:val="00AB2C46"/>
    <w:rsid w:val="00AC5C16"/>
    <w:rsid w:val="00AD0E63"/>
    <w:rsid w:val="00AD5449"/>
    <w:rsid w:val="00AD74AA"/>
    <w:rsid w:val="00AF7D5A"/>
    <w:rsid w:val="00B245F2"/>
    <w:rsid w:val="00B41FAD"/>
    <w:rsid w:val="00B47730"/>
    <w:rsid w:val="00B50313"/>
    <w:rsid w:val="00B525E9"/>
    <w:rsid w:val="00B54C6D"/>
    <w:rsid w:val="00B63921"/>
    <w:rsid w:val="00B65531"/>
    <w:rsid w:val="00B66361"/>
    <w:rsid w:val="00B72D94"/>
    <w:rsid w:val="00B80BE3"/>
    <w:rsid w:val="00B95C58"/>
    <w:rsid w:val="00BA3429"/>
    <w:rsid w:val="00BA3D36"/>
    <w:rsid w:val="00BA47CF"/>
    <w:rsid w:val="00BB7F86"/>
    <w:rsid w:val="00BC0217"/>
    <w:rsid w:val="00BC58A8"/>
    <w:rsid w:val="00BC62ED"/>
    <w:rsid w:val="00BD1D89"/>
    <w:rsid w:val="00BE0F73"/>
    <w:rsid w:val="00BF3ADD"/>
    <w:rsid w:val="00BF52F6"/>
    <w:rsid w:val="00BF7E24"/>
    <w:rsid w:val="00C0460F"/>
    <w:rsid w:val="00C04F0F"/>
    <w:rsid w:val="00C050BC"/>
    <w:rsid w:val="00C06936"/>
    <w:rsid w:val="00C21C46"/>
    <w:rsid w:val="00C22919"/>
    <w:rsid w:val="00C37A82"/>
    <w:rsid w:val="00C46D6A"/>
    <w:rsid w:val="00C46EC8"/>
    <w:rsid w:val="00C52D45"/>
    <w:rsid w:val="00C5351A"/>
    <w:rsid w:val="00C6004C"/>
    <w:rsid w:val="00C64DE3"/>
    <w:rsid w:val="00C668A2"/>
    <w:rsid w:val="00C70B5D"/>
    <w:rsid w:val="00C75DEB"/>
    <w:rsid w:val="00C779E3"/>
    <w:rsid w:val="00C82B03"/>
    <w:rsid w:val="00C86E66"/>
    <w:rsid w:val="00C87CF6"/>
    <w:rsid w:val="00C95637"/>
    <w:rsid w:val="00CA1263"/>
    <w:rsid w:val="00CA5383"/>
    <w:rsid w:val="00CB0664"/>
    <w:rsid w:val="00CB5B5F"/>
    <w:rsid w:val="00CC46E5"/>
    <w:rsid w:val="00CC4B27"/>
    <w:rsid w:val="00CE1129"/>
    <w:rsid w:val="00CE3E3A"/>
    <w:rsid w:val="00CF3A2A"/>
    <w:rsid w:val="00D14906"/>
    <w:rsid w:val="00D1495D"/>
    <w:rsid w:val="00D16D62"/>
    <w:rsid w:val="00D370A8"/>
    <w:rsid w:val="00D41286"/>
    <w:rsid w:val="00D440CB"/>
    <w:rsid w:val="00D46EBA"/>
    <w:rsid w:val="00D51944"/>
    <w:rsid w:val="00D70CC3"/>
    <w:rsid w:val="00D70EB9"/>
    <w:rsid w:val="00D84919"/>
    <w:rsid w:val="00DA5278"/>
    <w:rsid w:val="00DB1BDC"/>
    <w:rsid w:val="00DC2E81"/>
    <w:rsid w:val="00DD6F4A"/>
    <w:rsid w:val="00DE2AA8"/>
    <w:rsid w:val="00DE4E91"/>
    <w:rsid w:val="00DE75E4"/>
    <w:rsid w:val="00E07893"/>
    <w:rsid w:val="00E10B3C"/>
    <w:rsid w:val="00E10DC8"/>
    <w:rsid w:val="00E128FA"/>
    <w:rsid w:val="00E26FF8"/>
    <w:rsid w:val="00E43896"/>
    <w:rsid w:val="00E53CCC"/>
    <w:rsid w:val="00E5753F"/>
    <w:rsid w:val="00E653A2"/>
    <w:rsid w:val="00E72091"/>
    <w:rsid w:val="00E765F6"/>
    <w:rsid w:val="00E81C27"/>
    <w:rsid w:val="00E82C3A"/>
    <w:rsid w:val="00E929AA"/>
    <w:rsid w:val="00E96772"/>
    <w:rsid w:val="00EA3030"/>
    <w:rsid w:val="00EA79CE"/>
    <w:rsid w:val="00EB7997"/>
    <w:rsid w:val="00EC4C7E"/>
    <w:rsid w:val="00EC6C18"/>
    <w:rsid w:val="00ED5350"/>
    <w:rsid w:val="00ED7D6C"/>
    <w:rsid w:val="00EF34AA"/>
    <w:rsid w:val="00F035F1"/>
    <w:rsid w:val="00F21CC7"/>
    <w:rsid w:val="00F306BC"/>
    <w:rsid w:val="00F400AE"/>
    <w:rsid w:val="00F45491"/>
    <w:rsid w:val="00F51BD9"/>
    <w:rsid w:val="00F539CD"/>
    <w:rsid w:val="00F55C5A"/>
    <w:rsid w:val="00F56437"/>
    <w:rsid w:val="00F616C2"/>
    <w:rsid w:val="00F732FE"/>
    <w:rsid w:val="00F747FC"/>
    <w:rsid w:val="00F9283B"/>
    <w:rsid w:val="00F92A2D"/>
    <w:rsid w:val="00FA1528"/>
    <w:rsid w:val="00FA5AA2"/>
    <w:rsid w:val="00FB77BF"/>
    <w:rsid w:val="00FC2262"/>
    <w:rsid w:val="00FC693F"/>
    <w:rsid w:val="00FD2F43"/>
    <w:rsid w:val="00FE0455"/>
    <w:rsid w:val="00FE2811"/>
    <w:rsid w:val="00FE2A09"/>
    <w:rsid w:val="00FE3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9228C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s-AR"/>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link w:val="SinespaciadoCar"/>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1"/>
    <w:qFormat/>
    <w:rsid w:val="00FC693F"/>
    <w:pPr>
      <w:ind w:left="720"/>
      <w:contextualSpacing/>
    </w:pPr>
  </w:style>
  <w:style w:type="paragraph" w:styleId="Textoindependiente">
    <w:name w:val="Body Text"/>
    <w:basedOn w:val="Normal"/>
    <w:link w:val="TextoindependienteCar"/>
    <w:uiPriority w:val="1"/>
    <w:unhideWhenUsed/>
    <w:qFormat/>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n">
    <w:name w:val="Revision"/>
    <w:hidden/>
    <w:uiPriority w:val="99"/>
    <w:semiHidden/>
    <w:rsid w:val="004011C4"/>
    <w:pPr>
      <w:spacing w:after="0" w:line="240" w:lineRule="auto"/>
    </w:pPr>
  </w:style>
  <w:style w:type="character" w:styleId="Hipervnculo">
    <w:name w:val="Hyperlink"/>
    <w:basedOn w:val="Fuentedeprrafopredeter"/>
    <w:uiPriority w:val="99"/>
    <w:unhideWhenUsed/>
    <w:rsid w:val="00C75DEB"/>
    <w:rPr>
      <w:color w:val="0000FF" w:themeColor="hyperlink"/>
      <w:u w:val="single"/>
    </w:rPr>
  </w:style>
  <w:style w:type="character" w:customStyle="1" w:styleId="UnresolvedMention">
    <w:name w:val="Unresolved Mention"/>
    <w:basedOn w:val="Fuentedeprrafopredeter"/>
    <w:uiPriority w:val="99"/>
    <w:semiHidden/>
    <w:unhideWhenUsed/>
    <w:rsid w:val="007400AA"/>
    <w:rPr>
      <w:color w:val="605E5C"/>
      <w:shd w:val="clear" w:color="auto" w:fill="E1DFDD"/>
    </w:rPr>
  </w:style>
  <w:style w:type="paragraph" w:styleId="TDC2">
    <w:name w:val="toc 2"/>
    <w:basedOn w:val="Normal"/>
    <w:next w:val="Normal"/>
    <w:autoRedefine/>
    <w:uiPriority w:val="39"/>
    <w:unhideWhenUsed/>
    <w:rsid w:val="00990765"/>
    <w:pPr>
      <w:spacing w:after="100"/>
      <w:ind w:left="220"/>
    </w:pPr>
  </w:style>
  <w:style w:type="character" w:customStyle="1" w:styleId="SinespaciadoCar">
    <w:name w:val="Sin espaciado Car"/>
    <w:basedOn w:val="Fuentedeprrafopredeter"/>
    <w:link w:val="Sinespaciado"/>
    <w:uiPriority w:val="1"/>
    <w:rsid w:val="00990765"/>
  </w:style>
  <w:style w:type="paragraph" w:styleId="TDC3">
    <w:name w:val="toc 3"/>
    <w:basedOn w:val="Normal"/>
    <w:next w:val="Normal"/>
    <w:autoRedefine/>
    <w:uiPriority w:val="39"/>
    <w:unhideWhenUsed/>
    <w:rsid w:val="006F2EA4"/>
    <w:pPr>
      <w:spacing w:after="100"/>
      <w:ind w:left="440"/>
    </w:pPr>
  </w:style>
  <w:style w:type="paragraph" w:styleId="TDC1">
    <w:name w:val="toc 1"/>
    <w:basedOn w:val="Normal"/>
    <w:next w:val="Normal"/>
    <w:autoRedefine/>
    <w:uiPriority w:val="39"/>
    <w:unhideWhenUsed/>
    <w:rsid w:val="00B63921"/>
    <w:pPr>
      <w:spacing w:after="100"/>
    </w:pPr>
  </w:style>
  <w:style w:type="table" w:customStyle="1" w:styleId="PlainTable5">
    <w:name w:val="Plain Table 5"/>
    <w:basedOn w:val="Tablanormal"/>
    <w:uiPriority w:val="99"/>
    <w:rsid w:val="007F7EF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
    <w:name w:val="Grid Table 4 Accent 1"/>
    <w:basedOn w:val="Tablanormal"/>
    <w:uiPriority w:val="49"/>
    <w:rsid w:val="007F7EFE"/>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4">
    <w:name w:val="Grid Table 3 Accent 4"/>
    <w:basedOn w:val="Tablanormal"/>
    <w:uiPriority w:val="48"/>
    <w:rsid w:val="007F7EF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7F7EFE"/>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character" w:styleId="Refdecomentario">
    <w:name w:val="annotation reference"/>
    <w:basedOn w:val="Fuentedeprrafopredeter"/>
    <w:uiPriority w:val="99"/>
    <w:semiHidden/>
    <w:unhideWhenUsed/>
    <w:rsid w:val="00E653A2"/>
    <w:rPr>
      <w:sz w:val="16"/>
      <w:szCs w:val="16"/>
    </w:rPr>
  </w:style>
  <w:style w:type="paragraph" w:styleId="Textocomentario">
    <w:name w:val="annotation text"/>
    <w:basedOn w:val="Normal"/>
    <w:link w:val="TextocomentarioCar"/>
    <w:uiPriority w:val="99"/>
    <w:unhideWhenUsed/>
    <w:rsid w:val="00E653A2"/>
    <w:pPr>
      <w:spacing w:line="240" w:lineRule="auto"/>
    </w:pPr>
    <w:rPr>
      <w:sz w:val="20"/>
      <w:szCs w:val="20"/>
    </w:rPr>
  </w:style>
  <w:style w:type="character" w:customStyle="1" w:styleId="TextocomentarioCar">
    <w:name w:val="Texto comentario Car"/>
    <w:basedOn w:val="Fuentedeprrafopredeter"/>
    <w:link w:val="Textocomentario"/>
    <w:uiPriority w:val="99"/>
    <w:rsid w:val="00E653A2"/>
    <w:rPr>
      <w:sz w:val="20"/>
      <w:szCs w:val="20"/>
      <w:lang w:val="es-AR"/>
    </w:rPr>
  </w:style>
  <w:style w:type="paragraph" w:styleId="Asuntodelcomentario">
    <w:name w:val="annotation subject"/>
    <w:basedOn w:val="Textocomentario"/>
    <w:next w:val="Textocomentario"/>
    <w:link w:val="AsuntodelcomentarioCar"/>
    <w:uiPriority w:val="99"/>
    <w:semiHidden/>
    <w:unhideWhenUsed/>
    <w:rsid w:val="00E653A2"/>
    <w:rPr>
      <w:b/>
      <w:bCs/>
    </w:rPr>
  </w:style>
  <w:style w:type="character" w:customStyle="1" w:styleId="AsuntodelcomentarioCar">
    <w:name w:val="Asunto del comentario Car"/>
    <w:basedOn w:val="TextocomentarioCar"/>
    <w:link w:val="Asuntodelcomentario"/>
    <w:uiPriority w:val="99"/>
    <w:semiHidden/>
    <w:rsid w:val="00E653A2"/>
    <w:rPr>
      <w:b/>
      <w:bCs/>
      <w:sz w:val="20"/>
      <w:szCs w:val="20"/>
      <w:lang w:val="es-AR"/>
    </w:rPr>
  </w:style>
  <w:style w:type="paragraph" w:styleId="NormalWeb">
    <w:name w:val="Normal (Web)"/>
    <w:basedOn w:val="Normal"/>
    <w:uiPriority w:val="99"/>
    <w:semiHidden/>
    <w:unhideWhenUsed/>
    <w:rsid w:val="003855EE"/>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customStyle="1" w:styleId="GridTable6ColorfulAccent1">
    <w:name w:val="Grid Table 6 Colorful Accent 1"/>
    <w:basedOn w:val="Tablanormal"/>
    <w:uiPriority w:val="51"/>
    <w:rsid w:val="00280BDF"/>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anormal"/>
    <w:uiPriority w:val="50"/>
    <w:rsid w:val="00FC226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Normal">
    <w:name w:val="Table Normal"/>
    <w:uiPriority w:val="2"/>
    <w:semiHidden/>
    <w:unhideWhenUsed/>
    <w:qFormat/>
    <w:rsid w:val="00E765F6"/>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65F6"/>
    <w:pPr>
      <w:widowControl w:val="0"/>
      <w:autoSpaceDE w:val="0"/>
      <w:autoSpaceDN w:val="0"/>
      <w:spacing w:before="59" w:after="0" w:line="240" w:lineRule="auto"/>
      <w:ind w:left="39"/>
    </w:pPr>
    <w:rPr>
      <w:rFonts w:ascii="Calibri" w:eastAsia="Calibri" w:hAnsi="Calibri" w:cs="Calibri"/>
      <w:lang w:val="es-ES"/>
    </w:rPr>
  </w:style>
  <w:style w:type="paragraph" w:styleId="TDC4">
    <w:name w:val="toc 4"/>
    <w:basedOn w:val="Normal"/>
    <w:next w:val="Normal"/>
    <w:autoRedefine/>
    <w:uiPriority w:val="39"/>
    <w:unhideWhenUsed/>
    <w:rsid w:val="004907A7"/>
    <w:pPr>
      <w:spacing w:after="100" w:line="278" w:lineRule="auto"/>
      <w:ind w:left="720"/>
    </w:pPr>
    <w:rPr>
      <w:kern w:val="2"/>
      <w:sz w:val="24"/>
      <w:szCs w:val="24"/>
      <w:lang w:val="es-MX" w:eastAsia="es-MX"/>
      <w14:ligatures w14:val="standardContextual"/>
    </w:rPr>
  </w:style>
  <w:style w:type="paragraph" w:styleId="TDC5">
    <w:name w:val="toc 5"/>
    <w:basedOn w:val="Normal"/>
    <w:next w:val="Normal"/>
    <w:autoRedefine/>
    <w:uiPriority w:val="39"/>
    <w:unhideWhenUsed/>
    <w:rsid w:val="004907A7"/>
    <w:pPr>
      <w:spacing w:after="100" w:line="278" w:lineRule="auto"/>
      <w:ind w:left="960"/>
    </w:pPr>
    <w:rPr>
      <w:kern w:val="2"/>
      <w:sz w:val="24"/>
      <w:szCs w:val="24"/>
      <w:lang w:val="es-MX" w:eastAsia="es-MX"/>
      <w14:ligatures w14:val="standardContextual"/>
    </w:rPr>
  </w:style>
  <w:style w:type="paragraph" w:styleId="TDC6">
    <w:name w:val="toc 6"/>
    <w:basedOn w:val="Normal"/>
    <w:next w:val="Normal"/>
    <w:autoRedefine/>
    <w:uiPriority w:val="39"/>
    <w:unhideWhenUsed/>
    <w:rsid w:val="004907A7"/>
    <w:pPr>
      <w:spacing w:after="100" w:line="278" w:lineRule="auto"/>
      <w:ind w:left="1200"/>
    </w:pPr>
    <w:rPr>
      <w:kern w:val="2"/>
      <w:sz w:val="24"/>
      <w:szCs w:val="24"/>
      <w:lang w:val="es-MX" w:eastAsia="es-MX"/>
      <w14:ligatures w14:val="standardContextual"/>
    </w:rPr>
  </w:style>
  <w:style w:type="paragraph" w:styleId="TDC7">
    <w:name w:val="toc 7"/>
    <w:basedOn w:val="Normal"/>
    <w:next w:val="Normal"/>
    <w:autoRedefine/>
    <w:uiPriority w:val="39"/>
    <w:unhideWhenUsed/>
    <w:rsid w:val="004907A7"/>
    <w:pPr>
      <w:spacing w:after="100" w:line="278" w:lineRule="auto"/>
      <w:ind w:left="1440"/>
    </w:pPr>
    <w:rPr>
      <w:kern w:val="2"/>
      <w:sz w:val="24"/>
      <w:szCs w:val="24"/>
      <w:lang w:val="es-MX" w:eastAsia="es-MX"/>
      <w14:ligatures w14:val="standardContextual"/>
    </w:rPr>
  </w:style>
  <w:style w:type="paragraph" w:styleId="TDC8">
    <w:name w:val="toc 8"/>
    <w:basedOn w:val="Normal"/>
    <w:next w:val="Normal"/>
    <w:autoRedefine/>
    <w:uiPriority w:val="39"/>
    <w:unhideWhenUsed/>
    <w:rsid w:val="004907A7"/>
    <w:pPr>
      <w:spacing w:after="100" w:line="278" w:lineRule="auto"/>
      <w:ind w:left="1680"/>
    </w:pPr>
    <w:rPr>
      <w:kern w:val="2"/>
      <w:sz w:val="24"/>
      <w:szCs w:val="24"/>
      <w:lang w:val="es-MX" w:eastAsia="es-MX"/>
      <w14:ligatures w14:val="standardContextual"/>
    </w:rPr>
  </w:style>
  <w:style w:type="paragraph" w:styleId="TDC9">
    <w:name w:val="toc 9"/>
    <w:basedOn w:val="Normal"/>
    <w:next w:val="Normal"/>
    <w:autoRedefine/>
    <w:uiPriority w:val="39"/>
    <w:unhideWhenUsed/>
    <w:rsid w:val="004907A7"/>
    <w:pPr>
      <w:spacing w:after="100" w:line="278" w:lineRule="auto"/>
      <w:ind w:left="1920"/>
    </w:pPr>
    <w:rPr>
      <w:kern w:val="2"/>
      <w:sz w:val="24"/>
      <w:szCs w:val="24"/>
      <w:lang w:val="es-MX" w:eastAsia="es-MX"/>
      <w14:ligatures w14:val="standardContextual"/>
    </w:rPr>
  </w:style>
  <w:style w:type="table" w:customStyle="1" w:styleId="PlainTable3">
    <w:name w:val="Plain Table 3"/>
    <w:basedOn w:val="Tablanormal"/>
    <w:uiPriority w:val="99"/>
    <w:rsid w:val="0096059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deglobo">
    <w:name w:val="Balloon Text"/>
    <w:basedOn w:val="Normal"/>
    <w:link w:val="TextodegloboCar"/>
    <w:uiPriority w:val="99"/>
    <w:semiHidden/>
    <w:unhideWhenUsed/>
    <w:rsid w:val="006048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48A9"/>
    <w:rPr>
      <w:rFonts w:ascii="Tahoma" w:hAnsi="Tahoma" w:cs="Tahoma"/>
      <w:sz w:val="16"/>
      <w:szCs w:val="16"/>
      <w:lang w:val="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s-AR"/>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link w:val="SinespaciadoCar"/>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1"/>
    <w:qFormat/>
    <w:rsid w:val="00FC693F"/>
    <w:pPr>
      <w:ind w:left="720"/>
      <w:contextualSpacing/>
    </w:pPr>
  </w:style>
  <w:style w:type="paragraph" w:styleId="Textoindependiente">
    <w:name w:val="Body Text"/>
    <w:basedOn w:val="Normal"/>
    <w:link w:val="TextoindependienteCar"/>
    <w:uiPriority w:val="1"/>
    <w:unhideWhenUsed/>
    <w:qFormat/>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n">
    <w:name w:val="Revision"/>
    <w:hidden/>
    <w:uiPriority w:val="99"/>
    <w:semiHidden/>
    <w:rsid w:val="004011C4"/>
    <w:pPr>
      <w:spacing w:after="0" w:line="240" w:lineRule="auto"/>
    </w:pPr>
  </w:style>
  <w:style w:type="character" w:styleId="Hipervnculo">
    <w:name w:val="Hyperlink"/>
    <w:basedOn w:val="Fuentedeprrafopredeter"/>
    <w:uiPriority w:val="99"/>
    <w:unhideWhenUsed/>
    <w:rsid w:val="00C75DEB"/>
    <w:rPr>
      <w:color w:val="0000FF" w:themeColor="hyperlink"/>
      <w:u w:val="single"/>
    </w:rPr>
  </w:style>
  <w:style w:type="character" w:customStyle="1" w:styleId="UnresolvedMention">
    <w:name w:val="Unresolved Mention"/>
    <w:basedOn w:val="Fuentedeprrafopredeter"/>
    <w:uiPriority w:val="99"/>
    <w:semiHidden/>
    <w:unhideWhenUsed/>
    <w:rsid w:val="007400AA"/>
    <w:rPr>
      <w:color w:val="605E5C"/>
      <w:shd w:val="clear" w:color="auto" w:fill="E1DFDD"/>
    </w:rPr>
  </w:style>
  <w:style w:type="paragraph" w:styleId="TDC2">
    <w:name w:val="toc 2"/>
    <w:basedOn w:val="Normal"/>
    <w:next w:val="Normal"/>
    <w:autoRedefine/>
    <w:uiPriority w:val="39"/>
    <w:unhideWhenUsed/>
    <w:rsid w:val="00990765"/>
    <w:pPr>
      <w:spacing w:after="100"/>
      <w:ind w:left="220"/>
    </w:pPr>
  </w:style>
  <w:style w:type="character" w:customStyle="1" w:styleId="SinespaciadoCar">
    <w:name w:val="Sin espaciado Car"/>
    <w:basedOn w:val="Fuentedeprrafopredeter"/>
    <w:link w:val="Sinespaciado"/>
    <w:uiPriority w:val="1"/>
    <w:rsid w:val="00990765"/>
  </w:style>
  <w:style w:type="paragraph" w:styleId="TDC3">
    <w:name w:val="toc 3"/>
    <w:basedOn w:val="Normal"/>
    <w:next w:val="Normal"/>
    <w:autoRedefine/>
    <w:uiPriority w:val="39"/>
    <w:unhideWhenUsed/>
    <w:rsid w:val="006F2EA4"/>
    <w:pPr>
      <w:spacing w:after="100"/>
      <w:ind w:left="440"/>
    </w:pPr>
  </w:style>
  <w:style w:type="paragraph" w:styleId="TDC1">
    <w:name w:val="toc 1"/>
    <w:basedOn w:val="Normal"/>
    <w:next w:val="Normal"/>
    <w:autoRedefine/>
    <w:uiPriority w:val="39"/>
    <w:unhideWhenUsed/>
    <w:rsid w:val="00B63921"/>
    <w:pPr>
      <w:spacing w:after="100"/>
    </w:pPr>
  </w:style>
  <w:style w:type="table" w:customStyle="1" w:styleId="PlainTable5">
    <w:name w:val="Plain Table 5"/>
    <w:basedOn w:val="Tablanormal"/>
    <w:uiPriority w:val="99"/>
    <w:rsid w:val="007F7EF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
    <w:name w:val="Grid Table 4 Accent 1"/>
    <w:basedOn w:val="Tablanormal"/>
    <w:uiPriority w:val="49"/>
    <w:rsid w:val="007F7EFE"/>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4">
    <w:name w:val="Grid Table 3 Accent 4"/>
    <w:basedOn w:val="Tablanormal"/>
    <w:uiPriority w:val="48"/>
    <w:rsid w:val="007F7EF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7F7EFE"/>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character" w:styleId="Refdecomentario">
    <w:name w:val="annotation reference"/>
    <w:basedOn w:val="Fuentedeprrafopredeter"/>
    <w:uiPriority w:val="99"/>
    <w:semiHidden/>
    <w:unhideWhenUsed/>
    <w:rsid w:val="00E653A2"/>
    <w:rPr>
      <w:sz w:val="16"/>
      <w:szCs w:val="16"/>
    </w:rPr>
  </w:style>
  <w:style w:type="paragraph" w:styleId="Textocomentario">
    <w:name w:val="annotation text"/>
    <w:basedOn w:val="Normal"/>
    <w:link w:val="TextocomentarioCar"/>
    <w:uiPriority w:val="99"/>
    <w:unhideWhenUsed/>
    <w:rsid w:val="00E653A2"/>
    <w:pPr>
      <w:spacing w:line="240" w:lineRule="auto"/>
    </w:pPr>
    <w:rPr>
      <w:sz w:val="20"/>
      <w:szCs w:val="20"/>
    </w:rPr>
  </w:style>
  <w:style w:type="character" w:customStyle="1" w:styleId="TextocomentarioCar">
    <w:name w:val="Texto comentario Car"/>
    <w:basedOn w:val="Fuentedeprrafopredeter"/>
    <w:link w:val="Textocomentario"/>
    <w:uiPriority w:val="99"/>
    <w:rsid w:val="00E653A2"/>
    <w:rPr>
      <w:sz w:val="20"/>
      <w:szCs w:val="20"/>
      <w:lang w:val="es-AR"/>
    </w:rPr>
  </w:style>
  <w:style w:type="paragraph" w:styleId="Asuntodelcomentario">
    <w:name w:val="annotation subject"/>
    <w:basedOn w:val="Textocomentario"/>
    <w:next w:val="Textocomentario"/>
    <w:link w:val="AsuntodelcomentarioCar"/>
    <w:uiPriority w:val="99"/>
    <w:semiHidden/>
    <w:unhideWhenUsed/>
    <w:rsid w:val="00E653A2"/>
    <w:rPr>
      <w:b/>
      <w:bCs/>
    </w:rPr>
  </w:style>
  <w:style w:type="character" w:customStyle="1" w:styleId="AsuntodelcomentarioCar">
    <w:name w:val="Asunto del comentario Car"/>
    <w:basedOn w:val="TextocomentarioCar"/>
    <w:link w:val="Asuntodelcomentario"/>
    <w:uiPriority w:val="99"/>
    <w:semiHidden/>
    <w:rsid w:val="00E653A2"/>
    <w:rPr>
      <w:b/>
      <w:bCs/>
      <w:sz w:val="20"/>
      <w:szCs w:val="20"/>
      <w:lang w:val="es-AR"/>
    </w:rPr>
  </w:style>
  <w:style w:type="paragraph" w:styleId="NormalWeb">
    <w:name w:val="Normal (Web)"/>
    <w:basedOn w:val="Normal"/>
    <w:uiPriority w:val="99"/>
    <w:semiHidden/>
    <w:unhideWhenUsed/>
    <w:rsid w:val="003855EE"/>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customStyle="1" w:styleId="GridTable6ColorfulAccent1">
    <w:name w:val="Grid Table 6 Colorful Accent 1"/>
    <w:basedOn w:val="Tablanormal"/>
    <w:uiPriority w:val="51"/>
    <w:rsid w:val="00280BDF"/>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
    <w:name w:val="Grid Table 5 Dark Accent 1"/>
    <w:basedOn w:val="Tablanormal"/>
    <w:uiPriority w:val="50"/>
    <w:rsid w:val="00FC226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Normal">
    <w:name w:val="Table Normal"/>
    <w:uiPriority w:val="2"/>
    <w:semiHidden/>
    <w:unhideWhenUsed/>
    <w:qFormat/>
    <w:rsid w:val="00E765F6"/>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65F6"/>
    <w:pPr>
      <w:widowControl w:val="0"/>
      <w:autoSpaceDE w:val="0"/>
      <w:autoSpaceDN w:val="0"/>
      <w:spacing w:before="59" w:after="0" w:line="240" w:lineRule="auto"/>
      <w:ind w:left="39"/>
    </w:pPr>
    <w:rPr>
      <w:rFonts w:ascii="Calibri" w:eastAsia="Calibri" w:hAnsi="Calibri" w:cs="Calibri"/>
      <w:lang w:val="es-ES"/>
    </w:rPr>
  </w:style>
  <w:style w:type="paragraph" w:styleId="TDC4">
    <w:name w:val="toc 4"/>
    <w:basedOn w:val="Normal"/>
    <w:next w:val="Normal"/>
    <w:autoRedefine/>
    <w:uiPriority w:val="39"/>
    <w:unhideWhenUsed/>
    <w:rsid w:val="004907A7"/>
    <w:pPr>
      <w:spacing w:after="100" w:line="278" w:lineRule="auto"/>
      <w:ind w:left="720"/>
    </w:pPr>
    <w:rPr>
      <w:kern w:val="2"/>
      <w:sz w:val="24"/>
      <w:szCs w:val="24"/>
      <w:lang w:val="es-MX" w:eastAsia="es-MX"/>
      <w14:ligatures w14:val="standardContextual"/>
    </w:rPr>
  </w:style>
  <w:style w:type="paragraph" w:styleId="TDC5">
    <w:name w:val="toc 5"/>
    <w:basedOn w:val="Normal"/>
    <w:next w:val="Normal"/>
    <w:autoRedefine/>
    <w:uiPriority w:val="39"/>
    <w:unhideWhenUsed/>
    <w:rsid w:val="004907A7"/>
    <w:pPr>
      <w:spacing w:after="100" w:line="278" w:lineRule="auto"/>
      <w:ind w:left="960"/>
    </w:pPr>
    <w:rPr>
      <w:kern w:val="2"/>
      <w:sz w:val="24"/>
      <w:szCs w:val="24"/>
      <w:lang w:val="es-MX" w:eastAsia="es-MX"/>
      <w14:ligatures w14:val="standardContextual"/>
    </w:rPr>
  </w:style>
  <w:style w:type="paragraph" w:styleId="TDC6">
    <w:name w:val="toc 6"/>
    <w:basedOn w:val="Normal"/>
    <w:next w:val="Normal"/>
    <w:autoRedefine/>
    <w:uiPriority w:val="39"/>
    <w:unhideWhenUsed/>
    <w:rsid w:val="004907A7"/>
    <w:pPr>
      <w:spacing w:after="100" w:line="278" w:lineRule="auto"/>
      <w:ind w:left="1200"/>
    </w:pPr>
    <w:rPr>
      <w:kern w:val="2"/>
      <w:sz w:val="24"/>
      <w:szCs w:val="24"/>
      <w:lang w:val="es-MX" w:eastAsia="es-MX"/>
      <w14:ligatures w14:val="standardContextual"/>
    </w:rPr>
  </w:style>
  <w:style w:type="paragraph" w:styleId="TDC7">
    <w:name w:val="toc 7"/>
    <w:basedOn w:val="Normal"/>
    <w:next w:val="Normal"/>
    <w:autoRedefine/>
    <w:uiPriority w:val="39"/>
    <w:unhideWhenUsed/>
    <w:rsid w:val="004907A7"/>
    <w:pPr>
      <w:spacing w:after="100" w:line="278" w:lineRule="auto"/>
      <w:ind w:left="1440"/>
    </w:pPr>
    <w:rPr>
      <w:kern w:val="2"/>
      <w:sz w:val="24"/>
      <w:szCs w:val="24"/>
      <w:lang w:val="es-MX" w:eastAsia="es-MX"/>
      <w14:ligatures w14:val="standardContextual"/>
    </w:rPr>
  </w:style>
  <w:style w:type="paragraph" w:styleId="TDC8">
    <w:name w:val="toc 8"/>
    <w:basedOn w:val="Normal"/>
    <w:next w:val="Normal"/>
    <w:autoRedefine/>
    <w:uiPriority w:val="39"/>
    <w:unhideWhenUsed/>
    <w:rsid w:val="004907A7"/>
    <w:pPr>
      <w:spacing w:after="100" w:line="278" w:lineRule="auto"/>
      <w:ind w:left="1680"/>
    </w:pPr>
    <w:rPr>
      <w:kern w:val="2"/>
      <w:sz w:val="24"/>
      <w:szCs w:val="24"/>
      <w:lang w:val="es-MX" w:eastAsia="es-MX"/>
      <w14:ligatures w14:val="standardContextual"/>
    </w:rPr>
  </w:style>
  <w:style w:type="paragraph" w:styleId="TDC9">
    <w:name w:val="toc 9"/>
    <w:basedOn w:val="Normal"/>
    <w:next w:val="Normal"/>
    <w:autoRedefine/>
    <w:uiPriority w:val="39"/>
    <w:unhideWhenUsed/>
    <w:rsid w:val="004907A7"/>
    <w:pPr>
      <w:spacing w:after="100" w:line="278" w:lineRule="auto"/>
      <w:ind w:left="1920"/>
    </w:pPr>
    <w:rPr>
      <w:kern w:val="2"/>
      <w:sz w:val="24"/>
      <w:szCs w:val="24"/>
      <w:lang w:val="es-MX" w:eastAsia="es-MX"/>
      <w14:ligatures w14:val="standardContextual"/>
    </w:rPr>
  </w:style>
  <w:style w:type="table" w:customStyle="1" w:styleId="PlainTable3">
    <w:name w:val="Plain Table 3"/>
    <w:basedOn w:val="Tablanormal"/>
    <w:uiPriority w:val="99"/>
    <w:rsid w:val="0096059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deglobo">
    <w:name w:val="Balloon Text"/>
    <w:basedOn w:val="Normal"/>
    <w:link w:val="TextodegloboCar"/>
    <w:uiPriority w:val="99"/>
    <w:semiHidden/>
    <w:unhideWhenUsed/>
    <w:rsid w:val="006048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48A9"/>
    <w:rPr>
      <w:rFonts w:ascii="Tahoma" w:hAnsi="Tahoma" w:cs="Tahoma"/>
      <w:sz w:val="16"/>
      <w:szCs w:val="16"/>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4192">
      <w:bodyDiv w:val="1"/>
      <w:marLeft w:val="0"/>
      <w:marRight w:val="0"/>
      <w:marTop w:val="0"/>
      <w:marBottom w:val="0"/>
      <w:divBdr>
        <w:top w:val="none" w:sz="0" w:space="0" w:color="auto"/>
        <w:left w:val="none" w:sz="0" w:space="0" w:color="auto"/>
        <w:bottom w:val="none" w:sz="0" w:space="0" w:color="auto"/>
        <w:right w:val="none" w:sz="0" w:space="0" w:color="auto"/>
      </w:divBdr>
    </w:div>
    <w:div w:id="70660852">
      <w:bodyDiv w:val="1"/>
      <w:marLeft w:val="0"/>
      <w:marRight w:val="0"/>
      <w:marTop w:val="0"/>
      <w:marBottom w:val="0"/>
      <w:divBdr>
        <w:top w:val="none" w:sz="0" w:space="0" w:color="auto"/>
        <w:left w:val="none" w:sz="0" w:space="0" w:color="auto"/>
        <w:bottom w:val="none" w:sz="0" w:space="0" w:color="auto"/>
        <w:right w:val="none" w:sz="0" w:space="0" w:color="auto"/>
      </w:divBdr>
    </w:div>
    <w:div w:id="148249985">
      <w:bodyDiv w:val="1"/>
      <w:marLeft w:val="0"/>
      <w:marRight w:val="0"/>
      <w:marTop w:val="0"/>
      <w:marBottom w:val="0"/>
      <w:divBdr>
        <w:top w:val="none" w:sz="0" w:space="0" w:color="auto"/>
        <w:left w:val="none" w:sz="0" w:space="0" w:color="auto"/>
        <w:bottom w:val="none" w:sz="0" w:space="0" w:color="auto"/>
        <w:right w:val="none" w:sz="0" w:space="0" w:color="auto"/>
      </w:divBdr>
    </w:div>
    <w:div w:id="179970728">
      <w:bodyDiv w:val="1"/>
      <w:marLeft w:val="0"/>
      <w:marRight w:val="0"/>
      <w:marTop w:val="0"/>
      <w:marBottom w:val="0"/>
      <w:divBdr>
        <w:top w:val="none" w:sz="0" w:space="0" w:color="auto"/>
        <w:left w:val="none" w:sz="0" w:space="0" w:color="auto"/>
        <w:bottom w:val="none" w:sz="0" w:space="0" w:color="auto"/>
        <w:right w:val="none" w:sz="0" w:space="0" w:color="auto"/>
      </w:divBdr>
    </w:div>
    <w:div w:id="223493145">
      <w:bodyDiv w:val="1"/>
      <w:marLeft w:val="0"/>
      <w:marRight w:val="0"/>
      <w:marTop w:val="0"/>
      <w:marBottom w:val="0"/>
      <w:divBdr>
        <w:top w:val="none" w:sz="0" w:space="0" w:color="auto"/>
        <w:left w:val="none" w:sz="0" w:space="0" w:color="auto"/>
        <w:bottom w:val="none" w:sz="0" w:space="0" w:color="auto"/>
        <w:right w:val="none" w:sz="0" w:space="0" w:color="auto"/>
      </w:divBdr>
    </w:div>
    <w:div w:id="327056290">
      <w:bodyDiv w:val="1"/>
      <w:marLeft w:val="0"/>
      <w:marRight w:val="0"/>
      <w:marTop w:val="0"/>
      <w:marBottom w:val="0"/>
      <w:divBdr>
        <w:top w:val="none" w:sz="0" w:space="0" w:color="auto"/>
        <w:left w:val="none" w:sz="0" w:space="0" w:color="auto"/>
        <w:bottom w:val="none" w:sz="0" w:space="0" w:color="auto"/>
        <w:right w:val="none" w:sz="0" w:space="0" w:color="auto"/>
      </w:divBdr>
    </w:div>
    <w:div w:id="339086534">
      <w:bodyDiv w:val="1"/>
      <w:marLeft w:val="0"/>
      <w:marRight w:val="0"/>
      <w:marTop w:val="0"/>
      <w:marBottom w:val="0"/>
      <w:divBdr>
        <w:top w:val="none" w:sz="0" w:space="0" w:color="auto"/>
        <w:left w:val="none" w:sz="0" w:space="0" w:color="auto"/>
        <w:bottom w:val="none" w:sz="0" w:space="0" w:color="auto"/>
        <w:right w:val="none" w:sz="0" w:space="0" w:color="auto"/>
      </w:divBdr>
      <w:divsChild>
        <w:div w:id="1798255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979926">
      <w:bodyDiv w:val="1"/>
      <w:marLeft w:val="0"/>
      <w:marRight w:val="0"/>
      <w:marTop w:val="0"/>
      <w:marBottom w:val="0"/>
      <w:divBdr>
        <w:top w:val="none" w:sz="0" w:space="0" w:color="auto"/>
        <w:left w:val="none" w:sz="0" w:space="0" w:color="auto"/>
        <w:bottom w:val="none" w:sz="0" w:space="0" w:color="auto"/>
        <w:right w:val="none" w:sz="0" w:space="0" w:color="auto"/>
      </w:divBdr>
    </w:div>
    <w:div w:id="416558836">
      <w:bodyDiv w:val="1"/>
      <w:marLeft w:val="0"/>
      <w:marRight w:val="0"/>
      <w:marTop w:val="0"/>
      <w:marBottom w:val="0"/>
      <w:divBdr>
        <w:top w:val="none" w:sz="0" w:space="0" w:color="auto"/>
        <w:left w:val="none" w:sz="0" w:space="0" w:color="auto"/>
        <w:bottom w:val="none" w:sz="0" w:space="0" w:color="auto"/>
        <w:right w:val="none" w:sz="0" w:space="0" w:color="auto"/>
      </w:divBdr>
    </w:div>
    <w:div w:id="436485715">
      <w:bodyDiv w:val="1"/>
      <w:marLeft w:val="0"/>
      <w:marRight w:val="0"/>
      <w:marTop w:val="0"/>
      <w:marBottom w:val="0"/>
      <w:divBdr>
        <w:top w:val="none" w:sz="0" w:space="0" w:color="auto"/>
        <w:left w:val="none" w:sz="0" w:space="0" w:color="auto"/>
        <w:bottom w:val="none" w:sz="0" w:space="0" w:color="auto"/>
        <w:right w:val="none" w:sz="0" w:space="0" w:color="auto"/>
      </w:divBdr>
    </w:div>
    <w:div w:id="450174238">
      <w:bodyDiv w:val="1"/>
      <w:marLeft w:val="0"/>
      <w:marRight w:val="0"/>
      <w:marTop w:val="0"/>
      <w:marBottom w:val="0"/>
      <w:divBdr>
        <w:top w:val="none" w:sz="0" w:space="0" w:color="auto"/>
        <w:left w:val="none" w:sz="0" w:space="0" w:color="auto"/>
        <w:bottom w:val="none" w:sz="0" w:space="0" w:color="auto"/>
        <w:right w:val="none" w:sz="0" w:space="0" w:color="auto"/>
      </w:divBdr>
    </w:div>
    <w:div w:id="460877555">
      <w:bodyDiv w:val="1"/>
      <w:marLeft w:val="0"/>
      <w:marRight w:val="0"/>
      <w:marTop w:val="0"/>
      <w:marBottom w:val="0"/>
      <w:divBdr>
        <w:top w:val="none" w:sz="0" w:space="0" w:color="auto"/>
        <w:left w:val="none" w:sz="0" w:space="0" w:color="auto"/>
        <w:bottom w:val="none" w:sz="0" w:space="0" w:color="auto"/>
        <w:right w:val="none" w:sz="0" w:space="0" w:color="auto"/>
      </w:divBdr>
    </w:div>
    <w:div w:id="519971630">
      <w:bodyDiv w:val="1"/>
      <w:marLeft w:val="0"/>
      <w:marRight w:val="0"/>
      <w:marTop w:val="0"/>
      <w:marBottom w:val="0"/>
      <w:divBdr>
        <w:top w:val="none" w:sz="0" w:space="0" w:color="auto"/>
        <w:left w:val="none" w:sz="0" w:space="0" w:color="auto"/>
        <w:bottom w:val="none" w:sz="0" w:space="0" w:color="auto"/>
        <w:right w:val="none" w:sz="0" w:space="0" w:color="auto"/>
      </w:divBdr>
    </w:div>
    <w:div w:id="735321050">
      <w:bodyDiv w:val="1"/>
      <w:marLeft w:val="0"/>
      <w:marRight w:val="0"/>
      <w:marTop w:val="0"/>
      <w:marBottom w:val="0"/>
      <w:divBdr>
        <w:top w:val="none" w:sz="0" w:space="0" w:color="auto"/>
        <w:left w:val="none" w:sz="0" w:space="0" w:color="auto"/>
        <w:bottom w:val="none" w:sz="0" w:space="0" w:color="auto"/>
        <w:right w:val="none" w:sz="0" w:space="0" w:color="auto"/>
      </w:divBdr>
    </w:div>
    <w:div w:id="762070385">
      <w:bodyDiv w:val="1"/>
      <w:marLeft w:val="0"/>
      <w:marRight w:val="0"/>
      <w:marTop w:val="0"/>
      <w:marBottom w:val="0"/>
      <w:divBdr>
        <w:top w:val="none" w:sz="0" w:space="0" w:color="auto"/>
        <w:left w:val="none" w:sz="0" w:space="0" w:color="auto"/>
        <w:bottom w:val="none" w:sz="0" w:space="0" w:color="auto"/>
        <w:right w:val="none" w:sz="0" w:space="0" w:color="auto"/>
      </w:divBdr>
    </w:div>
    <w:div w:id="769470165">
      <w:bodyDiv w:val="1"/>
      <w:marLeft w:val="0"/>
      <w:marRight w:val="0"/>
      <w:marTop w:val="0"/>
      <w:marBottom w:val="0"/>
      <w:divBdr>
        <w:top w:val="none" w:sz="0" w:space="0" w:color="auto"/>
        <w:left w:val="none" w:sz="0" w:space="0" w:color="auto"/>
        <w:bottom w:val="none" w:sz="0" w:space="0" w:color="auto"/>
        <w:right w:val="none" w:sz="0" w:space="0" w:color="auto"/>
      </w:divBdr>
    </w:div>
    <w:div w:id="822043717">
      <w:bodyDiv w:val="1"/>
      <w:marLeft w:val="0"/>
      <w:marRight w:val="0"/>
      <w:marTop w:val="0"/>
      <w:marBottom w:val="0"/>
      <w:divBdr>
        <w:top w:val="none" w:sz="0" w:space="0" w:color="auto"/>
        <w:left w:val="none" w:sz="0" w:space="0" w:color="auto"/>
        <w:bottom w:val="none" w:sz="0" w:space="0" w:color="auto"/>
        <w:right w:val="none" w:sz="0" w:space="0" w:color="auto"/>
      </w:divBdr>
    </w:div>
    <w:div w:id="879826498">
      <w:bodyDiv w:val="1"/>
      <w:marLeft w:val="0"/>
      <w:marRight w:val="0"/>
      <w:marTop w:val="0"/>
      <w:marBottom w:val="0"/>
      <w:divBdr>
        <w:top w:val="none" w:sz="0" w:space="0" w:color="auto"/>
        <w:left w:val="none" w:sz="0" w:space="0" w:color="auto"/>
        <w:bottom w:val="none" w:sz="0" w:space="0" w:color="auto"/>
        <w:right w:val="none" w:sz="0" w:space="0" w:color="auto"/>
      </w:divBdr>
    </w:div>
    <w:div w:id="906691138">
      <w:bodyDiv w:val="1"/>
      <w:marLeft w:val="0"/>
      <w:marRight w:val="0"/>
      <w:marTop w:val="0"/>
      <w:marBottom w:val="0"/>
      <w:divBdr>
        <w:top w:val="none" w:sz="0" w:space="0" w:color="auto"/>
        <w:left w:val="none" w:sz="0" w:space="0" w:color="auto"/>
        <w:bottom w:val="none" w:sz="0" w:space="0" w:color="auto"/>
        <w:right w:val="none" w:sz="0" w:space="0" w:color="auto"/>
      </w:divBdr>
    </w:div>
    <w:div w:id="935745237">
      <w:bodyDiv w:val="1"/>
      <w:marLeft w:val="0"/>
      <w:marRight w:val="0"/>
      <w:marTop w:val="0"/>
      <w:marBottom w:val="0"/>
      <w:divBdr>
        <w:top w:val="none" w:sz="0" w:space="0" w:color="auto"/>
        <w:left w:val="none" w:sz="0" w:space="0" w:color="auto"/>
        <w:bottom w:val="none" w:sz="0" w:space="0" w:color="auto"/>
        <w:right w:val="none" w:sz="0" w:space="0" w:color="auto"/>
      </w:divBdr>
    </w:div>
    <w:div w:id="967512984">
      <w:bodyDiv w:val="1"/>
      <w:marLeft w:val="0"/>
      <w:marRight w:val="0"/>
      <w:marTop w:val="0"/>
      <w:marBottom w:val="0"/>
      <w:divBdr>
        <w:top w:val="none" w:sz="0" w:space="0" w:color="auto"/>
        <w:left w:val="none" w:sz="0" w:space="0" w:color="auto"/>
        <w:bottom w:val="none" w:sz="0" w:space="0" w:color="auto"/>
        <w:right w:val="none" w:sz="0" w:space="0" w:color="auto"/>
      </w:divBdr>
    </w:div>
    <w:div w:id="978270071">
      <w:bodyDiv w:val="1"/>
      <w:marLeft w:val="0"/>
      <w:marRight w:val="0"/>
      <w:marTop w:val="0"/>
      <w:marBottom w:val="0"/>
      <w:divBdr>
        <w:top w:val="none" w:sz="0" w:space="0" w:color="auto"/>
        <w:left w:val="none" w:sz="0" w:space="0" w:color="auto"/>
        <w:bottom w:val="none" w:sz="0" w:space="0" w:color="auto"/>
        <w:right w:val="none" w:sz="0" w:space="0" w:color="auto"/>
      </w:divBdr>
    </w:div>
    <w:div w:id="1085347573">
      <w:bodyDiv w:val="1"/>
      <w:marLeft w:val="0"/>
      <w:marRight w:val="0"/>
      <w:marTop w:val="0"/>
      <w:marBottom w:val="0"/>
      <w:divBdr>
        <w:top w:val="none" w:sz="0" w:space="0" w:color="auto"/>
        <w:left w:val="none" w:sz="0" w:space="0" w:color="auto"/>
        <w:bottom w:val="none" w:sz="0" w:space="0" w:color="auto"/>
        <w:right w:val="none" w:sz="0" w:space="0" w:color="auto"/>
      </w:divBdr>
      <w:divsChild>
        <w:div w:id="705176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0585244">
      <w:bodyDiv w:val="1"/>
      <w:marLeft w:val="0"/>
      <w:marRight w:val="0"/>
      <w:marTop w:val="0"/>
      <w:marBottom w:val="0"/>
      <w:divBdr>
        <w:top w:val="none" w:sz="0" w:space="0" w:color="auto"/>
        <w:left w:val="none" w:sz="0" w:space="0" w:color="auto"/>
        <w:bottom w:val="none" w:sz="0" w:space="0" w:color="auto"/>
        <w:right w:val="none" w:sz="0" w:space="0" w:color="auto"/>
      </w:divBdr>
    </w:div>
    <w:div w:id="1099327968">
      <w:bodyDiv w:val="1"/>
      <w:marLeft w:val="0"/>
      <w:marRight w:val="0"/>
      <w:marTop w:val="0"/>
      <w:marBottom w:val="0"/>
      <w:divBdr>
        <w:top w:val="none" w:sz="0" w:space="0" w:color="auto"/>
        <w:left w:val="none" w:sz="0" w:space="0" w:color="auto"/>
        <w:bottom w:val="none" w:sz="0" w:space="0" w:color="auto"/>
        <w:right w:val="none" w:sz="0" w:space="0" w:color="auto"/>
      </w:divBdr>
      <w:divsChild>
        <w:div w:id="1308127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0183404">
      <w:bodyDiv w:val="1"/>
      <w:marLeft w:val="0"/>
      <w:marRight w:val="0"/>
      <w:marTop w:val="0"/>
      <w:marBottom w:val="0"/>
      <w:divBdr>
        <w:top w:val="none" w:sz="0" w:space="0" w:color="auto"/>
        <w:left w:val="none" w:sz="0" w:space="0" w:color="auto"/>
        <w:bottom w:val="none" w:sz="0" w:space="0" w:color="auto"/>
        <w:right w:val="none" w:sz="0" w:space="0" w:color="auto"/>
      </w:divBdr>
    </w:div>
    <w:div w:id="1119446178">
      <w:bodyDiv w:val="1"/>
      <w:marLeft w:val="0"/>
      <w:marRight w:val="0"/>
      <w:marTop w:val="0"/>
      <w:marBottom w:val="0"/>
      <w:divBdr>
        <w:top w:val="none" w:sz="0" w:space="0" w:color="auto"/>
        <w:left w:val="none" w:sz="0" w:space="0" w:color="auto"/>
        <w:bottom w:val="none" w:sz="0" w:space="0" w:color="auto"/>
        <w:right w:val="none" w:sz="0" w:space="0" w:color="auto"/>
      </w:divBdr>
    </w:div>
    <w:div w:id="1135484913">
      <w:bodyDiv w:val="1"/>
      <w:marLeft w:val="0"/>
      <w:marRight w:val="0"/>
      <w:marTop w:val="0"/>
      <w:marBottom w:val="0"/>
      <w:divBdr>
        <w:top w:val="none" w:sz="0" w:space="0" w:color="auto"/>
        <w:left w:val="none" w:sz="0" w:space="0" w:color="auto"/>
        <w:bottom w:val="none" w:sz="0" w:space="0" w:color="auto"/>
        <w:right w:val="none" w:sz="0" w:space="0" w:color="auto"/>
      </w:divBdr>
    </w:div>
    <w:div w:id="1219130352">
      <w:bodyDiv w:val="1"/>
      <w:marLeft w:val="0"/>
      <w:marRight w:val="0"/>
      <w:marTop w:val="0"/>
      <w:marBottom w:val="0"/>
      <w:divBdr>
        <w:top w:val="none" w:sz="0" w:space="0" w:color="auto"/>
        <w:left w:val="none" w:sz="0" w:space="0" w:color="auto"/>
        <w:bottom w:val="none" w:sz="0" w:space="0" w:color="auto"/>
        <w:right w:val="none" w:sz="0" w:space="0" w:color="auto"/>
      </w:divBdr>
    </w:div>
    <w:div w:id="1243877629">
      <w:bodyDiv w:val="1"/>
      <w:marLeft w:val="0"/>
      <w:marRight w:val="0"/>
      <w:marTop w:val="0"/>
      <w:marBottom w:val="0"/>
      <w:divBdr>
        <w:top w:val="none" w:sz="0" w:space="0" w:color="auto"/>
        <w:left w:val="none" w:sz="0" w:space="0" w:color="auto"/>
        <w:bottom w:val="none" w:sz="0" w:space="0" w:color="auto"/>
        <w:right w:val="none" w:sz="0" w:space="0" w:color="auto"/>
      </w:divBdr>
      <w:divsChild>
        <w:div w:id="1051735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8924978">
      <w:bodyDiv w:val="1"/>
      <w:marLeft w:val="0"/>
      <w:marRight w:val="0"/>
      <w:marTop w:val="0"/>
      <w:marBottom w:val="0"/>
      <w:divBdr>
        <w:top w:val="none" w:sz="0" w:space="0" w:color="auto"/>
        <w:left w:val="none" w:sz="0" w:space="0" w:color="auto"/>
        <w:bottom w:val="none" w:sz="0" w:space="0" w:color="auto"/>
        <w:right w:val="none" w:sz="0" w:space="0" w:color="auto"/>
      </w:divBdr>
    </w:div>
    <w:div w:id="1284000179">
      <w:bodyDiv w:val="1"/>
      <w:marLeft w:val="0"/>
      <w:marRight w:val="0"/>
      <w:marTop w:val="0"/>
      <w:marBottom w:val="0"/>
      <w:divBdr>
        <w:top w:val="none" w:sz="0" w:space="0" w:color="auto"/>
        <w:left w:val="none" w:sz="0" w:space="0" w:color="auto"/>
        <w:bottom w:val="none" w:sz="0" w:space="0" w:color="auto"/>
        <w:right w:val="none" w:sz="0" w:space="0" w:color="auto"/>
      </w:divBdr>
    </w:div>
    <w:div w:id="1288512479">
      <w:bodyDiv w:val="1"/>
      <w:marLeft w:val="0"/>
      <w:marRight w:val="0"/>
      <w:marTop w:val="0"/>
      <w:marBottom w:val="0"/>
      <w:divBdr>
        <w:top w:val="none" w:sz="0" w:space="0" w:color="auto"/>
        <w:left w:val="none" w:sz="0" w:space="0" w:color="auto"/>
        <w:bottom w:val="none" w:sz="0" w:space="0" w:color="auto"/>
        <w:right w:val="none" w:sz="0" w:space="0" w:color="auto"/>
      </w:divBdr>
    </w:div>
    <w:div w:id="1315377827">
      <w:bodyDiv w:val="1"/>
      <w:marLeft w:val="0"/>
      <w:marRight w:val="0"/>
      <w:marTop w:val="0"/>
      <w:marBottom w:val="0"/>
      <w:divBdr>
        <w:top w:val="none" w:sz="0" w:space="0" w:color="auto"/>
        <w:left w:val="none" w:sz="0" w:space="0" w:color="auto"/>
        <w:bottom w:val="none" w:sz="0" w:space="0" w:color="auto"/>
        <w:right w:val="none" w:sz="0" w:space="0" w:color="auto"/>
      </w:divBdr>
      <w:divsChild>
        <w:div w:id="533426415">
          <w:marLeft w:val="0"/>
          <w:marRight w:val="0"/>
          <w:marTop w:val="0"/>
          <w:marBottom w:val="0"/>
          <w:divBdr>
            <w:top w:val="none" w:sz="0" w:space="0" w:color="auto"/>
            <w:left w:val="none" w:sz="0" w:space="0" w:color="auto"/>
            <w:bottom w:val="none" w:sz="0" w:space="0" w:color="auto"/>
            <w:right w:val="none" w:sz="0" w:space="0" w:color="auto"/>
          </w:divBdr>
          <w:divsChild>
            <w:div w:id="1068459469">
              <w:marLeft w:val="0"/>
              <w:marRight w:val="0"/>
              <w:marTop w:val="0"/>
              <w:marBottom w:val="0"/>
              <w:divBdr>
                <w:top w:val="none" w:sz="0" w:space="0" w:color="auto"/>
                <w:left w:val="none" w:sz="0" w:space="0" w:color="auto"/>
                <w:bottom w:val="none" w:sz="0" w:space="0" w:color="auto"/>
                <w:right w:val="none" w:sz="0" w:space="0" w:color="auto"/>
              </w:divBdr>
            </w:div>
          </w:divsChild>
        </w:div>
        <w:div w:id="781145531">
          <w:marLeft w:val="0"/>
          <w:marRight w:val="0"/>
          <w:marTop w:val="0"/>
          <w:marBottom w:val="0"/>
          <w:divBdr>
            <w:top w:val="none" w:sz="0" w:space="0" w:color="auto"/>
            <w:left w:val="none" w:sz="0" w:space="0" w:color="auto"/>
            <w:bottom w:val="none" w:sz="0" w:space="0" w:color="auto"/>
            <w:right w:val="none" w:sz="0" w:space="0" w:color="auto"/>
          </w:divBdr>
          <w:divsChild>
            <w:div w:id="1355376565">
              <w:marLeft w:val="0"/>
              <w:marRight w:val="0"/>
              <w:marTop w:val="0"/>
              <w:marBottom w:val="0"/>
              <w:divBdr>
                <w:top w:val="none" w:sz="0" w:space="0" w:color="auto"/>
                <w:left w:val="none" w:sz="0" w:space="0" w:color="auto"/>
                <w:bottom w:val="none" w:sz="0" w:space="0" w:color="auto"/>
                <w:right w:val="none" w:sz="0" w:space="0" w:color="auto"/>
              </w:divBdr>
            </w:div>
          </w:divsChild>
        </w:div>
        <w:div w:id="1629437504">
          <w:marLeft w:val="0"/>
          <w:marRight w:val="0"/>
          <w:marTop w:val="0"/>
          <w:marBottom w:val="0"/>
          <w:divBdr>
            <w:top w:val="none" w:sz="0" w:space="0" w:color="auto"/>
            <w:left w:val="none" w:sz="0" w:space="0" w:color="auto"/>
            <w:bottom w:val="none" w:sz="0" w:space="0" w:color="auto"/>
            <w:right w:val="none" w:sz="0" w:space="0" w:color="auto"/>
          </w:divBdr>
          <w:divsChild>
            <w:div w:id="186347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0844">
      <w:bodyDiv w:val="1"/>
      <w:marLeft w:val="0"/>
      <w:marRight w:val="0"/>
      <w:marTop w:val="0"/>
      <w:marBottom w:val="0"/>
      <w:divBdr>
        <w:top w:val="none" w:sz="0" w:space="0" w:color="auto"/>
        <w:left w:val="none" w:sz="0" w:space="0" w:color="auto"/>
        <w:bottom w:val="none" w:sz="0" w:space="0" w:color="auto"/>
        <w:right w:val="none" w:sz="0" w:space="0" w:color="auto"/>
      </w:divBdr>
    </w:div>
    <w:div w:id="1389036683">
      <w:bodyDiv w:val="1"/>
      <w:marLeft w:val="0"/>
      <w:marRight w:val="0"/>
      <w:marTop w:val="0"/>
      <w:marBottom w:val="0"/>
      <w:divBdr>
        <w:top w:val="none" w:sz="0" w:space="0" w:color="auto"/>
        <w:left w:val="none" w:sz="0" w:space="0" w:color="auto"/>
        <w:bottom w:val="none" w:sz="0" w:space="0" w:color="auto"/>
        <w:right w:val="none" w:sz="0" w:space="0" w:color="auto"/>
      </w:divBdr>
    </w:div>
    <w:div w:id="1405956930">
      <w:bodyDiv w:val="1"/>
      <w:marLeft w:val="0"/>
      <w:marRight w:val="0"/>
      <w:marTop w:val="0"/>
      <w:marBottom w:val="0"/>
      <w:divBdr>
        <w:top w:val="none" w:sz="0" w:space="0" w:color="auto"/>
        <w:left w:val="none" w:sz="0" w:space="0" w:color="auto"/>
        <w:bottom w:val="none" w:sz="0" w:space="0" w:color="auto"/>
        <w:right w:val="none" w:sz="0" w:space="0" w:color="auto"/>
      </w:divBdr>
    </w:div>
    <w:div w:id="1409108116">
      <w:bodyDiv w:val="1"/>
      <w:marLeft w:val="0"/>
      <w:marRight w:val="0"/>
      <w:marTop w:val="0"/>
      <w:marBottom w:val="0"/>
      <w:divBdr>
        <w:top w:val="none" w:sz="0" w:space="0" w:color="auto"/>
        <w:left w:val="none" w:sz="0" w:space="0" w:color="auto"/>
        <w:bottom w:val="none" w:sz="0" w:space="0" w:color="auto"/>
        <w:right w:val="none" w:sz="0" w:space="0" w:color="auto"/>
      </w:divBdr>
    </w:div>
    <w:div w:id="1470395066">
      <w:bodyDiv w:val="1"/>
      <w:marLeft w:val="0"/>
      <w:marRight w:val="0"/>
      <w:marTop w:val="0"/>
      <w:marBottom w:val="0"/>
      <w:divBdr>
        <w:top w:val="none" w:sz="0" w:space="0" w:color="auto"/>
        <w:left w:val="none" w:sz="0" w:space="0" w:color="auto"/>
        <w:bottom w:val="none" w:sz="0" w:space="0" w:color="auto"/>
        <w:right w:val="none" w:sz="0" w:space="0" w:color="auto"/>
      </w:divBdr>
    </w:div>
    <w:div w:id="1487942098">
      <w:bodyDiv w:val="1"/>
      <w:marLeft w:val="0"/>
      <w:marRight w:val="0"/>
      <w:marTop w:val="0"/>
      <w:marBottom w:val="0"/>
      <w:divBdr>
        <w:top w:val="none" w:sz="0" w:space="0" w:color="auto"/>
        <w:left w:val="none" w:sz="0" w:space="0" w:color="auto"/>
        <w:bottom w:val="none" w:sz="0" w:space="0" w:color="auto"/>
        <w:right w:val="none" w:sz="0" w:space="0" w:color="auto"/>
      </w:divBdr>
    </w:div>
    <w:div w:id="1548299935">
      <w:bodyDiv w:val="1"/>
      <w:marLeft w:val="0"/>
      <w:marRight w:val="0"/>
      <w:marTop w:val="0"/>
      <w:marBottom w:val="0"/>
      <w:divBdr>
        <w:top w:val="none" w:sz="0" w:space="0" w:color="auto"/>
        <w:left w:val="none" w:sz="0" w:space="0" w:color="auto"/>
        <w:bottom w:val="none" w:sz="0" w:space="0" w:color="auto"/>
        <w:right w:val="none" w:sz="0" w:space="0" w:color="auto"/>
      </w:divBdr>
    </w:div>
    <w:div w:id="1707023466">
      <w:bodyDiv w:val="1"/>
      <w:marLeft w:val="0"/>
      <w:marRight w:val="0"/>
      <w:marTop w:val="0"/>
      <w:marBottom w:val="0"/>
      <w:divBdr>
        <w:top w:val="none" w:sz="0" w:space="0" w:color="auto"/>
        <w:left w:val="none" w:sz="0" w:space="0" w:color="auto"/>
        <w:bottom w:val="none" w:sz="0" w:space="0" w:color="auto"/>
        <w:right w:val="none" w:sz="0" w:space="0" w:color="auto"/>
      </w:divBdr>
    </w:div>
    <w:div w:id="1772505137">
      <w:bodyDiv w:val="1"/>
      <w:marLeft w:val="0"/>
      <w:marRight w:val="0"/>
      <w:marTop w:val="0"/>
      <w:marBottom w:val="0"/>
      <w:divBdr>
        <w:top w:val="none" w:sz="0" w:space="0" w:color="auto"/>
        <w:left w:val="none" w:sz="0" w:space="0" w:color="auto"/>
        <w:bottom w:val="none" w:sz="0" w:space="0" w:color="auto"/>
        <w:right w:val="none" w:sz="0" w:space="0" w:color="auto"/>
      </w:divBdr>
    </w:div>
    <w:div w:id="1863395292">
      <w:bodyDiv w:val="1"/>
      <w:marLeft w:val="0"/>
      <w:marRight w:val="0"/>
      <w:marTop w:val="0"/>
      <w:marBottom w:val="0"/>
      <w:divBdr>
        <w:top w:val="none" w:sz="0" w:space="0" w:color="auto"/>
        <w:left w:val="none" w:sz="0" w:space="0" w:color="auto"/>
        <w:bottom w:val="none" w:sz="0" w:space="0" w:color="auto"/>
        <w:right w:val="none" w:sz="0" w:space="0" w:color="auto"/>
      </w:divBdr>
    </w:div>
    <w:div w:id="1867791257">
      <w:bodyDiv w:val="1"/>
      <w:marLeft w:val="0"/>
      <w:marRight w:val="0"/>
      <w:marTop w:val="0"/>
      <w:marBottom w:val="0"/>
      <w:divBdr>
        <w:top w:val="none" w:sz="0" w:space="0" w:color="auto"/>
        <w:left w:val="none" w:sz="0" w:space="0" w:color="auto"/>
        <w:bottom w:val="none" w:sz="0" w:space="0" w:color="auto"/>
        <w:right w:val="none" w:sz="0" w:space="0" w:color="auto"/>
      </w:divBdr>
    </w:div>
    <w:div w:id="1937134471">
      <w:bodyDiv w:val="1"/>
      <w:marLeft w:val="0"/>
      <w:marRight w:val="0"/>
      <w:marTop w:val="0"/>
      <w:marBottom w:val="0"/>
      <w:divBdr>
        <w:top w:val="none" w:sz="0" w:space="0" w:color="auto"/>
        <w:left w:val="none" w:sz="0" w:space="0" w:color="auto"/>
        <w:bottom w:val="none" w:sz="0" w:space="0" w:color="auto"/>
        <w:right w:val="none" w:sz="0" w:space="0" w:color="auto"/>
      </w:divBdr>
      <w:divsChild>
        <w:div w:id="675692408">
          <w:marLeft w:val="0"/>
          <w:marRight w:val="0"/>
          <w:marTop w:val="0"/>
          <w:marBottom w:val="0"/>
          <w:divBdr>
            <w:top w:val="none" w:sz="0" w:space="0" w:color="auto"/>
            <w:left w:val="none" w:sz="0" w:space="0" w:color="auto"/>
            <w:bottom w:val="none" w:sz="0" w:space="0" w:color="auto"/>
            <w:right w:val="none" w:sz="0" w:space="0" w:color="auto"/>
          </w:divBdr>
          <w:divsChild>
            <w:div w:id="1219900384">
              <w:marLeft w:val="0"/>
              <w:marRight w:val="0"/>
              <w:marTop w:val="0"/>
              <w:marBottom w:val="0"/>
              <w:divBdr>
                <w:top w:val="none" w:sz="0" w:space="0" w:color="auto"/>
                <w:left w:val="none" w:sz="0" w:space="0" w:color="auto"/>
                <w:bottom w:val="none" w:sz="0" w:space="0" w:color="auto"/>
                <w:right w:val="none" w:sz="0" w:space="0" w:color="auto"/>
              </w:divBdr>
            </w:div>
          </w:divsChild>
        </w:div>
        <w:div w:id="1384524050">
          <w:marLeft w:val="0"/>
          <w:marRight w:val="0"/>
          <w:marTop w:val="0"/>
          <w:marBottom w:val="0"/>
          <w:divBdr>
            <w:top w:val="none" w:sz="0" w:space="0" w:color="auto"/>
            <w:left w:val="none" w:sz="0" w:space="0" w:color="auto"/>
            <w:bottom w:val="none" w:sz="0" w:space="0" w:color="auto"/>
            <w:right w:val="none" w:sz="0" w:space="0" w:color="auto"/>
          </w:divBdr>
          <w:divsChild>
            <w:div w:id="600603242">
              <w:marLeft w:val="0"/>
              <w:marRight w:val="0"/>
              <w:marTop w:val="0"/>
              <w:marBottom w:val="0"/>
              <w:divBdr>
                <w:top w:val="none" w:sz="0" w:space="0" w:color="auto"/>
                <w:left w:val="none" w:sz="0" w:space="0" w:color="auto"/>
                <w:bottom w:val="none" w:sz="0" w:space="0" w:color="auto"/>
                <w:right w:val="none" w:sz="0" w:space="0" w:color="auto"/>
              </w:divBdr>
            </w:div>
          </w:divsChild>
        </w:div>
        <w:div w:id="1570114669">
          <w:marLeft w:val="0"/>
          <w:marRight w:val="0"/>
          <w:marTop w:val="0"/>
          <w:marBottom w:val="0"/>
          <w:divBdr>
            <w:top w:val="none" w:sz="0" w:space="0" w:color="auto"/>
            <w:left w:val="none" w:sz="0" w:space="0" w:color="auto"/>
            <w:bottom w:val="none" w:sz="0" w:space="0" w:color="auto"/>
            <w:right w:val="none" w:sz="0" w:space="0" w:color="auto"/>
          </w:divBdr>
          <w:divsChild>
            <w:div w:id="7144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040897">
      <w:bodyDiv w:val="1"/>
      <w:marLeft w:val="0"/>
      <w:marRight w:val="0"/>
      <w:marTop w:val="0"/>
      <w:marBottom w:val="0"/>
      <w:divBdr>
        <w:top w:val="none" w:sz="0" w:space="0" w:color="auto"/>
        <w:left w:val="none" w:sz="0" w:space="0" w:color="auto"/>
        <w:bottom w:val="none" w:sz="0" w:space="0" w:color="auto"/>
        <w:right w:val="none" w:sz="0" w:space="0" w:color="auto"/>
      </w:divBdr>
    </w:div>
    <w:div w:id="2019234334">
      <w:bodyDiv w:val="1"/>
      <w:marLeft w:val="0"/>
      <w:marRight w:val="0"/>
      <w:marTop w:val="0"/>
      <w:marBottom w:val="0"/>
      <w:divBdr>
        <w:top w:val="none" w:sz="0" w:space="0" w:color="auto"/>
        <w:left w:val="none" w:sz="0" w:space="0" w:color="auto"/>
        <w:bottom w:val="none" w:sz="0" w:space="0" w:color="auto"/>
        <w:right w:val="none" w:sz="0" w:space="0" w:color="auto"/>
      </w:divBdr>
    </w:div>
    <w:div w:id="2027244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117" Type="http://schemas.openxmlformats.org/officeDocument/2006/relationships/package" Target="embeddings/Diapositiva_de_Microsoft_PowerPoint8.sldx"/><Relationship Id="rId21" Type="http://schemas.openxmlformats.org/officeDocument/2006/relationships/diagramColors" Target="diagrams/colors2.xml"/><Relationship Id="rId42" Type="http://schemas.openxmlformats.org/officeDocument/2006/relationships/diagramQuickStyle" Target="diagrams/quickStyle5.xml"/><Relationship Id="rId47" Type="http://schemas.openxmlformats.org/officeDocument/2006/relationships/diagramQuickStyle" Target="diagrams/quickStyle6.xml"/><Relationship Id="rId63" Type="http://schemas.openxmlformats.org/officeDocument/2006/relationships/image" Target="media/image15.svg"/><Relationship Id="rId68" Type="http://schemas.openxmlformats.org/officeDocument/2006/relationships/image" Target="media/image13.png"/><Relationship Id="rId84" Type="http://schemas.openxmlformats.org/officeDocument/2006/relationships/image" Target="media/image21.png"/><Relationship Id="rId89" Type="http://schemas.openxmlformats.org/officeDocument/2006/relationships/image" Target="media/image41.svg"/><Relationship Id="rId112" Type="http://schemas.openxmlformats.org/officeDocument/2006/relationships/image" Target="media/image35.png"/><Relationship Id="rId16" Type="http://schemas.openxmlformats.org/officeDocument/2006/relationships/diagramColors" Target="diagrams/colors1.xml"/><Relationship Id="rId107" Type="http://schemas.openxmlformats.org/officeDocument/2006/relationships/image" Target="media/image59.svg"/><Relationship Id="rId11" Type="http://schemas.openxmlformats.org/officeDocument/2006/relationships/hyperlink" Target="mailto:marunoeg@gmail.com" TargetMode="External"/><Relationship Id="rId32" Type="http://schemas.openxmlformats.org/officeDocument/2006/relationships/diagramQuickStyle" Target="diagrams/quickStyle3.xml"/><Relationship Id="rId37" Type="http://schemas.openxmlformats.org/officeDocument/2006/relationships/diagramQuickStyle" Target="diagrams/quickStyle4.xml"/><Relationship Id="rId53" Type="http://schemas.openxmlformats.org/officeDocument/2006/relationships/image" Target="media/image5.png"/><Relationship Id="rId58" Type="http://schemas.openxmlformats.org/officeDocument/2006/relationships/image" Target="media/image8.png"/><Relationship Id="rId74" Type="http://schemas.openxmlformats.org/officeDocument/2006/relationships/image" Target="media/image16.png"/><Relationship Id="rId79" Type="http://schemas.openxmlformats.org/officeDocument/2006/relationships/image" Target="media/image31.svg"/><Relationship Id="rId102" Type="http://schemas.openxmlformats.org/officeDocument/2006/relationships/image" Target="media/image30.png"/><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13.svg"/><Relationship Id="rId82" Type="http://schemas.openxmlformats.org/officeDocument/2006/relationships/image" Target="media/image20.png"/><Relationship Id="rId90" Type="http://schemas.openxmlformats.org/officeDocument/2006/relationships/image" Target="media/image24.png"/><Relationship Id="rId95" Type="http://schemas.openxmlformats.org/officeDocument/2006/relationships/image" Target="media/image47.svg"/><Relationship Id="rId19" Type="http://schemas.openxmlformats.org/officeDocument/2006/relationships/diagramLayout" Target="diagrams/layout2.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chart" Target="charts/chart5.xml"/><Relationship Id="rId30" Type="http://schemas.openxmlformats.org/officeDocument/2006/relationships/diagramData" Target="diagrams/data3.xml"/><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diagramColors" Target="diagrams/colors6.xml"/><Relationship Id="rId56" Type="http://schemas.openxmlformats.org/officeDocument/2006/relationships/image" Target="media/image7.png"/><Relationship Id="rId64" Type="http://schemas.openxmlformats.org/officeDocument/2006/relationships/image" Target="media/image11.png"/><Relationship Id="rId69" Type="http://schemas.openxmlformats.org/officeDocument/2006/relationships/image" Target="media/image21.svg"/><Relationship Id="rId77" Type="http://schemas.openxmlformats.org/officeDocument/2006/relationships/image" Target="media/image29.svg"/><Relationship Id="rId100" Type="http://schemas.openxmlformats.org/officeDocument/2006/relationships/image" Target="media/image29.png"/><Relationship Id="rId105" Type="http://schemas.openxmlformats.org/officeDocument/2006/relationships/image" Target="media/image57.svg"/><Relationship Id="rId113" Type="http://schemas.openxmlformats.org/officeDocument/2006/relationships/image" Target="media/image65.svg"/><Relationship Id="rId118" Type="http://schemas.openxmlformats.org/officeDocument/2006/relationships/image" Target="media/image38.emf"/><Relationship Id="rId8" Type="http://schemas.openxmlformats.org/officeDocument/2006/relationships/endnotes" Target="endnotes.xml"/><Relationship Id="rId51" Type="http://schemas.openxmlformats.org/officeDocument/2006/relationships/hyperlink" Target="https://biblioteca.afip.gob.ar/dcp/REAG01004352_2018_04_06" TargetMode="External"/><Relationship Id="rId72" Type="http://schemas.openxmlformats.org/officeDocument/2006/relationships/image" Target="media/image15.png"/><Relationship Id="rId80" Type="http://schemas.openxmlformats.org/officeDocument/2006/relationships/image" Target="media/image19.png"/><Relationship Id="rId85" Type="http://schemas.openxmlformats.org/officeDocument/2006/relationships/image" Target="media/image37.svg"/><Relationship Id="rId93" Type="http://schemas.openxmlformats.org/officeDocument/2006/relationships/image" Target="media/image45.svg"/><Relationship Id="rId98" Type="http://schemas.openxmlformats.org/officeDocument/2006/relationships/image" Target="media/image28.png"/><Relationship Id="rId121" Type="http://schemas.openxmlformats.org/officeDocument/2006/relationships/oleObject" Target="embeddings/oleObject1.bin"/><Relationship Id="rId3" Type="http://schemas.openxmlformats.org/officeDocument/2006/relationships/styles" Target="styles.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chart" Target="charts/chart3.xml"/><Relationship Id="rId33" Type="http://schemas.openxmlformats.org/officeDocument/2006/relationships/diagramColors" Target="diagrams/colors3.xml"/><Relationship Id="rId38" Type="http://schemas.openxmlformats.org/officeDocument/2006/relationships/diagramColors" Target="diagrams/colors4.xml"/><Relationship Id="rId46" Type="http://schemas.openxmlformats.org/officeDocument/2006/relationships/diagramLayout" Target="diagrams/layout6.xml"/><Relationship Id="rId59" Type="http://schemas.openxmlformats.org/officeDocument/2006/relationships/image" Target="media/image11.svg"/><Relationship Id="rId67" Type="http://schemas.openxmlformats.org/officeDocument/2006/relationships/image" Target="media/image19.svg"/><Relationship Id="rId103" Type="http://schemas.openxmlformats.org/officeDocument/2006/relationships/image" Target="media/image55.svg"/><Relationship Id="rId108" Type="http://schemas.openxmlformats.org/officeDocument/2006/relationships/image" Target="media/image33.png"/><Relationship Id="rId116" Type="http://schemas.openxmlformats.org/officeDocument/2006/relationships/image" Target="media/image37.emf"/><Relationship Id="rId124" Type="http://schemas.openxmlformats.org/officeDocument/2006/relationships/theme" Target="theme/theme1.xml"/><Relationship Id="rId20" Type="http://schemas.openxmlformats.org/officeDocument/2006/relationships/diagramQuickStyle" Target="diagrams/quickStyle2.xml"/><Relationship Id="rId41" Type="http://schemas.openxmlformats.org/officeDocument/2006/relationships/diagramLayout" Target="diagrams/layout5.xml"/><Relationship Id="rId54" Type="http://schemas.openxmlformats.org/officeDocument/2006/relationships/image" Target="media/image6.png"/><Relationship Id="rId62" Type="http://schemas.openxmlformats.org/officeDocument/2006/relationships/image" Target="media/image10.png"/><Relationship Id="rId70" Type="http://schemas.openxmlformats.org/officeDocument/2006/relationships/image" Target="media/image14.png"/><Relationship Id="rId75" Type="http://schemas.openxmlformats.org/officeDocument/2006/relationships/image" Target="media/image27.svg"/><Relationship Id="rId83" Type="http://schemas.openxmlformats.org/officeDocument/2006/relationships/image" Target="media/image35.svg"/><Relationship Id="rId88" Type="http://schemas.openxmlformats.org/officeDocument/2006/relationships/image" Target="media/image23.png"/><Relationship Id="rId91" Type="http://schemas.openxmlformats.org/officeDocument/2006/relationships/image" Target="media/image43.svg"/><Relationship Id="rId96" Type="http://schemas.openxmlformats.org/officeDocument/2006/relationships/image" Target="media/image27.png"/><Relationship Id="rId111" Type="http://schemas.openxmlformats.org/officeDocument/2006/relationships/image" Target="media/image63.sv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diagramLayout" Target="diagrams/layout4.xml"/><Relationship Id="rId49" Type="http://schemas.microsoft.com/office/2007/relationships/diagramDrawing" Target="diagrams/drawing6.xml"/><Relationship Id="rId57" Type="http://schemas.openxmlformats.org/officeDocument/2006/relationships/image" Target="media/image9.svg"/><Relationship Id="rId106" Type="http://schemas.openxmlformats.org/officeDocument/2006/relationships/image" Target="media/image32.png"/><Relationship Id="rId114" Type="http://schemas.openxmlformats.org/officeDocument/2006/relationships/image" Target="media/image36.emf"/><Relationship Id="rId119" Type="http://schemas.openxmlformats.org/officeDocument/2006/relationships/package" Target="embeddings/Diapositiva_de_Microsoft_PowerPoint9.sldx"/><Relationship Id="rId10" Type="http://schemas.openxmlformats.org/officeDocument/2006/relationships/hyperlink" Target="mailto:mgomez@tasalogistica.com.ar" TargetMode="External"/><Relationship Id="rId31" Type="http://schemas.openxmlformats.org/officeDocument/2006/relationships/diagramLayout" Target="diagrams/layout3.xml"/><Relationship Id="rId44" Type="http://schemas.microsoft.com/office/2007/relationships/diagramDrawing" Target="diagrams/drawing5.xml"/><Relationship Id="rId52" Type="http://schemas.openxmlformats.org/officeDocument/2006/relationships/hyperlink" Target="https://www.afip.gob.ar/depositosFiscales/conceptos-generales/" TargetMode="External"/><Relationship Id="rId60" Type="http://schemas.openxmlformats.org/officeDocument/2006/relationships/image" Target="media/image9.png"/><Relationship Id="rId65" Type="http://schemas.openxmlformats.org/officeDocument/2006/relationships/image" Target="media/image17.svg"/><Relationship Id="rId73" Type="http://schemas.openxmlformats.org/officeDocument/2006/relationships/image" Target="media/image25.svg"/><Relationship Id="rId78" Type="http://schemas.openxmlformats.org/officeDocument/2006/relationships/image" Target="media/image18.png"/><Relationship Id="rId81" Type="http://schemas.openxmlformats.org/officeDocument/2006/relationships/image" Target="media/image33.svg"/><Relationship Id="rId86" Type="http://schemas.openxmlformats.org/officeDocument/2006/relationships/image" Target="media/image22.png"/><Relationship Id="rId94" Type="http://schemas.openxmlformats.org/officeDocument/2006/relationships/image" Target="media/image26.png"/><Relationship Id="rId99" Type="http://schemas.openxmlformats.org/officeDocument/2006/relationships/image" Target="media/image51.svg"/><Relationship Id="rId101" Type="http://schemas.openxmlformats.org/officeDocument/2006/relationships/image" Target="media/image53.svg"/><Relationship Id="rId12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diagramData" Target="diagrams/data2.xml"/><Relationship Id="rId39" Type="http://schemas.microsoft.com/office/2007/relationships/diagramDrawing" Target="diagrams/drawing4.xml"/><Relationship Id="rId109" Type="http://schemas.openxmlformats.org/officeDocument/2006/relationships/image" Target="media/image61.svg"/><Relationship Id="rId34" Type="http://schemas.microsoft.com/office/2007/relationships/diagramDrawing" Target="diagrams/drawing3.xml"/><Relationship Id="rId50" Type="http://schemas.openxmlformats.org/officeDocument/2006/relationships/image" Target="media/image4.emf"/><Relationship Id="rId55" Type="http://schemas.openxmlformats.org/officeDocument/2006/relationships/image" Target="media/image7.svg"/><Relationship Id="rId76" Type="http://schemas.openxmlformats.org/officeDocument/2006/relationships/image" Target="media/image17.png"/><Relationship Id="rId97" Type="http://schemas.openxmlformats.org/officeDocument/2006/relationships/image" Target="media/image49.svg"/><Relationship Id="rId104" Type="http://schemas.openxmlformats.org/officeDocument/2006/relationships/image" Target="media/image31.png"/><Relationship Id="rId120" Type="http://schemas.openxmlformats.org/officeDocument/2006/relationships/image" Target="media/image39.emf"/><Relationship Id="rId7" Type="http://schemas.openxmlformats.org/officeDocument/2006/relationships/footnotes" Target="footnotes.xml"/><Relationship Id="rId71" Type="http://schemas.openxmlformats.org/officeDocument/2006/relationships/image" Target="media/image23.svg"/><Relationship Id="rId92" Type="http://schemas.openxmlformats.org/officeDocument/2006/relationships/image" Target="media/image25.png"/><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chart" Target="charts/chart2.xml"/><Relationship Id="rId40" Type="http://schemas.openxmlformats.org/officeDocument/2006/relationships/diagramData" Target="diagrams/data5.xml"/><Relationship Id="rId45" Type="http://schemas.openxmlformats.org/officeDocument/2006/relationships/diagramData" Target="diagrams/data6.xml"/><Relationship Id="rId66" Type="http://schemas.openxmlformats.org/officeDocument/2006/relationships/image" Target="media/image12.png"/><Relationship Id="rId87" Type="http://schemas.openxmlformats.org/officeDocument/2006/relationships/image" Target="media/image39.svg"/><Relationship Id="rId110" Type="http://schemas.openxmlformats.org/officeDocument/2006/relationships/image" Target="media/image34.png"/><Relationship Id="rId115" Type="http://schemas.openxmlformats.org/officeDocument/2006/relationships/package" Target="embeddings/Diapositiva_de_Microsoft_PowerPoint7.sldx"/></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9035-426C-8B20-04773C5B6739}"/>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9035-426C-8B20-04773C5B6739}"/>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9035-426C-8B20-04773C5B6739}"/>
              </c:ext>
            </c:extLst>
          </c:dPt>
          <c:dPt>
            <c:idx val="3"/>
            <c:bubble3D val="0"/>
            <c:spPr>
              <a:solidFill>
                <a:schemeClr val="accent1">
                  <a:shade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9035-426C-8B20-04773C5B673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Hoja1!$A$2:$A$5</c:f>
              <c:strCache>
                <c:ptCount val="4"/>
                <c:pt idx="0">
                  <c:v>Si, Importamos</c:v>
                </c:pt>
                <c:pt idx="1">
                  <c:v>Si, Exportamos</c:v>
                </c:pt>
                <c:pt idx="2">
                  <c:v>Ambas</c:v>
                </c:pt>
                <c:pt idx="3">
                  <c:v>No</c:v>
                </c:pt>
              </c:strCache>
            </c:strRef>
          </c:cat>
          <c:val>
            <c:numRef>
              <c:f>Hoja1!$B$2:$B$5</c:f>
              <c:numCache>
                <c:formatCode>General</c:formatCode>
                <c:ptCount val="4"/>
                <c:pt idx="0">
                  <c:v>26</c:v>
                </c:pt>
                <c:pt idx="1">
                  <c:v>4</c:v>
                </c:pt>
                <c:pt idx="2">
                  <c:v>39</c:v>
                </c:pt>
                <c:pt idx="3">
                  <c:v>4</c:v>
                </c:pt>
              </c:numCache>
            </c:numRef>
          </c:val>
          <c:extLst xmlns:c16r2="http://schemas.microsoft.com/office/drawing/2015/06/chart">
            <c:ext xmlns:c16="http://schemas.microsoft.com/office/drawing/2014/chart" uri="{C3380CC4-5D6E-409C-BE32-E72D297353CC}">
              <c16:uniqueId val="{00000000-A6A4-47A1-97E2-274FE2DBA729}"/>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ED85-4817-AE15-FB2DC8007C3A}"/>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ED85-4817-AE15-FB2DC8007C3A}"/>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ED85-4817-AE15-FB2DC8007C3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Hoja1!$A$2:$A$4</c:f>
              <c:strCache>
                <c:ptCount val="3"/>
                <c:pt idx="0">
                  <c:v>Sí, propio</c:v>
                </c:pt>
                <c:pt idx="1">
                  <c:v>Sí, tercerizado</c:v>
                </c:pt>
                <c:pt idx="2">
                  <c:v>No</c:v>
                </c:pt>
              </c:strCache>
            </c:strRef>
          </c:cat>
          <c:val>
            <c:numRef>
              <c:f>Hoja1!$B$2:$B$4</c:f>
              <c:numCache>
                <c:formatCode>General</c:formatCode>
                <c:ptCount val="3"/>
                <c:pt idx="0">
                  <c:v>15</c:v>
                </c:pt>
                <c:pt idx="1">
                  <c:v>47</c:v>
                </c:pt>
                <c:pt idx="2">
                  <c:v>24</c:v>
                </c:pt>
              </c:numCache>
            </c:numRef>
          </c:val>
          <c:extLst xmlns:c16r2="http://schemas.microsoft.com/office/drawing/2015/06/chart">
            <c:ext xmlns:c16="http://schemas.microsoft.com/office/drawing/2014/chart" uri="{C3380CC4-5D6E-409C-BE32-E72D297353CC}">
              <c16:uniqueId val="{00000008-ED85-4817-AE15-FB2DC8007C3A}"/>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9745-4C22-AE72-2FCD2DE29117}"/>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9745-4C22-AE72-2FCD2DE29117}"/>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9745-4C22-AE72-2FCD2DE29117}"/>
              </c:ext>
            </c:extLst>
          </c:dPt>
          <c:dPt>
            <c:idx val="3"/>
            <c:bubble3D val="0"/>
            <c:spPr>
              <a:solidFill>
                <a:schemeClr val="accent1">
                  <a:shade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9745-4C22-AE72-2FCD2DE29117}"/>
              </c:ext>
            </c:extLst>
          </c:dPt>
          <c:dPt>
            <c:idx val="4"/>
            <c:bubble3D val="0"/>
            <c:spPr>
              <a:solidFill>
                <a:schemeClr val="accent1">
                  <a:shade val="70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9-3BF7-492B-8FB4-6A3BE13B8495}"/>
              </c:ext>
            </c:extLst>
          </c:dPt>
          <c:dPt>
            <c:idx val="5"/>
            <c:bubble3D val="0"/>
            <c:spPr>
              <a:solidFill>
                <a:schemeClr val="accent1">
                  <a:shade val="50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B-3BF7-492B-8FB4-6A3BE13B849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Hoja1!$A$2:$A$7</c:f>
              <c:strCache>
                <c:ptCount val="6"/>
                <c:pt idx="0">
                  <c:v>Rapidez en las operaciones aduaneras</c:v>
                </c:pt>
                <c:pt idx="1">
                  <c:v>Integración con servicios logísticos (almacenaje, transporte)</c:v>
                </c:pt>
                <c:pt idx="2">
                  <c:v>Tecnología y trazabilidad</c:v>
                </c:pt>
                <c:pt idx="3">
                  <c:v>Seguridad y cumplimiento normativo</c:v>
                </c:pt>
                <c:pt idx="4">
                  <c:v>Costo del servicio</c:v>
                </c:pt>
                <c:pt idx="5">
                  <c:v>Ubicación</c:v>
                </c:pt>
              </c:strCache>
            </c:strRef>
          </c:cat>
          <c:val>
            <c:numRef>
              <c:f>Hoja1!$B$2:$B$7</c:f>
              <c:numCache>
                <c:formatCode>General</c:formatCode>
                <c:ptCount val="6"/>
                <c:pt idx="0">
                  <c:v>65</c:v>
                </c:pt>
                <c:pt idx="1">
                  <c:v>59</c:v>
                </c:pt>
                <c:pt idx="2">
                  <c:v>62</c:v>
                </c:pt>
                <c:pt idx="3">
                  <c:v>60</c:v>
                </c:pt>
                <c:pt idx="4">
                  <c:v>47</c:v>
                </c:pt>
                <c:pt idx="5">
                  <c:v>39</c:v>
                </c:pt>
              </c:numCache>
            </c:numRef>
          </c:val>
          <c:extLst xmlns:c16r2="http://schemas.microsoft.com/office/drawing/2015/06/chart">
            <c:ext xmlns:c16="http://schemas.microsoft.com/office/drawing/2014/chart" uri="{C3380CC4-5D6E-409C-BE32-E72D297353CC}">
              <c16:uniqueId val="{00000008-9745-4C22-AE72-2FCD2DE29117}"/>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B610-401F-9676-C320F849C610}"/>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B610-401F-9676-C320F849C610}"/>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B610-401F-9676-C320F849C610}"/>
              </c:ext>
            </c:extLst>
          </c:dPt>
          <c:dPt>
            <c:idx val="3"/>
            <c:bubble3D val="0"/>
            <c:spPr>
              <a:solidFill>
                <a:schemeClr val="accent1">
                  <a:shade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B610-401F-9676-C320F849C610}"/>
              </c:ext>
            </c:extLst>
          </c:dPt>
          <c:dLbls>
            <c:dLbl>
              <c:idx val="2"/>
              <c:layout>
                <c:manualLayout>
                  <c:x val="0.12882637066200059"/>
                  <c:y val="0.21107361579802525"/>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610-401F-9676-C320F849C610}"/>
                </c:ext>
              </c:extLst>
            </c:dLbl>
            <c:dLbl>
              <c:idx val="3"/>
              <c:layout>
                <c:manualLayout>
                  <c:x val="1.6043853893263342E-2"/>
                  <c:y val="5.2909011373578306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B610-401F-9676-C320F849C61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Hoja1!$A$2:$A$5</c:f>
              <c:strCache>
                <c:ptCount val="4"/>
                <c:pt idx="0">
                  <c:v>Muy importante</c:v>
                </c:pt>
                <c:pt idx="1">
                  <c:v>Bastante importante</c:v>
                </c:pt>
                <c:pt idx="2">
                  <c:v>Poco importante</c:v>
                </c:pt>
                <c:pt idx="3">
                  <c:v>No lo considero relevante</c:v>
                </c:pt>
              </c:strCache>
            </c:strRef>
          </c:cat>
          <c:val>
            <c:numRef>
              <c:f>Hoja1!$B$2:$B$5</c:f>
              <c:numCache>
                <c:formatCode>General</c:formatCode>
                <c:ptCount val="4"/>
                <c:pt idx="0">
                  <c:v>50</c:v>
                </c:pt>
                <c:pt idx="1">
                  <c:v>28</c:v>
                </c:pt>
                <c:pt idx="2">
                  <c:v>7</c:v>
                </c:pt>
                <c:pt idx="3">
                  <c:v>1</c:v>
                </c:pt>
              </c:numCache>
            </c:numRef>
          </c:val>
          <c:extLst xmlns:c16r2="http://schemas.microsoft.com/office/drawing/2015/06/chart">
            <c:ext xmlns:c16="http://schemas.microsoft.com/office/drawing/2014/chart" uri="{C3380CC4-5D6E-409C-BE32-E72D297353CC}">
              <c16:uniqueId val="{0000000C-B610-401F-9676-C320F849C610}"/>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0E7A-4A46-AF73-A9D93F287B1D}"/>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0E7A-4A46-AF73-A9D93F287B1D}"/>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0E7A-4A46-AF73-A9D93F287B1D}"/>
              </c:ext>
            </c:extLst>
          </c:dPt>
          <c:dPt>
            <c:idx val="3"/>
            <c:bubble3D val="0"/>
            <c:spPr>
              <a:solidFill>
                <a:schemeClr val="accent1">
                  <a:shade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0E7A-4A46-AF73-A9D93F287B1D}"/>
              </c:ext>
            </c:extLst>
          </c:dPt>
          <c:dLbls>
            <c:dLbl>
              <c:idx val="2"/>
              <c:layout>
                <c:manualLayout>
                  <c:x val="0.12882637066200059"/>
                  <c:y val="0.21107361579802525"/>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E7A-4A46-AF73-A9D93F287B1D}"/>
                </c:ext>
              </c:extLst>
            </c:dLbl>
            <c:dLbl>
              <c:idx val="3"/>
              <c:layout>
                <c:manualLayout>
                  <c:x val="3.9192002041411489E-2"/>
                  <c:y val="8.4655043119610043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E7A-4A46-AF73-A9D93F287B1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Hoja1!$A$2:$A$5</c:f>
              <c:strCache>
                <c:ptCount val="4"/>
                <c:pt idx="0">
                  <c:v>Sí, seguramente</c:v>
                </c:pt>
                <c:pt idx="1">
                  <c:v>Sí, dependiendo del precio</c:v>
                </c:pt>
                <c:pt idx="2">
                  <c:v>Tal vez, necesito más información</c:v>
                </c:pt>
                <c:pt idx="3">
                  <c:v>No lo consideraría</c:v>
                </c:pt>
              </c:strCache>
            </c:strRef>
          </c:cat>
          <c:val>
            <c:numRef>
              <c:f>Hoja1!$B$2:$B$5</c:f>
              <c:numCache>
                <c:formatCode>General</c:formatCode>
                <c:ptCount val="4"/>
                <c:pt idx="0">
                  <c:v>36</c:v>
                </c:pt>
                <c:pt idx="1">
                  <c:v>34</c:v>
                </c:pt>
                <c:pt idx="2">
                  <c:v>14</c:v>
                </c:pt>
                <c:pt idx="3">
                  <c:v>2</c:v>
                </c:pt>
              </c:numCache>
            </c:numRef>
          </c:val>
          <c:extLst xmlns:c16r2="http://schemas.microsoft.com/office/drawing/2015/06/chart">
            <c:ext xmlns:c16="http://schemas.microsoft.com/office/drawing/2014/chart" uri="{C3380CC4-5D6E-409C-BE32-E72D297353CC}">
              <c16:uniqueId val="{0000000C-0E7A-4A46-AF73-A9D93F287B1D}"/>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Hoja1!$B$1</c:f>
              <c:strCache>
                <c:ptCount val="1"/>
                <c:pt idx="0">
                  <c:v>Respuesta</c:v>
                </c:pt>
              </c:strCache>
            </c:strRef>
          </c:tx>
          <c:spPr>
            <a:ln>
              <a:noFill/>
            </a:ln>
          </c:spPr>
          <c:dPt>
            <c:idx val="0"/>
            <c:bubble3D val="0"/>
            <c:spPr>
              <a:solidFill>
                <a:schemeClr val="accent1">
                  <a:tint val="58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A038-485C-A89E-D1155EFBCFE3}"/>
              </c:ext>
            </c:extLst>
          </c:dPt>
          <c:dPt>
            <c:idx val="1"/>
            <c:bubble3D val="0"/>
            <c:spPr>
              <a:solidFill>
                <a:schemeClr val="accent1">
                  <a:tint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A038-485C-A89E-D1155EFBCFE3}"/>
              </c:ext>
            </c:extLst>
          </c:dPt>
          <c:dPt>
            <c:idx val="2"/>
            <c:bubble3D val="0"/>
            <c:spPr>
              <a:solidFill>
                <a:schemeClr val="accent1">
                  <a:shade val="86000"/>
                </a:schemeClr>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A038-485C-A89E-D1155EFBCFE3}"/>
              </c:ext>
            </c:extLst>
          </c:dPt>
          <c:dLbls>
            <c:dLbl>
              <c:idx val="2"/>
              <c:layout>
                <c:manualLayout>
                  <c:x val="0.12882637066200059"/>
                  <c:y val="0.21107361579802525"/>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038-485C-A89E-D1155EFBCFE3}"/>
                </c:ext>
              </c:extLst>
            </c:dLbl>
            <c:dLbl>
              <c:idx val="3"/>
              <c:layout>
                <c:manualLayout>
                  <c:x val="3.9192002041411489E-2"/>
                  <c:y val="8.4655043119610043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038-485C-A89E-D1155EFBCFE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Hoja1!$A$2:$A$4</c:f>
              <c:strCache>
                <c:ptCount val="3"/>
                <c:pt idx="0">
                  <c:v>Menos de 10 contenedores</c:v>
                </c:pt>
                <c:pt idx="1">
                  <c:v>Entre 10 y 50 contenedores</c:v>
                </c:pt>
                <c:pt idx="2">
                  <c:v>Más de 50 contenedores</c:v>
                </c:pt>
              </c:strCache>
            </c:strRef>
          </c:cat>
          <c:val>
            <c:numRef>
              <c:f>Hoja1!$B$2:$B$4</c:f>
              <c:numCache>
                <c:formatCode>General</c:formatCode>
                <c:ptCount val="3"/>
                <c:pt idx="0">
                  <c:v>31</c:v>
                </c:pt>
                <c:pt idx="1">
                  <c:v>39</c:v>
                </c:pt>
                <c:pt idx="2">
                  <c:v>16</c:v>
                </c:pt>
              </c:numCache>
            </c:numRef>
          </c:val>
          <c:extLst xmlns:c16r2="http://schemas.microsoft.com/office/drawing/2015/06/chart">
            <c:ext xmlns:c16="http://schemas.microsoft.com/office/drawing/2014/chart" uri="{C3380CC4-5D6E-409C-BE32-E72D297353CC}">
              <c16:uniqueId val="{0000000C-A038-485C-A89E-D1155EFBCFE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15000"/>
          <a:lumOff val="85000"/>
        </a:schemeClr>
      </a:solidFill>
      <a:round/>
    </a:ln>
    <a:effectLst/>
  </c:spPr>
  <c:txPr>
    <a:bodyPr/>
    <a:lstStyle/>
    <a:p>
      <a:pPr>
        <a:defRPr/>
      </a:pPr>
      <a:endParaRPr lang="es-A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29C3885-97B3-4809-AC2A-EC651EE22074}" type="doc">
      <dgm:prSet loTypeId="urn:microsoft.com/office/officeart/2005/8/layout/vList5" loCatId="list" qsTypeId="urn:microsoft.com/office/officeart/2005/8/quickstyle/simple1" qsCatId="simple" csTypeId="urn:microsoft.com/office/officeart/2005/8/colors/accent1_2" csCatId="accent1" phldr="1"/>
      <dgm:spPr/>
    </dgm:pt>
    <dgm:pt modelId="{265F3555-09BA-4E4C-88A2-A7A050C51E5F}">
      <dgm:prSet phldrT="[Texto]" custT="1"/>
      <dgm:spPr/>
      <dgm:t>
        <a:bodyPr/>
        <a:lstStyle/>
        <a:p>
          <a:r>
            <a:rPr lang="es-MX" sz="3600" b="1">
              <a:latin typeface="Times New Roman" panose="02020603050405020304" pitchFamily="18" charset="0"/>
              <a:cs typeface="Times New Roman" panose="02020603050405020304" pitchFamily="18" charset="0"/>
            </a:rPr>
            <a:t>P</a:t>
          </a:r>
        </a:p>
      </dgm:t>
    </dgm:pt>
    <dgm:pt modelId="{17BD9039-4CDA-469B-88E6-0B5451F12808}" type="parTrans" cxnId="{F337ECEA-9B75-46FC-A8AC-64EBDA0482F6}">
      <dgm:prSet/>
      <dgm:spPr/>
      <dgm:t>
        <a:bodyPr/>
        <a:lstStyle/>
        <a:p>
          <a:endParaRPr lang="es-MX" sz="1050">
            <a:latin typeface="Times New Roman" panose="02020603050405020304" pitchFamily="18" charset="0"/>
            <a:cs typeface="Times New Roman" panose="02020603050405020304" pitchFamily="18" charset="0"/>
          </a:endParaRPr>
        </a:p>
      </dgm:t>
    </dgm:pt>
    <dgm:pt modelId="{73A970FC-6085-4113-B729-06CB37C5BBD6}" type="sibTrans" cxnId="{F337ECEA-9B75-46FC-A8AC-64EBDA0482F6}">
      <dgm:prSet/>
      <dgm:spPr/>
      <dgm:t>
        <a:bodyPr/>
        <a:lstStyle/>
        <a:p>
          <a:endParaRPr lang="es-MX" sz="1050">
            <a:latin typeface="Times New Roman" panose="02020603050405020304" pitchFamily="18" charset="0"/>
            <a:cs typeface="Times New Roman" panose="02020603050405020304" pitchFamily="18" charset="0"/>
          </a:endParaRPr>
        </a:p>
      </dgm:t>
    </dgm:pt>
    <dgm:pt modelId="{110C3F35-E1DF-4C88-B090-F34D01015AE0}">
      <dgm:prSet phldrT="[Texto]" custT="1"/>
      <dgm:spPr/>
      <dgm:t>
        <a:bodyPr/>
        <a:lstStyle/>
        <a:p>
          <a:r>
            <a:rPr lang="es-MX" sz="3600" b="1">
              <a:latin typeface="Times New Roman" panose="02020603050405020304" pitchFamily="18" charset="0"/>
              <a:cs typeface="Times New Roman" panose="02020603050405020304" pitchFamily="18" charset="0"/>
            </a:rPr>
            <a:t>E</a:t>
          </a:r>
        </a:p>
      </dgm:t>
    </dgm:pt>
    <dgm:pt modelId="{3A6C6688-F94F-48B8-9F29-BDFB75F3B794}" type="parTrans" cxnId="{CBD81837-35CC-4A7F-8031-B0F4E668B19F}">
      <dgm:prSet/>
      <dgm:spPr/>
      <dgm:t>
        <a:bodyPr/>
        <a:lstStyle/>
        <a:p>
          <a:endParaRPr lang="es-MX" sz="1050">
            <a:latin typeface="Times New Roman" panose="02020603050405020304" pitchFamily="18" charset="0"/>
            <a:cs typeface="Times New Roman" panose="02020603050405020304" pitchFamily="18" charset="0"/>
          </a:endParaRPr>
        </a:p>
      </dgm:t>
    </dgm:pt>
    <dgm:pt modelId="{E1E9CBA9-B295-485C-8E38-6073F7C0803B}" type="sibTrans" cxnId="{CBD81837-35CC-4A7F-8031-B0F4E668B19F}">
      <dgm:prSet/>
      <dgm:spPr/>
      <dgm:t>
        <a:bodyPr/>
        <a:lstStyle/>
        <a:p>
          <a:endParaRPr lang="es-MX" sz="1050">
            <a:latin typeface="Times New Roman" panose="02020603050405020304" pitchFamily="18" charset="0"/>
            <a:cs typeface="Times New Roman" panose="02020603050405020304" pitchFamily="18" charset="0"/>
          </a:endParaRPr>
        </a:p>
      </dgm:t>
    </dgm:pt>
    <dgm:pt modelId="{002466BE-6684-4A4D-9D87-95673E1C4593}">
      <dgm:prSet phldrT="[Texto]" custT="1"/>
      <dgm:spPr/>
      <dgm:t>
        <a:bodyPr/>
        <a:lstStyle/>
        <a:p>
          <a:r>
            <a:rPr lang="es-MX" sz="3600" b="1">
              <a:latin typeface="Times New Roman" panose="02020603050405020304" pitchFamily="18" charset="0"/>
              <a:cs typeface="Times New Roman" panose="02020603050405020304" pitchFamily="18" charset="0"/>
            </a:rPr>
            <a:t>T</a:t>
          </a:r>
        </a:p>
      </dgm:t>
    </dgm:pt>
    <dgm:pt modelId="{98A06035-F5A6-4203-8682-403E01445B1B}" type="parTrans" cxnId="{FAC02590-91C0-416C-B2D2-705E2E402F7A}">
      <dgm:prSet/>
      <dgm:spPr/>
      <dgm:t>
        <a:bodyPr/>
        <a:lstStyle/>
        <a:p>
          <a:endParaRPr lang="es-MX" sz="1050">
            <a:latin typeface="Times New Roman" panose="02020603050405020304" pitchFamily="18" charset="0"/>
            <a:cs typeface="Times New Roman" panose="02020603050405020304" pitchFamily="18" charset="0"/>
          </a:endParaRPr>
        </a:p>
      </dgm:t>
    </dgm:pt>
    <dgm:pt modelId="{BFC10B33-E3C6-4A93-9426-6AC7311E05CD}" type="sibTrans" cxnId="{FAC02590-91C0-416C-B2D2-705E2E402F7A}">
      <dgm:prSet/>
      <dgm:spPr/>
      <dgm:t>
        <a:bodyPr/>
        <a:lstStyle/>
        <a:p>
          <a:endParaRPr lang="es-MX" sz="1050">
            <a:latin typeface="Times New Roman" panose="02020603050405020304" pitchFamily="18" charset="0"/>
            <a:cs typeface="Times New Roman" panose="02020603050405020304" pitchFamily="18" charset="0"/>
          </a:endParaRPr>
        </a:p>
      </dgm:t>
    </dgm:pt>
    <dgm:pt modelId="{1AC70BC8-AA48-486D-A835-FA724A8C24FC}">
      <dgm:prSet phldrT="[Texto]" custT="1"/>
      <dgm:spPr/>
      <dgm:t>
        <a:bodyPr/>
        <a:lstStyle/>
        <a:p>
          <a:r>
            <a:rPr lang="es-MX" sz="3600" b="1">
              <a:latin typeface="Times New Roman" panose="02020603050405020304" pitchFamily="18" charset="0"/>
              <a:cs typeface="Times New Roman" panose="02020603050405020304" pitchFamily="18" charset="0"/>
            </a:rPr>
            <a:t>S</a:t>
          </a:r>
        </a:p>
      </dgm:t>
    </dgm:pt>
    <dgm:pt modelId="{8DAA0222-5406-402B-BFC6-16E1149DE640}" type="parTrans" cxnId="{70BCF4DA-FE1F-469F-8669-2E211220C83B}">
      <dgm:prSet/>
      <dgm:spPr/>
      <dgm:t>
        <a:bodyPr/>
        <a:lstStyle/>
        <a:p>
          <a:endParaRPr lang="es-MX" sz="1050">
            <a:latin typeface="Times New Roman" panose="02020603050405020304" pitchFamily="18" charset="0"/>
            <a:cs typeface="Times New Roman" panose="02020603050405020304" pitchFamily="18" charset="0"/>
          </a:endParaRPr>
        </a:p>
      </dgm:t>
    </dgm:pt>
    <dgm:pt modelId="{EABE31D8-4FFD-4404-B15A-0F4E146F21FE}" type="sibTrans" cxnId="{70BCF4DA-FE1F-469F-8669-2E211220C83B}">
      <dgm:prSet/>
      <dgm:spPr/>
      <dgm:t>
        <a:bodyPr/>
        <a:lstStyle/>
        <a:p>
          <a:endParaRPr lang="es-MX" sz="1050">
            <a:latin typeface="Times New Roman" panose="02020603050405020304" pitchFamily="18" charset="0"/>
            <a:cs typeface="Times New Roman" panose="02020603050405020304" pitchFamily="18" charset="0"/>
          </a:endParaRPr>
        </a:p>
      </dgm:t>
    </dgm:pt>
    <dgm:pt modelId="{579A3C17-295D-43D9-974B-B3E07F450BCA}">
      <dgm:prSet phldrT="[Texto]" custT="1"/>
      <dgm:spPr/>
      <dgm:t>
        <a:bodyPr/>
        <a:lstStyle/>
        <a:p>
          <a:r>
            <a:rPr lang="es-MX" sz="3600" b="1">
              <a:latin typeface="Times New Roman" panose="02020603050405020304" pitchFamily="18" charset="0"/>
              <a:cs typeface="Times New Roman" panose="02020603050405020304" pitchFamily="18" charset="0"/>
            </a:rPr>
            <a:t>L</a:t>
          </a:r>
        </a:p>
      </dgm:t>
    </dgm:pt>
    <dgm:pt modelId="{F16B5A77-65F8-42A6-BDEC-7184EF5D20B1}" type="parTrans" cxnId="{6AB855F9-52A1-46DF-9F23-64C8EE52E8F4}">
      <dgm:prSet/>
      <dgm:spPr/>
      <dgm:t>
        <a:bodyPr/>
        <a:lstStyle/>
        <a:p>
          <a:endParaRPr lang="es-MX" sz="1050">
            <a:latin typeface="Times New Roman" panose="02020603050405020304" pitchFamily="18" charset="0"/>
            <a:cs typeface="Times New Roman" panose="02020603050405020304" pitchFamily="18" charset="0"/>
          </a:endParaRPr>
        </a:p>
      </dgm:t>
    </dgm:pt>
    <dgm:pt modelId="{041870FE-33C6-4E7F-93BC-F346756449A2}" type="sibTrans" cxnId="{6AB855F9-52A1-46DF-9F23-64C8EE52E8F4}">
      <dgm:prSet/>
      <dgm:spPr/>
      <dgm:t>
        <a:bodyPr/>
        <a:lstStyle/>
        <a:p>
          <a:endParaRPr lang="es-MX" sz="1050">
            <a:latin typeface="Times New Roman" panose="02020603050405020304" pitchFamily="18" charset="0"/>
            <a:cs typeface="Times New Roman" panose="02020603050405020304" pitchFamily="18" charset="0"/>
          </a:endParaRPr>
        </a:p>
      </dgm:t>
    </dgm:pt>
    <dgm:pt modelId="{F27C5888-B749-4128-BC56-98618AC1B06B}">
      <dgm:prSet phldrT="[Texto]" custT="1"/>
      <dgm:spPr/>
      <dgm:t>
        <a:bodyPr/>
        <a:lstStyle/>
        <a:p>
          <a:r>
            <a:rPr lang="es-MX" sz="3600" b="1">
              <a:latin typeface="Times New Roman" panose="02020603050405020304" pitchFamily="18" charset="0"/>
              <a:cs typeface="Times New Roman" panose="02020603050405020304" pitchFamily="18" charset="0"/>
            </a:rPr>
            <a:t>E</a:t>
          </a:r>
        </a:p>
      </dgm:t>
    </dgm:pt>
    <dgm:pt modelId="{81441D18-946F-4860-BD4D-07019D0F4A42}" type="parTrans" cxnId="{B5BAC99D-A5F1-41FE-8EE4-84C5D31F07EA}">
      <dgm:prSet/>
      <dgm:spPr/>
      <dgm:t>
        <a:bodyPr/>
        <a:lstStyle/>
        <a:p>
          <a:endParaRPr lang="es-MX" sz="1050">
            <a:latin typeface="Times New Roman" panose="02020603050405020304" pitchFamily="18" charset="0"/>
            <a:cs typeface="Times New Roman" panose="02020603050405020304" pitchFamily="18" charset="0"/>
          </a:endParaRPr>
        </a:p>
      </dgm:t>
    </dgm:pt>
    <dgm:pt modelId="{B273D382-E257-4136-8D70-873D3E9C1DEE}" type="sibTrans" cxnId="{B5BAC99D-A5F1-41FE-8EE4-84C5D31F07EA}">
      <dgm:prSet/>
      <dgm:spPr/>
      <dgm:t>
        <a:bodyPr/>
        <a:lstStyle/>
        <a:p>
          <a:endParaRPr lang="es-MX" sz="1050">
            <a:latin typeface="Times New Roman" panose="02020603050405020304" pitchFamily="18" charset="0"/>
            <a:cs typeface="Times New Roman" panose="02020603050405020304" pitchFamily="18" charset="0"/>
          </a:endParaRPr>
        </a:p>
      </dgm:t>
    </dgm:pt>
    <dgm:pt modelId="{06CEAA5B-B685-41ED-9B33-C6D4A2FC66B4}">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Político </a:t>
          </a:r>
          <a:r>
            <a:rPr lang="es-AR" sz="1100" b="0" i="1">
              <a:latin typeface="Times New Roman" panose="02020603050405020304" pitchFamily="18" charset="0"/>
              <a:cs typeface="Times New Roman" panose="02020603050405020304" pitchFamily="18" charset="0"/>
            </a:rPr>
            <a:t>El gobierno nacional, bajo la administración de Javier Milei, impulsa medidas de desregulación comercial y reducción de costos aduaneros. ARCA (ex AFIP) ha flexibilizado garantías para depósitos fiscales en 2025.</a:t>
          </a:r>
          <a:endParaRPr lang="es-MX" sz="1100" b="0" i="1">
            <a:latin typeface="Times New Roman" panose="02020603050405020304" pitchFamily="18" charset="0"/>
            <a:cs typeface="Times New Roman" panose="02020603050405020304" pitchFamily="18" charset="0"/>
          </a:endParaRPr>
        </a:p>
      </dgm:t>
    </dgm:pt>
    <dgm:pt modelId="{BE4F7133-FB69-4A69-B4E2-68898F4499E6}" type="parTrans" cxnId="{C4CF6EE2-DA8B-456E-B00E-F0A1D5B8AFCF}">
      <dgm:prSet/>
      <dgm:spPr/>
      <dgm:t>
        <a:bodyPr/>
        <a:lstStyle/>
        <a:p>
          <a:endParaRPr lang="es-MX" sz="1050">
            <a:latin typeface="Times New Roman" panose="02020603050405020304" pitchFamily="18" charset="0"/>
            <a:cs typeface="Times New Roman" panose="02020603050405020304" pitchFamily="18" charset="0"/>
          </a:endParaRPr>
        </a:p>
      </dgm:t>
    </dgm:pt>
    <dgm:pt modelId="{F1049842-D934-4AB8-B4C6-C664EA7D595A}" type="sibTrans" cxnId="{C4CF6EE2-DA8B-456E-B00E-F0A1D5B8AFCF}">
      <dgm:prSet/>
      <dgm:spPr/>
      <dgm:t>
        <a:bodyPr/>
        <a:lstStyle/>
        <a:p>
          <a:endParaRPr lang="es-MX" sz="1050">
            <a:latin typeface="Times New Roman" panose="02020603050405020304" pitchFamily="18" charset="0"/>
            <a:cs typeface="Times New Roman" panose="02020603050405020304" pitchFamily="18" charset="0"/>
          </a:endParaRPr>
        </a:p>
      </dgm:t>
    </dgm:pt>
    <dgm:pt modelId="{AAD7EA09-743F-480D-AB93-50AC5BB0FEBB}">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Económico </a:t>
          </a:r>
          <a:r>
            <a:rPr lang="es-AR" sz="1100" i="1">
              <a:latin typeface="Times New Roman" panose="02020603050405020304" pitchFamily="18" charset="0"/>
              <a:cs typeface="Times New Roman" panose="02020603050405020304" pitchFamily="18" charset="0"/>
            </a:rPr>
            <a:t>Contexto inflacionario, con alta presión impositiva y necesidad de eficiencia logística. El comercio exterior es clave para el ingreso de divisas y se espera crecimiento en el sector agroindustrial, energético y tecnológico.</a:t>
          </a:r>
          <a:endParaRPr lang="es-MX" sz="1200" i="1">
            <a:latin typeface="Times New Roman" panose="02020603050405020304" pitchFamily="18" charset="0"/>
            <a:cs typeface="Times New Roman" panose="02020603050405020304" pitchFamily="18" charset="0"/>
          </a:endParaRPr>
        </a:p>
      </dgm:t>
    </dgm:pt>
    <dgm:pt modelId="{FD92827B-6596-440D-9FF3-DDB3EA08E46D}" type="parTrans" cxnId="{613F9EAE-7333-4FE5-93B9-666ED88B044C}">
      <dgm:prSet/>
      <dgm:spPr/>
      <dgm:t>
        <a:bodyPr/>
        <a:lstStyle/>
        <a:p>
          <a:endParaRPr lang="es-MX" sz="1050">
            <a:latin typeface="Times New Roman" panose="02020603050405020304" pitchFamily="18" charset="0"/>
            <a:cs typeface="Times New Roman" panose="02020603050405020304" pitchFamily="18" charset="0"/>
          </a:endParaRPr>
        </a:p>
      </dgm:t>
    </dgm:pt>
    <dgm:pt modelId="{D299F538-B60F-4FCE-9B5E-FF8C865C1D2A}" type="sibTrans" cxnId="{613F9EAE-7333-4FE5-93B9-666ED88B044C}">
      <dgm:prSet/>
      <dgm:spPr/>
      <dgm:t>
        <a:bodyPr/>
        <a:lstStyle/>
        <a:p>
          <a:endParaRPr lang="es-MX" sz="1050">
            <a:latin typeface="Times New Roman" panose="02020603050405020304" pitchFamily="18" charset="0"/>
            <a:cs typeface="Times New Roman" panose="02020603050405020304" pitchFamily="18" charset="0"/>
          </a:endParaRPr>
        </a:p>
      </dgm:t>
    </dgm:pt>
    <dgm:pt modelId="{6EC0F9BA-62DC-4A51-A6C6-B9731749683E}">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Social </a:t>
          </a:r>
          <a:r>
            <a:rPr lang="es-AR" sz="1100" i="1">
              <a:latin typeface="Times New Roman" panose="02020603050405020304" pitchFamily="18" charset="0"/>
              <a:cs typeface="Times New Roman" panose="02020603050405020304" pitchFamily="18" charset="0"/>
            </a:rPr>
            <a:t>Mayor exigencia de trazabilidad y transparenciaValorización de operadores que brinden soluciones completas, especialmente por parte de multinacionales.</a:t>
          </a:r>
          <a:endParaRPr lang="es-MX" sz="1100" i="1">
            <a:latin typeface="Times New Roman" panose="02020603050405020304" pitchFamily="18" charset="0"/>
            <a:cs typeface="Times New Roman" panose="02020603050405020304" pitchFamily="18" charset="0"/>
          </a:endParaRPr>
        </a:p>
      </dgm:t>
    </dgm:pt>
    <dgm:pt modelId="{9E05186A-81F4-40E2-9882-4E2BB39A3632}" type="parTrans" cxnId="{D3B0BA4A-48FA-418A-AA4F-8344AAC30761}">
      <dgm:prSet/>
      <dgm:spPr/>
      <dgm:t>
        <a:bodyPr/>
        <a:lstStyle/>
        <a:p>
          <a:endParaRPr lang="es-MX" sz="1050">
            <a:latin typeface="Times New Roman" panose="02020603050405020304" pitchFamily="18" charset="0"/>
            <a:cs typeface="Times New Roman" panose="02020603050405020304" pitchFamily="18" charset="0"/>
          </a:endParaRPr>
        </a:p>
      </dgm:t>
    </dgm:pt>
    <dgm:pt modelId="{CCA00167-3F52-4814-926D-1858A8C2FBEE}" type="sibTrans" cxnId="{D3B0BA4A-48FA-418A-AA4F-8344AAC30761}">
      <dgm:prSet/>
      <dgm:spPr/>
      <dgm:t>
        <a:bodyPr/>
        <a:lstStyle/>
        <a:p>
          <a:endParaRPr lang="es-MX" sz="1050">
            <a:latin typeface="Times New Roman" panose="02020603050405020304" pitchFamily="18" charset="0"/>
            <a:cs typeface="Times New Roman" panose="02020603050405020304" pitchFamily="18" charset="0"/>
          </a:endParaRPr>
        </a:p>
      </dgm:t>
    </dgm:pt>
    <dgm:pt modelId="{7096C6E9-64D1-48BF-B198-DBFE51E893CB}">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Tecnológico </a:t>
          </a:r>
          <a:r>
            <a:rPr lang="es-AR" sz="1100" i="1">
              <a:latin typeface="Times New Roman" panose="02020603050405020304" pitchFamily="18" charset="0"/>
              <a:cs typeface="Times New Roman" panose="02020603050405020304" pitchFamily="18" charset="0"/>
            </a:rPr>
            <a:t>Fuerte avance de herramientas WMS, TMS, visibilidad online y automatización. La DGA exige trazabilidad electrónica en depósitos fiscales.</a:t>
          </a:r>
          <a:endParaRPr lang="es-MX" sz="1100" i="1">
            <a:latin typeface="Times New Roman" panose="02020603050405020304" pitchFamily="18" charset="0"/>
            <a:cs typeface="Times New Roman" panose="02020603050405020304" pitchFamily="18" charset="0"/>
          </a:endParaRPr>
        </a:p>
      </dgm:t>
    </dgm:pt>
    <dgm:pt modelId="{27BD4C94-2E24-4537-A515-46430300499A}" type="parTrans" cxnId="{0220B75C-150E-442D-8EDE-07815C88F1F9}">
      <dgm:prSet/>
      <dgm:spPr/>
      <dgm:t>
        <a:bodyPr/>
        <a:lstStyle/>
        <a:p>
          <a:endParaRPr lang="es-MX" sz="1050">
            <a:latin typeface="Times New Roman" panose="02020603050405020304" pitchFamily="18" charset="0"/>
            <a:cs typeface="Times New Roman" panose="02020603050405020304" pitchFamily="18" charset="0"/>
          </a:endParaRPr>
        </a:p>
      </dgm:t>
    </dgm:pt>
    <dgm:pt modelId="{C7744A92-C13C-44B8-9A08-0DD0712D22C0}" type="sibTrans" cxnId="{0220B75C-150E-442D-8EDE-07815C88F1F9}">
      <dgm:prSet/>
      <dgm:spPr/>
      <dgm:t>
        <a:bodyPr/>
        <a:lstStyle/>
        <a:p>
          <a:endParaRPr lang="es-MX" sz="1050">
            <a:latin typeface="Times New Roman" panose="02020603050405020304" pitchFamily="18" charset="0"/>
            <a:cs typeface="Times New Roman" panose="02020603050405020304" pitchFamily="18" charset="0"/>
          </a:endParaRPr>
        </a:p>
      </dgm:t>
    </dgm:pt>
    <dgm:pt modelId="{ADCD837C-C346-48DC-9DC7-3058E3212C45}">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Ecológico </a:t>
          </a:r>
          <a:r>
            <a:rPr lang="es-AR" sz="1100" i="1">
              <a:latin typeface="Times New Roman" panose="02020603050405020304" pitchFamily="18" charset="0"/>
              <a:cs typeface="Times New Roman" panose="02020603050405020304" pitchFamily="18" charset="0"/>
            </a:rPr>
            <a:t>Aumento de controles ambientales. Los depósitos deben cumplir normas de seguridad e higiene ambiental.</a:t>
          </a:r>
          <a:endParaRPr lang="es-MX" sz="1200" i="1">
            <a:latin typeface="Times New Roman" panose="02020603050405020304" pitchFamily="18" charset="0"/>
            <a:cs typeface="Times New Roman" panose="02020603050405020304" pitchFamily="18" charset="0"/>
          </a:endParaRPr>
        </a:p>
      </dgm:t>
    </dgm:pt>
    <dgm:pt modelId="{275A0FDD-873E-4B02-B77F-E8F87D27CC6A}" type="parTrans" cxnId="{3B572777-DEBA-4F73-954C-78C914F5605E}">
      <dgm:prSet/>
      <dgm:spPr/>
      <dgm:t>
        <a:bodyPr/>
        <a:lstStyle/>
        <a:p>
          <a:endParaRPr lang="es-MX" sz="1050">
            <a:latin typeface="Times New Roman" panose="02020603050405020304" pitchFamily="18" charset="0"/>
            <a:cs typeface="Times New Roman" panose="02020603050405020304" pitchFamily="18" charset="0"/>
          </a:endParaRPr>
        </a:p>
      </dgm:t>
    </dgm:pt>
    <dgm:pt modelId="{41E828F6-B333-4D0E-A6F0-5920853CCEF4}" type="sibTrans" cxnId="{3B572777-DEBA-4F73-954C-78C914F5605E}">
      <dgm:prSet/>
      <dgm:spPr/>
      <dgm:t>
        <a:bodyPr/>
        <a:lstStyle/>
        <a:p>
          <a:endParaRPr lang="es-MX" sz="1050">
            <a:latin typeface="Times New Roman" panose="02020603050405020304" pitchFamily="18" charset="0"/>
            <a:cs typeface="Times New Roman" panose="02020603050405020304" pitchFamily="18" charset="0"/>
          </a:endParaRPr>
        </a:p>
      </dgm:t>
    </dgm:pt>
    <dgm:pt modelId="{EB85E375-50B4-4023-8E86-EAE89BA36E38}">
      <dgm:prSet phldrT="[Texto]" custT="1"/>
      <dgm:spPr/>
      <dgm:t>
        <a:bodyPr lIns="36000" tIns="36000" rIns="36000" bIns="36000"/>
        <a:lstStyle/>
        <a:p>
          <a:pPr algn="l"/>
          <a:r>
            <a:rPr lang="es-AR" sz="1200" b="1">
              <a:latin typeface="Times New Roman" panose="02020603050405020304" pitchFamily="18" charset="0"/>
              <a:cs typeface="Times New Roman" panose="02020603050405020304" pitchFamily="18" charset="0"/>
            </a:rPr>
            <a:t>Legal </a:t>
          </a:r>
          <a:r>
            <a:rPr lang="es-AR" sz="1100" i="1">
              <a:latin typeface="Times New Roman" panose="02020603050405020304" pitchFamily="18" charset="0"/>
              <a:cs typeface="Times New Roman" panose="02020603050405020304" pitchFamily="18" charset="0"/>
            </a:rPr>
            <a:t>La normativa aduanera impone exigencias estrictas, pero recientes reformas promueven inversiones logísticas y eficiencia tributaria.</a:t>
          </a:r>
          <a:endParaRPr lang="es-MX" sz="1200" i="1">
            <a:latin typeface="Times New Roman" panose="02020603050405020304" pitchFamily="18" charset="0"/>
            <a:cs typeface="Times New Roman" panose="02020603050405020304" pitchFamily="18" charset="0"/>
          </a:endParaRPr>
        </a:p>
      </dgm:t>
    </dgm:pt>
    <dgm:pt modelId="{E658C037-89F1-4F16-964D-EAC4E40A8189}" type="parTrans" cxnId="{7173EB73-CE7E-4A7C-8326-55C39D577FE5}">
      <dgm:prSet/>
      <dgm:spPr/>
      <dgm:t>
        <a:bodyPr/>
        <a:lstStyle/>
        <a:p>
          <a:endParaRPr lang="es-MX" sz="1050">
            <a:latin typeface="Times New Roman" panose="02020603050405020304" pitchFamily="18" charset="0"/>
            <a:cs typeface="Times New Roman" panose="02020603050405020304" pitchFamily="18" charset="0"/>
          </a:endParaRPr>
        </a:p>
      </dgm:t>
    </dgm:pt>
    <dgm:pt modelId="{6053155E-B7CA-41E2-9819-930AE314E021}" type="sibTrans" cxnId="{7173EB73-CE7E-4A7C-8326-55C39D577FE5}">
      <dgm:prSet/>
      <dgm:spPr/>
      <dgm:t>
        <a:bodyPr/>
        <a:lstStyle/>
        <a:p>
          <a:endParaRPr lang="es-MX" sz="1050">
            <a:latin typeface="Times New Roman" panose="02020603050405020304" pitchFamily="18" charset="0"/>
            <a:cs typeface="Times New Roman" panose="02020603050405020304" pitchFamily="18" charset="0"/>
          </a:endParaRPr>
        </a:p>
      </dgm:t>
    </dgm:pt>
    <dgm:pt modelId="{BF80D055-80A3-4208-AC64-EED01EDE481C}" type="pres">
      <dgm:prSet presAssocID="{C29C3885-97B3-4809-AC2A-EC651EE22074}" presName="Name0" presStyleCnt="0">
        <dgm:presLayoutVars>
          <dgm:dir/>
          <dgm:animLvl val="lvl"/>
          <dgm:resizeHandles val="exact"/>
        </dgm:presLayoutVars>
      </dgm:prSet>
      <dgm:spPr/>
    </dgm:pt>
    <dgm:pt modelId="{1DEA1384-FDC3-46AD-8E35-56A6218BBBD6}" type="pres">
      <dgm:prSet presAssocID="{265F3555-09BA-4E4C-88A2-A7A050C51E5F}" presName="linNode" presStyleCnt="0"/>
      <dgm:spPr/>
    </dgm:pt>
    <dgm:pt modelId="{BF53EBF5-0616-48AC-AD22-49F9CA9A03A2}" type="pres">
      <dgm:prSet presAssocID="{265F3555-09BA-4E4C-88A2-A7A050C51E5F}" presName="parentText" presStyleLbl="node1" presStyleIdx="0" presStyleCnt="6" custScaleX="40818">
        <dgm:presLayoutVars>
          <dgm:chMax val="1"/>
          <dgm:bulletEnabled val="1"/>
        </dgm:presLayoutVars>
      </dgm:prSet>
      <dgm:spPr/>
      <dgm:t>
        <a:bodyPr/>
        <a:lstStyle/>
        <a:p>
          <a:endParaRPr lang="es-AR"/>
        </a:p>
      </dgm:t>
    </dgm:pt>
    <dgm:pt modelId="{DECAF252-A581-4350-B4C4-782B3D4E6FE6}" type="pres">
      <dgm:prSet presAssocID="{265F3555-09BA-4E4C-88A2-A7A050C51E5F}" presName="descendantText" presStyleLbl="alignAccFollowNode1" presStyleIdx="0" presStyleCnt="6" custScaleX="130453" custScaleY="107087">
        <dgm:presLayoutVars>
          <dgm:bulletEnabled val="1"/>
        </dgm:presLayoutVars>
      </dgm:prSet>
      <dgm:spPr/>
      <dgm:t>
        <a:bodyPr/>
        <a:lstStyle/>
        <a:p>
          <a:endParaRPr lang="es-AR"/>
        </a:p>
      </dgm:t>
    </dgm:pt>
    <dgm:pt modelId="{B2BC4EAC-259A-4A25-AACD-547C833DE77C}" type="pres">
      <dgm:prSet presAssocID="{73A970FC-6085-4113-B729-06CB37C5BBD6}" presName="sp" presStyleCnt="0"/>
      <dgm:spPr/>
    </dgm:pt>
    <dgm:pt modelId="{8A9E6C1C-A1A1-452E-835A-A45FA9CEE6C3}" type="pres">
      <dgm:prSet presAssocID="{110C3F35-E1DF-4C88-B090-F34D01015AE0}" presName="linNode" presStyleCnt="0"/>
      <dgm:spPr/>
    </dgm:pt>
    <dgm:pt modelId="{783078DD-45B8-4B7B-9FC3-7B6C501C67E0}" type="pres">
      <dgm:prSet presAssocID="{110C3F35-E1DF-4C88-B090-F34D01015AE0}" presName="parentText" presStyleLbl="node1" presStyleIdx="1" presStyleCnt="6" custScaleX="40818">
        <dgm:presLayoutVars>
          <dgm:chMax val="1"/>
          <dgm:bulletEnabled val="1"/>
        </dgm:presLayoutVars>
      </dgm:prSet>
      <dgm:spPr/>
      <dgm:t>
        <a:bodyPr/>
        <a:lstStyle/>
        <a:p>
          <a:endParaRPr lang="es-AR"/>
        </a:p>
      </dgm:t>
    </dgm:pt>
    <dgm:pt modelId="{4BCDEE63-DCA1-4572-80F4-FB7F044543F8}" type="pres">
      <dgm:prSet presAssocID="{110C3F35-E1DF-4C88-B090-F34D01015AE0}" presName="descendantText" presStyleLbl="alignAccFollowNode1" presStyleIdx="1" presStyleCnt="6" custScaleX="130453" custScaleY="107087">
        <dgm:presLayoutVars>
          <dgm:bulletEnabled val="1"/>
        </dgm:presLayoutVars>
      </dgm:prSet>
      <dgm:spPr/>
      <dgm:t>
        <a:bodyPr/>
        <a:lstStyle/>
        <a:p>
          <a:endParaRPr lang="es-AR"/>
        </a:p>
      </dgm:t>
    </dgm:pt>
    <dgm:pt modelId="{15FD770A-AC3B-4074-B725-1087BE2F4A0C}" type="pres">
      <dgm:prSet presAssocID="{E1E9CBA9-B295-485C-8E38-6073F7C0803B}" presName="sp" presStyleCnt="0"/>
      <dgm:spPr/>
    </dgm:pt>
    <dgm:pt modelId="{AE7CE653-05D8-4A3C-A4B6-09B2402B2C5C}" type="pres">
      <dgm:prSet presAssocID="{1AC70BC8-AA48-486D-A835-FA724A8C24FC}" presName="linNode" presStyleCnt="0"/>
      <dgm:spPr/>
    </dgm:pt>
    <dgm:pt modelId="{FC830698-419C-4A4C-A58E-FCA0A0B3F792}" type="pres">
      <dgm:prSet presAssocID="{1AC70BC8-AA48-486D-A835-FA724A8C24FC}" presName="parentText" presStyleLbl="node1" presStyleIdx="2" presStyleCnt="6" custScaleX="40818">
        <dgm:presLayoutVars>
          <dgm:chMax val="1"/>
          <dgm:bulletEnabled val="1"/>
        </dgm:presLayoutVars>
      </dgm:prSet>
      <dgm:spPr/>
      <dgm:t>
        <a:bodyPr/>
        <a:lstStyle/>
        <a:p>
          <a:endParaRPr lang="es-AR"/>
        </a:p>
      </dgm:t>
    </dgm:pt>
    <dgm:pt modelId="{18B7E46A-72F8-4BD5-9994-596B85119A11}" type="pres">
      <dgm:prSet presAssocID="{1AC70BC8-AA48-486D-A835-FA724A8C24FC}" presName="descendantText" presStyleLbl="alignAccFollowNode1" presStyleIdx="2" presStyleCnt="6" custScaleX="130453" custScaleY="107087">
        <dgm:presLayoutVars>
          <dgm:bulletEnabled val="1"/>
        </dgm:presLayoutVars>
      </dgm:prSet>
      <dgm:spPr/>
      <dgm:t>
        <a:bodyPr/>
        <a:lstStyle/>
        <a:p>
          <a:endParaRPr lang="es-AR"/>
        </a:p>
      </dgm:t>
    </dgm:pt>
    <dgm:pt modelId="{3F6BF88A-F3E5-4797-BFEB-31254E4EDC28}" type="pres">
      <dgm:prSet presAssocID="{EABE31D8-4FFD-4404-B15A-0F4E146F21FE}" presName="sp" presStyleCnt="0"/>
      <dgm:spPr/>
    </dgm:pt>
    <dgm:pt modelId="{958EBFF3-DF9E-4087-9201-4C28B7F8E5E8}" type="pres">
      <dgm:prSet presAssocID="{002466BE-6684-4A4D-9D87-95673E1C4593}" presName="linNode" presStyleCnt="0"/>
      <dgm:spPr/>
    </dgm:pt>
    <dgm:pt modelId="{0A19962A-7EB2-4726-8CCD-5D098E6D3BA7}" type="pres">
      <dgm:prSet presAssocID="{002466BE-6684-4A4D-9D87-95673E1C4593}" presName="parentText" presStyleLbl="node1" presStyleIdx="3" presStyleCnt="6" custScaleX="40818">
        <dgm:presLayoutVars>
          <dgm:chMax val="1"/>
          <dgm:bulletEnabled val="1"/>
        </dgm:presLayoutVars>
      </dgm:prSet>
      <dgm:spPr/>
      <dgm:t>
        <a:bodyPr/>
        <a:lstStyle/>
        <a:p>
          <a:endParaRPr lang="es-AR"/>
        </a:p>
      </dgm:t>
    </dgm:pt>
    <dgm:pt modelId="{A174203C-1E4D-485F-8F27-DE585451A115}" type="pres">
      <dgm:prSet presAssocID="{002466BE-6684-4A4D-9D87-95673E1C4593}" presName="descendantText" presStyleLbl="alignAccFollowNode1" presStyleIdx="3" presStyleCnt="6" custScaleX="130453" custScaleY="107087">
        <dgm:presLayoutVars>
          <dgm:bulletEnabled val="1"/>
        </dgm:presLayoutVars>
      </dgm:prSet>
      <dgm:spPr/>
      <dgm:t>
        <a:bodyPr/>
        <a:lstStyle/>
        <a:p>
          <a:endParaRPr lang="es-AR"/>
        </a:p>
      </dgm:t>
    </dgm:pt>
    <dgm:pt modelId="{87B11F81-B2D6-4AF6-820B-CB40449A7E4E}" type="pres">
      <dgm:prSet presAssocID="{BFC10B33-E3C6-4A93-9426-6AC7311E05CD}" presName="sp" presStyleCnt="0"/>
      <dgm:spPr/>
    </dgm:pt>
    <dgm:pt modelId="{B3FFD11D-D19B-4C07-BD9E-2144EB26472B}" type="pres">
      <dgm:prSet presAssocID="{F27C5888-B749-4128-BC56-98618AC1B06B}" presName="linNode" presStyleCnt="0"/>
      <dgm:spPr/>
    </dgm:pt>
    <dgm:pt modelId="{C68ABA88-5A3E-4E92-A48F-2F28DA1EFFB3}" type="pres">
      <dgm:prSet presAssocID="{F27C5888-B749-4128-BC56-98618AC1B06B}" presName="parentText" presStyleLbl="node1" presStyleIdx="4" presStyleCnt="6" custScaleX="40818">
        <dgm:presLayoutVars>
          <dgm:chMax val="1"/>
          <dgm:bulletEnabled val="1"/>
        </dgm:presLayoutVars>
      </dgm:prSet>
      <dgm:spPr/>
      <dgm:t>
        <a:bodyPr/>
        <a:lstStyle/>
        <a:p>
          <a:endParaRPr lang="es-AR"/>
        </a:p>
      </dgm:t>
    </dgm:pt>
    <dgm:pt modelId="{5522934E-1DAA-4CB2-98D9-7EAC00FB4054}" type="pres">
      <dgm:prSet presAssocID="{F27C5888-B749-4128-BC56-98618AC1B06B}" presName="descendantText" presStyleLbl="alignAccFollowNode1" presStyleIdx="4" presStyleCnt="6" custScaleX="130453" custScaleY="107087">
        <dgm:presLayoutVars>
          <dgm:bulletEnabled val="1"/>
        </dgm:presLayoutVars>
      </dgm:prSet>
      <dgm:spPr/>
      <dgm:t>
        <a:bodyPr/>
        <a:lstStyle/>
        <a:p>
          <a:endParaRPr lang="es-AR"/>
        </a:p>
      </dgm:t>
    </dgm:pt>
    <dgm:pt modelId="{E0F33676-5DED-4EFF-8E97-A9EF961BD9E0}" type="pres">
      <dgm:prSet presAssocID="{B273D382-E257-4136-8D70-873D3E9C1DEE}" presName="sp" presStyleCnt="0"/>
      <dgm:spPr/>
    </dgm:pt>
    <dgm:pt modelId="{E63A17F5-2E28-4405-9E24-18A5ABC63034}" type="pres">
      <dgm:prSet presAssocID="{579A3C17-295D-43D9-974B-B3E07F450BCA}" presName="linNode" presStyleCnt="0"/>
      <dgm:spPr/>
    </dgm:pt>
    <dgm:pt modelId="{E45B8633-D4F4-43D6-A307-962EECA87831}" type="pres">
      <dgm:prSet presAssocID="{579A3C17-295D-43D9-974B-B3E07F450BCA}" presName="parentText" presStyleLbl="node1" presStyleIdx="5" presStyleCnt="6" custScaleX="40818">
        <dgm:presLayoutVars>
          <dgm:chMax val="1"/>
          <dgm:bulletEnabled val="1"/>
        </dgm:presLayoutVars>
      </dgm:prSet>
      <dgm:spPr/>
      <dgm:t>
        <a:bodyPr/>
        <a:lstStyle/>
        <a:p>
          <a:endParaRPr lang="es-AR"/>
        </a:p>
      </dgm:t>
    </dgm:pt>
    <dgm:pt modelId="{D5A95715-EEDD-4273-A46F-DE926017E200}" type="pres">
      <dgm:prSet presAssocID="{579A3C17-295D-43D9-974B-B3E07F450BCA}" presName="descendantText" presStyleLbl="alignAccFollowNode1" presStyleIdx="5" presStyleCnt="6" custScaleX="130453" custScaleY="107087">
        <dgm:presLayoutVars>
          <dgm:bulletEnabled val="1"/>
        </dgm:presLayoutVars>
      </dgm:prSet>
      <dgm:spPr/>
      <dgm:t>
        <a:bodyPr/>
        <a:lstStyle/>
        <a:p>
          <a:endParaRPr lang="es-AR"/>
        </a:p>
      </dgm:t>
    </dgm:pt>
  </dgm:ptLst>
  <dgm:cxnLst>
    <dgm:cxn modelId="{613F9EAE-7333-4FE5-93B9-666ED88B044C}" srcId="{110C3F35-E1DF-4C88-B090-F34D01015AE0}" destId="{AAD7EA09-743F-480D-AB93-50AC5BB0FEBB}" srcOrd="0" destOrd="0" parTransId="{FD92827B-6596-440D-9FF3-DDB3EA08E46D}" sibTransId="{D299F538-B60F-4FCE-9B5E-FF8C865C1D2A}"/>
    <dgm:cxn modelId="{59B9BEAE-8E27-463B-A7AE-D67497BBF35C}" type="presOf" srcId="{EB85E375-50B4-4023-8E86-EAE89BA36E38}" destId="{D5A95715-EEDD-4273-A46F-DE926017E200}" srcOrd="0" destOrd="0" presId="urn:microsoft.com/office/officeart/2005/8/layout/vList5"/>
    <dgm:cxn modelId="{F337ECEA-9B75-46FC-A8AC-64EBDA0482F6}" srcId="{C29C3885-97B3-4809-AC2A-EC651EE22074}" destId="{265F3555-09BA-4E4C-88A2-A7A050C51E5F}" srcOrd="0" destOrd="0" parTransId="{17BD9039-4CDA-469B-88E6-0B5451F12808}" sibTransId="{73A970FC-6085-4113-B729-06CB37C5BBD6}"/>
    <dgm:cxn modelId="{18777DC3-C897-4E73-A19E-5DB647C83FF5}" type="presOf" srcId="{ADCD837C-C346-48DC-9DC7-3058E3212C45}" destId="{5522934E-1DAA-4CB2-98D9-7EAC00FB4054}" srcOrd="0" destOrd="0" presId="urn:microsoft.com/office/officeart/2005/8/layout/vList5"/>
    <dgm:cxn modelId="{DC68B446-182D-4382-A332-4992D53B6DD5}" type="presOf" srcId="{002466BE-6684-4A4D-9D87-95673E1C4593}" destId="{0A19962A-7EB2-4726-8CCD-5D098E6D3BA7}" srcOrd="0" destOrd="0" presId="urn:microsoft.com/office/officeart/2005/8/layout/vList5"/>
    <dgm:cxn modelId="{7173EB73-CE7E-4A7C-8326-55C39D577FE5}" srcId="{579A3C17-295D-43D9-974B-B3E07F450BCA}" destId="{EB85E375-50B4-4023-8E86-EAE89BA36E38}" srcOrd="0" destOrd="0" parTransId="{E658C037-89F1-4F16-964D-EAC4E40A8189}" sibTransId="{6053155E-B7CA-41E2-9819-930AE314E021}"/>
    <dgm:cxn modelId="{0220B75C-150E-442D-8EDE-07815C88F1F9}" srcId="{002466BE-6684-4A4D-9D87-95673E1C4593}" destId="{7096C6E9-64D1-48BF-B198-DBFE51E893CB}" srcOrd="0" destOrd="0" parTransId="{27BD4C94-2E24-4537-A515-46430300499A}" sibTransId="{C7744A92-C13C-44B8-9A08-0DD0712D22C0}"/>
    <dgm:cxn modelId="{87F6E38D-6805-4734-B46C-1DFD2F509680}" type="presOf" srcId="{1AC70BC8-AA48-486D-A835-FA724A8C24FC}" destId="{FC830698-419C-4A4C-A58E-FCA0A0B3F792}" srcOrd="0" destOrd="0" presId="urn:microsoft.com/office/officeart/2005/8/layout/vList5"/>
    <dgm:cxn modelId="{3B572777-DEBA-4F73-954C-78C914F5605E}" srcId="{F27C5888-B749-4128-BC56-98618AC1B06B}" destId="{ADCD837C-C346-48DC-9DC7-3058E3212C45}" srcOrd="0" destOrd="0" parTransId="{275A0FDD-873E-4B02-B77F-E8F87D27CC6A}" sibTransId="{41E828F6-B333-4D0E-A6F0-5920853CCEF4}"/>
    <dgm:cxn modelId="{D55118A2-AB8C-4D46-B024-64B769A4DBF3}" type="presOf" srcId="{7096C6E9-64D1-48BF-B198-DBFE51E893CB}" destId="{A174203C-1E4D-485F-8F27-DE585451A115}" srcOrd="0" destOrd="0" presId="urn:microsoft.com/office/officeart/2005/8/layout/vList5"/>
    <dgm:cxn modelId="{CBD81837-35CC-4A7F-8031-B0F4E668B19F}" srcId="{C29C3885-97B3-4809-AC2A-EC651EE22074}" destId="{110C3F35-E1DF-4C88-B090-F34D01015AE0}" srcOrd="1" destOrd="0" parTransId="{3A6C6688-F94F-48B8-9F29-BDFB75F3B794}" sibTransId="{E1E9CBA9-B295-485C-8E38-6073F7C0803B}"/>
    <dgm:cxn modelId="{70BCF4DA-FE1F-469F-8669-2E211220C83B}" srcId="{C29C3885-97B3-4809-AC2A-EC651EE22074}" destId="{1AC70BC8-AA48-486D-A835-FA724A8C24FC}" srcOrd="2" destOrd="0" parTransId="{8DAA0222-5406-402B-BFC6-16E1149DE640}" sibTransId="{EABE31D8-4FFD-4404-B15A-0F4E146F21FE}"/>
    <dgm:cxn modelId="{6AB855F9-52A1-46DF-9F23-64C8EE52E8F4}" srcId="{C29C3885-97B3-4809-AC2A-EC651EE22074}" destId="{579A3C17-295D-43D9-974B-B3E07F450BCA}" srcOrd="5" destOrd="0" parTransId="{F16B5A77-65F8-42A6-BDEC-7184EF5D20B1}" sibTransId="{041870FE-33C6-4E7F-93BC-F346756449A2}"/>
    <dgm:cxn modelId="{C581750B-4938-4AE8-995B-D0C41B4FFD9D}" type="presOf" srcId="{AAD7EA09-743F-480D-AB93-50AC5BB0FEBB}" destId="{4BCDEE63-DCA1-4572-80F4-FB7F044543F8}" srcOrd="0" destOrd="0" presId="urn:microsoft.com/office/officeart/2005/8/layout/vList5"/>
    <dgm:cxn modelId="{D3B0BA4A-48FA-418A-AA4F-8344AAC30761}" srcId="{1AC70BC8-AA48-486D-A835-FA724A8C24FC}" destId="{6EC0F9BA-62DC-4A51-A6C6-B9731749683E}" srcOrd="0" destOrd="0" parTransId="{9E05186A-81F4-40E2-9882-4E2BB39A3632}" sibTransId="{CCA00167-3F52-4814-926D-1858A8C2FBEE}"/>
    <dgm:cxn modelId="{4894A4E6-3636-4185-B6DA-D493E755194C}" type="presOf" srcId="{6EC0F9BA-62DC-4A51-A6C6-B9731749683E}" destId="{18B7E46A-72F8-4BD5-9994-596B85119A11}" srcOrd="0" destOrd="0" presId="urn:microsoft.com/office/officeart/2005/8/layout/vList5"/>
    <dgm:cxn modelId="{C4CF6EE2-DA8B-456E-B00E-F0A1D5B8AFCF}" srcId="{265F3555-09BA-4E4C-88A2-A7A050C51E5F}" destId="{06CEAA5B-B685-41ED-9B33-C6D4A2FC66B4}" srcOrd="0" destOrd="0" parTransId="{BE4F7133-FB69-4A69-B4E2-68898F4499E6}" sibTransId="{F1049842-D934-4AB8-B4C6-C664EA7D595A}"/>
    <dgm:cxn modelId="{B5BAC99D-A5F1-41FE-8EE4-84C5D31F07EA}" srcId="{C29C3885-97B3-4809-AC2A-EC651EE22074}" destId="{F27C5888-B749-4128-BC56-98618AC1B06B}" srcOrd="4" destOrd="0" parTransId="{81441D18-946F-4860-BD4D-07019D0F4A42}" sibTransId="{B273D382-E257-4136-8D70-873D3E9C1DEE}"/>
    <dgm:cxn modelId="{1D00FD3D-8CF1-4D92-A80D-11A97D8F5E78}" type="presOf" srcId="{265F3555-09BA-4E4C-88A2-A7A050C51E5F}" destId="{BF53EBF5-0616-48AC-AD22-49F9CA9A03A2}" srcOrd="0" destOrd="0" presId="urn:microsoft.com/office/officeart/2005/8/layout/vList5"/>
    <dgm:cxn modelId="{FAC02590-91C0-416C-B2D2-705E2E402F7A}" srcId="{C29C3885-97B3-4809-AC2A-EC651EE22074}" destId="{002466BE-6684-4A4D-9D87-95673E1C4593}" srcOrd="3" destOrd="0" parTransId="{98A06035-F5A6-4203-8682-403E01445B1B}" sibTransId="{BFC10B33-E3C6-4A93-9426-6AC7311E05CD}"/>
    <dgm:cxn modelId="{F41E95D6-2EB1-4233-A27A-FC7E1C4EE01C}" type="presOf" srcId="{110C3F35-E1DF-4C88-B090-F34D01015AE0}" destId="{783078DD-45B8-4B7B-9FC3-7B6C501C67E0}" srcOrd="0" destOrd="0" presId="urn:microsoft.com/office/officeart/2005/8/layout/vList5"/>
    <dgm:cxn modelId="{7463A61A-0165-473A-A774-42D4011A0CCE}" type="presOf" srcId="{579A3C17-295D-43D9-974B-B3E07F450BCA}" destId="{E45B8633-D4F4-43D6-A307-962EECA87831}" srcOrd="0" destOrd="0" presId="urn:microsoft.com/office/officeart/2005/8/layout/vList5"/>
    <dgm:cxn modelId="{FFC9D3A1-3D9A-4AA3-BCB2-744F0F3E6C42}" type="presOf" srcId="{F27C5888-B749-4128-BC56-98618AC1B06B}" destId="{C68ABA88-5A3E-4E92-A48F-2F28DA1EFFB3}" srcOrd="0" destOrd="0" presId="urn:microsoft.com/office/officeart/2005/8/layout/vList5"/>
    <dgm:cxn modelId="{12EA9813-6241-4BB9-8AA3-1DE044FAA321}" type="presOf" srcId="{C29C3885-97B3-4809-AC2A-EC651EE22074}" destId="{BF80D055-80A3-4208-AC64-EED01EDE481C}" srcOrd="0" destOrd="0" presId="urn:microsoft.com/office/officeart/2005/8/layout/vList5"/>
    <dgm:cxn modelId="{1EA98271-CB25-4550-AC6A-B5C3C3F9500F}" type="presOf" srcId="{06CEAA5B-B685-41ED-9B33-C6D4A2FC66B4}" destId="{DECAF252-A581-4350-B4C4-782B3D4E6FE6}" srcOrd="0" destOrd="0" presId="urn:microsoft.com/office/officeart/2005/8/layout/vList5"/>
    <dgm:cxn modelId="{B2C2242B-D5D8-43F1-BA22-6C17921E132C}" type="presParOf" srcId="{BF80D055-80A3-4208-AC64-EED01EDE481C}" destId="{1DEA1384-FDC3-46AD-8E35-56A6218BBBD6}" srcOrd="0" destOrd="0" presId="urn:microsoft.com/office/officeart/2005/8/layout/vList5"/>
    <dgm:cxn modelId="{C79CA3B2-956B-49B9-A87C-5C0203B2B16A}" type="presParOf" srcId="{1DEA1384-FDC3-46AD-8E35-56A6218BBBD6}" destId="{BF53EBF5-0616-48AC-AD22-49F9CA9A03A2}" srcOrd="0" destOrd="0" presId="urn:microsoft.com/office/officeart/2005/8/layout/vList5"/>
    <dgm:cxn modelId="{832C27A4-FCAD-465A-A98D-0C79A48C4648}" type="presParOf" srcId="{1DEA1384-FDC3-46AD-8E35-56A6218BBBD6}" destId="{DECAF252-A581-4350-B4C4-782B3D4E6FE6}" srcOrd="1" destOrd="0" presId="urn:microsoft.com/office/officeart/2005/8/layout/vList5"/>
    <dgm:cxn modelId="{48E350A3-9CE5-40A0-ADAB-C22B977EE564}" type="presParOf" srcId="{BF80D055-80A3-4208-AC64-EED01EDE481C}" destId="{B2BC4EAC-259A-4A25-AACD-547C833DE77C}" srcOrd="1" destOrd="0" presId="urn:microsoft.com/office/officeart/2005/8/layout/vList5"/>
    <dgm:cxn modelId="{C9DF7E7A-6F79-4758-9B9A-849EB09016D4}" type="presParOf" srcId="{BF80D055-80A3-4208-AC64-EED01EDE481C}" destId="{8A9E6C1C-A1A1-452E-835A-A45FA9CEE6C3}" srcOrd="2" destOrd="0" presId="urn:microsoft.com/office/officeart/2005/8/layout/vList5"/>
    <dgm:cxn modelId="{6CE68B2C-0A17-4CB4-9F34-EFCB1A54446C}" type="presParOf" srcId="{8A9E6C1C-A1A1-452E-835A-A45FA9CEE6C3}" destId="{783078DD-45B8-4B7B-9FC3-7B6C501C67E0}" srcOrd="0" destOrd="0" presId="urn:microsoft.com/office/officeart/2005/8/layout/vList5"/>
    <dgm:cxn modelId="{8677ABAA-665C-410F-B514-34F57E1C29F5}" type="presParOf" srcId="{8A9E6C1C-A1A1-452E-835A-A45FA9CEE6C3}" destId="{4BCDEE63-DCA1-4572-80F4-FB7F044543F8}" srcOrd="1" destOrd="0" presId="urn:microsoft.com/office/officeart/2005/8/layout/vList5"/>
    <dgm:cxn modelId="{A73C7E09-91EC-4A76-9D43-7E5DA38C8F8C}" type="presParOf" srcId="{BF80D055-80A3-4208-AC64-EED01EDE481C}" destId="{15FD770A-AC3B-4074-B725-1087BE2F4A0C}" srcOrd="3" destOrd="0" presId="urn:microsoft.com/office/officeart/2005/8/layout/vList5"/>
    <dgm:cxn modelId="{67FCAF94-6653-46C2-9E0C-01049A4E81C7}" type="presParOf" srcId="{BF80D055-80A3-4208-AC64-EED01EDE481C}" destId="{AE7CE653-05D8-4A3C-A4B6-09B2402B2C5C}" srcOrd="4" destOrd="0" presId="urn:microsoft.com/office/officeart/2005/8/layout/vList5"/>
    <dgm:cxn modelId="{8F0CEB50-27D3-4931-B136-77AE6478E1A3}" type="presParOf" srcId="{AE7CE653-05D8-4A3C-A4B6-09B2402B2C5C}" destId="{FC830698-419C-4A4C-A58E-FCA0A0B3F792}" srcOrd="0" destOrd="0" presId="urn:microsoft.com/office/officeart/2005/8/layout/vList5"/>
    <dgm:cxn modelId="{1636AC21-3086-4CDD-BF01-58088D7AB23A}" type="presParOf" srcId="{AE7CE653-05D8-4A3C-A4B6-09B2402B2C5C}" destId="{18B7E46A-72F8-4BD5-9994-596B85119A11}" srcOrd="1" destOrd="0" presId="urn:microsoft.com/office/officeart/2005/8/layout/vList5"/>
    <dgm:cxn modelId="{63744829-6A8F-48BA-9028-8852C6F02F43}" type="presParOf" srcId="{BF80D055-80A3-4208-AC64-EED01EDE481C}" destId="{3F6BF88A-F3E5-4797-BFEB-31254E4EDC28}" srcOrd="5" destOrd="0" presId="urn:microsoft.com/office/officeart/2005/8/layout/vList5"/>
    <dgm:cxn modelId="{38B2F377-6676-4C76-9852-C0422EB7ED9C}" type="presParOf" srcId="{BF80D055-80A3-4208-AC64-EED01EDE481C}" destId="{958EBFF3-DF9E-4087-9201-4C28B7F8E5E8}" srcOrd="6" destOrd="0" presId="urn:microsoft.com/office/officeart/2005/8/layout/vList5"/>
    <dgm:cxn modelId="{BDFE12FE-B29F-4B5B-8174-CEF3CC843937}" type="presParOf" srcId="{958EBFF3-DF9E-4087-9201-4C28B7F8E5E8}" destId="{0A19962A-7EB2-4726-8CCD-5D098E6D3BA7}" srcOrd="0" destOrd="0" presId="urn:microsoft.com/office/officeart/2005/8/layout/vList5"/>
    <dgm:cxn modelId="{AB070F70-DF1D-4EEB-9EEA-44CA2429EFE0}" type="presParOf" srcId="{958EBFF3-DF9E-4087-9201-4C28B7F8E5E8}" destId="{A174203C-1E4D-485F-8F27-DE585451A115}" srcOrd="1" destOrd="0" presId="urn:microsoft.com/office/officeart/2005/8/layout/vList5"/>
    <dgm:cxn modelId="{AB91F5FD-B8E3-4BC7-963B-5B1EA17EAB89}" type="presParOf" srcId="{BF80D055-80A3-4208-AC64-EED01EDE481C}" destId="{87B11F81-B2D6-4AF6-820B-CB40449A7E4E}" srcOrd="7" destOrd="0" presId="urn:microsoft.com/office/officeart/2005/8/layout/vList5"/>
    <dgm:cxn modelId="{B217FFC8-8D04-493F-8D72-C2D70C2659D9}" type="presParOf" srcId="{BF80D055-80A3-4208-AC64-EED01EDE481C}" destId="{B3FFD11D-D19B-4C07-BD9E-2144EB26472B}" srcOrd="8" destOrd="0" presId="urn:microsoft.com/office/officeart/2005/8/layout/vList5"/>
    <dgm:cxn modelId="{6FAD314A-B251-408C-B4AE-A4A48D15D8BB}" type="presParOf" srcId="{B3FFD11D-D19B-4C07-BD9E-2144EB26472B}" destId="{C68ABA88-5A3E-4E92-A48F-2F28DA1EFFB3}" srcOrd="0" destOrd="0" presId="urn:microsoft.com/office/officeart/2005/8/layout/vList5"/>
    <dgm:cxn modelId="{DD832813-DB7C-4E23-86E7-9EFAF6FFD4BB}" type="presParOf" srcId="{B3FFD11D-D19B-4C07-BD9E-2144EB26472B}" destId="{5522934E-1DAA-4CB2-98D9-7EAC00FB4054}" srcOrd="1" destOrd="0" presId="urn:microsoft.com/office/officeart/2005/8/layout/vList5"/>
    <dgm:cxn modelId="{CC1F2B30-A98C-4589-9B83-715822404B8B}" type="presParOf" srcId="{BF80D055-80A3-4208-AC64-EED01EDE481C}" destId="{E0F33676-5DED-4EFF-8E97-A9EF961BD9E0}" srcOrd="9" destOrd="0" presId="urn:microsoft.com/office/officeart/2005/8/layout/vList5"/>
    <dgm:cxn modelId="{C650B777-7100-42E2-A716-0223C6143B91}" type="presParOf" srcId="{BF80D055-80A3-4208-AC64-EED01EDE481C}" destId="{E63A17F5-2E28-4405-9E24-18A5ABC63034}" srcOrd="10" destOrd="0" presId="urn:microsoft.com/office/officeart/2005/8/layout/vList5"/>
    <dgm:cxn modelId="{1982E856-320A-4BAF-878B-D8F9865C780C}" type="presParOf" srcId="{E63A17F5-2E28-4405-9E24-18A5ABC63034}" destId="{E45B8633-D4F4-43D6-A307-962EECA87831}" srcOrd="0" destOrd="0" presId="urn:microsoft.com/office/officeart/2005/8/layout/vList5"/>
    <dgm:cxn modelId="{A4ABA285-A3F6-499D-8D3D-39BC7C90A851}" type="presParOf" srcId="{E63A17F5-2E28-4405-9E24-18A5ABC63034}" destId="{D5A95715-EEDD-4273-A46F-DE926017E200}"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E68CEA-8368-4547-85AA-1EAA241A6F37}" type="doc">
      <dgm:prSet loTypeId="urn:microsoft.com/office/officeart/2005/8/layout/matrix3" loCatId="matrix" qsTypeId="urn:microsoft.com/office/officeart/2005/8/quickstyle/simple1" qsCatId="simple" csTypeId="urn:microsoft.com/office/officeart/2005/8/colors/accent1_2" csCatId="accent1" phldr="1"/>
      <dgm:spPr/>
      <dgm:t>
        <a:bodyPr/>
        <a:lstStyle/>
        <a:p>
          <a:endParaRPr lang="es-MX"/>
        </a:p>
      </dgm:t>
    </dgm:pt>
    <dgm:pt modelId="{9825AF69-35FE-4636-A069-DF3D40D0613E}">
      <dgm:prSet phldrT="[Texto]" custT="1"/>
      <dgm:spPr/>
      <dgm:t>
        <a:bodyPr/>
        <a:lstStyle/>
        <a:p>
          <a:pPr algn="ctr"/>
          <a:r>
            <a:rPr lang="es-MX" sz="1000" b="1">
              <a:latin typeface="Times New Roman" panose="02020603050405020304" pitchFamily="18" charset="0"/>
              <a:cs typeface="Times New Roman" panose="02020603050405020304" pitchFamily="18" charset="0"/>
            </a:rPr>
            <a:t>FORTALEZAS</a:t>
          </a:r>
          <a:endParaRPr lang="es-MX" sz="800" b="1">
            <a:latin typeface="Times New Roman" panose="02020603050405020304" pitchFamily="18" charset="0"/>
            <a:cs typeface="Times New Roman" panose="02020603050405020304" pitchFamily="18" charset="0"/>
          </a:endParaRPr>
        </a:p>
        <a:p>
          <a:pPr algn="l"/>
          <a:r>
            <a:rPr lang="es-MX" sz="800" b="0">
              <a:latin typeface="Times New Roman" panose="02020603050405020304" pitchFamily="18" charset="0"/>
              <a:cs typeface="Times New Roman" panose="02020603050405020304" pitchFamily="18" charset="0"/>
            </a:rPr>
            <a:t>- Infraestructura propia en Pilar.
- Know-how en logística integral.
- Relación con grandes cuentas.
- Certificaciones de calidad</a:t>
          </a:r>
        </a:p>
      </dgm:t>
    </dgm:pt>
    <dgm:pt modelId="{D18F3CAB-1C80-44E8-ABC2-88FF69C6B307}" type="parTrans" cxnId="{3434F30A-C619-4489-98F1-25C666E46FCE}">
      <dgm:prSet/>
      <dgm:spPr/>
      <dgm:t>
        <a:bodyPr/>
        <a:lstStyle/>
        <a:p>
          <a:endParaRPr lang="es-MX" sz="1400">
            <a:latin typeface="+mn-lt"/>
          </a:endParaRPr>
        </a:p>
      </dgm:t>
    </dgm:pt>
    <dgm:pt modelId="{004CF406-088D-4B4B-A47D-F9031F231CEB}" type="sibTrans" cxnId="{3434F30A-C619-4489-98F1-25C666E46FCE}">
      <dgm:prSet/>
      <dgm:spPr/>
      <dgm:t>
        <a:bodyPr/>
        <a:lstStyle/>
        <a:p>
          <a:endParaRPr lang="es-MX" sz="1400">
            <a:latin typeface="+mn-lt"/>
          </a:endParaRPr>
        </a:p>
      </dgm:t>
    </dgm:pt>
    <dgm:pt modelId="{28936C58-5E8E-4974-BBDD-097EF2F59D8F}">
      <dgm:prSet phldrT="[Texto]" custT="1"/>
      <dgm:spPr/>
      <dgm:t>
        <a:bodyPr/>
        <a:lstStyle/>
        <a:p>
          <a:pPr algn="ctr"/>
          <a:r>
            <a:rPr lang="es-MX" sz="1000" b="1">
              <a:latin typeface="Times New Roman" panose="02020603050405020304" pitchFamily="18" charset="0"/>
              <a:cs typeface="Times New Roman" panose="02020603050405020304" pitchFamily="18" charset="0"/>
            </a:rPr>
            <a:t>OPORTUNIDADES</a:t>
          </a:r>
          <a:endParaRPr lang="es-MX" sz="800" b="1">
            <a:latin typeface="Times New Roman" panose="02020603050405020304" pitchFamily="18" charset="0"/>
            <a:cs typeface="Times New Roman" panose="02020603050405020304" pitchFamily="18" charset="0"/>
          </a:endParaRPr>
        </a:p>
        <a:p>
          <a:pPr algn="l"/>
          <a:r>
            <a:rPr lang="es-MX" sz="800" b="0">
              <a:latin typeface="Times New Roman" panose="02020603050405020304" pitchFamily="18" charset="0"/>
              <a:cs typeface="Times New Roman" panose="02020603050405020304" pitchFamily="18" charset="0"/>
            </a:rPr>
            <a:t>- Creciente demanda de servicios aduaneros.
- Incentivos regulatorios vigentes.
- Falta de depósitos fiscales en algunos corredores.
- Posicionamiento como operador integral.</a:t>
          </a:r>
        </a:p>
      </dgm:t>
    </dgm:pt>
    <dgm:pt modelId="{6DE93C61-A084-41AC-B195-061896967337}" type="parTrans" cxnId="{EC89C627-F313-4BC4-94CF-C19F6F83292E}">
      <dgm:prSet/>
      <dgm:spPr/>
      <dgm:t>
        <a:bodyPr/>
        <a:lstStyle/>
        <a:p>
          <a:endParaRPr lang="es-MX" sz="1400">
            <a:latin typeface="+mn-lt"/>
          </a:endParaRPr>
        </a:p>
      </dgm:t>
    </dgm:pt>
    <dgm:pt modelId="{BCA21E3B-752D-4A08-BA0B-9EAFB19233B0}" type="sibTrans" cxnId="{EC89C627-F313-4BC4-94CF-C19F6F83292E}">
      <dgm:prSet/>
      <dgm:spPr/>
      <dgm:t>
        <a:bodyPr/>
        <a:lstStyle/>
        <a:p>
          <a:endParaRPr lang="es-MX" sz="1400">
            <a:latin typeface="+mn-lt"/>
          </a:endParaRPr>
        </a:p>
      </dgm:t>
    </dgm:pt>
    <dgm:pt modelId="{4C1FD997-20D2-4B77-A0AE-EC808723CB11}">
      <dgm:prSet phldrT="[Texto]" custT="1"/>
      <dgm:spPr/>
      <dgm:t>
        <a:bodyPr/>
        <a:lstStyle/>
        <a:p>
          <a:pPr algn="ctr">
            <a:buNone/>
          </a:pPr>
          <a:r>
            <a:rPr lang="es-MX" sz="1000" b="1">
              <a:latin typeface="Times New Roman" panose="02020603050405020304" pitchFamily="18" charset="0"/>
              <a:cs typeface="Times New Roman" panose="02020603050405020304" pitchFamily="18" charset="0"/>
            </a:rPr>
            <a:t>DEBILIDADES</a:t>
          </a:r>
          <a:endParaRPr lang="es-MX" sz="800" b="1">
            <a:latin typeface="Times New Roman" panose="02020603050405020304" pitchFamily="18" charset="0"/>
            <a:cs typeface="Times New Roman" panose="02020603050405020304" pitchFamily="18" charset="0"/>
          </a:endParaRPr>
        </a:p>
        <a:p>
          <a:pPr algn="l">
            <a:buNone/>
          </a:pPr>
          <a:r>
            <a:rPr lang="es-MX" sz="800" b="0">
              <a:latin typeface="Times New Roman" panose="02020603050405020304" pitchFamily="18" charset="0"/>
              <a:cs typeface="Times New Roman" panose="02020603050405020304" pitchFamily="18" charset="0"/>
            </a:rPr>
            <a:t>- No experiencia previa en operaciones fiscales.</a:t>
          </a:r>
        </a:p>
        <a:p>
          <a:pPr algn="l">
            <a:buNone/>
          </a:pPr>
          <a:r>
            <a:rPr lang="es-MX" sz="800" b="0">
              <a:latin typeface="Times New Roman" panose="02020603050405020304" pitchFamily="18" charset="0"/>
              <a:cs typeface="Times New Roman" panose="02020603050405020304" pitchFamily="18" charset="0"/>
            </a:rPr>
            <a:t>- Necesidad de inversión inicial en adecuación. </a:t>
          </a:r>
        </a:p>
        <a:p>
          <a:pPr algn="l">
            <a:buNone/>
          </a:pPr>
          <a:r>
            <a:rPr lang="es-MX" sz="800" b="0">
              <a:latin typeface="Times New Roman" panose="02020603050405020304" pitchFamily="18" charset="0"/>
              <a:cs typeface="Times New Roman" panose="02020603050405020304" pitchFamily="18" charset="0"/>
            </a:rPr>
            <a:t>- Recursos humanos sin capacitación específica.</a:t>
          </a:r>
        </a:p>
      </dgm:t>
    </dgm:pt>
    <dgm:pt modelId="{08BB749B-5801-47E0-AE40-5ABD0B69E385}" type="parTrans" cxnId="{81D12ED6-FF0D-43B8-98BC-FBA3DB1F7C2A}">
      <dgm:prSet/>
      <dgm:spPr/>
      <dgm:t>
        <a:bodyPr/>
        <a:lstStyle/>
        <a:p>
          <a:endParaRPr lang="es-MX" sz="1400">
            <a:latin typeface="+mn-lt"/>
          </a:endParaRPr>
        </a:p>
      </dgm:t>
    </dgm:pt>
    <dgm:pt modelId="{D63172DC-BDBE-4EEA-AFAD-D3DA7EA6A8AE}" type="sibTrans" cxnId="{81D12ED6-FF0D-43B8-98BC-FBA3DB1F7C2A}">
      <dgm:prSet/>
      <dgm:spPr/>
      <dgm:t>
        <a:bodyPr/>
        <a:lstStyle/>
        <a:p>
          <a:endParaRPr lang="es-MX" sz="1400">
            <a:latin typeface="+mn-lt"/>
          </a:endParaRPr>
        </a:p>
      </dgm:t>
    </dgm:pt>
    <dgm:pt modelId="{4317C692-DC61-478A-9B7A-BB0CAFFF8320}">
      <dgm:prSet phldrT="[Texto]" custT="1"/>
      <dgm:spPr/>
      <dgm:t>
        <a:bodyPr/>
        <a:lstStyle/>
        <a:p>
          <a:pPr algn="ctr">
            <a:buNone/>
          </a:pPr>
          <a:r>
            <a:rPr lang="es-MX" sz="1000" b="1">
              <a:latin typeface="Times New Roman" panose="02020603050405020304" pitchFamily="18" charset="0"/>
              <a:cs typeface="Times New Roman" panose="02020603050405020304" pitchFamily="18" charset="0"/>
            </a:rPr>
            <a:t>AMENAZAS</a:t>
          </a:r>
          <a:endParaRPr lang="es-MX" sz="800" b="1">
            <a:latin typeface="Times New Roman" panose="02020603050405020304" pitchFamily="18" charset="0"/>
            <a:cs typeface="Times New Roman" panose="02020603050405020304" pitchFamily="18" charset="0"/>
          </a:endParaRPr>
        </a:p>
        <a:p>
          <a:pPr algn="l">
            <a:buNone/>
          </a:pPr>
          <a:r>
            <a:rPr lang="es-MX" sz="800" b="0">
              <a:latin typeface="Times New Roman" panose="02020603050405020304" pitchFamily="18" charset="0"/>
              <a:cs typeface="Times New Roman" panose="02020603050405020304" pitchFamily="18" charset="0"/>
            </a:rPr>
            <a:t>- Inestabilidad macroeconómica.</a:t>
          </a:r>
        </a:p>
        <a:p>
          <a:pPr algn="l">
            <a:buNone/>
          </a:pPr>
          <a:r>
            <a:rPr lang="es-MX" sz="800" b="0">
              <a:latin typeface="Times New Roman" panose="02020603050405020304" pitchFamily="18" charset="0"/>
              <a:cs typeface="Times New Roman" panose="02020603050405020304" pitchFamily="18" charset="0"/>
            </a:rPr>
            <a:t>- Cambios regulatorios futuros.</a:t>
          </a:r>
        </a:p>
        <a:p>
          <a:pPr algn="l">
            <a:buNone/>
          </a:pPr>
          <a:r>
            <a:rPr lang="es-MX" sz="800" b="0">
              <a:latin typeface="Times New Roman" panose="02020603050405020304" pitchFamily="18" charset="0"/>
              <a:cs typeface="Times New Roman" panose="02020603050405020304" pitchFamily="18" charset="0"/>
            </a:rPr>
            <a:t>- Competencia instalada con experiencia en el servicio.</a:t>
          </a:r>
        </a:p>
      </dgm:t>
    </dgm:pt>
    <dgm:pt modelId="{F907F816-962C-4FF2-840F-06C4166387F3}" type="parTrans" cxnId="{94828299-3F89-41CD-8479-01A6970BB7EB}">
      <dgm:prSet/>
      <dgm:spPr/>
      <dgm:t>
        <a:bodyPr/>
        <a:lstStyle/>
        <a:p>
          <a:endParaRPr lang="es-MX" sz="1400">
            <a:latin typeface="+mn-lt"/>
          </a:endParaRPr>
        </a:p>
      </dgm:t>
    </dgm:pt>
    <dgm:pt modelId="{D3911095-FF4C-4A7B-A2BE-0862B20E3B33}" type="sibTrans" cxnId="{94828299-3F89-41CD-8479-01A6970BB7EB}">
      <dgm:prSet/>
      <dgm:spPr/>
      <dgm:t>
        <a:bodyPr/>
        <a:lstStyle/>
        <a:p>
          <a:endParaRPr lang="es-MX" sz="1400">
            <a:latin typeface="+mn-lt"/>
          </a:endParaRPr>
        </a:p>
      </dgm:t>
    </dgm:pt>
    <dgm:pt modelId="{67BF4429-08C6-4C8C-B8F4-058239CC43C1}" type="pres">
      <dgm:prSet presAssocID="{BEE68CEA-8368-4547-85AA-1EAA241A6F37}" presName="matrix" presStyleCnt="0">
        <dgm:presLayoutVars>
          <dgm:chMax val="1"/>
          <dgm:dir/>
          <dgm:resizeHandles val="exact"/>
        </dgm:presLayoutVars>
      </dgm:prSet>
      <dgm:spPr/>
      <dgm:t>
        <a:bodyPr/>
        <a:lstStyle/>
        <a:p>
          <a:endParaRPr lang="es-AR"/>
        </a:p>
      </dgm:t>
    </dgm:pt>
    <dgm:pt modelId="{34D8946C-7BE8-4C5E-BBBF-A565E8EE91A6}" type="pres">
      <dgm:prSet presAssocID="{BEE68CEA-8368-4547-85AA-1EAA241A6F37}" presName="diamond" presStyleLbl="bgShp" presStyleIdx="0" presStyleCnt="1"/>
      <dgm:spPr/>
    </dgm:pt>
    <dgm:pt modelId="{5245080B-413E-4C33-A423-942F0F898045}" type="pres">
      <dgm:prSet presAssocID="{BEE68CEA-8368-4547-85AA-1EAA241A6F37}" presName="quad1" presStyleLbl="node1" presStyleIdx="0" presStyleCnt="4" custScaleX="229367" custLinFactNeighborX="-65332">
        <dgm:presLayoutVars>
          <dgm:chMax val="0"/>
          <dgm:chPref val="0"/>
          <dgm:bulletEnabled val="1"/>
        </dgm:presLayoutVars>
      </dgm:prSet>
      <dgm:spPr/>
      <dgm:t>
        <a:bodyPr/>
        <a:lstStyle/>
        <a:p>
          <a:endParaRPr lang="es-AR"/>
        </a:p>
      </dgm:t>
    </dgm:pt>
    <dgm:pt modelId="{F391F2A0-E61F-460B-834B-7C35EB7F9669}" type="pres">
      <dgm:prSet presAssocID="{BEE68CEA-8368-4547-85AA-1EAA241A6F37}" presName="quad2" presStyleLbl="node1" presStyleIdx="1" presStyleCnt="4" custScaleX="229367" custLinFactNeighborX="70176">
        <dgm:presLayoutVars>
          <dgm:chMax val="0"/>
          <dgm:chPref val="0"/>
          <dgm:bulletEnabled val="1"/>
        </dgm:presLayoutVars>
      </dgm:prSet>
      <dgm:spPr/>
      <dgm:t>
        <a:bodyPr/>
        <a:lstStyle/>
        <a:p>
          <a:endParaRPr lang="es-AR"/>
        </a:p>
      </dgm:t>
    </dgm:pt>
    <dgm:pt modelId="{1954B7E4-057D-4665-A89C-1FEB4F2E85A3}" type="pres">
      <dgm:prSet presAssocID="{BEE68CEA-8368-4547-85AA-1EAA241A6F37}" presName="quad3" presStyleLbl="node1" presStyleIdx="2" presStyleCnt="4" custScaleX="229367" custLinFactNeighborX="-65332">
        <dgm:presLayoutVars>
          <dgm:chMax val="0"/>
          <dgm:chPref val="0"/>
          <dgm:bulletEnabled val="1"/>
        </dgm:presLayoutVars>
      </dgm:prSet>
      <dgm:spPr/>
      <dgm:t>
        <a:bodyPr/>
        <a:lstStyle/>
        <a:p>
          <a:endParaRPr lang="es-AR"/>
        </a:p>
      </dgm:t>
    </dgm:pt>
    <dgm:pt modelId="{9EE418D8-8568-4363-9FFB-F0CAE194AF51}" type="pres">
      <dgm:prSet presAssocID="{BEE68CEA-8368-4547-85AA-1EAA241A6F37}" presName="quad4" presStyleLbl="node1" presStyleIdx="3" presStyleCnt="4" custScaleX="229367" custLinFactNeighborX="70176">
        <dgm:presLayoutVars>
          <dgm:chMax val="0"/>
          <dgm:chPref val="0"/>
          <dgm:bulletEnabled val="1"/>
        </dgm:presLayoutVars>
      </dgm:prSet>
      <dgm:spPr/>
      <dgm:t>
        <a:bodyPr/>
        <a:lstStyle/>
        <a:p>
          <a:endParaRPr lang="es-AR"/>
        </a:p>
      </dgm:t>
    </dgm:pt>
  </dgm:ptLst>
  <dgm:cxnLst>
    <dgm:cxn modelId="{94828299-3F89-41CD-8479-01A6970BB7EB}" srcId="{BEE68CEA-8368-4547-85AA-1EAA241A6F37}" destId="{4317C692-DC61-478A-9B7A-BB0CAFFF8320}" srcOrd="3" destOrd="0" parTransId="{F907F816-962C-4FF2-840F-06C4166387F3}" sibTransId="{D3911095-FF4C-4A7B-A2BE-0862B20E3B33}"/>
    <dgm:cxn modelId="{48B7F414-ED49-4F67-BB33-3CF4F81560CF}" type="presOf" srcId="{4C1FD997-20D2-4B77-A0AE-EC808723CB11}" destId="{1954B7E4-057D-4665-A89C-1FEB4F2E85A3}" srcOrd="0" destOrd="0" presId="urn:microsoft.com/office/officeart/2005/8/layout/matrix3"/>
    <dgm:cxn modelId="{2FC385D8-81CE-4409-912E-49340B64BFCB}" type="presOf" srcId="{4317C692-DC61-478A-9B7A-BB0CAFFF8320}" destId="{9EE418D8-8568-4363-9FFB-F0CAE194AF51}" srcOrd="0" destOrd="0" presId="urn:microsoft.com/office/officeart/2005/8/layout/matrix3"/>
    <dgm:cxn modelId="{EC89C627-F313-4BC4-94CF-C19F6F83292E}" srcId="{BEE68CEA-8368-4547-85AA-1EAA241A6F37}" destId="{28936C58-5E8E-4974-BBDD-097EF2F59D8F}" srcOrd="1" destOrd="0" parTransId="{6DE93C61-A084-41AC-B195-061896967337}" sibTransId="{BCA21E3B-752D-4A08-BA0B-9EAFB19233B0}"/>
    <dgm:cxn modelId="{3434F30A-C619-4489-98F1-25C666E46FCE}" srcId="{BEE68CEA-8368-4547-85AA-1EAA241A6F37}" destId="{9825AF69-35FE-4636-A069-DF3D40D0613E}" srcOrd="0" destOrd="0" parTransId="{D18F3CAB-1C80-44E8-ABC2-88FF69C6B307}" sibTransId="{004CF406-088D-4B4B-A47D-F9031F231CEB}"/>
    <dgm:cxn modelId="{ABF1EA91-69AB-4686-ADA9-8CCCE12C83D3}" type="presOf" srcId="{BEE68CEA-8368-4547-85AA-1EAA241A6F37}" destId="{67BF4429-08C6-4C8C-B8F4-058239CC43C1}" srcOrd="0" destOrd="0" presId="urn:microsoft.com/office/officeart/2005/8/layout/matrix3"/>
    <dgm:cxn modelId="{81D12ED6-FF0D-43B8-98BC-FBA3DB1F7C2A}" srcId="{BEE68CEA-8368-4547-85AA-1EAA241A6F37}" destId="{4C1FD997-20D2-4B77-A0AE-EC808723CB11}" srcOrd="2" destOrd="0" parTransId="{08BB749B-5801-47E0-AE40-5ABD0B69E385}" sibTransId="{D63172DC-BDBE-4EEA-AFAD-D3DA7EA6A8AE}"/>
    <dgm:cxn modelId="{F5304183-0549-407E-B897-50B5E25CEBC3}" type="presOf" srcId="{9825AF69-35FE-4636-A069-DF3D40D0613E}" destId="{5245080B-413E-4C33-A423-942F0F898045}" srcOrd="0" destOrd="0" presId="urn:microsoft.com/office/officeart/2005/8/layout/matrix3"/>
    <dgm:cxn modelId="{6D118DD5-E06E-4FEC-8886-9F42E021D8FE}" type="presOf" srcId="{28936C58-5E8E-4974-BBDD-097EF2F59D8F}" destId="{F391F2A0-E61F-460B-834B-7C35EB7F9669}" srcOrd="0" destOrd="0" presId="urn:microsoft.com/office/officeart/2005/8/layout/matrix3"/>
    <dgm:cxn modelId="{742472C7-001D-4FA0-80B1-278757BC5609}" type="presParOf" srcId="{67BF4429-08C6-4C8C-B8F4-058239CC43C1}" destId="{34D8946C-7BE8-4C5E-BBBF-A565E8EE91A6}" srcOrd="0" destOrd="0" presId="urn:microsoft.com/office/officeart/2005/8/layout/matrix3"/>
    <dgm:cxn modelId="{9F8FFA85-1E59-4BF3-B2CA-7AA69C81DC6F}" type="presParOf" srcId="{67BF4429-08C6-4C8C-B8F4-058239CC43C1}" destId="{5245080B-413E-4C33-A423-942F0F898045}" srcOrd="1" destOrd="0" presId="urn:microsoft.com/office/officeart/2005/8/layout/matrix3"/>
    <dgm:cxn modelId="{49133D01-AEFB-4135-88C0-1EEE533EC3D8}" type="presParOf" srcId="{67BF4429-08C6-4C8C-B8F4-058239CC43C1}" destId="{F391F2A0-E61F-460B-834B-7C35EB7F9669}" srcOrd="2" destOrd="0" presId="urn:microsoft.com/office/officeart/2005/8/layout/matrix3"/>
    <dgm:cxn modelId="{DABA493B-895F-4064-87F7-4E8275C5CE43}" type="presParOf" srcId="{67BF4429-08C6-4C8C-B8F4-058239CC43C1}" destId="{1954B7E4-057D-4665-A89C-1FEB4F2E85A3}" srcOrd="3" destOrd="0" presId="urn:microsoft.com/office/officeart/2005/8/layout/matrix3"/>
    <dgm:cxn modelId="{A21E86CD-8CB4-44EB-BC76-9C6F905E0EAB}" type="presParOf" srcId="{67BF4429-08C6-4C8C-B8F4-058239CC43C1}" destId="{9EE418D8-8568-4363-9FFB-F0CAE194AF51}" srcOrd="4" destOrd="0" presId="urn:microsoft.com/office/officeart/2005/8/layout/matrix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E629626-545B-45F8-91C7-8ECA83782490}" type="doc">
      <dgm:prSet loTypeId="urn:microsoft.com/office/officeart/2005/8/layout/cycle8" loCatId="cycle" qsTypeId="urn:microsoft.com/office/officeart/2005/8/quickstyle/simple1" qsCatId="simple" csTypeId="urn:microsoft.com/office/officeart/2005/8/colors/accent0_3" csCatId="mainScheme" phldr="1"/>
      <dgm:spPr/>
      <dgm:t>
        <a:bodyPr/>
        <a:lstStyle/>
        <a:p>
          <a:endParaRPr lang="es-MX"/>
        </a:p>
      </dgm:t>
    </dgm:pt>
    <dgm:pt modelId="{DF5BBD71-1B85-42C6-8AAD-5A614110AB86}">
      <dgm:prSet phldrT="[Texto]" custT="1"/>
      <dgm:spPr/>
      <dgm:t>
        <a:bodyPr/>
        <a:lstStyle/>
        <a:p>
          <a:pPr>
            <a:buNone/>
          </a:pPr>
          <a:r>
            <a:rPr lang="es-MX" sz="1200" b="1">
              <a:latin typeface="Times New Roman" panose="02020603050405020304" pitchFamily="18" charset="0"/>
              <a:cs typeface="Times New Roman" panose="02020603050405020304" pitchFamily="18" charset="0"/>
            </a:rPr>
            <a:t>Infraestructura premium con  certificada LEED</a:t>
          </a:r>
          <a:br>
            <a:rPr lang="es-MX" sz="1200" b="1">
              <a:latin typeface="Times New Roman" panose="02020603050405020304" pitchFamily="18" charset="0"/>
              <a:cs typeface="Times New Roman" panose="02020603050405020304" pitchFamily="18" charset="0"/>
            </a:rPr>
          </a:br>
          <a:r>
            <a:rPr lang="es-MX" sz="1000" b="0">
              <a:latin typeface="Times New Roman" panose="02020603050405020304" pitchFamily="18" charset="0"/>
              <a:cs typeface="Times New Roman" panose="02020603050405020304" pitchFamily="18" charset="0"/>
            </a:rPr>
            <a:t/>
          </a:r>
          <a:br>
            <a:rPr lang="es-MX" sz="1000" b="0">
              <a:latin typeface="Times New Roman" panose="02020603050405020304" pitchFamily="18" charset="0"/>
              <a:cs typeface="Times New Roman" panose="02020603050405020304" pitchFamily="18" charset="0"/>
            </a:rPr>
          </a:br>
          <a:r>
            <a:rPr lang="es-MX" sz="1000" b="0">
              <a:latin typeface="Times New Roman" panose="02020603050405020304" pitchFamily="18" charset="0"/>
              <a:cs typeface="Times New Roman" panose="02020603050405020304" pitchFamily="18" charset="0"/>
            </a:rPr>
            <a:t>única en Zona Norte: eficiencia energética, estándares ambientales superiores y menor costo operativo.</a:t>
          </a:r>
        </a:p>
      </dgm:t>
    </dgm:pt>
    <dgm:pt modelId="{269D3C46-8185-4144-AB54-4FF03D675052}" type="parTrans" cxnId="{4977ED30-92D7-4E4E-BCCB-611503959724}">
      <dgm:prSet/>
      <dgm:spPr/>
      <dgm:t>
        <a:bodyPr/>
        <a:lstStyle/>
        <a:p>
          <a:endParaRPr lang="es-MX" sz="1000">
            <a:latin typeface="Times New Roman" panose="02020603050405020304" pitchFamily="18" charset="0"/>
            <a:cs typeface="Times New Roman" panose="02020603050405020304" pitchFamily="18" charset="0"/>
          </a:endParaRPr>
        </a:p>
      </dgm:t>
    </dgm:pt>
    <dgm:pt modelId="{22BBDD36-0065-4F96-8250-AFCCA0058D2A}" type="sibTrans" cxnId="{4977ED30-92D7-4E4E-BCCB-611503959724}">
      <dgm:prSet custT="1"/>
      <dgm:spPr/>
      <dgm:t>
        <a:bodyPr/>
        <a:lstStyle/>
        <a:p>
          <a:endParaRPr lang="es-MX" sz="1000">
            <a:latin typeface="Times New Roman" panose="02020603050405020304" pitchFamily="18" charset="0"/>
            <a:cs typeface="Times New Roman" panose="02020603050405020304" pitchFamily="18" charset="0"/>
          </a:endParaRPr>
        </a:p>
      </dgm:t>
    </dgm:pt>
    <dgm:pt modelId="{311F991B-DCAD-4214-AA6D-FE8EABFB2A61}">
      <dgm:prSet custT="1"/>
      <dgm:spPr/>
      <dgm:t>
        <a:bodyPr/>
        <a:lstStyle/>
        <a:p>
          <a:pPr>
            <a:buNone/>
          </a:pPr>
          <a:r>
            <a:rPr lang="es-MX" sz="1200" b="1">
              <a:latin typeface="Times New Roman" panose="02020603050405020304" pitchFamily="18" charset="0"/>
              <a:cs typeface="Times New Roman" panose="02020603050405020304" pitchFamily="18" charset="0"/>
            </a:rPr>
            <a:t>Integración total 3PL</a:t>
          </a:r>
          <a:br>
            <a:rPr lang="es-MX" sz="1200" b="1">
              <a:latin typeface="Times New Roman" panose="02020603050405020304" pitchFamily="18" charset="0"/>
              <a:cs typeface="Times New Roman" panose="02020603050405020304" pitchFamily="18" charset="0"/>
            </a:rPr>
          </a:b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b="0">
              <a:latin typeface="Times New Roman" panose="02020603050405020304" pitchFamily="18" charset="0"/>
              <a:cs typeface="Times New Roman" panose="02020603050405020304" pitchFamily="18" charset="0"/>
            </a:rPr>
            <a:t>depósito fiscal + almacenamiento + transporte en un solo operador.</a:t>
          </a:r>
        </a:p>
      </dgm:t>
    </dgm:pt>
    <dgm:pt modelId="{3F074F48-CE03-4BBE-944E-D2D0DF98E539}" type="parTrans" cxnId="{136B732E-47D8-4236-B97C-9C8DD5135464}">
      <dgm:prSet/>
      <dgm:spPr/>
      <dgm:t>
        <a:bodyPr/>
        <a:lstStyle/>
        <a:p>
          <a:endParaRPr lang="es-MX" sz="1000">
            <a:latin typeface="Times New Roman" panose="02020603050405020304" pitchFamily="18" charset="0"/>
            <a:cs typeface="Times New Roman" panose="02020603050405020304" pitchFamily="18" charset="0"/>
          </a:endParaRPr>
        </a:p>
      </dgm:t>
    </dgm:pt>
    <dgm:pt modelId="{5DA92A3A-993D-43DC-9196-6EC5A228D78B}" type="sibTrans" cxnId="{136B732E-47D8-4236-B97C-9C8DD5135464}">
      <dgm:prSet custT="1"/>
      <dgm:spPr/>
      <dgm:t>
        <a:bodyPr/>
        <a:lstStyle/>
        <a:p>
          <a:endParaRPr lang="es-MX" sz="1000">
            <a:latin typeface="Times New Roman" panose="02020603050405020304" pitchFamily="18" charset="0"/>
            <a:cs typeface="Times New Roman" panose="02020603050405020304" pitchFamily="18" charset="0"/>
          </a:endParaRPr>
        </a:p>
      </dgm:t>
    </dgm:pt>
    <dgm:pt modelId="{0121F438-BB27-41CC-A10D-7BF62D3C62CB}">
      <dgm:prSet custT="1"/>
      <dgm:spPr/>
      <dgm:t>
        <a:bodyPr/>
        <a:lstStyle/>
        <a:p>
          <a:pPr>
            <a:buNone/>
          </a:pPr>
          <a:r>
            <a:rPr lang="es-MX" sz="1200" b="1">
              <a:latin typeface="Times New Roman" panose="02020603050405020304" pitchFamily="18" charset="0"/>
              <a:cs typeface="Times New Roman" panose="02020603050405020304" pitchFamily="18" charset="0"/>
            </a:rPr>
            <a:t>Tecnología avanzada</a:t>
          </a: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b="0">
              <a:latin typeface="Times New Roman" panose="02020603050405020304" pitchFamily="18" charset="0"/>
              <a:cs typeface="Times New Roman" panose="02020603050405020304" pitchFamily="18" charset="0"/>
            </a:rPr>
            <a:t>WMS integrado con Aduana (RG 4352/18), trazabilidad en tiempo real, CCTV 100 %, dashboards personalizados para clientes.</a:t>
          </a:r>
        </a:p>
      </dgm:t>
    </dgm:pt>
    <dgm:pt modelId="{A10E0DF7-01E7-4231-864B-679228242055}" type="parTrans" cxnId="{82941C1E-E7F1-45F5-B636-1E2F383B691C}">
      <dgm:prSet/>
      <dgm:spPr/>
      <dgm:t>
        <a:bodyPr/>
        <a:lstStyle/>
        <a:p>
          <a:endParaRPr lang="es-MX" sz="1000">
            <a:latin typeface="Times New Roman" panose="02020603050405020304" pitchFamily="18" charset="0"/>
            <a:cs typeface="Times New Roman" panose="02020603050405020304" pitchFamily="18" charset="0"/>
          </a:endParaRPr>
        </a:p>
      </dgm:t>
    </dgm:pt>
    <dgm:pt modelId="{05DDFCD4-6579-4F23-AA7F-C3A69D7997DF}" type="sibTrans" cxnId="{82941C1E-E7F1-45F5-B636-1E2F383B691C}">
      <dgm:prSet custT="1"/>
      <dgm:spPr/>
      <dgm:t>
        <a:bodyPr/>
        <a:lstStyle/>
        <a:p>
          <a:endParaRPr lang="es-MX" sz="1000">
            <a:latin typeface="Times New Roman" panose="02020603050405020304" pitchFamily="18" charset="0"/>
            <a:cs typeface="Times New Roman" panose="02020603050405020304" pitchFamily="18" charset="0"/>
          </a:endParaRPr>
        </a:p>
      </dgm:t>
    </dgm:pt>
    <dgm:pt modelId="{775B837A-318F-4206-9E51-37BA9B46A859}">
      <dgm:prSet custT="1"/>
      <dgm:spPr/>
      <dgm:t>
        <a:bodyPr/>
        <a:lstStyle/>
        <a:p>
          <a:pPr>
            <a:buNone/>
          </a:pPr>
          <a:r>
            <a:rPr lang="es-MX" sz="1200" b="1">
              <a:latin typeface="Times New Roman" panose="02020603050405020304" pitchFamily="18" charset="0"/>
              <a:cs typeface="Times New Roman" panose="02020603050405020304" pitchFamily="18" charset="0"/>
            </a:rPr>
            <a:t>Ubicación estratégica </a:t>
          </a:r>
          <a:r>
            <a:rPr lang="es-MX" sz="1200" b="0">
              <a:latin typeface="Times New Roman" panose="02020603050405020304" pitchFamily="18" charset="0"/>
              <a:cs typeface="Times New Roman" panose="02020603050405020304" pitchFamily="18" charset="0"/>
            </a:rPr>
            <a:t/>
          </a:r>
          <a:br>
            <a:rPr lang="es-MX" sz="1200" b="0">
              <a:latin typeface="Times New Roman" panose="02020603050405020304" pitchFamily="18" charset="0"/>
              <a:cs typeface="Times New Roman" panose="02020603050405020304" pitchFamily="18" charset="0"/>
            </a:rPr>
          </a:br>
          <a:r>
            <a:rPr lang="es-MX" sz="1200" b="0">
              <a:latin typeface="Times New Roman" panose="02020603050405020304" pitchFamily="18" charset="0"/>
              <a:cs typeface="Times New Roman" panose="02020603050405020304" pitchFamily="18" charset="0"/>
            </a:rPr>
            <a:t/>
          </a:r>
          <a:br>
            <a:rPr lang="es-MX" sz="1200" b="0">
              <a:latin typeface="Times New Roman" panose="02020603050405020304" pitchFamily="18" charset="0"/>
              <a:cs typeface="Times New Roman" panose="02020603050405020304" pitchFamily="18" charset="0"/>
            </a:rPr>
          </a:br>
          <a:r>
            <a:rPr lang="es-MX" sz="1000">
              <a:latin typeface="Times New Roman" panose="02020603050405020304" pitchFamily="18" charset="0"/>
              <a:cs typeface="Times New Roman" panose="02020603050405020304" pitchFamily="18" charset="0"/>
            </a:rPr>
            <a:t>con acceso inmediato a Panamericana Ramal Pilar, reduciendo tiempos de ingreso y despacho.</a:t>
          </a:r>
        </a:p>
      </dgm:t>
    </dgm:pt>
    <dgm:pt modelId="{6FE07F6E-4600-4B35-884E-D93D1F84441D}" type="parTrans" cxnId="{5DE87A4C-A8A0-4D9B-AFE7-0B4EC649C6CF}">
      <dgm:prSet/>
      <dgm:spPr/>
      <dgm:t>
        <a:bodyPr/>
        <a:lstStyle/>
        <a:p>
          <a:endParaRPr lang="es-MX" sz="1000">
            <a:latin typeface="Times New Roman" panose="02020603050405020304" pitchFamily="18" charset="0"/>
            <a:cs typeface="Times New Roman" panose="02020603050405020304" pitchFamily="18" charset="0"/>
          </a:endParaRPr>
        </a:p>
      </dgm:t>
    </dgm:pt>
    <dgm:pt modelId="{EB69C00E-848B-4652-BEE8-DC2869886086}" type="sibTrans" cxnId="{5DE87A4C-A8A0-4D9B-AFE7-0B4EC649C6CF}">
      <dgm:prSet custT="1"/>
      <dgm:spPr/>
      <dgm:t>
        <a:bodyPr/>
        <a:lstStyle/>
        <a:p>
          <a:endParaRPr lang="es-MX" sz="1000">
            <a:latin typeface="Times New Roman" panose="02020603050405020304" pitchFamily="18" charset="0"/>
            <a:cs typeface="Times New Roman" panose="02020603050405020304" pitchFamily="18" charset="0"/>
          </a:endParaRPr>
        </a:p>
      </dgm:t>
    </dgm:pt>
    <dgm:pt modelId="{50C3AED9-DC6C-4007-A9B7-C9BB95BE36E9}">
      <dgm:prSet custT="1"/>
      <dgm:spPr/>
      <dgm:t>
        <a:bodyPr/>
        <a:lstStyle/>
        <a:p>
          <a:pPr>
            <a:buNone/>
          </a:pPr>
          <a:r>
            <a:rPr lang="es-MX" sz="1200" b="1">
              <a:latin typeface="Times New Roman" panose="02020603050405020304" pitchFamily="18" charset="0"/>
              <a:cs typeface="Times New Roman" panose="02020603050405020304" pitchFamily="18" charset="0"/>
            </a:rPr>
            <a:t>Compliance reforzado</a:t>
          </a:r>
          <a:br>
            <a:rPr lang="es-MX" sz="1200" b="1">
              <a:latin typeface="Times New Roman" panose="02020603050405020304" pitchFamily="18" charset="0"/>
              <a:cs typeface="Times New Roman" panose="02020603050405020304" pitchFamily="18" charset="0"/>
            </a:rPr>
          </a:b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b="0">
              <a:latin typeface="Times New Roman" panose="02020603050405020304" pitchFamily="18" charset="0"/>
              <a:cs typeface="Times New Roman" panose="02020603050405020304" pitchFamily="18" charset="0"/>
            </a:rPr>
            <a:t>procesos alineados con estándares internacionales de seguridad, auditorías internas permanentes y gestión documental digitalizada.</a:t>
          </a:r>
        </a:p>
      </dgm:t>
    </dgm:pt>
    <dgm:pt modelId="{507CD2D8-0192-4206-AAB3-DE1F1235CCCB}" type="parTrans" cxnId="{8D32119F-CF98-4B7B-A560-C82B0F961C9C}">
      <dgm:prSet/>
      <dgm:spPr/>
      <dgm:t>
        <a:bodyPr/>
        <a:lstStyle/>
        <a:p>
          <a:endParaRPr lang="es-MX" sz="1000">
            <a:latin typeface="Times New Roman" panose="02020603050405020304" pitchFamily="18" charset="0"/>
            <a:cs typeface="Times New Roman" panose="02020603050405020304" pitchFamily="18" charset="0"/>
          </a:endParaRPr>
        </a:p>
      </dgm:t>
    </dgm:pt>
    <dgm:pt modelId="{D51EFE33-744B-4377-B18D-683AFF978A46}" type="sibTrans" cxnId="{8D32119F-CF98-4B7B-A560-C82B0F961C9C}">
      <dgm:prSet custT="1"/>
      <dgm:spPr/>
      <dgm:t>
        <a:bodyPr/>
        <a:lstStyle/>
        <a:p>
          <a:endParaRPr lang="es-MX" sz="1000">
            <a:latin typeface="Times New Roman" panose="02020603050405020304" pitchFamily="18" charset="0"/>
            <a:cs typeface="Times New Roman" panose="02020603050405020304" pitchFamily="18" charset="0"/>
          </a:endParaRPr>
        </a:p>
      </dgm:t>
    </dgm:pt>
    <dgm:pt modelId="{9994CB26-4C64-4D7F-AC21-0111E5C1EDCB}">
      <dgm:prSet custT="1"/>
      <dgm:spPr/>
      <dgm:t>
        <a:bodyPr/>
        <a:lstStyle/>
        <a:p>
          <a:pPr>
            <a:buNone/>
          </a:pPr>
          <a:r>
            <a:rPr lang="es-MX" sz="1200" b="1">
              <a:latin typeface="Times New Roman" panose="02020603050405020304" pitchFamily="18" charset="0"/>
              <a:cs typeface="Times New Roman" panose="02020603050405020304" pitchFamily="18" charset="0"/>
            </a:rPr>
            <a:t>Flexibilidad operativa</a:t>
          </a: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b="1">
              <a:latin typeface="Times New Roman" panose="02020603050405020304" pitchFamily="18" charset="0"/>
              <a:cs typeface="Times New Roman" panose="02020603050405020304" pitchFamily="18" charset="0"/>
            </a:rPr>
            <a:t/>
          </a:r>
          <a:br>
            <a:rPr lang="es-MX" sz="1000" b="1">
              <a:latin typeface="Times New Roman" panose="02020603050405020304" pitchFamily="18" charset="0"/>
              <a:cs typeface="Times New Roman" panose="02020603050405020304" pitchFamily="18" charset="0"/>
            </a:rPr>
          </a:br>
          <a:r>
            <a:rPr lang="es-MX" sz="1000">
              <a:latin typeface="Times New Roman" panose="02020603050405020304" pitchFamily="18" charset="0"/>
              <a:cs typeface="Times New Roman" panose="02020603050405020304" pitchFamily="18" charset="0"/>
            </a:rPr>
            <a:t>capacidad escalable 20.000–30.000 m² y servicios configurables por tipo de carga, volumen y frecuencia.</a:t>
          </a:r>
        </a:p>
      </dgm:t>
    </dgm:pt>
    <dgm:pt modelId="{D8AE22AB-F2F9-4419-8FB4-E30930D746D0}" type="parTrans" cxnId="{39283A93-AAAA-4DEC-9272-2E491A0C976B}">
      <dgm:prSet/>
      <dgm:spPr/>
      <dgm:t>
        <a:bodyPr/>
        <a:lstStyle/>
        <a:p>
          <a:endParaRPr lang="es-MX" sz="1000">
            <a:latin typeface="Times New Roman" panose="02020603050405020304" pitchFamily="18" charset="0"/>
            <a:cs typeface="Times New Roman" panose="02020603050405020304" pitchFamily="18" charset="0"/>
          </a:endParaRPr>
        </a:p>
      </dgm:t>
    </dgm:pt>
    <dgm:pt modelId="{73BA7B0C-AAAA-490A-9BA7-E0D72ED611A8}" type="sibTrans" cxnId="{39283A93-AAAA-4DEC-9272-2E491A0C976B}">
      <dgm:prSet custT="1"/>
      <dgm:spPr/>
      <dgm:t>
        <a:bodyPr/>
        <a:lstStyle/>
        <a:p>
          <a:endParaRPr lang="es-MX" sz="1000">
            <a:latin typeface="Times New Roman" panose="02020603050405020304" pitchFamily="18" charset="0"/>
            <a:cs typeface="Times New Roman" panose="02020603050405020304" pitchFamily="18" charset="0"/>
          </a:endParaRPr>
        </a:p>
      </dgm:t>
    </dgm:pt>
    <dgm:pt modelId="{3EBB7ED6-1D92-45AF-9D59-392E10B19892}" type="pres">
      <dgm:prSet presAssocID="{2E629626-545B-45F8-91C7-8ECA83782490}" presName="compositeShape" presStyleCnt="0">
        <dgm:presLayoutVars>
          <dgm:chMax val="7"/>
          <dgm:dir/>
          <dgm:resizeHandles val="exact"/>
        </dgm:presLayoutVars>
      </dgm:prSet>
      <dgm:spPr/>
      <dgm:t>
        <a:bodyPr/>
        <a:lstStyle/>
        <a:p>
          <a:endParaRPr lang="es-AR"/>
        </a:p>
      </dgm:t>
    </dgm:pt>
    <dgm:pt modelId="{A0A5E442-FC09-427F-8B06-07B4C32A3552}" type="pres">
      <dgm:prSet presAssocID="{2E629626-545B-45F8-91C7-8ECA83782490}" presName="wedge1" presStyleLbl="node1" presStyleIdx="0" presStyleCnt="6"/>
      <dgm:spPr/>
      <dgm:t>
        <a:bodyPr/>
        <a:lstStyle/>
        <a:p>
          <a:endParaRPr lang="es-AR"/>
        </a:p>
      </dgm:t>
    </dgm:pt>
    <dgm:pt modelId="{C0D134B8-5429-4EA5-AD3F-F954F2AB7B62}" type="pres">
      <dgm:prSet presAssocID="{2E629626-545B-45F8-91C7-8ECA83782490}" presName="dummy1a" presStyleCnt="0"/>
      <dgm:spPr/>
    </dgm:pt>
    <dgm:pt modelId="{142A4213-2653-4CEA-B094-86FED3ACF1DB}" type="pres">
      <dgm:prSet presAssocID="{2E629626-545B-45F8-91C7-8ECA83782490}" presName="dummy1b" presStyleCnt="0"/>
      <dgm:spPr/>
    </dgm:pt>
    <dgm:pt modelId="{FBA72669-727F-42E0-BF93-3EC80F555708}" type="pres">
      <dgm:prSet presAssocID="{2E629626-545B-45F8-91C7-8ECA83782490}" presName="wedge1Tx" presStyleLbl="node1" presStyleIdx="0" presStyleCnt="6">
        <dgm:presLayoutVars>
          <dgm:chMax val="0"/>
          <dgm:chPref val="0"/>
          <dgm:bulletEnabled val="1"/>
        </dgm:presLayoutVars>
      </dgm:prSet>
      <dgm:spPr/>
      <dgm:t>
        <a:bodyPr/>
        <a:lstStyle/>
        <a:p>
          <a:endParaRPr lang="es-AR"/>
        </a:p>
      </dgm:t>
    </dgm:pt>
    <dgm:pt modelId="{513055E5-E865-4EC5-AA79-569BC483A141}" type="pres">
      <dgm:prSet presAssocID="{2E629626-545B-45F8-91C7-8ECA83782490}" presName="wedge2" presStyleLbl="node1" presStyleIdx="1" presStyleCnt="6"/>
      <dgm:spPr/>
      <dgm:t>
        <a:bodyPr/>
        <a:lstStyle/>
        <a:p>
          <a:endParaRPr lang="es-AR"/>
        </a:p>
      </dgm:t>
    </dgm:pt>
    <dgm:pt modelId="{FAADE5C6-1B4A-462C-9137-7F6C89C651D4}" type="pres">
      <dgm:prSet presAssocID="{2E629626-545B-45F8-91C7-8ECA83782490}" presName="dummy2a" presStyleCnt="0"/>
      <dgm:spPr/>
    </dgm:pt>
    <dgm:pt modelId="{F2453F31-19F3-4405-93D4-103E073F2768}" type="pres">
      <dgm:prSet presAssocID="{2E629626-545B-45F8-91C7-8ECA83782490}" presName="dummy2b" presStyleCnt="0"/>
      <dgm:spPr/>
    </dgm:pt>
    <dgm:pt modelId="{A7B44D8C-4D5C-475D-8BEB-EA38B08221D5}" type="pres">
      <dgm:prSet presAssocID="{2E629626-545B-45F8-91C7-8ECA83782490}" presName="wedge2Tx" presStyleLbl="node1" presStyleIdx="1" presStyleCnt="6">
        <dgm:presLayoutVars>
          <dgm:chMax val="0"/>
          <dgm:chPref val="0"/>
          <dgm:bulletEnabled val="1"/>
        </dgm:presLayoutVars>
      </dgm:prSet>
      <dgm:spPr/>
      <dgm:t>
        <a:bodyPr/>
        <a:lstStyle/>
        <a:p>
          <a:endParaRPr lang="es-AR"/>
        </a:p>
      </dgm:t>
    </dgm:pt>
    <dgm:pt modelId="{3B287C53-737C-4FAC-9CB6-51572B07887A}" type="pres">
      <dgm:prSet presAssocID="{2E629626-545B-45F8-91C7-8ECA83782490}" presName="wedge3" presStyleLbl="node1" presStyleIdx="2" presStyleCnt="6"/>
      <dgm:spPr/>
      <dgm:t>
        <a:bodyPr/>
        <a:lstStyle/>
        <a:p>
          <a:endParaRPr lang="es-AR"/>
        </a:p>
      </dgm:t>
    </dgm:pt>
    <dgm:pt modelId="{2C8B3C07-3B63-44A7-97C1-A7243F132EA1}" type="pres">
      <dgm:prSet presAssocID="{2E629626-545B-45F8-91C7-8ECA83782490}" presName="dummy3a" presStyleCnt="0"/>
      <dgm:spPr/>
    </dgm:pt>
    <dgm:pt modelId="{7C7B8DC5-9F83-463B-B147-9D7FEBB4EC64}" type="pres">
      <dgm:prSet presAssocID="{2E629626-545B-45F8-91C7-8ECA83782490}" presName="dummy3b" presStyleCnt="0"/>
      <dgm:spPr/>
    </dgm:pt>
    <dgm:pt modelId="{41E0189B-B22A-477D-86C3-B5A7A17D1A47}" type="pres">
      <dgm:prSet presAssocID="{2E629626-545B-45F8-91C7-8ECA83782490}" presName="wedge3Tx" presStyleLbl="node1" presStyleIdx="2" presStyleCnt="6">
        <dgm:presLayoutVars>
          <dgm:chMax val="0"/>
          <dgm:chPref val="0"/>
          <dgm:bulletEnabled val="1"/>
        </dgm:presLayoutVars>
      </dgm:prSet>
      <dgm:spPr/>
      <dgm:t>
        <a:bodyPr/>
        <a:lstStyle/>
        <a:p>
          <a:endParaRPr lang="es-AR"/>
        </a:p>
      </dgm:t>
    </dgm:pt>
    <dgm:pt modelId="{297B36DC-19CB-4371-AF05-29532A937FFE}" type="pres">
      <dgm:prSet presAssocID="{2E629626-545B-45F8-91C7-8ECA83782490}" presName="wedge4" presStyleLbl="node1" presStyleIdx="3" presStyleCnt="6"/>
      <dgm:spPr/>
      <dgm:t>
        <a:bodyPr/>
        <a:lstStyle/>
        <a:p>
          <a:endParaRPr lang="es-AR"/>
        </a:p>
      </dgm:t>
    </dgm:pt>
    <dgm:pt modelId="{4995F6DE-086D-4335-BEFF-9A3662D30B8C}" type="pres">
      <dgm:prSet presAssocID="{2E629626-545B-45F8-91C7-8ECA83782490}" presName="dummy4a" presStyleCnt="0"/>
      <dgm:spPr/>
    </dgm:pt>
    <dgm:pt modelId="{E7B3A17D-F50B-4028-A525-0D456D5D2AE0}" type="pres">
      <dgm:prSet presAssocID="{2E629626-545B-45F8-91C7-8ECA83782490}" presName="dummy4b" presStyleCnt="0"/>
      <dgm:spPr/>
    </dgm:pt>
    <dgm:pt modelId="{759EA840-6ABE-449F-B83F-8B6BCADDEBB9}" type="pres">
      <dgm:prSet presAssocID="{2E629626-545B-45F8-91C7-8ECA83782490}" presName="wedge4Tx" presStyleLbl="node1" presStyleIdx="3" presStyleCnt="6">
        <dgm:presLayoutVars>
          <dgm:chMax val="0"/>
          <dgm:chPref val="0"/>
          <dgm:bulletEnabled val="1"/>
        </dgm:presLayoutVars>
      </dgm:prSet>
      <dgm:spPr/>
      <dgm:t>
        <a:bodyPr/>
        <a:lstStyle/>
        <a:p>
          <a:endParaRPr lang="es-AR"/>
        </a:p>
      </dgm:t>
    </dgm:pt>
    <dgm:pt modelId="{9BC06F29-4876-4A73-9BA3-D74D35C58ACA}" type="pres">
      <dgm:prSet presAssocID="{2E629626-545B-45F8-91C7-8ECA83782490}" presName="wedge5" presStyleLbl="node1" presStyleIdx="4" presStyleCnt="6"/>
      <dgm:spPr/>
      <dgm:t>
        <a:bodyPr/>
        <a:lstStyle/>
        <a:p>
          <a:endParaRPr lang="es-AR"/>
        </a:p>
      </dgm:t>
    </dgm:pt>
    <dgm:pt modelId="{8BBB0736-84BF-4A58-BB9D-4EED37213FDA}" type="pres">
      <dgm:prSet presAssocID="{2E629626-545B-45F8-91C7-8ECA83782490}" presName="dummy5a" presStyleCnt="0"/>
      <dgm:spPr/>
    </dgm:pt>
    <dgm:pt modelId="{7B33386F-D3D9-4B5E-A9DE-A4D0160BA28E}" type="pres">
      <dgm:prSet presAssocID="{2E629626-545B-45F8-91C7-8ECA83782490}" presName="dummy5b" presStyleCnt="0"/>
      <dgm:spPr/>
    </dgm:pt>
    <dgm:pt modelId="{D8F45001-CC24-40CF-822C-1B50C4F57918}" type="pres">
      <dgm:prSet presAssocID="{2E629626-545B-45F8-91C7-8ECA83782490}" presName="wedge5Tx" presStyleLbl="node1" presStyleIdx="4" presStyleCnt="6">
        <dgm:presLayoutVars>
          <dgm:chMax val="0"/>
          <dgm:chPref val="0"/>
          <dgm:bulletEnabled val="1"/>
        </dgm:presLayoutVars>
      </dgm:prSet>
      <dgm:spPr/>
      <dgm:t>
        <a:bodyPr/>
        <a:lstStyle/>
        <a:p>
          <a:endParaRPr lang="es-AR"/>
        </a:p>
      </dgm:t>
    </dgm:pt>
    <dgm:pt modelId="{6443C60D-2A06-4B62-8E26-05157E521B60}" type="pres">
      <dgm:prSet presAssocID="{2E629626-545B-45F8-91C7-8ECA83782490}" presName="wedge6" presStyleLbl="node1" presStyleIdx="5" presStyleCnt="6"/>
      <dgm:spPr/>
      <dgm:t>
        <a:bodyPr/>
        <a:lstStyle/>
        <a:p>
          <a:endParaRPr lang="es-AR"/>
        </a:p>
      </dgm:t>
    </dgm:pt>
    <dgm:pt modelId="{FA2E9BE2-A73C-4F1E-8907-988FFE331AB7}" type="pres">
      <dgm:prSet presAssocID="{2E629626-545B-45F8-91C7-8ECA83782490}" presName="dummy6a" presStyleCnt="0"/>
      <dgm:spPr/>
    </dgm:pt>
    <dgm:pt modelId="{942ADA5A-D93D-46C3-B067-445B788ABC61}" type="pres">
      <dgm:prSet presAssocID="{2E629626-545B-45F8-91C7-8ECA83782490}" presName="dummy6b" presStyleCnt="0"/>
      <dgm:spPr/>
    </dgm:pt>
    <dgm:pt modelId="{507F8930-0F71-44DC-8695-6DABEA88F79C}" type="pres">
      <dgm:prSet presAssocID="{2E629626-545B-45F8-91C7-8ECA83782490}" presName="wedge6Tx" presStyleLbl="node1" presStyleIdx="5" presStyleCnt="6">
        <dgm:presLayoutVars>
          <dgm:chMax val="0"/>
          <dgm:chPref val="0"/>
          <dgm:bulletEnabled val="1"/>
        </dgm:presLayoutVars>
      </dgm:prSet>
      <dgm:spPr/>
      <dgm:t>
        <a:bodyPr/>
        <a:lstStyle/>
        <a:p>
          <a:endParaRPr lang="es-AR"/>
        </a:p>
      </dgm:t>
    </dgm:pt>
    <dgm:pt modelId="{544E1428-B9A9-48B7-8EE7-BDE3B16055A2}" type="pres">
      <dgm:prSet presAssocID="{22BBDD36-0065-4F96-8250-AFCCA0058D2A}" presName="arrowWedge1" presStyleLbl="fgSibTrans2D1" presStyleIdx="0" presStyleCnt="6"/>
      <dgm:spPr/>
    </dgm:pt>
    <dgm:pt modelId="{05A6BCE1-2F58-410F-B4F8-A2FF95EB129F}" type="pres">
      <dgm:prSet presAssocID="{5DA92A3A-993D-43DC-9196-6EC5A228D78B}" presName="arrowWedge2" presStyleLbl="fgSibTrans2D1" presStyleIdx="1" presStyleCnt="6"/>
      <dgm:spPr/>
    </dgm:pt>
    <dgm:pt modelId="{777D121C-A85D-4957-9972-3BF2C609F7C8}" type="pres">
      <dgm:prSet presAssocID="{05DDFCD4-6579-4F23-AA7F-C3A69D7997DF}" presName="arrowWedge3" presStyleLbl="fgSibTrans2D1" presStyleIdx="2" presStyleCnt="6"/>
      <dgm:spPr/>
    </dgm:pt>
    <dgm:pt modelId="{AAB98E2E-49D4-492A-8BAD-3549961A9D68}" type="pres">
      <dgm:prSet presAssocID="{EB69C00E-848B-4652-BEE8-DC2869886086}" presName="arrowWedge4" presStyleLbl="fgSibTrans2D1" presStyleIdx="3" presStyleCnt="6"/>
      <dgm:spPr/>
    </dgm:pt>
    <dgm:pt modelId="{E39DDBD8-948A-40A9-83BE-B16951F67BFF}" type="pres">
      <dgm:prSet presAssocID="{D51EFE33-744B-4377-B18D-683AFF978A46}" presName="arrowWedge5" presStyleLbl="fgSibTrans2D1" presStyleIdx="4" presStyleCnt="6"/>
      <dgm:spPr/>
    </dgm:pt>
    <dgm:pt modelId="{DF944030-E475-45B7-A473-5EF3DF23392B}" type="pres">
      <dgm:prSet presAssocID="{73BA7B0C-AAAA-490A-9BA7-E0D72ED611A8}" presName="arrowWedge6" presStyleLbl="fgSibTrans2D1" presStyleIdx="5" presStyleCnt="6"/>
      <dgm:spPr/>
    </dgm:pt>
  </dgm:ptLst>
  <dgm:cxnLst>
    <dgm:cxn modelId="{F4FAACD2-36C5-4622-8CA0-5BA7A1F6B3E2}" type="presOf" srcId="{2E629626-545B-45F8-91C7-8ECA83782490}" destId="{3EBB7ED6-1D92-45AF-9D59-392E10B19892}" srcOrd="0" destOrd="0" presId="urn:microsoft.com/office/officeart/2005/8/layout/cycle8"/>
    <dgm:cxn modelId="{BBBACD17-516D-42F4-92CC-44C00068DCAC}" type="presOf" srcId="{0121F438-BB27-41CC-A10D-7BF62D3C62CB}" destId="{3B287C53-737C-4FAC-9CB6-51572B07887A}" srcOrd="0" destOrd="0" presId="urn:microsoft.com/office/officeart/2005/8/layout/cycle8"/>
    <dgm:cxn modelId="{738828E9-4A2D-4F32-B008-E7AB230D7645}" type="presOf" srcId="{775B837A-318F-4206-9E51-37BA9B46A859}" destId="{759EA840-6ABE-449F-B83F-8B6BCADDEBB9}" srcOrd="1" destOrd="0" presId="urn:microsoft.com/office/officeart/2005/8/layout/cycle8"/>
    <dgm:cxn modelId="{E3312C04-7D86-4E6A-8421-A0D7003CB0E9}" type="presOf" srcId="{50C3AED9-DC6C-4007-A9B7-C9BB95BE36E9}" destId="{9BC06F29-4876-4A73-9BA3-D74D35C58ACA}" srcOrd="0" destOrd="0" presId="urn:microsoft.com/office/officeart/2005/8/layout/cycle8"/>
    <dgm:cxn modelId="{BC95A491-AF90-4C04-A1DA-6D2A2F998580}" type="presOf" srcId="{0121F438-BB27-41CC-A10D-7BF62D3C62CB}" destId="{41E0189B-B22A-477D-86C3-B5A7A17D1A47}" srcOrd="1" destOrd="0" presId="urn:microsoft.com/office/officeart/2005/8/layout/cycle8"/>
    <dgm:cxn modelId="{64C76737-9FF0-48C3-BCB7-93A0CE09E12D}" type="presOf" srcId="{775B837A-318F-4206-9E51-37BA9B46A859}" destId="{297B36DC-19CB-4371-AF05-29532A937FFE}" srcOrd="0" destOrd="0" presId="urn:microsoft.com/office/officeart/2005/8/layout/cycle8"/>
    <dgm:cxn modelId="{136B732E-47D8-4236-B97C-9C8DD5135464}" srcId="{2E629626-545B-45F8-91C7-8ECA83782490}" destId="{311F991B-DCAD-4214-AA6D-FE8EABFB2A61}" srcOrd="1" destOrd="0" parTransId="{3F074F48-CE03-4BBE-944E-D2D0DF98E539}" sibTransId="{5DA92A3A-993D-43DC-9196-6EC5A228D78B}"/>
    <dgm:cxn modelId="{A7B691F8-FB9A-469E-AAD6-6FB0685908C4}" type="presOf" srcId="{DF5BBD71-1B85-42C6-8AAD-5A614110AB86}" destId="{FBA72669-727F-42E0-BF93-3EC80F555708}" srcOrd="1" destOrd="0" presId="urn:microsoft.com/office/officeart/2005/8/layout/cycle8"/>
    <dgm:cxn modelId="{8E7E9306-574E-4F9F-85F2-840E41AD5430}" type="presOf" srcId="{311F991B-DCAD-4214-AA6D-FE8EABFB2A61}" destId="{513055E5-E865-4EC5-AA79-569BC483A141}" srcOrd="0" destOrd="0" presId="urn:microsoft.com/office/officeart/2005/8/layout/cycle8"/>
    <dgm:cxn modelId="{39283A93-AAAA-4DEC-9272-2E491A0C976B}" srcId="{2E629626-545B-45F8-91C7-8ECA83782490}" destId="{9994CB26-4C64-4D7F-AC21-0111E5C1EDCB}" srcOrd="5" destOrd="0" parTransId="{D8AE22AB-F2F9-4419-8FB4-E30930D746D0}" sibTransId="{73BA7B0C-AAAA-490A-9BA7-E0D72ED611A8}"/>
    <dgm:cxn modelId="{676855F6-D371-45E9-B2F6-FB89D822D1C1}" type="presOf" srcId="{DF5BBD71-1B85-42C6-8AAD-5A614110AB86}" destId="{A0A5E442-FC09-427F-8B06-07B4C32A3552}" srcOrd="0" destOrd="0" presId="urn:microsoft.com/office/officeart/2005/8/layout/cycle8"/>
    <dgm:cxn modelId="{FAABFABB-21AC-4AAB-9C15-FC262E70EF64}" type="presOf" srcId="{9994CB26-4C64-4D7F-AC21-0111E5C1EDCB}" destId="{507F8930-0F71-44DC-8695-6DABEA88F79C}" srcOrd="1" destOrd="0" presId="urn:microsoft.com/office/officeart/2005/8/layout/cycle8"/>
    <dgm:cxn modelId="{5DE87A4C-A8A0-4D9B-AFE7-0B4EC649C6CF}" srcId="{2E629626-545B-45F8-91C7-8ECA83782490}" destId="{775B837A-318F-4206-9E51-37BA9B46A859}" srcOrd="3" destOrd="0" parTransId="{6FE07F6E-4600-4B35-884E-D93D1F84441D}" sibTransId="{EB69C00E-848B-4652-BEE8-DC2869886086}"/>
    <dgm:cxn modelId="{82941C1E-E7F1-45F5-B636-1E2F383B691C}" srcId="{2E629626-545B-45F8-91C7-8ECA83782490}" destId="{0121F438-BB27-41CC-A10D-7BF62D3C62CB}" srcOrd="2" destOrd="0" parTransId="{A10E0DF7-01E7-4231-864B-679228242055}" sibTransId="{05DDFCD4-6579-4F23-AA7F-C3A69D7997DF}"/>
    <dgm:cxn modelId="{8D32119F-CF98-4B7B-A560-C82B0F961C9C}" srcId="{2E629626-545B-45F8-91C7-8ECA83782490}" destId="{50C3AED9-DC6C-4007-A9B7-C9BB95BE36E9}" srcOrd="4" destOrd="0" parTransId="{507CD2D8-0192-4206-AAB3-DE1F1235CCCB}" sibTransId="{D51EFE33-744B-4377-B18D-683AFF978A46}"/>
    <dgm:cxn modelId="{F2155FC3-E373-459D-AB89-E6F7E4CE533A}" type="presOf" srcId="{9994CB26-4C64-4D7F-AC21-0111E5C1EDCB}" destId="{6443C60D-2A06-4B62-8E26-05157E521B60}" srcOrd="0" destOrd="0" presId="urn:microsoft.com/office/officeart/2005/8/layout/cycle8"/>
    <dgm:cxn modelId="{4977ED30-92D7-4E4E-BCCB-611503959724}" srcId="{2E629626-545B-45F8-91C7-8ECA83782490}" destId="{DF5BBD71-1B85-42C6-8AAD-5A614110AB86}" srcOrd="0" destOrd="0" parTransId="{269D3C46-8185-4144-AB54-4FF03D675052}" sibTransId="{22BBDD36-0065-4F96-8250-AFCCA0058D2A}"/>
    <dgm:cxn modelId="{10E3FF3D-B4E4-4DE6-BE26-A17613250E0F}" type="presOf" srcId="{50C3AED9-DC6C-4007-A9B7-C9BB95BE36E9}" destId="{D8F45001-CC24-40CF-822C-1B50C4F57918}" srcOrd="1" destOrd="0" presId="urn:microsoft.com/office/officeart/2005/8/layout/cycle8"/>
    <dgm:cxn modelId="{8CC6D511-3B68-442D-A928-1ED683C23009}" type="presOf" srcId="{311F991B-DCAD-4214-AA6D-FE8EABFB2A61}" destId="{A7B44D8C-4D5C-475D-8BEB-EA38B08221D5}" srcOrd="1" destOrd="0" presId="urn:microsoft.com/office/officeart/2005/8/layout/cycle8"/>
    <dgm:cxn modelId="{4DAB5C50-FBE4-4BC5-B6A6-E70C14FF00E3}" type="presParOf" srcId="{3EBB7ED6-1D92-45AF-9D59-392E10B19892}" destId="{A0A5E442-FC09-427F-8B06-07B4C32A3552}" srcOrd="0" destOrd="0" presId="urn:microsoft.com/office/officeart/2005/8/layout/cycle8"/>
    <dgm:cxn modelId="{6B8E7DD6-A9C3-47D1-8B90-93BAC2A02CC2}" type="presParOf" srcId="{3EBB7ED6-1D92-45AF-9D59-392E10B19892}" destId="{C0D134B8-5429-4EA5-AD3F-F954F2AB7B62}" srcOrd="1" destOrd="0" presId="urn:microsoft.com/office/officeart/2005/8/layout/cycle8"/>
    <dgm:cxn modelId="{6D990C51-1790-41E0-9623-CF0F8086F000}" type="presParOf" srcId="{3EBB7ED6-1D92-45AF-9D59-392E10B19892}" destId="{142A4213-2653-4CEA-B094-86FED3ACF1DB}" srcOrd="2" destOrd="0" presId="urn:microsoft.com/office/officeart/2005/8/layout/cycle8"/>
    <dgm:cxn modelId="{8CB71795-38DE-4682-88E8-C4E53EE2AFB3}" type="presParOf" srcId="{3EBB7ED6-1D92-45AF-9D59-392E10B19892}" destId="{FBA72669-727F-42E0-BF93-3EC80F555708}" srcOrd="3" destOrd="0" presId="urn:microsoft.com/office/officeart/2005/8/layout/cycle8"/>
    <dgm:cxn modelId="{4991CA9F-EFFD-4C09-9ABD-0F0A35F6E0F1}" type="presParOf" srcId="{3EBB7ED6-1D92-45AF-9D59-392E10B19892}" destId="{513055E5-E865-4EC5-AA79-569BC483A141}" srcOrd="4" destOrd="0" presId="urn:microsoft.com/office/officeart/2005/8/layout/cycle8"/>
    <dgm:cxn modelId="{E4A08E74-8CEC-431E-AB99-D7F10DC91C1F}" type="presParOf" srcId="{3EBB7ED6-1D92-45AF-9D59-392E10B19892}" destId="{FAADE5C6-1B4A-462C-9137-7F6C89C651D4}" srcOrd="5" destOrd="0" presId="urn:microsoft.com/office/officeart/2005/8/layout/cycle8"/>
    <dgm:cxn modelId="{1E559D9D-21EF-4A93-B624-2E87106EEDA0}" type="presParOf" srcId="{3EBB7ED6-1D92-45AF-9D59-392E10B19892}" destId="{F2453F31-19F3-4405-93D4-103E073F2768}" srcOrd="6" destOrd="0" presId="urn:microsoft.com/office/officeart/2005/8/layout/cycle8"/>
    <dgm:cxn modelId="{E9DEC6EB-1D1A-41D7-A806-3A0C292F944E}" type="presParOf" srcId="{3EBB7ED6-1D92-45AF-9D59-392E10B19892}" destId="{A7B44D8C-4D5C-475D-8BEB-EA38B08221D5}" srcOrd="7" destOrd="0" presId="urn:microsoft.com/office/officeart/2005/8/layout/cycle8"/>
    <dgm:cxn modelId="{A1B12F96-2782-4241-997E-227B7FFE15C4}" type="presParOf" srcId="{3EBB7ED6-1D92-45AF-9D59-392E10B19892}" destId="{3B287C53-737C-4FAC-9CB6-51572B07887A}" srcOrd="8" destOrd="0" presId="urn:microsoft.com/office/officeart/2005/8/layout/cycle8"/>
    <dgm:cxn modelId="{49CD4DF0-9BF1-4028-B38E-7AE485AE098E}" type="presParOf" srcId="{3EBB7ED6-1D92-45AF-9D59-392E10B19892}" destId="{2C8B3C07-3B63-44A7-97C1-A7243F132EA1}" srcOrd="9" destOrd="0" presId="urn:microsoft.com/office/officeart/2005/8/layout/cycle8"/>
    <dgm:cxn modelId="{F5C1F91F-5140-4412-8F12-879A47CE2DB3}" type="presParOf" srcId="{3EBB7ED6-1D92-45AF-9D59-392E10B19892}" destId="{7C7B8DC5-9F83-463B-B147-9D7FEBB4EC64}" srcOrd="10" destOrd="0" presId="urn:microsoft.com/office/officeart/2005/8/layout/cycle8"/>
    <dgm:cxn modelId="{45B99E13-3E89-45FE-BD6B-4597CD9224BE}" type="presParOf" srcId="{3EBB7ED6-1D92-45AF-9D59-392E10B19892}" destId="{41E0189B-B22A-477D-86C3-B5A7A17D1A47}" srcOrd="11" destOrd="0" presId="urn:microsoft.com/office/officeart/2005/8/layout/cycle8"/>
    <dgm:cxn modelId="{C086BFCE-F650-4191-B6E5-7842234AA810}" type="presParOf" srcId="{3EBB7ED6-1D92-45AF-9D59-392E10B19892}" destId="{297B36DC-19CB-4371-AF05-29532A937FFE}" srcOrd="12" destOrd="0" presId="urn:microsoft.com/office/officeart/2005/8/layout/cycle8"/>
    <dgm:cxn modelId="{AB8AA568-999E-44BE-A7D1-FF86D7B4064E}" type="presParOf" srcId="{3EBB7ED6-1D92-45AF-9D59-392E10B19892}" destId="{4995F6DE-086D-4335-BEFF-9A3662D30B8C}" srcOrd="13" destOrd="0" presId="urn:microsoft.com/office/officeart/2005/8/layout/cycle8"/>
    <dgm:cxn modelId="{843D7219-784D-4F60-8D8C-C8AAFA2DD26E}" type="presParOf" srcId="{3EBB7ED6-1D92-45AF-9D59-392E10B19892}" destId="{E7B3A17D-F50B-4028-A525-0D456D5D2AE0}" srcOrd="14" destOrd="0" presId="urn:microsoft.com/office/officeart/2005/8/layout/cycle8"/>
    <dgm:cxn modelId="{056F44A9-84A3-4E24-A07C-7B37C465D9A6}" type="presParOf" srcId="{3EBB7ED6-1D92-45AF-9D59-392E10B19892}" destId="{759EA840-6ABE-449F-B83F-8B6BCADDEBB9}" srcOrd="15" destOrd="0" presId="urn:microsoft.com/office/officeart/2005/8/layout/cycle8"/>
    <dgm:cxn modelId="{B9A14275-031F-46DF-9BD5-651FB8E03B65}" type="presParOf" srcId="{3EBB7ED6-1D92-45AF-9D59-392E10B19892}" destId="{9BC06F29-4876-4A73-9BA3-D74D35C58ACA}" srcOrd="16" destOrd="0" presId="urn:microsoft.com/office/officeart/2005/8/layout/cycle8"/>
    <dgm:cxn modelId="{75BC577A-5C60-41B5-B30C-35C2CC538E25}" type="presParOf" srcId="{3EBB7ED6-1D92-45AF-9D59-392E10B19892}" destId="{8BBB0736-84BF-4A58-BB9D-4EED37213FDA}" srcOrd="17" destOrd="0" presId="urn:microsoft.com/office/officeart/2005/8/layout/cycle8"/>
    <dgm:cxn modelId="{FAF4A440-2EA4-4A7F-8994-2156DE6C4AF5}" type="presParOf" srcId="{3EBB7ED6-1D92-45AF-9D59-392E10B19892}" destId="{7B33386F-D3D9-4B5E-A9DE-A4D0160BA28E}" srcOrd="18" destOrd="0" presId="urn:microsoft.com/office/officeart/2005/8/layout/cycle8"/>
    <dgm:cxn modelId="{4C75705F-4220-40D3-BD07-21D5B7ED744C}" type="presParOf" srcId="{3EBB7ED6-1D92-45AF-9D59-392E10B19892}" destId="{D8F45001-CC24-40CF-822C-1B50C4F57918}" srcOrd="19" destOrd="0" presId="urn:microsoft.com/office/officeart/2005/8/layout/cycle8"/>
    <dgm:cxn modelId="{24593453-6DC1-4137-925A-0720A63B3129}" type="presParOf" srcId="{3EBB7ED6-1D92-45AF-9D59-392E10B19892}" destId="{6443C60D-2A06-4B62-8E26-05157E521B60}" srcOrd="20" destOrd="0" presId="urn:microsoft.com/office/officeart/2005/8/layout/cycle8"/>
    <dgm:cxn modelId="{674EA10E-B6CF-4AFC-A4A2-A86FC19E0BE2}" type="presParOf" srcId="{3EBB7ED6-1D92-45AF-9D59-392E10B19892}" destId="{FA2E9BE2-A73C-4F1E-8907-988FFE331AB7}" srcOrd="21" destOrd="0" presId="urn:microsoft.com/office/officeart/2005/8/layout/cycle8"/>
    <dgm:cxn modelId="{90CCA116-EE8C-42A4-AA42-AED8D1DD465A}" type="presParOf" srcId="{3EBB7ED6-1D92-45AF-9D59-392E10B19892}" destId="{942ADA5A-D93D-46C3-B067-445B788ABC61}" srcOrd="22" destOrd="0" presId="urn:microsoft.com/office/officeart/2005/8/layout/cycle8"/>
    <dgm:cxn modelId="{980EFF89-C31B-430F-B389-EC7DB9334331}" type="presParOf" srcId="{3EBB7ED6-1D92-45AF-9D59-392E10B19892}" destId="{507F8930-0F71-44DC-8695-6DABEA88F79C}" srcOrd="23" destOrd="0" presId="urn:microsoft.com/office/officeart/2005/8/layout/cycle8"/>
    <dgm:cxn modelId="{81C83AAE-A8E9-4695-A6D9-12FA0EB8B336}" type="presParOf" srcId="{3EBB7ED6-1D92-45AF-9D59-392E10B19892}" destId="{544E1428-B9A9-48B7-8EE7-BDE3B16055A2}" srcOrd="24" destOrd="0" presId="urn:microsoft.com/office/officeart/2005/8/layout/cycle8"/>
    <dgm:cxn modelId="{93832666-7F8C-4164-B552-AF5A06309CBE}" type="presParOf" srcId="{3EBB7ED6-1D92-45AF-9D59-392E10B19892}" destId="{05A6BCE1-2F58-410F-B4F8-A2FF95EB129F}" srcOrd="25" destOrd="0" presId="urn:microsoft.com/office/officeart/2005/8/layout/cycle8"/>
    <dgm:cxn modelId="{6E210995-E742-4CC3-B799-27628AA732DC}" type="presParOf" srcId="{3EBB7ED6-1D92-45AF-9D59-392E10B19892}" destId="{777D121C-A85D-4957-9972-3BF2C609F7C8}" srcOrd="26" destOrd="0" presId="urn:microsoft.com/office/officeart/2005/8/layout/cycle8"/>
    <dgm:cxn modelId="{09DD4AF2-1D40-4F8B-8A8D-65FBD6A42FDA}" type="presParOf" srcId="{3EBB7ED6-1D92-45AF-9D59-392E10B19892}" destId="{AAB98E2E-49D4-492A-8BAD-3549961A9D68}" srcOrd="27" destOrd="0" presId="urn:microsoft.com/office/officeart/2005/8/layout/cycle8"/>
    <dgm:cxn modelId="{456B272E-3FF6-4771-9507-1E0460227810}" type="presParOf" srcId="{3EBB7ED6-1D92-45AF-9D59-392E10B19892}" destId="{E39DDBD8-948A-40A9-83BE-B16951F67BFF}" srcOrd="28" destOrd="0" presId="urn:microsoft.com/office/officeart/2005/8/layout/cycle8"/>
    <dgm:cxn modelId="{506822E0-28E2-43B2-90CE-090337CC7447}" type="presParOf" srcId="{3EBB7ED6-1D92-45AF-9D59-392E10B19892}" destId="{DF944030-E475-45B7-A473-5EF3DF23392B}" srcOrd="29" destOrd="0" presId="urn:microsoft.com/office/officeart/2005/8/layout/cycle8"/>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E629626-545B-45F8-91C7-8ECA83782490}"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es-MX"/>
        </a:p>
      </dgm:t>
    </dgm:pt>
    <dgm:pt modelId="{482C3F2D-B2C5-4D54-A11E-7277BBA15557}">
      <dgm:prSet custT="1"/>
      <dgm:spPr/>
      <dgm:t>
        <a:bodyPr/>
        <a:lstStyle/>
        <a:p>
          <a:pPr algn="ctr"/>
          <a:r>
            <a:rPr lang="es-MX" sz="1200">
              <a:latin typeface="Times New Roman" panose="02020603050405020304" pitchFamily="18" charset="0"/>
              <a:cs typeface="Times New Roman" panose="02020603050405020304" pitchFamily="18" charset="0"/>
            </a:rPr>
            <a:t>Propuesta Central</a:t>
          </a:r>
        </a:p>
      </dgm:t>
    </dgm:pt>
    <dgm:pt modelId="{C27703FC-9D14-44EC-BD6D-8ABED9416559}" type="parTrans" cxnId="{CBA80943-A68C-4632-8E38-71A1DE714B3B}">
      <dgm:prSet/>
      <dgm:spPr/>
      <dgm:t>
        <a:bodyPr/>
        <a:lstStyle/>
        <a:p>
          <a:pPr algn="ctr"/>
          <a:endParaRPr lang="es-MX" sz="1200">
            <a:latin typeface="Times New Roman" panose="02020603050405020304" pitchFamily="18" charset="0"/>
            <a:cs typeface="Times New Roman" panose="02020603050405020304" pitchFamily="18" charset="0"/>
          </a:endParaRPr>
        </a:p>
      </dgm:t>
    </dgm:pt>
    <dgm:pt modelId="{020167C0-5B93-42CD-A72C-5D52F7338748}" type="sibTrans" cxnId="{CBA80943-A68C-4632-8E38-71A1DE714B3B}">
      <dgm:prSet/>
      <dgm:spPr/>
      <dgm:t>
        <a:bodyPr/>
        <a:lstStyle/>
        <a:p>
          <a:pPr algn="ctr"/>
          <a:endParaRPr lang="es-MX" sz="1200">
            <a:latin typeface="Times New Roman" panose="02020603050405020304" pitchFamily="18" charset="0"/>
            <a:cs typeface="Times New Roman" panose="02020603050405020304" pitchFamily="18" charset="0"/>
          </a:endParaRPr>
        </a:p>
      </dgm:t>
    </dgm:pt>
    <dgm:pt modelId="{DD647AB0-005C-4596-9612-61039D05CC49}">
      <dgm:prSet custT="1"/>
      <dgm:spPr/>
      <dgm:t>
        <a:bodyPr/>
        <a:lstStyle/>
        <a:p>
          <a:pPr algn="ctr"/>
          <a:r>
            <a:rPr lang="es-MX" sz="1200" i="1">
              <a:latin typeface="Times New Roman" panose="02020603050405020304" pitchFamily="18" charset="0"/>
              <a:cs typeface="Times New Roman" panose="02020603050405020304" pitchFamily="18" charset="0"/>
            </a:rPr>
            <a:t>“Reducimos tiempos, costos y riesgos de tus operaciones de comercio exterior mediante una solución aduanera integral, sustentable y de alta trazabilidad.”</a:t>
          </a:r>
          <a:endParaRPr lang="es-MX" sz="1200">
            <a:latin typeface="Times New Roman" panose="02020603050405020304" pitchFamily="18" charset="0"/>
            <a:cs typeface="Times New Roman" panose="02020603050405020304" pitchFamily="18" charset="0"/>
          </a:endParaRPr>
        </a:p>
      </dgm:t>
    </dgm:pt>
    <dgm:pt modelId="{080E1D36-98B7-41C8-9ADD-E4ECE8B06F34}" type="parTrans" cxnId="{1B90BEE4-F17C-42FF-9D80-4C30014AA4AC}">
      <dgm:prSet/>
      <dgm:spPr/>
      <dgm:t>
        <a:bodyPr/>
        <a:lstStyle/>
        <a:p>
          <a:pPr algn="ctr"/>
          <a:endParaRPr lang="es-MX" sz="1200">
            <a:latin typeface="Times New Roman" panose="02020603050405020304" pitchFamily="18" charset="0"/>
            <a:cs typeface="Times New Roman" panose="02020603050405020304" pitchFamily="18" charset="0"/>
          </a:endParaRPr>
        </a:p>
      </dgm:t>
    </dgm:pt>
    <dgm:pt modelId="{65940EB6-545B-4BFE-9AA6-1E9DC9F32E61}" type="sibTrans" cxnId="{1B90BEE4-F17C-42FF-9D80-4C30014AA4AC}">
      <dgm:prSet/>
      <dgm:spPr/>
      <dgm:t>
        <a:bodyPr/>
        <a:lstStyle/>
        <a:p>
          <a:pPr algn="ctr"/>
          <a:endParaRPr lang="es-MX" sz="1200">
            <a:latin typeface="Times New Roman" panose="02020603050405020304" pitchFamily="18" charset="0"/>
            <a:cs typeface="Times New Roman" panose="02020603050405020304" pitchFamily="18" charset="0"/>
          </a:endParaRPr>
        </a:p>
      </dgm:t>
    </dgm:pt>
    <dgm:pt modelId="{9165DCD2-4E41-4500-BB84-1D82D45DA0B2}" type="pres">
      <dgm:prSet presAssocID="{2E629626-545B-45F8-91C7-8ECA83782490}" presName="linear" presStyleCnt="0">
        <dgm:presLayoutVars>
          <dgm:dir/>
          <dgm:animLvl val="lvl"/>
          <dgm:resizeHandles val="exact"/>
        </dgm:presLayoutVars>
      </dgm:prSet>
      <dgm:spPr/>
      <dgm:t>
        <a:bodyPr/>
        <a:lstStyle/>
        <a:p>
          <a:endParaRPr lang="es-AR"/>
        </a:p>
      </dgm:t>
    </dgm:pt>
    <dgm:pt modelId="{EA306281-2CFF-4548-B5F4-5DC61C4517E5}" type="pres">
      <dgm:prSet presAssocID="{482C3F2D-B2C5-4D54-A11E-7277BBA15557}" presName="parentLin" presStyleCnt="0"/>
      <dgm:spPr/>
    </dgm:pt>
    <dgm:pt modelId="{B3A925C5-9890-44FE-AF5B-EED3C729CA14}" type="pres">
      <dgm:prSet presAssocID="{482C3F2D-B2C5-4D54-A11E-7277BBA15557}" presName="parentLeftMargin" presStyleLbl="node1" presStyleIdx="0" presStyleCnt="1"/>
      <dgm:spPr/>
      <dgm:t>
        <a:bodyPr/>
        <a:lstStyle/>
        <a:p>
          <a:endParaRPr lang="es-AR"/>
        </a:p>
      </dgm:t>
    </dgm:pt>
    <dgm:pt modelId="{1DCA7394-808B-4E5E-B29B-421B7A3F7AB3}" type="pres">
      <dgm:prSet presAssocID="{482C3F2D-B2C5-4D54-A11E-7277BBA15557}" presName="parentText" presStyleLbl="node1" presStyleIdx="0" presStyleCnt="1">
        <dgm:presLayoutVars>
          <dgm:chMax val="0"/>
          <dgm:bulletEnabled val="1"/>
        </dgm:presLayoutVars>
      </dgm:prSet>
      <dgm:spPr/>
      <dgm:t>
        <a:bodyPr/>
        <a:lstStyle/>
        <a:p>
          <a:endParaRPr lang="es-AR"/>
        </a:p>
      </dgm:t>
    </dgm:pt>
    <dgm:pt modelId="{6CA85412-61D4-4B33-AA02-D90B652408DB}" type="pres">
      <dgm:prSet presAssocID="{482C3F2D-B2C5-4D54-A11E-7277BBA15557}" presName="negativeSpace" presStyleCnt="0"/>
      <dgm:spPr/>
    </dgm:pt>
    <dgm:pt modelId="{8868AAC1-F0CB-4F19-939E-44B58C869681}" type="pres">
      <dgm:prSet presAssocID="{482C3F2D-B2C5-4D54-A11E-7277BBA15557}" presName="childText" presStyleLbl="conFgAcc1" presStyleIdx="0" presStyleCnt="1">
        <dgm:presLayoutVars>
          <dgm:bulletEnabled val="1"/>
        </dgm:presLayoutVars>
      </dgm:prSet>
      <dgm:spPr/>
      <dgm:t>
        <a:bodyPr/>
        <a:lstStyle/>
        <a:p>
          <a:endParaRPr lang="es-AR"/>
        </a:p>
      </dgm:t>
    </dgm:pt>
  </dgm:ptLst>
  <dgm:cxnLst>
    <dgm:cxn modelId="{CECCCF46-7D36-4235-8CF8-FDB7878FF911}" type="presOf" srcId="{482C3F2D-B2C5-4D54-A11E-7277BBA15557}" destId="{1DCA7394-808B-4E5E-B29B-421B7A3F7AB3}" srcOrd="1" destOrd="0" presId="urn:microsoft.com/office/officeart/2005/8/layout/list1"/>
    <dgm:cxn modelId="{1B90BEE4-F17C-42FF-9D80-4C30014AA4AC}" srcId="{482C3F2D-B2C5-4D54-A11E-7277BBA15557}" destId="{DD647AB0-005C-4596-9612-61039D05CC49}" srcOrd="0" destOrd="0" parTransId="{080E1D36-98B7-41C8-9ADD-E4ECE8B06F34}" sibTransId="{65940EB6-545B-4BFE-9AA6-1E9DC9F32E61}"/>
    <dgm:cxn modelId="{B551F0E8-192B-4921-9332-7138731F024C}" type="presOf" srcId="{2E629626-545B-45F8-91C7-8ECA83782490}" destId="{9165DCD2-4E41-4500-BB84-1D82D45DA0B2}" srcOrd="0" destOrd="0" presId="urn:microsoft.com/office/officeart/2005/8/layout/list1"/>
    <dgm:cxn modelId="{51285ABD-C98F-46B6-BD50-817DE3DD5FC5}" type="presOf" srcId="{DD647AB0-005C-4596-9612-61039D05CC49}" destId="{8868AAC1-F0CB-4F19-939E-44B58C869681}" srcOrd="0" destOrd="0" presId="urn:microsoft.com/office/officeart/2005/8/layout/list1"/>
    <dgm:cxn modelId="{CBA80943-A68C-4632-8E38-71A1DE714B3B}" srcId="{2E629626-545B-45F8-91C7-8ECA83782490}" destId="{482C3F2D-B2C5-4D54-A11E-7277BBA15557}" srcOrd="0" destOrd="0" parTransId="{C27703FC-9D14-44EC-BD6D-8ABED9416559}" sibTransId="{020167C0-5B93-42CD-A72C-5D52F7338748}"/>
    <dgm:cxn modelId="{25C526F1-5277-49BA-ACDC-6FE43FEB8FED}" type="presOf" srcId="{482C3F2D-B2C5-4D54-A11E-7277BBA15557}" destId="{B3A925C5-9890-44FE-AF5B-EED3C729CA14}" srcOrd="0" destOrd="0" presId="urn:microsoft.com/office/officeart/2005/8/layout/list1"/>
    <dgm:cxn modelId="{6DE8D4AF-149D-4958-BC37-C8EE48D7BFEF}" type="presParOf" srcId="{9165DCD2-4E41-4500-BB84-1D82D45DA0B2}" destId="{EA306281-2CFF-4548-B5F4-5DC61C4517E5}" srcOrd="0" destOrd="0" presId="urn:microsoft.com/office/officeart/2005/8/layout/list1"/>
    <dgm:cxn modelId="{F49F4F8A-09F7-4250-82E6-9480951F8245}" type="presParOf" srcId="{EA306281-2CFF-4548-B5F4-5DC61C4517E5}" destId="{B3A925C5-9890-44FE-AF5B-EED3C729CA14}" srcOrd="0" destOrd="0" presId="urn:microsoft.com/office/officeart/2005/8/layout/list1"/>
    <dgm:cxn modelId="{13003F42-2896-4DB9-8C70-23B6D58E942F}" type="presParOf" srcId="{EA306281-2CFF-4548-B5F4-5DC61C4517E5}" destId="{1DCA7394-808B-4E5E-B29B-421B7A3F7AB3}" srcOrd="1" destOrd="0" presId="urn:microsoft.com/office/officeart/2005/8/layout/list1"/>
    <dgm:cxn modelId="{161D9EF4-79A2-494E-85D5-4A7A9A08F9A4}" type="presParOf" srcId="{9165DCD2-4E41-4500-BB84-1D82D45DA0B2}" destId="{6CA85412-61D4-4B33-AA02-D90B652408DB}" srcOrd="1" destOrd="0" presId="urn:microsoft.com/office/officeart/2005/8/layout/list1"/>
    <dgm:cxn modelId="{FB2A3F90-AB00-4130-B691-5069C1805DD9}" type="presParOf" srcId="{9165DCD2-4E41-4500-BB84-1D82D45DA0B2}" destId="{8868AAC1-F0CB-4F19-939E-44B58C869681}" srcOrd="2" destOrd="0" presId="urn:microsoft.com/office/officeart/2005/8/layout/list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497783D-1B62-43AB-8D58-D126D821BB06}" type="doc">
      <dgm:prSet loTypeId="urn:microsoft.com/office/officeart/2005/8/layout/target2" loCatId="relationship" qsTypeId="urn:microsoft.com/office/officeart/2005/8/quickstyle/simple1" qsCatId="simple" csTypeId="urn:microsoft.com/office/officeart/2005/8/colors/accent1_2" csCatId="accent1" phldr="1"/>
      <dgm:spPr/>
      <dgm:t>
        <a:bodyPr/>
        <a:lstStyle/>
        <a:p>
          <a:endParaRPr lang="es-MX"/>
        </a:p>
      </dgm:t>
    </dgm:pt>
    <dgm:pt modelId="{4D824C51-9EF0-4987-937B-BA5E25FE7B2F}">
      <dgm:prSet phldrT="[Texto]" custT="1"/>
      <dgm:spPr/>
      <dgm:t>
        <a:bodyPr/>
        <a:lstStyle/>
        <a:p>
          <a:pPr algn="ctr"/>
          <a:r>
            <a:rPr lang="es-MX" sz="2000" b="1">
              <a:latin typeface="Times New Roman" panose="02020603050405020304" pitchFamily="18" charset="0"/>
              <a:cs typeface="Times New Roman" panose="02020603050405020304" pitchFamily="18" charset="0"/>
            </a:rPr>
            <a:t>Propuesta de Valor para </a:t>
          </a:r>
          <a:br>
            <a:rPr lang="es-MX" sz="2000" b="1">
              <a:latin typeface="Times New Roman" panose="02020603050405020304" pitchFamily="18" charset="0"/>
              <a:cs typeface="Times New Roman" panose="02020603050405020304" pitchFamily="18" charset="0"/>
            </a:rPr>
          </a:br>
          <a:r>
            <a:rPr lang="es-MX" sz="2000" b="1">
              <a:latin typeface="Times New Roman" panose="02020603050405020304" pitchFamily="18" charset="0"/>
              <a:cs typeface="Times New Roman" panose="02020603050405020304" pitchFamily="18" charset="0"/>
            </a:rPr>
            <a:t>nuestros Cientes</a:t>
          </a:r>
          <a:endParaRPr lang="es-MX" sz="2800" b="1">
            <a:latin typeface="Times New Roman" panose="02020603050405020304" pitchFamily="18" charset="0"/>
            <a:cs typeface="Times New Roman" panose="02020603050405020304" pitchFamily="18" charset="0"/>
          </a:endParaRPr>
        </a:p>
      </dgm:t>
    </dgm:pt>
    <dgm:pt modelId="{07E23F8A-E85A-4D22-B4E1-2F360FFABE81}" type="parTrans" cxnId="{0EA7A48C-C426-4A0A-A165-48FA3C354F52}">
      <dgm:prSet/>
      <dgm:spPr/>
      <dgm:t>
        <a:bodyPr/>
        <a:lstStyle/>
        <a:p>
          <a:endParaRPr lang="es-MX" sz="1200">
            <a:latin typeface="Times New Roman" panose="02020603050405020304" pitchFamily="18" charset="0"/>
            <a:cs typeface="Times New Roman" panose="02020603050405020304" pitchFamily="18" charset="0"/>
          </a:endParaRPr>
        </a:p>
      </dgm:t>
    </dgm:pt>
    <dgm:pt modelId="{75FAC616-C4E8-45F2-8958-7C24E544BBE1}" type="sibTrans" cxnId="{0EA7A48C-C426-4A0A-A165-48FA3C354F52}">
      <dgm:prSet/>
      <dgm:spPr/>
      <dgm:t>
        <a:bodyPr/>
        <a:lstStyle/>
        <a:p>
          <a:endParaRPr lang="es-MX" sz="1200">
            <a:latin typeface="Times New Roman" panose="02020603050405020304" pitchFamily="18" charset="0"/>
            <a:cs typeface="Times New Roman" panose="02020603050405020304" pitchFamily="18" charset="0"/>
          </a:endParaRPr>
        </a:p>
      </dgm:t>
    </dgm:pt>
    <dgm:pt modelId="{7CB13DA2-7C9E-4579-87E4-E08273A874C2}">
      <dgm:prSet phldrT="[Texto]" custT="1"/>
      <dgm:spPr/>
      <dgm:t>
        <a:bodyPr/>
        <a:lstStyle/>
        <a:p>
          <a:r>
            <a:rPr lang="es-MX" sz="1100">
              <a:latin typeface="Times New Roman" panose="02020603050405020304" pitchFamily="18" charset="0"/>
              <a:cs typeface="Times New Roman" panose="02020603050405020304" pitchFamily="18" charset="0"/>
            </a:rPr>
            <a:t>Reducción del </a:t>
          </a:r>
          <a:br>
            <a:rPr lang="es-MX" sz="1100">
              <a:latin typeface="Times New Roman" panose="02020603050405020304" pitchFamily="18" charset="0"/>
              <a:cs typeface="Times New Roman" panose="02020603050405020304" pitchFamily="18" charset="0"/>
            </a:rPr>
          </a:br>
          <a:r>
            <a:rPr lang="es-MX" sz="1100" b="1">
              <a:latin typeface="Times New Roman" panose="02020603050405020304" pitchFamily="18" charset="0"/>
              <a:cs typeface="Times New Roman" panose="02020603050405020304" pitchFamily="18" charset="0"/>
            </a:rPr>
            <a:t>20–30 % en tiempos</a:t>
          </a:r>
          <a:r>
            <a:rPr lang="es-MX" sz="1100">
              <a:latin typeface="Times New Roman" panose="02020603050405020304" pitchFamily="18" charset="0"/>
              <a:cs typeface="Times New Roman" panose="02020603050405020304" pitchFamily="18" charset="0"/>
            </a:rPr>
            <a:t> y costos asociados a operaciones aduaneras.</a:t>
          </a:r>
        </a:p>
      </dgm:t>
    </dgm:pt>
    <dgm:pt modelId="{B87C8111-263E-4238-8B40-207B177B14F4}" type="parTrans" cxnId="{5B17C06C-C14D-4BDE-8FCF-042C5005E780}">
      <dgm:prSet/>
      <dgm:spPr/>
      <dgm:t>
        <a:bodyPr/>
        <a:lstStyle/>
        <a:p>
          <a:endParaRPr lang="es-MX" sz="1200">
            <a:latin typeface="Times New Roman" panose="02020603050405020304" pitchFamily="18" charset="0"/>
            <a:cs typeface="Times New Roman" panose="02020603050405020304" pitchFamily="18" charset="0"/>
          </a:endParaRPr>
        </a:p>
      </dgm:t>
    </dgm:pt>
    <dgm:pt modelId="{5D53E100-76A6-41E2-8069-5DD9F9B9B10B}" type="sibTrans" cxnId="{5B17C06C-C14D-4BDE-8FCF-042C5005E780}">
      <dgm:prSet/>
      <dgm:spPr/>
      <dgm:t>
        <a:bodyPr/>
        <a:lstStyle/>
        <a:p>
          <a:endParaRPr lang="es-MX" sz="1200">
            <a:latin typeface="Times New Roman" panose="02020603050405020304" pitchFamily="18" charset="0"/>
            <a:cs typeface="Times New Roman" panose="02020603050405020304" pitchFamily="18" charset="0"/>
          </a:endParaRPr>
        </a:p>
      </dgm:t>
    </dgm:pt>
    <dgm:pt modelId="{92A176E2-7EBA-4CCA-AFEE-D8ACB906CA28}">
      <dgm:prSet phldrT="[Texto]" custT="1"/>
      <dgm:spPr/>
      <dgm:t>
        <a:bodyPr/>
        <a:lstStyle/>
        <a:p>
          <a:r>
            <a:rPr lang="es-MX" sz="1100">
              <a:latin typeface="Times New Roman" panose="02020603050405020304" pitchFamily="18" charset="0"/>
              <a:cs typeface="Times New Roman" panose="02020603050405020304" pitchFamily="18" charset="0"/>
            </a:rPr>
            <a:t>Mejor trazabilidad </a:t>
          </a:r>
          <a:br>
            <a:rPr lang="es-MX" sz="1100">
              <a:latin typeface="Times New Roman" panose="02020603050405020304" pitchFamily="18" charset="0"/>
              <a:cs typeface="Times New Roman" panose="02020603050405020304" pitchFamily="18" charset="0"/>
            </a:rPr>
          </a:br>
          <a:r>
            <a:rPr lang="es-MX" sz="1100">
              <a:latin typeface="Times New Roman" panose="02020603050405020304" pitchFamily="18" charset="0"/>
              <a:cs typeface="Times New Roman" panose="02020603050405020304" pitchFamily="18" charset="0"/>
            </a:rPr>
            <a:t>y disminución de errores administrativos. </a:t>
          </a:r>
        </a:p>
      </dgm:t>
    </dgm:pt>
    <dgm:pt modelId="{4FA9FEE6-87A3-4F2E-9B97-0E3F031A37F1}" type="parTrans" cxnId="{C2B2BAEB-0BB4-41FE-8890-2033F752CA66}">
      <dgm:prSet/>
      <dgm:spPr/>
      <dgm:t>
        <a:bodyPr/>
        <a:lstStyle/>
        <a:p>
          <a:endParaRPr lang="es-MX" sz="1200">
            <a:latin typeface="Times New Roman" panose="02020603050405020304" pitchFamily="18" charset="0"/>
            <a:cs typeface="Times New Roman" panose="02020603050405020304" pitchFamily="18" charset="0"/>
          </a:endParaRPr>
        </a:p>
      </dgm:t>
    </dgm:pt>
    <dgm:pt modelId="{5B5F6EDF-E666-4128-AB1C-5D9CC0671747}" type="sibTrans" cxnId="{C2B2BAEB-0BB4-41FE-8890-2033F752CA66}">
      <dgm:prSet/>
      <dgm:spPr/>
      <dgm:t>
        <a:bodyPr/>
        <a:lstStyle/>
        <a:p>
          <a:endParaRPr lang="es-MX" sz="1200">
            <a:latin typeface="Times New Roman" panose="02020603050405020304" pitchFamily="18" charset="0"/>
            <a:cs typeface="Times New Roman" panose="02020603050405020304" pitchFamily="18" charset="0"/>
          </a:endParaRPr>
        </a:p>
      </dgm:t>
    </dgm:pt>
    <dgm:pt modelId="{06476DE5-022D-48DE-908F-DE9EF1E73DAB}">
      <dgm:prSet phldrT="[Texto]" custT="1"/>
      <dgm:spPr/>
      <dgm:t>
        <a:bodyPr/>
        <a:lstStyle/>
        <a:p>
          <a:r>
            <a:rPr lang="es-MX" sz="1100">
              <a:latin typeface="Times New Roman" panose="02020603050405020304" pitchFamily="18" charset="0"/>
              <a:cs typeface="Times New Roman" panose="02020603050405020304" pitchFamily="18" charset="0"/>
            </a:rPr>
            <a:t>Mayor seguridad, menos desvíos y menos costos de estadía/almacenaje en puertos. </a:t>
          </a:r>
        </a:p>
      </dgm:t>
    </dgm:pt>
    <dgm:pt modelId="{500ED9DF-8CDB-447C-91D0-36BE1462BA40}" type="parTrans" cxnId="{D21D5534-11EB-47A8-97FB-D05159F95E3C}">
      <dgm:prSet/>
      <dgm:spPr/>
      <dgm:t>
        <a:bodyPr/>
        <a:lstStyle/>
        <a:p>
          <a:endParaRPr lang="es-MX" sz="1200">
            <a:latin typeface="Times New Roman" panose="02020603050405020304" pitchFamily="18" charset="0"/>
            <a:cs typeface="Times New Roman" panose="02020603050405020304" pitchFamily="18" charset="0"/>
          </a:endParaRPr>
        </a:p>
      </dgm:t>
    </dgm:pt>
    <dgm:pt modelId="{ADB38A01-5DCE-4A61-B720-8E56E60FE986}" type="sibTrans" cxnId="{D21D5534-11EB-47A8-97FB-D05159F95E3C}">
      <dgm:prSet/>
      <dgm:spPr/>
      <dgm:t>
        <a:bodyPr/>
        <a:lstStyle/>
        <a:p>
          <a:endParaRPr lang="es-MX" sz="1200">
            <a:latin typeface="Times New Roman" panose="02020603050405020304" pitchFamily="18" charset="0"/>
            <a:cs typeface="Times New Roman" panose="02020603050405020304" pitchFamily="18" charset="0"/>
          </a:endParaRPr>
        </a:p>
      </dgm:t>
    </dgm:pt>
    <dgm:pt modelId="{014C0FBF-A4E7-4774-BB81-0B803F5E1698}">
      <dgm:prSet phldrT="[Texto]" custT="1"/>
      <dgm:spPr/>
      <dgm:t>
        <a:bodyPr/>
        <a:lstStyle/>
        <a:p>
          <a:r>
            <a:rPr lang="es-MX" sz="1100">
              <a:latin typeface="Times New Roman" panose="02020603050405020304" pitchFamily="18" charset="0"/>
              <a:cs typeface="Times New Roman" panose="02020603050405020304" pitchFamily="18" charset="0"/>
            </a:rPr>
            <a:t>Un único operador responsable </a:t>
          </a:r>
          <a:br>
            <a:rPr lang="es-MX" sz="1100">
              <a:latin typeface="Times New Roman" panose="02020603050405020304" pitchFamily="18" charset="0"/>
              <a:cs typeface="Times New Roman" panose="02020603050405020304" pitchFamily="18" charset="0"/>
            </a:rPr>
          </a:br>
          <a:r>
            <a:rPr lang="es-MX" sz="1100">
              <a:latin typeface="Times New Roman" panose="02020603050405020304" pitchFamily="18" charset="0"/>
              <a:cs typeface="Times New Roman" panose="02020603050405020304" pitchFamily="18" charset="0"/>
            </a:rPr>
            <a:t>(one-stop-&lt;shop).</a:t>
          </a:r>
        </a:p>
      </dgm:t>
    </dgm:pt>
    <dgm:pt modelId="{F5FA8416-5D7E-41ED-83A9-E7BB85E29CFE}" type="parTrans" cxnId="{5D2CB783-4B6D-4615-8B97-235C9FCDC432}">
      <dgm:prSet/>
      <dgm:spPr/>
      <dgm:t>
        <a:bodyPr/>
        <a:lstStyle/>
        <a:p>
          <a:endParaRPr lang="es-MX" sz="1200">
            <a:latin typeface="Times New Roman" panose="02020603050405020304" pitchFamily="18" charset="0"/>
            <a:cs typeface="Times New Roman" panose="02020603050405020304" pitchFamily="18" charset="0"/>
          </a:endParaRPr>
        </a:p>
      </dgm:t>
    </dgm:pt>
    <dgm:pt modelId="{5B180875-B22F-422C-8A73-C9CCA46177E8}" type="sibTrans" cxnId="{5D2CB783-4B6D-4615-8B97-235C9FCDC432}">
      <dgm:prSet/>
      <dgm:spPr/>
      <dgm:t>
        <a:bodyPr/>
        <a:lstStyle/>
        <a:p>
          <a:endParaRPr lang="es-MX" sz="1200">
            <a:latin typeface="Times New Roman" panose="02020603050405020304" pitchFamily="18" charset="0"/>
            <a:cs typeface="Times New Roman" panose="02020603050405020304" pitchFamily="18" charset="0"/>
          </a:endParaRPr>
        </a:p>
      </dgm:t>
    </dgm:pt>
    <dgm:pt modelId="{B0574621-16C3-48B9-B11A-85D8026D375F}" type="pres">
      <dgm:prSet presAssocID="{1497783D-1B62-43AB-8D58-D126D821BB06}" presName="Name0" presStyleCnt="0">
        <dgm:presLayoutVars>
          <dgm:chMax val="3"/>
          <dgm:chPref val="1"/>
          <dgm:dir/>
          <dgm:animLvl val="lvl"/>
          <dgm:resizeHandles/>
        </dgm:presLayoutVars>
      </dgm:prSet>
      <dgm:spPr/>
      <dgm:t>
        <a:bodyPr/>
        <a:lstStyle/>
        <a:p>
          <a:endParaRPr lang="es-AR"/>
        </a:p>
      </dgm:t>
    </dgm:pt>
    <dgm:pt modelId="{C0D1098D-44B8-4909-ABC2-235C53699A36}" type="pres">
      <dgm:prSet presAssocID="{1497783D-1B62-43AB-8D58-D126D821BB06}" presName="outerBox" presStyleCnt="0"/>
      <dgm:spPr/>
    </dgm:pt>
    <dgm:pt modelId="{1A924245-381B-4841-AB0F-30ACEE24C434}" type="pres">
      <dgm:prSet presAssocID="{1497783D-1B62-43AB-8D58-D126D821BB06}" presName="outerBoxParent" presStyleLbl="node1" presStyleIdx="0" presStyleCnt="1"/>
      <dgm:spPr/>
      <dgm:t>
        <a:bodyPr/>
        <a:lstStyle/>
        <a:p>
          <a:endParaRPr lang="es-AR"/>
        </a:p>
      </dgm:t>
    </dgm:pt>
    <dgm:pt modelId="{5B670D1C-6BB4-4BFC-A324-9958F022DB93}" type="pres">
      <dgm:prSet presAssocID="{1497783D-1B62-43AB-8D58-D126D821BB06}" presName="outerBoxChildren" presStyleCnt="0"/>
      <dgm:spPr/>
    </dgm:pt>
    <dgm:pt modelId="{45CF21C5-EA5F-49D0-9E81-7E4660A6523B}" type="pres">
      <dgm:prSet presAssocID="{7CB13DA2-7C9E-4579-87E4-E08273A874C2}" presName="oChild" presStyleLbl="fgAcc1" presStyleIdx="0" presStyleCnt="4">
        <dgm:presLayoutVars>
          <dgm:bulletEnabled val="1"/>
        </dgm:presLayoutVars>
      </dgm:prSet>
      <dgm:spPr/>
      <dgm:t>
        <a:bodyPr/>
        <a:lstStyle/>
        <a:p>
          <a:endParaRPr lang="es-AR"/>
        </a:p>
      </dgm:t>
    </dgm:pt>
    <dgm:pt modelId="{8E6F1403-E401-4E42-A065-4423083AF8E7}" type="pres">
      <dgm:prSet presAssocID="{5D53E100-76A6-41E2-8069-5DD9F9B9B10B}" presName="outerSibTrans" presStyleCnt="0"/>
      <dgm:spPr/>
    </dgm:pt>
    <dgm:pt modelId="{302C594F-A19A-46ED-8FF1-E3D4AB39F8C7}" type="pres">
      <dgm:prSet presAssocID="{92A176E2-7EBA-4CCA-AFEE-D8ACB906CA28}" presName="oChild" presStyleLbl="fgAcc1" presStyleIdx="1" presStyleCnt="4">
        <dgm:presLayoutVars>
          <dgm:bulletEnabled val="1"/>
        </dgm:presLayoutVars>
      </dgm:prSet>
      <dgm:spPr/>
      <dgm:t>
        <a:bodyPr/>
        <a:lstStyle/>
        <a:p>
          <a:endParaRPr lang="es-AR"/>
        </a:p>
      </dgm:t>
    </dgm:pt>
    <dgm:pt modelId="{0A5C61CB-6C06-458D-A131-132F60F034E9}" type="pres">
      <dgm:prSet presAssocID="{5B5F6EDF-E666-4128-AB1C-5D9CC0671747}" presName="outerSibTrans" presStyleCnt="0"/>
      <dgm:spPr/>
    </dgm:pt>
    <dgm:pt modelId="{8AB44D10-0369-459F-85F8-5FD0212DA365}" type="pres">
      <dgm:prSet presAssocID="{06476DE5-022D-48DE-908F-DE9EF1E73DAB}" presName="oChild" presStyleLbl="fgAcc1" presStyleIdx="2" presStyleCnt="4">
        <dgm:presLayoutVars>
          <dgm:bulletEnabled val="1"/>
        </dgm:presLayoutVars>
      </dgm:prSet>
      <dgm:spPr/>
      <dgm:t>
        <a:bodyPr/>
        <a:lstStyle/>
        <a:p>
          <a:endParaRPr lang="es-AR"/>
        </a:p>
      </dgm:t>
    </dgm:pt>
    <dgm:pt modelId="{32E8D3FB-8873-4B77-8E35-9C0BF43FEA51}" type="pres">
      <dgm:prSet presAssocID="{ADB38A01-5DCE-4A61-B720-8E56E60FE986}" presName="outerSibTrans" presStyleCnt="0"/>
      <dgm:spPr/>
    </dgm:pt>
    <dgm:pt modelId="{345B0155-6C99-43FC-B4B2-78726F9C0225}" type="pres">
      <dgm:prSet presAssocID="{014C0FBF-A4E7-4774-BB81-0B803F5E1698}" presName="oChild" presStyleLbl="fgAcc1" presStyleIdx="3" presStyleCnt="4">
        <dgm:presLayoutVars>
          <dgm:bulletEnabled val="1"/>
        </dgm:presLayoutVars>
      </dgm:prSet>
      <dgm:spPr/>
      <dgm:t>
        <a:bodyPr/>
        <a:lstStyle/>
        <a:p>
          <a:endParaRPr lang="es-AR"/>
        </a:p>
      </dgm:t>
    </dgm:pt>
  </dgm:ptLst>
  <dgm:cxnLst>
    <dgm:cxn modelId="{9E30A0E9-5E47-4402-8FFF-BFF18301E8FF}" type="presOf" srcId="{06476DE5-022D-48DE-908F-DE9EF1E73DAB}" destId="{8AB44D10-0369-459F-85F8-5FD0212DA365}" srcOrd="0" destOrd="0" presId="urn:microsoft.com/office/officeart/2005/8/layout/target2"/>
    <dgm:cxn modelId="{C2B2BAEB-0BB4-41FE-8890-2033F752CA66}" srcId="{4D824C51-9EF0-4987-937B-BA5E25FE7B2F}" destId="{92A176E2-7EBA-4CCA-AFEE-D8ACB906CA28}" srcOrd="1" destOrd="0" parTransId="{4FA9FEE6-87A3-4F2E-9B97-0E3F031A37F1}" sibTransId="{5B5F6EDF-E666-4128-AB1C-5D9CC0671747}"/>
    <dgm:cxn modelId="{5D2CB783-4B6D-4615-8B97-235C9FCDC432}" srcId="{4D824C51-9EF0-4987-937B-BA5E25FE7B2F}" destId="{014C0FBF-A4E7-4774-BB81-0B803F5E1698}" srcOrd="3" destOrd="0" parTransId="{F5FA8416-5D7E-41ED-83A9-E7BB85E29CFE}" sibTransId="{5B180875-B22F-422C-8A73-C9CCA46177E8}"/>
    <dgm:cxn modelId="{BED60481-FFA3-4A82-B15F-73118A636BBF}" type="presOf" srcId="{1497783D-1B62-43AB-8D58-D126D821BB06}" destId="{B0574621-16C3-48B9-B11A-85D8026D375F}" srcOrd="0" destOrd="0" presId="urn:microsoft.com/office/officeart/2005/8/layout/target2"/>
    <dgm:cxn modelId="{D3C4859D-7831-4360-8F7F-230C3AADFF73}" type="presOf" srcId="{92A176E2-7EBA-4CCA-AFEE-D8ACB906CA28}" destId="{302C594F-A19A-46ED-8FF1-E3D4AB39F8C7}" srcOrd="0" destOrd="0" presId="urn:microsoft.com/office/officeart/2005/8/layout/target2"/>
    <dgm:cxn modelId="{23E059E3-E0C7-490F-A741-5E1744051299}" type="presOf" srcId="{014C0FBF-A4E7-4774-BB81-0B803F5E1698}" destId="{345B0155-6C99-43FC-B4B2-78726F9C0225}" srcOrd="0" destOrd="0" presId="urn:microsoft.com/office/officeart/2005/8/layout/target2"/>
    <dgm:cxn modelId="{0EA7A48C-C426-4A0A-A165-48FA3C354F52}" srcId="{1497783D-1B62-43AB-8D58-D126D821BB06}" destId="{4D824C51-9EF0-4987-937B-BA5E25FE7B2F}" srcOrd="0" destOrd="0" parTransId="{07E23F8A-E85A-4D22-B4E1-2F360FFABE81}" sibTransId="{75FAC616-C4E8-45F2-8958-7C24E544BBE1}"/>
    <dgm:cxn modelId="{33230A90-609D-4A16-8A19-051A5F2772E5}" type="presOf" srcId="{7CB13DA2-7C9E-4579-87E4-E08273A874C2}" destId="{45CF21C5-EA5F-49D0-9E81-7E4660A6523B}" srcOrd="0" destOrd="0" presId="urn:microsoft.com/office/officeart/2005/8/layout/target2"/>
    <dgm:cxn modelId="{92017E9C-1977-4373-8D6F-5CF92CBFF66F}" type="presOf" srcId="{4D824C51-9EF0-4987-937B-BA5E25FE7B2F}" destId="{1A924245-381B-4841-AB0F-30ACEE24C434}" srcOrd="0" destOrd="0" presId="urn:microsoft.com/office/officeart/2005/8/layout/target2"/>
    <dgm:cxn modelId="{5B17C06C-C14D-4BDE-8FCF-042C5005E780}" srcId="{4D824C51-9EF0-4987-937B-BA5E25FE7B2F}" destId="{7CB13DA2-7C9E-4579-87E4-E08273A874C2}" srcOrd="0" destOrd="0" parTransId="{B87C8111-263E-4238-8B40-207B177B14F4}" sibTransId="{5D53E100-76A6-41E2-8069-5DD9F9B9B10B}"/>
    <dgm:cxn modelId="{D21D5534-11EB-47A8-97FB-D05159F95E3C}" srcId="{4D824C51-9EF0-4987-937B-BA5E25FE7B2F}" destId="{06476DE5-022D-48DE-908F-DE9EF1E73DAB}" srcOrd="2" destOrd="0" parTransId="{500ED9DF-8CDB-447C-91D0-36BE1462BA40}" sibTransId="{ADB38A01-5DCE-4A61-B720-8E56E60FE986}"/>
    <dgm:cxn modelId="{ADEFF829-6C3B-4005-AD78-A9866B8E3057}" type="presParOf" srcId="{B0574621-16C3-48B9-B11A-85D8026D375F}" destId="{C0D1098D-44B8-4909-ABC2-235C53699A36}" srcOrd="0" destOrd="0" presId="urn:microsoft.com/office/officeart/2005/8/layout/target2"/>
    <dgm:cxn modelId="{5228E830-7E5B-465F-A1DF-D12B965DFE61}" type="presParOf" srcId="{C0D1098D-44B8-4909-ABC2-235C53699A36}" destId="{1A924245-381B-4841-AB0F-30ACEE24C434}" srcOrd="0" destOrd="0" presId="urn:microsoft.com/office/officeart/2005/8/layout/target2"/>
    <dgm:cxn modelId="{43A0CFAE-AD30-4124-8A44-6DD68E82F774}" type="presParOf" srcId="{C0D1098D-44B8-4909-ABC2-235C53699A36}" destId="{5B670D1C-6BB4-4BFC-A324-9958F022DB93}" srcOrd="1" destOrd="0" presId="urn:microsoft.com/office/officeart/2005/8/layout/target2"/>
    <dgm:cxn modelId="{C8E2EEEA-7E61-459B-9DA0-C137096092A0}" type="presParOf" srcId="{5B670D1C-6BB4-4BFC-A324-9958F022DB93}" destId="{45CF21C5-EA5F-49D0-9E81-7E4660A6523B}" srcOrd="0" destOrd="0" presId="urn:microsoft.com/office/officeart/2005/8/layout/target2"/>
    <dgm:cxn modelId="{CF09B6B6-4B29-43B0-8F18-12C0FF4F9231}" type="presParOf" srcId="{5B670D1C-6BB4-4BFC-A324-9958F022DB93}" destId="{8E6F1403-E401-4E42-A065-4423083AF8E7}" srcOrd="1" destOrd="0" presId="urn:microsoft.com/office/officeart/2005/8/layout/target2"/>
    <dgm:cxn modelId="{6657EFB5-EBF3-41E2-94CB-97C7BC9436E9}" type="presParOf" srcId="{5B670D1C-6BB4-4BFC-A324-9958F022DB93}" destId="{302C594F-A19A-46ED-8FF1-E3D4AB39F8C7}" srcOrd="2" destOrd="0" presId="urn:microsoft.com/office/officeart/2005/8/layout/target2"/>
    <dgm:cxn modelId="{2666ACEB-FC49-468F-9F5F-ED2718E1C824}" type="presParOf" srcId="{5B670D1C-6BB4-4BFC-A324-9958F022DB93}" destId="{0A5C61CB-6C06-458D-A131-132F60F034E9}" srcOrd="3" destOrd="0" presId="urn:microsoft.com/office/officeart/2005/8/layout/target2"/>
    <dgm:cxn modelId="{F5BAC5EA-74BB-4677-A771-4E29BBCAF45D}" type="presParOf" srcId="{5B670D1C-6BB4-4BFC-A324-9958F022DB93}" destId="{8AB44D10-0369-459F-85F8-5FD0212DA365}" srcOrd="4" destOrd="0" presId="urn:microsoft.com/office/officeart/2005/8/layout/target2"/>
    <dgm:cxn modelId="{6E21D853-E174-4D3D-B7A6-2AC7AA586D37}" type="presParOf" srcId="{5B670D1C-6BB4-4BFC-A324-9958F022DB93}" destId="{32E8D3FB-8873-4B77-8E35-9C0BF43FEA51}" srcOrd="5" destOrd="0" presId="urn:microsoft.com/office/officeart/2005/8/layout/target2"/>
    <dgm:cxn modelId="{9C79F077-064A-41EF-BDAF-1BF7FFD55CDA}" type="presParOf" srcId="{5B670D1C-6BB4-4BFC-A324-9958F022DB93}" destId="{345B0155-6C99-43FC-B4B2-78726F9C0225}" srcOrd="6" destOrd="0" presId="urn:microsoft.com/office/officeart/2005/8/layout/target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A7031C5-342B-4FEC-A270-E2F32875E3A4}"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s-MX"/>
        </a:p>
      </dgm:t>
    </dgm:pt>
    <dgm:pt modelId="{D6FAD190-C5CD-4F15-8436-11A15179FECF}">
      <dgm:prSet phldrT="[Texto]" custT="1"/>
      <dgm:spPr/>
      <dgm:t>
        <a:bodyPr/>
        <a:lstStyle/>
        <a:p>
          <a:pPr>
            <a:buNone/>
          </a:pPr>
          <a:r>
            <a:rPr lang="es-MX" sz="1100" b="1">
              <a:latin typeface="Times New Roman" panose="02020603050405020304" pitchFamily="18" charset="0"/>
              <a:cs typeface="Times New Roman" panose="02020603050405020304" pitchFamily="18" charset="0"/>
            </a:rPr>
            <a:t>Captación</a:t>
          </a:r>
          <a:endParaRPr lang="es-MX" sz="1100">
            <a:latin typeface="Times New Roman" panose="02020603050405020304" pitchFamily="18" charset="0"/>
            <a:cs typeface="Times New Roman" panose="02020603050405020304" pitchFamily="18" charset="0"/>
          </a:endParaRPr>
        </a:p>
      </dgm:t>
    </dgm:pt>
    <dgm:pt modelId="{35C741E7-B125-4C81-8859-9E43C0C27583}" type="parTrans" cxnId="{9990F502-D4A8-4125-8E45-899E6BD5440F}">
      <dgm:prSet/>
      <dgm:spPr/>
      <dgm:t>
        <a:bodyPr/>
        <a:lstStyle/>
        <a:p>
          <a:endParaRPr lang="es-MX" sz="1000">
            <a:latin typeface="Times New Roman" panose="02020603050405020304" pitchFamily="18" charset="0"/>
            <a:cs typeface="Times New Roman" panose="02020603050405020304" pitchFamily="18" charset="0"/>
          </a:endParaRPr>
        </a:p>
      </dgm:t>
    </dgm:pt>
    <dgm:pt modelId="{95441D65-5ED4-4753-AB15-8CB38D4FF3BA}" type="sibTrans" cxnId="{9990F502-D4A8-4125-8E45-899E6BD5440F}">
      <dgm:prSet/>
      <dgm:spPr/>
      <dgm:t>
        <a:bodyPr/>
        <a:lstStyle/>
        <a:p>
          <a:endParaRPr lang="es-MX" sz="1000">
            <a:latin typeface="Times New Roman" panose="02020603050405020304" pitchFamily="18" charset="0"/>
            <a:cs typeface="Times New Roman" panose="02020603050405020304" pitchFamily="18" charset="0"/>
          </a:endParaRPr>
        </a:p>
      </dgm:t>
    </dgm:pt>
    <dgm:pt modelId="{05CB50B2-B5A6-455A-BB26-DB362828E754}">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Prospección focalizada en clusters</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A747BB9D-1BCE-43AC-B59F-A2388D9E5E44}" type="parTrans" cxnId="{E53FD5F8-B44C-40A6-A519-0820FE5CAF90}">
      <dgm:prSet/>
      <dgm:spPr/>
      <dgm:t>
        <a:bodyPr/>
        <a:lstStyle/>
        <a:p>
          <a:endParaRPr lang="es-MX" sz="1000">
            <a:latin typeface="Times New Roman" panose="02020603050405020304" pitchFamily="18" charset="0"/>
            <a:cs typeface="Times New Roman" panose="02020603050405020304" pitchFamily="18" charset="0"/>
          </a:endParaRPr>
        </a:p>
      </dgm:t>
    </dgm:pt>
    <dgm:pt modelId="{9600CD3A-D344-4D3C-9D41-527AB51307D5}" type="sibTrans" cxnId="{E53FD5F8-B44C-40A6-A519-0820FE5CAF90}">
      <dgm:prSet/>
      <dgm:spPr/>
      <dgm:t>
        <a:bodyPr/>
        <a:lstStyle/>
        <a:p>
          <a:endParaRPr lang="es-MX" sz="1000">
            <a:latin typeface="Times New Roman" panose="02020603050405020304" pitchFamily="18" charset="0"/>
            <a:cs typeface="Times New Roman" panose="02020603050405020304" pitchFamily="18" charset="0"/>
          </a:endParaRPr>
        </a:p>
      </dgm:t>
    </dgm:pt>
    <dgm:pt modelId="{96486AD4-3476-42BE-AEC6-EAC2542D3222}">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Propuestas personalizadas con simulaciones de ahorro (Cost-to-Serve).</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2700B75B-D854-4D3D-8514-70752B941919}" type="parTrans" cxnId="{CD631B4A-2D97-498D-BEB7-84CEE286942D}">
      <dgm:prSet/>
      <dgm:spPr/>
      <dgm:t>
        <a:bodyPr/>
        <a:lstStyle/>
        <a:p>
          <a:endParaRPr lang="es-MX" sz="1000">
            <a:latin typeface="Times New Roman" panose="02020603050405020304" pitchFamily="18" charset="0"/>
            <a:cs typeface="Times New Roman" panose="02020603050405020304" pitchFamily="18" charset="0"/>
          </a:endParaRPr>
        </a:p>
      </dgm:t>
    </dgm:pt>
    <dgm:pt modelId="{87699AC1-FADA-4B06-AB29-E20CDEC7CB66}" type="sibTrans" cxnId="{CD631B4A-2D97-498D-BEB7-84CEE286942D}">
      <dgm:prSet/>
      <dgm:spPr/>
      <dgm:t>
        <a:bodyPr/>
        <a:lstStyle/>
        <a:p>
          <a:endParaRPr lang="es-MX" sz="1000">
            <a:latin typeface="Times New Roman" panose="02020603050405020304" pitchFamily="18" charset="0"/>
            <a:cs typeface="Times New Roman" panose="02020603050405020304" pitchFamily="18" charset="0"/>
          </a:endParaRPr>
        </a:p>
      </dgm:t>
    </dgm:pt>
    <dgm:pt modelId="{67F98E6F-5E27-435A-95E2-DE7736A95245}">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Alianzas con cámaras empresariales.</a:t>
          </a:r>
        </a:p>
      </dgm:t>
    </dgm:pt>
    <dgm:pt modelId="{01D2981E-E48F-404B-B75C-DEE705C0F94F}" type="parTrans" cxnId="{31FD2B92-ACFD-4C34-B8E4-CD59E4003F99}">
      <dgm:prSet/>
      <dgm:spPr/>
      <dgm:t>
        <a:bodyPr/>
        <a:lstStyle/>
        <a:p>
          <a:endParaRPr lang="es-MX" sz="1000">
            <a:latin typeface="Times New Roman" panose="02020603050405020304" pitchFamily="18" charset="0"/>
            <a:cs typeface="Times New Roman" panose="02020603050405020304" pitchFamily="18" charset="0"/>
          </a:endParaRPr>
        </a:p>
      </dgm:t>
    </dgm:pt>
    <dgm:pt modelId="{45ED2560-AEC6-491C-B13F-A0CE5178EEB5}" type="sibTrans" cxnId="{31FD2B92-ACFD-4C34-B8E4-CD59E4003F99}">
      <dgm:prSet/>
      <dgm:spPr/>
      <dgm:t>
        <a:bodyPr/>
        <a:lstStyle/>
        <a:p>
          <a:endParaRPr lang="es-MX" sz="1000">
            <a:latin typeface="Times New Roman" panose="02020603050405020304" pitchFamily="18" charset="0"/>
            <a:cs typeface="Times New Roman" panose="02020603050405020304" pitchFamily="18" charset="0"/>
          </a:endParaRPr>
        </a:p>
      </dgm:t>
    </dgm:pt>
    <dgm:pt modelId="{7C673EC2-0BBB-44C2-B087-E5D28902DFB8}">
      <dgm:prSet custT="1"/>
      <dgm:spPr/>
      <dgm:t>
        <a:bodyPr/>
        <a:lstStyle/>
        <a:p>
          <a:pPr>
            <a:buNone/>
          </a:pPr>
          <a:r>
            <a:rPr lang="es-MX" sz="1100" b="1">
              <a:latin typeface="Times New Roman" panose="02020603050405020304" pitchFamily="18" charset="0"/>
              <a:cs typeface="Times New Roman" panose="02020603050405020304" pitchFamily="18" charset="0"/>
            </a:rPr>
            <a:t>Fidelización</a:t>
          </a:r>
        </a:p>
      </dgm:t>
    </dgm:pt>
    <dgm:pt modelId="{A3C76BCF-7607-428B-A905-0061D54A97B4}" type="parTrans" cxnId="{B1E804DF-B4C7-4B80-906F-50BC1842867B}">
      <dgm:prSet/>
      <dgm:spPr/>
      <dgm:t>
        <a:bodyPr/>
        <a:lstStyle/>
        <a:p>
          <a:endParaRPr lang="es-MX" sz="1000">
            <a:latin typeface="Times New Roman" panose="02020603050405020304" pitchFamily="18" charset="0"/>
            <a:cs typeface="Times New Roman" panose="02020603050405020304" pitchFamily="18" charset="0"/>
          </a:endParaRPr>
        </a:p>
      </dgm:t>
    </dgm:pt>
    <dgm:pt modelId="{370CE405-5653-4323-9438-D0D6DE70B64B}" type="sibTrans" cxnId="{B1E804DF-B4C7-4B80-906F-50BC1842867B}">
      <dgm:prSet/>
      <dgm:spPr/>
      <dgm:t>
        <a:bodyPr/>
        <a:lstStyle/>
        <a:p>
          <a:endParaRPr lang="es-MX" sz="1000">
            <a:latin typeface="Times New Roman" panose="02020603050405020304" pitchFamily="18" charset="0"/>
            <a:cs typeface="Times New Roman" panose="02020603050405020304" pitchFamily="18" charset="0"/>
          </a:endParaRPr>
        </a:p>
      </dgm:t>
    </dgm:pt>
    <dgm:pt modelId="{8152B45E-FC13-4D82-B079-16F3C2918C25}">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KPI pactados: tiempos de verificación, tiempos de ingreso y egreso, accuracy.</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1356E779-EE5E-4971-ABD9-718101E0EC87}" type="parTrans" cxnId="{D8CDD3CD-01AE-47AE-A4C5-99AE0E491E4E}">
      <dgm:prSet/>
      <dgm:spPr/>
      <dgm:t>
        <a:bodyPr/>
        <a:lstStyle/>
        <a:p>
          <a:endParaRPr lang="es-MX" sz="1000">
            <a:latin typeface="Times New Roman" panose="02020603050405020304" pitchFamily="18" charset="0"/>
            <a:cs typeface="Times New Roman" panose="02020603050405020304" pitchFamily="18" charset="0"/>
          </a:endParaRPr>
        </a:p>
      </dgm:t>
    </dgm:pt>
    <dgm:pt modelId="{750BE499-3CAC-4FC7-A98A-B292B4B2E3C0}" type="sibTrans" cxnId="{D8CDD3CD-01AE-47AE-A4C5-99AE0E491E4E}">
      <dgm:prSet/>
      <dgm:spPr/>
      <dgm:t>
        <a:bodyPr/>
        <a:lstStyle/>
        <a:p>
          <a:endParaRPr lang="es-MX" sz="1000">
            <a:latin typeface="Times New Roman" panose="02020603050405020304" pitchFamily="18" charset="0"/>
            <a:cs typeface="Times New Roman" panose="02020603050405020304" pitchFamily="18" charset="0"/>
          </a:endParaRPr>
        </a:p>
      </dgm:t>
    </dgm:pt>
    <dgm:pt modelId="{7D2F4CDE-9FFF-4575-9829-12F8BB6A4919}">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Mesas operativas mensuales y reportes ejecutivos.</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FE879FEB-D87F-47CD-8099-DCEDC11F0E35}" type="parTrans" cxnId="{91280FF3-4A40-472E-82DE-E4B629454199}">
      <dgm:prSet/>
      <dgm:spPr/>
      <dgm:t>
        <a:bodyPr/>
        <a:lstStyle/>
        <a:p>
          <a:endParaRPr lang="es-MX" sz="1000">
            <a:latin typeface="Times New Roman" panose="02020603050405020304" pitchFamily="18" charset="0"/>
            <a:cs typeface="Times New Roman" panose="02020603050405020304" pitchFamily="18" charset="0"/>
          </a:endParaRPr>
        </a:p>
      </dgm:t>
    </dgm:pt>
    <dgm:pt modelId="{94BFAADD-DE01-4280-8308-16B8895C8C56}" type="sibTrans" cxnId="{91280FF3-4A40-472E-82DE-E4B629454199}">
      <dgm:prSet/>
      <dgm:spPr/>
      <dgm:t>
        <a:bodyPr/>
        <a:lstStyle/>
        <a:p>
          <a:endParaRPr lang="es-MX" sz="1000">
            <a:latin typeface="Times New Roman" panose="02020603050405020304" pitchFamily="18" charset="0"/>
            <a:cs typeface="Times New Roman" panose="02020603050405020304" pitchFamily="18" charset="0"/>
          </a:endParaRPr>
        </a:p>
      </dgm:t>
    </dgm:pt>
    <dgm:pt modelId="{BE27868D-F081-439D-BA05-783E2B3DFBFA}">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Portal cliente con visibilidad 24/7.</a:t>
          </a:r>
        </a:p>
      </dgm:t>
    </dgm:pt>
    <dgm:pt modelId="{649FA150-D9A5-4556-B9CE-E993E35D48C9}" type="parTrans" cxnId="{6AB34B83-481E-466C-BF26-2949492EFF0E}">
      <dgm:prSet/>
      <dgm:spPr/>
      <dgm:t>
        <a:bodyPr/>
        <a:lstStyle/>
        <a:p>
          <a:endParaRPr lang="es-MX" sz="1000">
            <a:latin typeface="Times New Roman" panose="02020603050405020304" pitchFamily="18" charset="0"/>
            <a:cs typeface="Times New Roman" panose="02020603050405020304" pitchFamily="18" charset="0"/>
          </a:endParaRPr>
        </a:p>
      </dgm:t>
    </dgm:pt>
    <dgm:pt modelId="{2B1A7103-4E69-4988-A487-B800C7B1D2D1}" type="sibTrans" cxnId="{6AB34B83-481E-466C-BF26-2949492EFF0E}">
      <dgm:prSet/>
      <dgm:spPr/>
      <dgm:t>
        <a:bodyPr/>
        <a:lstStyle/>
        <a:p>
          <a:endParaRPr lang="es-MX" sz="1000">
            <a:latin typeface="Times New Roman" panose="02020603050405020304" pitchFamily="18" charset="0"/>
            <a:cs typeface="Times New Roman" panose="02020603050405020304" pitchFamily="18" charset="0"/>
          </a:endParaRPr>
        </a:p>
      </dgm:t>
    </dgm:pt>
    <dgm:pt modelId="{CD745D28-1696-4DD9-83A4-6D0865613B0C}">
      <dgm:prSet custT="1"/>
      <dgm:spPr/>
      <dgm:t>
        <a:bodyPr/>
        <a:lstStyle/>
        <a:p>
          <a:pPr>
            <a:buNone/>
          </a:pPr>
          <a:r>
            <a:rPr lang="es-MX" sz="1100" b="1">
              <a:latin typeface="Times New Roman" panose="02020603050405020304" pitchFamily="18" charset="0"/>
              <a:cs typeface="Times New Roman" panose="02020603050405020304" pitchFamily="18" charset="0"/>
            </a:rPr>
            <a:t>Marketing B2B</a:t>
          </a:r>
        </a:p>
      </dgm:t>
    </dgm:pt>
    <dgm:pt modelId="{0AB928A9-5ACD-4263-B1E4-11EA6333BA2A}" type="parTrans" cxnId="{090996FD-6EAD-4905-B879-222871724C43}">
      <dgm:prSet/>
      <dgm:spPr/>
      <dgm:t>
        <a:bodyPr/>
        <a:lstStyle/>
        <a:p>
          <a:endParaRPr lang="es-MX" sz="1000">
            <a:latin typeface="Times New Roman" panose="02020603050405020304" pitchFamily="18" charset="0"/>
            <a:cs typeface="Times New Roman" panose="02020603050405020304" pitchFamily="18" charset="0"/>
          </a:endParaRPr>
        </a:p>
      </dgm:t>
    </dgm:pt>
    <dgm:pt modelId="{BE0AE863-A066-47AC-B651-8E488869D56C}" type="sibTrans" cxnId="{090996FD-6EAD-4905-B879-222871724C43}">
      <dgm:prSet/>
      <dgm:spPr/>
      <dgm:t>
        <a:bodyPr/>
        <a:lstStyle/>
        <a:p>
          <a:endParaRPr lang="es-MX" sz="1000">
            <a:latin typeface="Times New Roman" panose="02020603050405020304" pitchFamily="18" charset="0"/>
            <a:cs typeface="Times New Roman" panose="02020603050405020304" pitchFamily="18" charset="0"/>
          </a:endParaRPr>
        </a:p>
      </dgm:t>
    </dgm:pt>
    <dgm:pt modelId="{9D258C99-E9DE-4F5B-BF74-BB14A6AA90A2}">
      <dgm:prSet custT="1"/>
      <dgm:spPr/>
      <dgm:t>
        <a:bodyPr/>
        <a:lstStyle/>
        <a:p>
          <a:pPr>
            <a:buFont typeface="Arial" panose="020B0604020202020204" pitchFamily="34" charset="0"/>
            <a:buChar char="•"/>
          </a:pPr>
          <a:r>
            <a:rPr lang="es-MX" sz="1000" b="0">
              <a:latin typeface="Times New Roman" panose="02020603050405020304" pitchFamily="18" charset="0"/>
              <a:cs typeface="Times New Roman" panose="02020603050405020304" pitchFamily="18" charset="0"/>
            </a:rPr>
            <a:t>Posicionamiento como primer Depósito Fiscal sustentable de Argentina.</a:t>
          </a:r>
          <a:br>
            <a:rPr lang="es-MX" sz="1000" b="0">
              <a:latin typeface="Times New Roman" panose="02020603050405020304" pitchFamily="18" charset="0"/>
              <a:cs typeface="Times New Roman" panose="02020603050405020304" pitchFamily="18" charset="0"/>
            </a:rPr>
          </a:br>
          <a:endParaRPr lang="es-MX" sz="1000" b="0">
            <a:latin typeface="Times New Roman" panose="02020603050405020304" pitchFamily="18" charset="0"/>
            <a:cs typeface="Times New Roman" panose="02020603050405020304" pitchFamily="18" charset="0"/>
          </a:endParaRPr>
        </a:p>
      </dgm:t>
    </dgm:pt>
    <dgm:pt modelId="{AAA24FD0-CD9B-4F85-AF98-F544B33A25D1}" type="parTrans" cxnId="{A4CF2297-E90A-4468-88F6-B751C239B4C2}">
      <dgm:prSet/>
      <dgm:spPr/>
      <dgm:t>
        <a:bodyPr/>
        <a:lstStyle/>
        <a:p>
          <a:endParaRPr lang="es-MX" sz="1000">
            <a:latin typeface="Times New Roman" panose="02020603050405020304" pitchFamily="18" charset="0"/>
            <a:cs typeface="Times New Roman" panose="02020603050405020304" pitchFamily="18" charset="0"/>
          </a:endParaRPr>
        </a:p>
      </dgm:t>
    </dgm:pt>
    <dgm:pt modelId="{C095BE02-0A8F-4411-9FE4-AC4E015517BE}" type="sibTrans" cxnId="{A4CF2297-E90A-4468-88F6-B751C239B4C2}">
      <dgm:prSet/>
      <dgm:spPr/>
      <dgm:t>
        <a:bodyPr/>
        <a:lstStyle/>
        <a:p>
          <a:endParaRPr lang="es-MX" sz="1000">
            <a:latin typeface="Times New Roman" panose="02020603050405020304" pitchFamily="18" charset="0"/>
            <a:cs typeface="Times New Roman" panose="02020603050405020304" pitchFamily="18" charset="0"/>
          </a:endParaRPr>
        </a:p>
      </dgm:t>
    </dgm:pt>
    <dgm:pt modelId="{F4D82291-408C-427B-9511-1740F20AAFAD}">
      <dgm:prSet custT="1"/>
      <dgm:spPr/>
      <dgm:t>
        <a:bodyPr/>
        <a:lstStyle/>
        <a:p>
          <a:pPr>
            <a:buFont typeface="Arial" panose="020B0604020202020204" pitchFamily="34" charset="0"/>
            <a:buChar char="•"/>
          </a:pPr>
          <a:r>
            <a:rPr lang="es-MX" sz="1000" b="0">
              <a:latin typeface="Times New Roman" panose="02020603050405020304" pitchFamily="18" charset="0"/>
              <a:cs typeface="Times New Roman" panose="02020603050405020304" pitchFamily="18" charset="0"/>
            </a:rPr>
            <a:t>Casos de uso, videos operativos y tours virtuales.</a:t>
          </a:r>
          <a:br>
            <a:rPr lang="es-MX" sz="1000" b="0">
              <a:latin typeface="Times New Roman" panose="02020603050405020304" pitchFamily="18" charset="0"/>
              <a:cs typeface="Times New Roman" panose="02020603050405020304" pitchFamily="18" charset="0"/>
            </a:rPr>
          </a:br>
          <a:endParaRPr lang="es-MX" sz="1000" b="0">
            <a:latin typeface="Times New Roman" panose="02020603050405020304" pitchFamily="18" charset="0"/>
            <a:cs typeface="Times New Roman" panose="02020603050405020304" pitchFamily="18" charset="0"/>
          </a:endParaRPr>
        </a:p>
      </dgm:t>
    </dgm:pt>
    <dgm:pt modelId="{A62D9DE0-A0CF-4474-A682-305ECA344A5B}" type="parTrans" cxnId="{321C4D4A-FE55-41D4-BA21-C54CCBD636FF}">
      <dgm:prSet/>
      <dgm:spPr/>
      <dgm:t>
        <a:bodyPr/>
        <a:lstStyle/>
        <a:p>
          <a:endParaRPr lang="es-MX" sz="1000">
            <a:latin typeface="Times New Roman" panose="02020603050405020304" pitchFamily="18" charset="0"/>
            <a:cs typeface="Times New Roman" panose="02020603050405020304" pitchFamily="18" charset="0"/>
          </a:endParaRPr>
        </a:p>
      </dgm:t>
    </dgm:pt>
    <dgm:pt modelId="{41BBBFB9-03ED-4100-8297-44278165ECF9}" type="sibTrans" cxnId="{321C4D4A-FE55-41D4-BA21-C54CCBD636FF}">
      <dgm:prSet/>
      <dgm:spPr/>
      <dgm:t>
        <a:bodyPr/>
        <a:lstStyle/>
        <a:p>
          <a:endParaRPr lang="es-MX" sz="1000">
            <a:latin typeface="Times New Roman" panose="02020603050405020304" pitchFamily="18" charset="0"/>
            <a:cs typeface="Times New Roman" panose="02020603050405020304" pitchFamily="18" charset="0"/>
          </a:endParaRPr>
        </a:p>
      </dgm:t>
    </dgm:pt>
    <dgm:pt modelId="{7147303E-6BDE-4A90-B144-D9401B572A3D}">
      <dgm:prSet custT="1"/>
      <dgm:spPr/>
      <dgm:t>
        <a:bodyPr/>
        <a:lstStyle/>
        <a:p>
          <a:pPr>
            <a:buFont typeface="Arial" panose="020B0604020202020204" pitchFamily="34" charset="0"/>
            <a:buChar char="•"/>
          </a:pPr>
          <a:r>
            <a:rPr lang="es-MX" sz="1000" b="0">
              <a:latin typeface="Times New Roman" panose="02020603050405020304" pitchFamily="18" charset="0"/>
              <a:cs typeface="Times New Roman" panose="02020603050405020304" pitchFamily="18" charset="0"/>
            </a:rPr>
            <a:t>Campañas en LinkedIn y prensa logística.</a:t>
          </a:r>
        </a:p>
      </dgm:t>
    </dgm:pt>
    <dgm:pt modelId="{4CCB47C4-F775-47F1-814F-84A15EB1056C}" type="parTrans" cxnId="{A2E2CE16-9D9D-465E-A29D-258E3CF0FB7D}">
      <dgm:prSet/>
      <dgm:spPr/>
      <dgm:t>
        <a:bodyPr/>
        <a:lstStyle/>
        <a:p>
          <a:endParaRPr lang="es-MX" sz="1000">
            <a:latin typeface="Times New Roman" panose="02020603050405020304" pitchFamily="18" charset="0"/>
            <a:cs typeface="Times New Roman" panose="02020603050405020304" pitchFamily="18" charset="0"/>
          </a:endParaRPr>
        </a:p>
      </dgm:t>
    </dgm:pt>
    <dgm:pt modelId="{A4C13FC7-7799-4935-8531-7C786E6B0F69}" type="sibTrans" cxnId="{A2E2CE16-9D9D-465E-A29D-258E3CF0FB7D}">
      <dgm:prSet/>
      <dgm:spPr/>
      <dgm:t>
        <a:bodyPr/>
        <a:lstStyle/>
        <a:p>
          <a:endParaRPr lang="es-MX" sz="1000">
            <a:latin typeface="Times New Roman" panose="02020603050405020304" pitchFamily="18" charset="0"/>
            <a:cs typeface="Times New Roman" panose="02020603050405020304" pitchFamily="18" charset="0"/>
          </a:endParaRPr>
        </a:p>
      </dgm:t>
    </dgm:pt>
    <dgm:pt modelId="{2F179518-F483-4A89-9F76-13DE1C5BA8C0}">
      <dgm:prSet custT="1"/>
      <dgm:spPr/>
      <dgm:t>
        <a:bodyPr/>
        <a:lstStyle/>
        <a:p>
          <a:pPr>
            <a:buNone/>
          </a:pPr>
          <a:r>
            <a:rPr lang="es-MX" sz="1100" b="1">
              <a:latin typeface="Times New Roman" panose="02020603050405020304" pitchFamily="18" charset="0"/>
              <a:cs typeface="Times New Roman" panose="02020603050405020304" pitchFamily="18" charset="0"/>
            </a:rPr>
            <a:t>Política comercial</a:t>
          </a:r>
        </a:p>
      </dgm:t>
    </dgm:pt>
    <dgm:pt modelId="{A01F4FED-B99F-46AF-8FFF-19B94270C64B}" type="parTrans" cxnId="{AB8D00B8-4ED3-4AC5-92C1-828FEE429A31}">
      <dgm:prSet/>
      <dgm:spPr/>
      <dgm:t>
        <a:bodyPr/>
        <a:lstStyle/>
        <a:p>
          <a:endParaRPr lang="es-MX" sz="1000">
            <a:latin typeface="Times New Roman" panose="02020603050405020304" pitchFamily="18" charset="0"/>
            <a:cs typeface="Times New Roman" panose="02020603050405020304" pitchFamily="18" charset="0"/>
          </a:endParaRPr>
        </a:p>
      </dgm:t>
    </dgm:pt>
    <dgm:pt modelId="{C9C5FEB2-6F6F-4DD8-9F8D-4108EFF27B68}" type="sibTrans" cxnId="{AB8D00B8-4ED3-4AC5-92C1-828FEE429A31}">
      <dgm:prSet/>
      <dgm:spPr/>
      <dgm:t>
        <a:bodyPr/>
        <a:lstStyle/>
        <a:p>
          <a:endParaRPr lang="es-MX" sz="1000">
            <a:latin typeface="Times New Roman" panose="02020603050405020304" pitchFamily="18" charset="0"/>
            <a:cs typeface="Times New Roman" panose="02020603050405020304" pitchFamily="18" charset="0"/>
          </a:endParaRPr>
        </a:p>
      </dgm:t>
    </dgm:pt>
    <dgm:pt modelId="{A807B4FB-13A8-4F66-B809-89F1F875B093}">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Tarifario competitivo + descuentos por volumen.</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C7065D2D-C0FC-4B5F-A5AE-C3A40BC959BE}" type="parTrans" cxnId="{0A5C695F-BD32-49FF-AD90-7178D61DEED7}">
      <dgm:prSet/>
      <dgm:spPr/>
      <dgm:t>
        <a:bodyPr/>
        <a:lstStyle/>
        <a:p>
          <a:endParaRPr lang="es-MX" sz="1000">
            <a:latin typeface="Times New Roman" panose="02020603050405020304" pitchFamily="18" charset="0"/>
            <a:cs typeface="Times New Roman" panose="02020603050405020304" pitchFamily="18" charset="0"/>
          </a:endParaRPr>
        </a:p>
      </dgm:t>
    </dgm:pt>
    <dgm:pt modelId="{42979ABC-3F60-4CCE-BDCF-F8E629859408}" type="sibTrans" cxnId="{0A5C695F-BD32-49FF-AD90-7178D61DEED7}">
      <dgm:prSet/>
      <dgm:spPr/>
      <dgm:t>
        <a:bodyPr/>
        <a:lstStyle/>
        <a:p>
          <a:endParaRPr lang="es-MX" sz="1000">
            <a:latin typeface="Times New Roman" panose="02020603050405020304" pitchFamily="18" charset="0"/>
            <a:cs typeface="Times New Roman" panose="02020603050405020304" pitchFamily="18" charset="0"/>
          </a:endParaRPr>
        </a:p>
      </dgm:t>
    </dgm:pt>
    <dgm:pt modelId="{25DDD4D1-46F2-4B30-A530-E210B49F47B8}">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Planes anuales con precio fijo para multinacionales.</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CE644E50-2FC1-41E0-ABF6-6366B0A413D4}" type="parTrans" cxnId="{F0F8B2E9-152A-44A5-8985-814FC3E36575}">
      <dgm:prSet/>
      <dgm:spPr/>
      <dgm:t>
        <a:bodyPr/>
        <a:lstStyle/>
        <a:p>
          <a:endParaRPr lang="es-MX" sz="1000">
            <a:latin typeface="Times New Roman" panose="02020603050405020304" pitchFamily="18" charset="0"/>
            <a:cs typeface="Times New Roman" panose="02020603050405020304" pitchFamily="18" charset="0"/>
          </a:endParaRPr>
        </a:p>
      </dgm:t>
    </dgm:pt>
    <dgm:pt modelId="{6DAC39D6-0B62-4438-BA43-E1FD303AA66F}" type="sibTrans" cxnId="{F0F8B2E9-152A-44A5-8985-814FC3E36575}">
      <dgm:prSet/>
      <dgm:spPr/>
      <dgm:t>
        <a:bodyPr/>
        <a:lstStyle/>
        <a:p>
          <a:endParaRPr lang="es-MX" sz="1000">
            <a:latin typeface="Times New Roman" panose="02020603050405020304" pitchFamily="18" charset="0"/>
            <a:cs typeface="Times New Roman" panose="02020603050405020304" pitchFamily="18" charset="0"/>
          </a:endParaRPr>
        </a:p>
      </dgm:t>
    </dgm:pt>
    <dgm:pt modelId="{0BF3547C-D847-4FEE-A142-F06CFA4746C1}">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Up-selling: almacenaje nacional + distribución + VAS.</a:t>
          </a:r>
        </a:p>
      </dgm:t>
    </dgm:pt>
    <dgm:pt modelId="{C32D0640-55E2-4E8C-ACD5-368407F950A6}" type="parTrans" cxnId="{0A0DC267-4410-42E2-A6AD-F47DCDFEE8E9}">
      <dgm:prSet/>
      <dgm:spPr/>
      <dgm:t>
        <a:bodyPr/>
        <a:lstStyle/>
        <a:p>
          <a:endParaRPr lang="es-MX" sz="1000">
            <a:latin typeface="Times New Roman" panose="02020603050405020304" pitchFamily="18" charset="0"/>
            <a:cs typeface="Times New Roman" panose="02020603050405020304" pitchFamily="18" charset="0"/>
          </a:endParaRPr>
        </a:p>
      </dgm:t>
    </dgm:pt>
    <dgm:pt modelId="{D8CA7D19-B485-4DFA-8E32-AAAE51A56BC4}" type="sibTrans" cxnId="{0A0DC267-4410-42E2-A6AD-F47DCDFEE8E9}">
      <dgm:prSet/>
      <dgm:spPr/>
      <dgm:t>
        <a:bodyPr/>
        <a:lstStyle/>
        <a:p>
          <a:endParaRPr lang="es-MX" sz="1000">
            <a:latin typeface="Times New Roman" panose="02020603050405020304" pitchFamily="18" charset="0"/>
            <a:cs typeface="Times New Roman" panose="02020603050405020304" pitchFamily="18" charset="0"/>
          </a:endParaRPr>
        </a:p>
      </dgm:t>
    </dgm:pt>
    <dgm:pt modelId="{C18D6E09-D308-4984-8D56-18D9AC43EFB4}">
      <dgm:prSet custT="1"/>
      <dgm:spPr/>
      <dgm:t>
        <a:bodyPr/>
        <a:lstStyle/>
        <a:p>
          <a:pPr>
            <a:buFont typeface="Arial" panose="020B0604020202020204" pitchFamily="34" charset="0"/>
            <a:buChar char="•"/>
          </a:pPr>
          <a:r>
            <a:rPr lang="es-MX" sz="1000">
              <a:latin typeface="Times New Roman" panose="02020603050405020304" pitchFamily="18" charset="0"/>
              <a:cs typeface="Times New Roman" panose="02020603050405020304" pitchFamily="18" charset="0"/>
            </a:rPr>
            <a:t>Roadshows técnicos con despachantes y brokers.</a:t>
          </a:r>
          <a:br>
            <a:rPr lang="es-MX" sz="1000">
              <a:latin typeface="Times New Roman" panose="02020603050405020304" pitchFamily="18" charset="0"/>
              <a:cs typeface="Times New Roman" panose="02020603050405020304" pitchFamily="18" charset="0"/>
            </a:rPr>
          </a:br>
          <a:endParaRPr lang="es-MX" sz="1000">
            <a:latin typeface="Times New Roman" panose="02020603050405020304" pitchFamily="18" charset="0"/>
            <a:cs typeface="Times New Roman" panose="02020603050405020304" pitchFamily="18" charset="0"/>
          </a:endParaRPr>
        </a:p>
      </dgm:t>
    </dgm:pt>
    <dgm:pt modelId="{69EB5C00-5310-491F-AF8F-24786EFB1506}" type="parTrans" cxnId="{5111695B-4051-451B-BFE9-CF1734AEAFE3}">
      <dgm:prSet/>
      <dgm:spPr/>
      <dgm:t>
        <a:bodyPr/>
        <a:lstStyle/>
        <a:p>
          <a:endParaRPr lang="es-MX"/>
        </a:p>
      </dgm:t>
    </dgm:pt>
    <dgm:pt modelId="{9C831AF5-058B-4828-AB2D-012F0456CA19}" type="sibTrans" cxnId="{5111695B-4051-451B-BFE9-CF1734AEAFE3}">
      <dgm:prSet/>
      <dgm:spPr/>
      <dgm:t>
        <a:bodyPr/>
        <a:lstStyle/>
        <a:p>
          <a:endParaRPr lang="es-MX"/>
        </a:p>
      </dgm:t>
    </dgm:pt>
    <dgm:pt modelId="{2396717F-9268-4190-BC74-903654433F5C}" type="pres">
      <dgm:prSet presAssocID="{5A7031C5-342B-4FEC-A270-E2F32875E3A4}" presName="Name0" presStyleCnt="0">
        <dgm:presLayoutVars>
          <dgm:dir/>
          <dgm:animLvl val="lvl"/>
          <dgm:resizeHandles val="exact"/>
        </dgm:presLayoutVars>
      </dgm:prSet>
      <dgm:spPr/>
      <dgm:t>
        <a:bodyPr/>
        <a:lstStyle/>
        <a:p>
          <a:endParaRPr lang="es-AR"/>
        </a:p>
      </dgm:t>
    </dgm:pt>
    <dgm:pt modelId="{CBB0C5C5-3AF9-4406-9136-816E674CDF48}" type="pres">
      <dgm:prSet presAssocID="{D6FAD190-C5CD-4F15-8436-11A15179FECF}" presName="composite" presStyleCnt="0"/>
      <dgm:spPr/>
    </dgm:pt>
    <dgm:pt modelId="{80C671B9-EE02-4654-8D25-C7C2918DD4A7}" type="pres">
      <dgm:prSet presAssocID="{D6FAD190-C5CD-4F15-8436-11A15179FECF}" presName="parTx" presStyleLbl="alignNode1" presStyleIdx="0" presStyleCnt="4">
        <dgm:presLayoutVars>
          <dgm:chMax val="0"/>
          <dgm:chPref val="0"/>
          <dgm:bulletEnabled val="1"/>
        </dgm:presLayoutVars>
      </dgm:prSet>
      <dgm:spPr/>
      <dgm:t>
        <a:bodyPr/>
        <a:lstStyle/>
        <a:p>
          <a:endParaRPr lang="es-AR"/>
        </a:p>
      </dgm:t>
    </dgm:pt>
    <dgm:pt modelId="{B6F0C2C9-F7CC-473E-BCCD-A205D1EDD7DE}" type="pres">
      <dgm:prSet presAssocID="{D6FAD190-C5CD-4F15-8436-11A15179FECF}" presName="desTx" presStyleLbl="alignAccFollowNode1" presStyleIdx="0" presStyleCnt="4">
        <dgm:presLayoutVars>
          <dgm:bulletEnabled val="1"/>
        </dgm:presLayoutVars>
      </dgm:prSet>
      <dgm:spPr/>
      <dgm:t>
        <a:bodyPr/>
        <a:lstStyle/>
        <a:p>
          <a:endParaRPr lang="es-AR"/>
        </a:p>
      </dgm:t>
    </dgm:pt>
    <dgm:pt modelId="{31CD039D-08F2-4DB0-9754-D4AFC8AF07F3}" type="pres">
      <dgm:prSet presAssocID="{95441D65-5ED4-4753-AB15-8CB38D4FF3BA}" presName="space" presStyleCnt="0"/>
      <dgm:spPr/>
    </dgm:pt>
    <dgm:pt modelId="{32747AF2-E719-4AE3-AB49-CBC3574A48F7}" type="pres">
      <dgm:prSet presAssocID="{7C673EC2-0BBB-44C2-B087-E5D28902DFB8}" presName="composite" presStyleCnt="0"/>
      <dgm:spPr/>
    </dgm:pt>
    <dgm:pt modelId="{B26B4125-B059-4605-AC05-BAACBD1071B6}" type="pres">
      <dgm:prSet presAssocID="{7C673EC2-0BBB-44C2-B087-E5D28902DFB8}" presName="parTx" presStyleLbl="alignNode1" presStyleIdx="1" presStyleCnt="4">
        <dgm:presLayoutVars>
          <dgm:chMax val="0"/>
          <dgm:chPref val="0"/>
          <dgm:bulletEnabled val="1"/>
        </dgm:presLayoutVars>
      </dgm:prSet>
      <dgm:spPr/>
      <dgm:t>
        <a:bodyPr/>
        <a:lstStyle/>
        <a:p>
          <a:endParaRPr lang="es-AR"/>
        </a:p>
      </dgm:t>
    </dgm:pt>
    <dgm:pt modelId="{38344188-302D-4435-8B01-052AE6A1ECDA}" type="pres">
      <dgm:prSet presAssocID="{7C673EC2-0BBB-44C2-B087-E5D28902DFB8}" presName="desTx" presStyleLbl="alignAccFollowNode1" presStyleIdx="1" presStyleCnt="4">
        <dgm:presLayoutVars>
          <dgm:bulletEnabled val="1"/>
        </dgm:presLayoutVars>
      </dgm:prSet>
      <dgm:spPr/>
      <dgm:t>
        <a:bodyPr/>
        <a:lstStyle/>
        <a:p>
          <a:endParaRPr lang="es-AR"/>
        </a:p>
      </dgm:t>
    </dgm:pt>
    <dgm:pt modelId="{464DBEDB-5BB9-4550-970F-91AEEE842B0E}" type="pres">
      <dgm:prSet presAssocID="{370CE405-5653-4323-9438-D0D6DE70B64B}" presName="space" presStyleCnt="0"/>
      <dgm:spPr/>
    </dgm:pt>
    <dgm:pt modelId="{E32D9C53-D7CB-42B6-BD2D-C04CFFD78A7B}" type="pres">
      <dgm:prSet presAssocID="{CD745D28-1696-4DD9-83A4-6D0865613B0C}" presName="composite" presStyleCnt="0"/>
      <dgm:spPr/>
    </dgm:pt>
    <dgm:pt modelId="{47A8B0E8-2239-46FC-B807-20E7699FB44A}" type="pres">
      <dgm:prSet presAssocID="{CD745D28-1696-4DD9-83A4-6D0865613B0C}" presName="parTx" presStyleLbl="alignNode1" presStyleIdx="2" presStyleCnt="4">
        <dgm:presLayoutVars>
          <dgm:chMax val="0"/>
          <dgm:chPref val="0"/>
          <dgm:bulletEnabled val="1"/>
        </dgm:presLayoutVars>
      </dgm:prSet>
      <dgm:spPr/>
      <dgm:t>
        <a:bodyPr/>
        <a:lstStyle/>
        <a:p>
          <a:endParaRPr lang="es-AR"/>
        </a:p>
      </dgm:t>
    </dgm:pt>
    <dgm:pt modelId="{EA8BC733-B165-4020-8F12-840E56640CE8}" type="pres">
      <dgm:prSet presAssocID="{CD745D28-1696-4DD9-83A4-6D0865613B0C}" presName="desTx" presStyleLbl="alignAccFollowNode1" presStyleIdx="2" presStyleCnt="4">
        <dgm:presLayoutVars>
          <dgm:bulletEnabled val="1"/>
        </dgm:presLayoutVars>
      </dgm:prSet>
      <dgm:spPr/>
      <dgm:t>
        <a:bodyPr/>
        <a:lstStyle/>
        <a:p>
          <a:endParaRPr lang="es-AR"/>
        </a:p>
      </dgm:t>
    </dgm:pt>
    <dgm:pt modelId="{9387D981-7158-46D0-82A5-594F39D3EB74}" type="pres">
      <dgm:prSet presAssocID="{BE0AE863-A066-47AC-B651-8E488869D56C}" presName="space" presStyleCnt="0"/>
      <dgm:spPr/>
    </dgm:pt>
    <dgm:pt modelId="{C0A24DE3-930E-45C7-A2D1-19912E970D4A}" type="pres">
      <dgm:prSet presAssocID="{2F179518-F483-4A89-9F76-13DE1C5BA8C0}" presName="composite" presStyleCnt="0"/>
      <dgm:spPr/>
    </dgm:pt>
    <dgm:pt modelId="{062D4A19-C4FF-4A38-B44E-52F10B8D2919}" type="pres">
      <dgm:prSet presAssocID="{2F179518-F483-4A89-9F76-13DE1C5BA8C0}" presName="parTx" presStyleLbl="alignNode1" presStyleIdx="3" presStyleCnt="4">
        <dgm:presLayoutVars>
          <dgm:chMax val="0"/>
          <dgm:chPref val="0"/>
          <dgm:bulletEnabled val="1"/>
        </dgm:presLayoutVars>
      </dgm:prSet>
      <dgm:spPr/>
      <dgm:t>
        <a:bodyPr/>
        <a:lstStyle/>
        <a:p>
          <a:endParaRPr lang="es-AR"/>
        </a:p>
      </dgm:t>
    </dgm:pt>
    <dgm:pt modelId="{B7027292-8D86-4621-8B22-0E67E226125C}" type="pres">
      <dgm:prSet presAssocID="{2F179518-F483-4A89-9F76-13DE1C5BA8C0}" presName="desTx" presStyleLbl="alignAccFollowNode1" presStyleIdx="3" presStyleCnt="4">
        <dgm:presLayoutVars>
          <dgm:bulletEnabled val="1"/>
        </dgm:presLayoutVars>
      </dgm:prSet>
      <dgm:spPr/>
      <dgm:t>
        <a:bodyPr/>
        <a:lstStyle/>
        <a:p>
          <a:endParaRPr lang="es-AR"/>
        </a:p>
      </dgm:t>
    </dgm:pt>
  </dgm:ptLst>
  <dgm:cxnLst>
    <dgm:cxn modelId="{461747CA-48F4-4719-87B2-428294671EF9}" type="presOf" srcId="{8152B45E-FC13-4D82-B079-16F3C2918C25}" destId="{38344188-302D-4435-8B01-052AE6A1ECDA}" srcOrd="0" destOrd="0" presId="urn:microsoft.com/office/officeart/2005/8/layout/hList1"/>
    <dgm:cxn modelId="{D426C806-B90D-4B69-892B-A89DEA9E08F9}" type="presOf" srcId="{67F98E6F-5E27-435A-95E2-DE7736A95245}" destId="{B6F0C2C9-F7CC-473E-BCCD-A205D1EDD7DE}" srcOrd="0" destOrd="3" presId="urn:microsoft.com/office/officeart/2005/8/layout/hList1"/>
    <dgm:cxn modelId="{CD631B4A-2D97-498D-BEB7-84CEE286942D}" srcId="{D6FAD190-C5CD-4F15-8436-11A15179FECF}" destId="{96486AD4-3476-42BE-AEC6-EAC2542D3222}" srcOrd="2" destOrd="0" parTransId="{2700B75B-D854-4D3D-8514-70752B941919}" sibTransId="{87699AC1-FADA-4B06-AB29-E20CDEC7CB66}"/>
    <dgm:cxn modelId="{2CF30348-A0E8-4B53-9874-5A88AA724083}" type="presOf" srcId="{96486AD4-3476-42BE-AEC6-EAC2542D3222}" destId="{B6F0C2C9-F7CC-473E-BCCD-A205D1EDD7DE}" srcOrd="0" destOrd="2" presId="urn:microsoft.com/office/officeart/2005/8/layout/hList1"/>
    <dgm:cxn modelId="{090996FD-6EAD-4905-B879-222871724C43}" srcId="{5A7031C5-342B-4FEC-A270-E2F32875E3A4}" destId="{CD745D28-1696-4DD9-83A4-6D0865613B0C}" srcOrd="2" destOrd="0" parTransId="{0AB928A9-5ACD-4263-B1E4-11EA6333BA2A}" sibTransId="{BE0AE863-A066-47AC-B651-8E488869D56C}"/>
    <dgm:cxn modelId="{AC419A2C-06A6-42C3-B746-106C9AA8BC5C}" type="presOf" srcId="{2F179518-F483-4A89-9F76-13DE1C5BA8C0}" destId="{062D4A19-C4FF-4A38-B44E-52F10B8D2919}" srcOrd="0" destOrd="0" presId="urn:microsoft.com/office/officeart/2005/8/layout/hList1"/>
    <dgm:cxn modelId="{10B2344D-C3CE-4024-BF1A-F9D5DC42DFD7}" type="presOf" srcId="{9D258C99-E9DE-4F5B-BF74-BB14A6AA90A2}" destId="{EA8BC733-B165-4020-8F12-840E56640CE8}" srcOrd="0" destOrd="0" presId="urn:microsoft.com/office/officeart/2005/8/layout/hList1"/>
    <dgm:cxn modelId="{E53FD5F8-B44C-40A6-A519-0820FE5CAF90}" srcId="{D6FAD190-C5CD-4F15-8436-11A15179FECF}" destId="{05CB50B2-B5A6-455A-BB26-DB362828E754}" srcOrd="0" destOrd="0" parTransId="{A747BB9D-1BCE-43AC-B59F-A2388D9E5E44}" sibTransId="{9600CD3A-D344-4D3C-9D41-527AB51307D5}"/>
    <dgm:cxn modelId="{A7F5BE62-DFBA-4C32-A7B4-4EFD6B71A0E7}" type="presOf" srcId="{BE27868D-F081-439D-BA05-783E2B3DFBFA}" destId="{38344188-302D-4435-8B01-052AE6A1ECDA}" srcOrd="0" destOrd="2" presId="urn:microsoft.com/office/officeart/2005/8/layout/hList1"/>
    <dgm:cxn modelId="{AB8D00B8-4ED3-4AC5-92C1-828FEE429A31}" srcId="{5A7031C5-342B-4FEC-A270-E2F32875E3A4}" destId="{2F179518-F483-4A89-9F76-13DE1C5BA8C0}" srcOrd="3" destOrd="0" parTransId="{A01F4FED-B99F-46AF-8FFF-19B94270C64B}" sibTransId="{C9C5FEB2-6F6F-4DD8-9F8D-4108EFF27B68}"/>
    <dgm:cxn modelId="{E8BCCCA4-F86C-4224-A66B-9711A2CE0F73}" type="presOf" srcId="{5A7031C5-342B-4FEC-A270-E2F32875E3A4}" destId="{2396717F-9268-4190-BC74-903654433F5C}" srcOrd="0" destOrd="0" presId="urn:microsoft.com/office/officeart/2005/8/layout/hList1"/>
    <dgm:cxn modelId="{2E38CE75-6080-42E1-A147-407A71B48AC2}" type="presOf" srcId="{7147303E-6BDE-4A90-B144-D9401B572A3D}" destId="{EA8BC733-B165-4020-8F12-840E56640CE8}" srcOrd="0" destOrd="2" presId="urn:microsoft.com/office/officeart/2005/8/layout/hList1"/>
    <dgm:cxn modelId="{9EBEDF58-C669-4269-B6C7-D1837CC55468}" type="presOf" srcId="{25DDD4D1-46F2-4B30-A530-E210B49F47B8}" destId="{B7027292-8D86-4621-8B22-0E67E226125C}" srcOrd="0" destOrd="1" presId="urn:microsoft.com/office/officeart/2005/8/layout/hList1"/>
    <dgm:cxn modelId="{6AB34B83-481E-466C-BF26-2949492EFF0E}" srcId="{7C673EC2-0BBB-44C2-B087-E5D28902DFB8}" destId="{BE27868D-F081-439D-BA05-783E2B3DFBFA}" srcOrd="2" destOrd="0" parTransId="{649FA150-D9A5-4556-B9CE-E993E35D48C9}" sibTransId="{2B1A7103-4E69-4988-A487-B800C7B1D2D1}"/>
    <dgm:cxn modelId="{A4CF2297-E90A-4468-88F6-B751C239B4C2}" srcId="{CD745D28-1696-4DD9-83A4-6D0865613B0C}" destId="{9D258C99-E9DE-4F5B-BF74-BB14A6AA90A2}" srcOrd="0" destOrd="0" parTransId="{AAA24FD0-CD9B-4F85-AF98-F544B33A25D1}" sibTransId="{C095BE02-0A8F-4411-9FE4-AC4E015517BE}"/>
    <dgm:cxn modelId="{9990F502-D4A8-4125-8E45-899E6BD5440F}" srcId="{5A7031C5-342B-4FEC-A270-E2F32875E3A4}" destId="{D6FAD190-C5CD-4F15-8436-11A15179FECF}" srcOrd="0" destOrd="0" parTransId="{35C741E7-B125-4C81-8859-9E43C0C27583}" sibTransId="{95441D65-5ED4-4753-AB15-8CB38D4FF3BA}"/>
    <dgm:cxn modelId="{50199774-6ED8-4AF7-BDFA-6510E9C9E352}" type="presOf" srcId="{05CB50B2-B5A6-455A-BB26-DB362828E754}" destId="{B6F0C2C9-F7CC-473E-BCCD-A205D1EDD7DE}" srcOrd="0" destOrd="0" presId="urn:microsoft.com/office/officeart/2005/8/layout/hList1"/>
    <dgm:cxn modelId="{AB36DBCD-24A7-4492-BB9F-16540EE89393}" type="presOf" srcId="{A807B4FB-13A8-4F66-B809-89F1F875B093}" destId="{B7027292-8D86-4621-8B22-0E67E226125C}" srcOrd="0" destOrd="0" presId="urn:microsoft.com/office/officeart/2005/8/layout/hList1"/>
    <dgm:cxn modelId="{59DABEFA-753E-4A4E-9986-177A451529F5}" type="presOf" srcId="{CD745D28-1696-4DD9-83A4-6D0865613B0C}" destId="{47A8B0E8-2239-46FC-B807-20E7699FB44A}" srcOrd="0" destOrd="0" presId="urn:microsoft.com/office/officeart/2005/8/layout/hList1"/>
    <dgm:cxn modelId="{E0CF1ADC-85D6-485C-A416-5C107301297F}" type="presOf" srcId="{7C673EC2-0BBB-44C2-B087-E5D28902DFB8}" destId="{B26B4125-B059-4605-AC05-BAACBD1071B6}" srcOrd="0" destOrd="0" presId="urn:microsoft.com/office/officeart/2005/8/layout/hList1"/>
    <dgm:cxn modelId="{F0F8B2E9-152A-44A5-8985-814FC3E36575}" srcId="{2F179518-F483-4A89-9F76-13DE1C5BA8C0}" destId="{25DDD4D1-46F2-4B30-A530-E210B49F47B8}" srcOrd="1" destOrd="0" parTransId="{CE644E50-2FC1-41E0-ABF6-6366B0A413D4}" sibTransId="{6DAC39D6-0B62-4438-BA43-E1FD303AA66F}"/>
    <dgm:cxn modelId="{91280FF3-4A40-472E-82DE-E4B629454199}" srcId="{7C673EC2-0BBB-44C2-B087-E5D28902DFB8}" destId="{7D2F4CDE-9FFF-4575-9829-12F8BB6A4919}" srcOrd="1" destOrd="0" parTransId="{FE879FEB-D87F-47CD-8099-DCEDC11F0E35}" sibTransId="{94BFAADD-DE01-4280-8308-16B8895C8C56}"/>
    <dgm:cxn modelId="{0A0DC267-4410-42E2-A6AD-F47DCDFEE8E9}" srcId="{2F179518-F483-4A89-9F76-13DE1C5BA8C0}" destId="{0BF3547C-D847-4FEE-A142-F06CFA4746C1}" srcOrd="2" destOrd="0" parTransId="{C32D0640-55E2-4E8C-ACD5-368407F950A6}" sibTransId="{D8CA7D19-B485-4DFA-8E32-AAAE51A56BC4}"/>
    <dgm:cxn modelId="{321C4D4A-FE55-41D4-BA21-C54CCBD636FF}" srcId="{CD745D28-1696-4DD9-83A4-6D0865613B0C}" destId="{F4D82291-408C-427B-9511-1740F20AAFAD}" srcOrd="1" destOrd="0" parTransId="{A62D9DE0-A0CF-4474-A682-305ECA344A5B}" sibTransId="{41BBBFB9-03ED-4100-8297-44278165ECF9}"/>
    <dgm:cxn modelId="{8A77030A-D87D-436B-B92D-B4CAEF4A1146}" type="presOf" srcId="{7D2F4CDE-9FFF-4575-9829-12F8BB6A4919}" destId="{38344188-302D-4435-8B01-052AE6A1ECDA}" srcOrd="0" destOrd="1" presId="urn:microsoft.com/office/officeart/2005/8/layout/hList1"/>
    <dgm:cxn modelId="{5111695B-4051-451B-BFE9-CF1734AEAFE3}" srcId="{D6FAD190-C5CD-4F15-8436-11A15179FECF}" destId="{C18D6E09-D308-4984-8D56-18D9AC43EFB4}" srcOrd="1" destOrd="0" parTransId="{69EB5C00-5310-491F-AF8F-24786EFB1506}" sibTransId="{9C831AF5-058B-4828-AB2D-012F0456CA19}"/>
    <dgm:cxn modelId="{D8CDD3CD-01AE-47AE-A4C5-99AE0E491E4E}" srcId="{7C673EC2-0BBB-44C2-B087-E5D28902DFB8}" destId="{8152B45E-FC13-4D82-B079-16F3C2918C25}" srcOrd="0" destOrd="0" parTransId="{1356E779-EE5E-4971-ABD9-718101E0EC87}" sibTransId="{750BE499-3CAC-4FC7-A98A-B292B4B2E3C0}"/>
    <dgm:cxn modelId="{31FD2B92-ACFD-4C34-B8E4-CD59E4003F99}" srcId="{D6FAD190-C5CD-4F15-8436-11A15179FECF}" destId="{67F98E6F-5E27-435A-95E2-DE7736A95245}" srcOrd="3" destOrd="0" parTransId="{01D2981E-E48F-404B-B75C-DEE705C0F94F}" sibTransId="{45ED2560-AEC6-491C-B13F-A0CE5178EEB5}"/>
    <dgm:cxn modelId="{5D5DA855-F6C5-4451-B013-025C149A9648}" type="presOf" srcId="{0BF3547C-D847-4FEE-A142-F06CFA4746C1}" destId="{B7027292-8D86-4621-8B22-0E67E226125C}" srcOrd="0" destOrd="2" presId="urn:microsoft.com/office/officeart/2005/8/layout/hList1"/>
    <dgm:cxn modelId="{D8A99D0E-2CB5-4AD0-9C67-B21D8EC066CD}" type="presOf" srcId="{C18D6E09-D308-4984-8D56-18D9AC43EFB4}" destId="{B6F0C2C9-F7CC-473E-BCCD-A205D1EDD7DE}" srcOrd="0" destOrd="1" presId="urn:microsoft.com/office/officeart/2005/8/layout/hList1"/>
    <dgm:cxn modelId="{EBA9430F-92B6-47C7-B647-5BF2B4E7FA7A}" type="presOf" srcId="{D6FAD190-C5CD-4F15-8436-11A15179FECF}" destId="{80C671B9-EE02-4654-8D25-C7C2918DD4A7}" srcOrd="0" destOrd="0" presId="urn:microsoft.com/office/officeart/2005/8/layout/hList1"/>
    <dgm:cxn modelId="{B1E804DF-B4C7-4B80-906F-50BC1842867B}" srcId="{5A7031C5-342B-4FEC-A270-E2F32875E3A4}" destId="{7C673EC2-0BBB-44C2-B087-E5D28902DFB8}" srcOrd="1" destOrd="0" parTransId="{A3C76BCF-7607-428B-A905-0061D54A97B4}" sibTransId="{370CE405-5653-4323-9438-D0D6DE70B64B}"/>
    <dgm:cxn modelId="{A2E2CE16-9D9D-465E-A29D-258E3CF0FB7D}" srcId="{CD745D28-1696-4DD9-83A4-6D0865613B0C}" destId="{7147303E-6BDE-4A90-B144-D9401B572A3D}" srcOrd="2" destOrd="0" parTransId="{4CCB47C4-F775-47F1-814F-84A15EB1056C}" sibTransId="{A4C13FC7-7799-4935-8531-7C786E6B0F69}"/>
    <dgm:cxn modelId="{0A5C695F-BD32-49FF-AD90-7178D61DEED7}" srcId="{2F179518-F483-4A89-9F76-13DE1C5BA8C0}" destId="{A807B4FB-13A8-4F66-B809-89F1F875B093}" srcOrd="0" destOrd="0" parTransId="{C7065D2D-C0FC-4B5F-A5AE-C3A40BC959BE}" sibTransId="{42979ABC-3F60-4CCE-BDCF-F8E629859408}"/>
    <dgm:cxn modelId="{EDF3A81A-332D-4088-9BF0-6D88822C700D}" type="presOf" srcId="{F4D82291-408C-427B-9511-1740F20AAFAD}" destId="{EA8BC733-B165-4020-8F12-840E56640CE8}" srcOrd="0" destOrd="1" presId="urn:microsoft.com/office/officeart/2005/8/layout/hList1"/>
    <dgm:cxn modelId="{58F33D83-1742-4B6F-A0B0-E210FB316206}" type="presParOf" srcId="{2396717F-9268-4190-BC74-903654433F5C}" destId="{CBB0C5C5-3AF9-4406-9136-816E674CDF48}" srcOrd="0" destOrd="0" presId="urn:microsoft.com/office/officeart/2005/8/layout/hList1"/>
    <dgm:cxn modelId="{AB03A62E-7A9C-4595-B847-C2B2696C9157}" type="presParOf" srcId="{CBB0C5C5-3AF9-4406-9136-816E674CDF48}" destId="{80C671B9-EE02-4654-8D25-C7C2918DD4A7}" srcOrd="0" destOrd="0" presId="urn:microsoft.com/office/officeart/2005/8/layout/hList1"/>
    <dgm:cxn modelId="{DC7EB691-EB23-4425-BFB0-B58A2A5CC726}" type="presParOf" srcId="{CBB0C5C5-3AF9-4406-9136-816E674CDF48}" destId="{B6F0C2C9-F7CC-473E-BCCD-A205D1EDD7DE}" srcOrd="1" destOrd="0" presId="urn:microsoft.com/office/officeart/2005/8/layout/hList1"/>
    <dgm:cxn modelId="{FEE6C375-35DB-4856-8306-0AC97A1B931F}" type="presParOf" srcId="{2396717F-9268-4190-BC74-903654433F5C}" destId="{31CD039D-08F2-4DB0-9754-D4AFC8AF07F3}" srcOrd="1" destOrd="0" presId="urn:microsoft.com/office/officeart/2005/8/layout/hList1"/>
    <dgm:cxn modelId="{E7DAACBF-7484-475C-B64F-D7D9346AE296}" type="presParOf" srcId="{2396717F-9268-4190-BC74-903654433F5C}" destId="{32747AF2-E719-4AE3-AB49-CBC3574A48F7}" srcOrd="2" destOrd="0" presId="urn:microsoft.com/office/officeart/2005/8/layout/hList1"/>
    <dgm:cxn modelId="{9FC6C50D-CE3A-44B4-B58F-080912C663BB}" type="presParOf" srcId="{32747AF2-E719-4AE3-AB49-CBC3574A48F7}" destId="{B26B4125-B059-4605-AC05-BAACBD1071B6}" srcOrd="0" destOrd="0" presId="urn:microsoft.com/office/officeart/2005/8/layout/hList1"/>
    <dgm:cxn modelId="{5875D986-F6A9-46B7-9DF7-F8BB60243F9A}" type="presParOf" srcId="{32747AF2-E719-4AE3-AB49-CBC3574A48F7}" destId="{38344188-302D-4435-8B01-052AE6A1ECDA}" srcOrd="1" destOrd="0" presId="urn:microsoft.com/office/officeart/2005/8/layout/hList1"/>
    <dgm:cxn modelId="{0194D089-B941-4272-B0EF-4AE4CA941280}" type="presParOf" srcId="{2396717F-9268-4190-BC74-903654433F5C}" destId="{464DBEDB-5BB9-4550-970F-91AEEE842B0E}" srcOrd="3" destOrd="0" presId="urn:microsoft.com/office/officeart/2005/8/layout/hList1"/>
    <dgm:cxn modelId="{AA909770-E63D-4750-BA5D-2E79312BD73A}" type="presParOf" srcId="{2396717F-9268-4190-BC74-903654433F5C}" destId="{E32D9C53-D7CB-42B6-BD2D-C04CFFD78A7B}" srcOrd="4" destOrd="0" presId="urn:microsoft.com/office/officeart/2005/8/layout/hList1"/>
    <dgm:cxn modelId="{2894F4F6-82DD-44F6-B210-AE6E4E354B5A}" type="presParOf" srcId="{E32D9C53-D7CB-42B6-BD2D-C04CFFD78A7B}" destId="{47A8B0E8-2239-46FC-B807-20E7699FB44A}" srcOrd="0" destOrd="0" presId="urn:microsoft.com/office/officeart/2005/8/layout/hList1"/>
    <dgm:cxn modelId="{B8AC8C48-D896-4C71-9218-8A050231231D}" type="presParOf" srcId="{E32D9C53-D7CB-42B6-BD2D-C04CFFD78A7B}" destId="{EA8BC733-B165-4020-8F12-840E56640CE8}" srcOrd="1" destOrd="0" presId="urn:microsoft.com/office/officeart/2005/8/layout/hList1"/>
    <dgm:cxn modelId="{FC6CA06D-4607-434B-A930-15A509643B2C}" type="presParOf" srcId="{2396717F-9268-4190-BC74-903654433F5C}" destId="{9387D981-7158-46D0-82A5-594F39D3EB74}" srcOrd="5" destOrd="0" presId="urn:microsoft.com/office/officeart/2005/8/layout/hList1"/>
    <dgm:cxn modelId="{AD1F526E-A6EE-48FE-92E2-C239F474B53D}" type="presParOf" srcId="{2396717F-9268-4190-BC74-903654433F5C}" destId="{C0A24DE3-930E-45C7-A2D1-19912E970D4A}" srcOrd="6" destOrd="0" presId="urn:microsoft.com/office/officeart/2005/8/layout/hList1"/>
    <dgm:cxn modelId="{81D730AF-E5ED-4364-9AD4-A4059D55D441}" type="presParOf" srcId="{C0A24DE3-930E-45C7-A2D1-19912E970D4A}" destId="{062D4A19-C4FF-4A38-B44E-52F10B8D2919}" srcOrd="0" destOrd="0" presId="urn:microsoft.com/office/officeart/2005/8/layout/hList1"/>
    <dgm:cxn modelId="{B941EEB0-AC53-4997-B719-C8F6E156D1D7}" type="presParOf" srcId="{C0A24DE3-930E-45C7-A2D1-19912E970D4A}" destId="{B7027292-8D86-4621-8B22-0E67E226125C}" srcOrd="1" destOrd="0" presId="urn:microsoft.com/office/officeart/2005/8/layout/hList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CAF252-A581-4350-B4C4-782B3D4E6FE6}">
      <dsp:nvSpPr>
        <dsp:cNvPr id="0" name=""/>
        <dsp:cNvSpPr/>
      </dsp:nvSpPr>
      <dsp:spPr>
        <a:xfrm rot="5400000">
          <a:off x="3160111" y="-2165901"/>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Político </a:t>
          </a:r>
          <a:r>
            <a:rPr lang="es-AR" sz="1100" b="0" i="1" kern="1200">
              <a:latin typeface="Times New Roman" panose="02020603050405020304" pitchFamily="18" charset="0"/>
              <a:cs typeface="Times New Roman" panose="02020603050405020304" pitchFamily="18" charset="0"/>
            </a:rPr>
            <a:t>El gobierno nacional, bajo la administración de Javier Milei, impulsa medidas de desregulación comercial y reducción de costos aduaneros. ARCA (ex AFIP) ha flexibilizado garantías para depósitos fiscales en 2025.</a:t>
          </a:r>
          <a:endParaRPr lang="es-MX" sz="1100" b="0" i="1" kern="1200">
            <a:latin typeface="Times New Roman" panose="02020603050405020304" pitchFamily="18" charset="0"/>
            <a:cs typeface="Times New Roman" panose="02020603050405020304" pitchFamily="18" charset="0"/>
          </a:endParaRPr>
        </a:p>
      </dsp:txBody>
      <dsp:txXfrm rot="-5400000">
        <a:off x="942267" y="81550"/>
        <a:ext cx="5012593" cy="547297"/>
      </dsp:txXfrm>
    </dsp:sp>
    <dsp:sp modelId="{BF53EBF5-0616-48AC-AD22-49F9CA9A03A2}">
      <dsp:nvSpPr>
        <dsp:cNvPr id="0" name=""/>
        <dsp:cNvSpPr/>
      </dsp:nvSpPr>
      <dsp:spPr>
        <a:xfrm>
          <a:off x="54824" y="1215"/>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P</a:t>
          </a:r>
        </a:p>
      </dsp:txBody>
      <dsp:txXfrm>
        <a:off x="89384" y="35775"/>
        <a:ext cx="818322" cy="638846"/>
      </dsp:txXfrm>
    </dsp:sp>
    <dsp:sp modelId="{4BCDEE63-DCA1-4572-80F4-FB7F044543F8}">
      <dsp:nvSpPr>
        <dsp:cNvPr id="0" name=""/>
        <dsp:cNvSpPr/>
      </dsp:nvSpPr>
      <dsp:spPr>
        <a:xfrm rot="5400000">
          <a:off x="3160111" y="-1422537"/>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Económico </a:t>
          </a:r>
          <a:r>
            <a:rPr lang="es-AR" sz="1100" i="1" kern="1200">
              <a:latin typeface="Times New Roman" panose="02020603050405020304" pitchFamily="18" charset="0"/>
              <a:cs typeface="Times New Roman" panose="02020603050405020304" pitchFamily="18" charset="0"/>
            </a:rPr>
            <a:t>Contexto inflacionario, con alta presión impositiva y necesidad de eficiencia logística. El comercio exterior es clave para el ingreso de divisas y se espera crecimiento en el sector agroindustrial, energético y tecnológico.</a:t>
          </a:r>
          <a:endParaRPr lang="es-MX" sz="1200" i="1" kern="1200">
            <a:latin typeface="Times New Roman" panose="02020603050405020304" pitchFamily="18" charset="0"/>
            <a:cs typeface="Times New Roman" panose="02020603050405020304" pitchFamily="18" charset="0"/>
          </a:endParaRPr>
        </a:p>
      </dsp:txBody>
      <dsp:txXfrm rot="-5400000">
        <a:off x="942267" y="824914"/>
        <a:ext cx="5012593" cy="547297"/>
      </dsp:txXfrm>
    </dsp:sp>
    <dsp:sp modelId="{783078DD-45B8-4B7B-9FC3-7B6C501C67E0}">
      <dsp:nvSpPr>
        <dsp:cNvPr id="0" name=""/>
        <dsp:cNvSpPr/>
      </dsp:nvSpPr>
      <dsp:spPr>
        <a:xfrm>
          <a:off x="54824" y="744580"/>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E</a:t>
          </a:r>
        </a:p>
      </dsp:txBody>
      <dsp:txXfrm>
        <a:off x="89384" y="779140"/>
        <a:ext cx="818322" cy="638846"/>
      </dsp:txXfrm>
    </dsp:sp>
    <dsp:sp modelId="{18B7E46A-72F8-4BD5-9994-596B85119A11}">
      <dsp:nvSpPr>
        <dsp:cNvPr id="0" name=""/>
        <dsp:cNvSpPr/>
      </dsp:nvSpPr>
      <dsp:spPr>
        <a:xfrm rot="5400000">
          <a:off x="3160111" y="-679172"/>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Social </a:t>
          </a:r>
          <a:r>
            <a:rPr lang="es-AR" sz="1100" i="1" kern="1200">
              <a:latin typeface="Times New Roman" panose="02020603050405020304" pitchFamily="18" charset="0"/>
              <a:cs typeface="Times New Roman" panose="02020603050405020304" pitchFamily="18" charset="0"/>
            </a:rPr>
            <a:t>Mayor exigencia de trazabilidad y transparenciaValorización de operadores que brinden soluciones completas, especialmente por parte de multinacionales.</a:t>
          </a:r>
          <a:endParaRPr lang="es-MX" sz="1100" i="1" kern="1200">
            <a:latin typeface="Times New Roman" panose="02020603050405020304" pitchFamily="18" charset="0"/>
            <a:cs typeface="Times New Roman" panose="02020603050405020304" pitchFamily="18" charset="0"/>
          </a:endParaRPr>
        </a:p>
      </dsp:txBody>
      <dsp:txXfrm rot="-5400000">
        <a:off x="942267" y="1568279"/>
        <a:ext cx="5012593" cy="547297"/>
      </dsp:txXfrm>
    </dsp:sp>
    <dsp:sp modelId="{FC830698-419C-4A4C-A58E-FCA0A0B3F792}">
      <dsp:nvSpPr>
        <dsp:cNvPr id="0" name=""/>
        <dsp:cNvSpPr/>
      </dsp:nvSpPr>
      <dsp:spPr>
        <a:xfrm>
          <a:off x="54824" y="1487944"/>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S</a:t>
          </a:r>
        </a:p>
      </dsp:txBody>
      <dsp:txXfrm>
        <a:off x="89384" y="1522504"/>
        <a:ext cx="818322" cy="638846"/>
      </dsp:txXfrm>
    </dsp:sp>
    <dsp:sp modelId="{A174203C-1E4D-485F-8F27-DE585451A115}">
      <dsp:nvSpPr>
        <dsp:cNvPr id="0" name=""/>
        <dsp:cNvSpPr/>
      </dsp:nvSpPr>
      <dsp:spPr>
        <a:xfrm rot="5400000">
          <a:off x="3160111" y="64191"/>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Tecnológico </a:t>
          </a:r>
          <a:r>
            <a:rPr lang="es-AR" sz="1100" i="1" kern="1200">
              <a:latin typeface="Times New Roman" panose="02020603050405020304" pitchFamily="18" charset="0"/>
              <a:cs typeface="Times New Roman" panose="02020603050405020304" pitchFamily="18" charset="0"/>
            </a:rPr>
            <a:t>Fuerte avance de herramientas WMS, TMS, visibilidad online y automatización. La DGA exige trazabilidad electrónica en depósitos fiscales.</a:t>
          </a:r>
          <a:endParaRPr lang="es-MX" sz="1100" i="1" kern="1200">
            <a:latin typeface="Times New Roman" panose="02020603050405020304" pitchFamily="18" charset="0"/>
            <a:cs typeface="Times New Roman" panose="02020603050405020304" pitchFamily="18" charset="0"/>
          </a:endParaRPr>
        </a:p>
      </dsp:txBody>
      <dsp:txXfrm rot="-5400000">
        <a:off x="942267" y="2311643"/>
        <a:ext cx="5012593" cy="547297"/>
      </dsp:txXfrm>
    </dsp:sp>
    <dsp:sp modelId="{0A19962A-7EB2-4726-8CCD-5D098E6D3BA7}">
      <dsp:nvSpPr>
        <dsp:cNvPr id="0" name=""/>
        <dsp:cNvSpPr/>
      </dsp:nvSpPr>
      <dsp:spPr>
        <a:xfrm>
          <a:off x="54824" y="2231309"/>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T</a:t>
          </a:r>
        </a:p>
      </dsp:txBody>
      <dsp:txXfrm>
        <a:off x="89384" y="2265869"/>
        <a:ext cx="818322" cy="638846"/>
      </dsp:txXfrm>
    </dsp:sp>
    <dsp:sp modelId="{5522934E-1DAA-4CB2-98D9-7EAC00FB4054}">
      <dsp:nvSpPr>
        <dsp:cNvPr id="0" name=""/>
        <dsp:cNvSpPr/>
      </dsp:nvSpPr>
      <dsp:spPr>
        <a:xfrm rot="5400000">
          <a:off x="3160111" y="807556"/>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Ecológico </a:t>
          </a:r>
          <a:r>
            <a:rPr lang="es-AR" sz="1100" i="1" kern="1200">
              <a:latin typeface="Times New Roman" panose="02020603050405020304" pitchFamily="18" charset="0"/>
              <a:cs typeface="Times New Roman" panose="02020603050405020304" pitchFamily="18" charset="0"/>
            </a:rPr>
            <a:t>Aumento de controles ambientales. Los depósitos deben cumplir normas de seguridad e higiene ambiental.</a:t>
          </a:r>
          <a:endParaRPr lang="es-MX" sz="1200" i="1" kern="1200">
            <a:latin typeface="Times New Roman" panose="02020603050405020304" pitchFamily="18" charset="0"/>
            <a:cs typeface="Times New Roman" panose="02020603050405020304" pitchFamily="18" charset="0"/>
          </a:endParaRPr>
        </a:p>
      </dsp:txBody>
      <dsp:txXfrm rot="-5400000">
        <a:off x="942267" y="3055008"/>
        <a:ext cx="5012593" cy="547297"/>
      </dsp:txXfrm>
    </dsp:sp>
    <dsp:sp modelId="{C68ABA88-5A3E-4E92-A48F-2F28DA1EFFB3}">
      <dsp:nvSpPr>
        <dsp:cNvPr id="0" name=""/>
        <dsp:cNvSpPr/>
      </dsp:nvSpPr>
      <dsp:spPr>
        <a:xfrm>
          <a:off x="54824" y="2974673"/>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E</a:t>
          </a:r>
        </a:p>
      </dsp:txBody>
      <dsp:txXfrm>
        <a:off x="89384" y="3009233"/>
        <a:ext cx="818322" cy="638846"/>
      </dsp:txXfrm>
    </dsp:sp>
    <dsp:sp modelId="{D5A95715-EEDD-4273-A46F-DE926017E200}">
      <dsp:nvSpPr>
        <dsp:cNvPr id="0" name=""/>
        <dsp:cNvSpPr/>
      </dsp:nvSpPr>
      <dsp:spPr>
        <a:xfrm rot="5400000">
          <a:off x="3160111" y="1550920"/>
          <a:ext cx="606511" cy="504220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6000" tIns="36000" rIns="36000" bIns="36000" numCol="1" spcCol="1270" anchor="ctr" anchorCtr="0">
          <a:noAutofit/>
        </a:bodyPr>
        <a:lstStyle/>
        <a:p>
          <a:pPr marL="114300" lvl="1" indent="-114300" algn="l" defTabSz="533400">
            <a:lnSpc>
              <a:spcPct val="90000"/>
            </a:lnSpc>
            <a:spcBef>
              <a:spcPct val="0"/>
            </a:spcBef>
            <a:spcAft>
              <a:spcPct val="15000"/>
            </a:spcAft>
            <a:buChar char="••"/>
          </a:pPr>
          <a:r>
            <a:rPr lang="es-AR" sz="1200" b="1" kern="1200">
              <a:latin typeface="Times New Roman" panose="02020603050405020304" pitchFamily="18" charset="0"/>
              <a:cs typeface="Times New Roman" panose="02020603050405020304" pitchFamily="18" charset="0"/>
            </a:rPr>
            <a:t>Legal </a:t>
          </a:r>
          <a:r>
            <a:rPr lang="es-AR" sz="1100" i="1" kern="1200">
              <a:latin typeface="Times New Roman" panose="02020603050405020304" pitchFamily="18" charset="0"/>
              <a:cs typeface="Times New Roman" panose="02020603050405020304" pitchFamily="18" charset="0"/>
            </a:rPr>
            <a:t>La normativa aduanera impone exigencias estrictas, pero recientes reformas promueven inversiones logísticas y eficiencia tributaria.</a:t>
          </a:r>
          <a:endParaRPr lang="es-MX" sz="1200" i="1" kern="1200">
            <a:latin typeface="Times New Roman" panose="02020603050405020304" pitchFamily="18" charset="0"/>
            <a:cs typeface="Times New Roman" panose="02020603050405020304" pitchFamily="18" charset="0"/>
          </a:endParaRPr>
        </a:p>
      </dsp:txBody>
      <dsp:txXfrm rot="-5400000">
        <a:off x="942267" y="3798372"/>
        <a:ext cx="5012593" cy="547297"/>
      </dsp:txXfrm>
    </dsp:sp>
    <dsp:sp modelId="{E45B8633-D4F4-43D6-A307-962EECA87831}">
      <dsp:nvSpPr>
        <dsp:cNvPr id="0" name=""/>
        <dsp:cNvSpPr/>
      </dsp:nvSpPr>
      <dsp:spPr>
        <a:xfrm>
          <a:off x="54824" y="3718037"/>
          <a:ext cx="887442" cy="70796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7160" tIns="68580" rIns="137160" bIns="68580" numCol="1" spcCol="1270" anchor="ctr" anchorCtr="0">
          <a:noAutofit/>
        </a:bodyPr>
        <a:lstStyle/>
        <a:p>
          <a:pPr lvl="0" algn="ctr" defTabSz="1600200">
            <a:lnSpc>
              <a:spcPct val="90000"/>
            </a:lnSpc>
            <a:spcBef>
              <a:spcPct val="0"/>
            </a:spcBef>
            <a:spcAft>
              <a:spcPct val="35000"/>
            </a:spcAft>
          </a:pPr>
          <a:r>
            <a:rPr lang="es-MX" sz="3600" b="1" kern="1200">
              <a:latin typeface="Times New Roman" panose="02020603050405020304" pitchFamily="18" charset="0"/>
              <a:cs typeface="Times New Roman" panose="02020603050405020304" pitchFamily="18" charset="0"/>
            </a:rPr>
            <a:t>L</a:t>
          </a:r>
        </a:p>
      </dsp:txBody>
      <dsp:txXfrm>
        <a:off x="89384" y="3752597"/>
        <a:ext cx="818322" cy="6388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D8946C-7BE8-4C5E-BBBF-A565E8EE91A6}">
      <dsp:nvSpPr>
        <dsp:cNvPr id="0" name=""/>
        <dsp:cNvSpPr/>
      </dsp:nvSpPr>
      <dsp:spPr>
        <a:xfrm>
          <a:off x="2174240" y="0"/>
          <a:ext cx="2540000" cy="2540000"/>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245080B-413E-4C33-A423-942F0F898045}">
      <dsp:nvSpPr>
        <dsp:cNvPr id="0" name=""/>
        <dsp:cNvSpPr/>
      </dsp:nvSpPr>
      <dsp:spPr>
        <a:xfrm>
          <a:off x="1127606" y="241300"/>
          <a:ext cx="2272109" cy="990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a:latin typeface="Times New Roman" panose="02020603050405020304" pitchFamily="18" charset="0"/>
              <a:cs typeface="Times New Roman" panose="02020603050405020304" pitchFamily="18" charset="0"/>
            </a:rPr>
            <a:t>FORTALEZAS</a:t>
          </a:r>
          <a:endParaRPr lang="es-MX" sz="800" b="1" kern="1200">
            <a:latin typeface="Times New Roman" panose="02020603050405020304" pitchFamily="18" charset="0"/>
            <a:cs typeface="Times New Roman" panose="02020603050405020304" pitchFamily="18" charset="0"/>
          </a:endParaRPr>
        </a:p>
        <a:p>
          <a:pPr lvl="0" algn="l" defTabSz="444500">
            <a:lnSpc>
              <a:spcPct val="90000"/>
            </a:lnSpc>
            <a:spcBef>
              <a:spcPct val="0"/>
            </a:spcBef>
            <a:spcAft>
              <a:spcPct val="35000"/>
            </a:spcAft>
          </a:pPr>
          <a:r>
            <a:rPr lang="es-MX" sz="800" b="0" kern="1200">
              <a:latin typeface="Times New Roman" panose="02020603050405020304" pitchFamily="18" charset="0"/>
              <a:cs typeface="Times New Roman" panose="02020603050405020304" pitchFamily="18" charset="0"/>
            </a:rPr>
            <a:t>- Infraestructura propia en Pilar.
- Know-how en logística integral.
- Relación con grandes cuentas.
- Certificaciones de calidad</a:t>
          </a:r>
        </a:p>
      </dsp:txBody>
      <dsp:txXfrm>
        <a:off x="1175963" y="289657"/>
        <a:ext cx="2175395" cy="893886"/>
      </dsp:txXfrm>
    </dsp:sp>
    <dsp:sp modelId="{F391F2A0-E61F-460B-834B-7C35EB7F9669}">
      <dsp:nvSpPr>
        <dsp:cNvPr id="0" name=""/>
        <dsp:cNvSpPr/>
      </dsp:nvSpPr>
      <dsp:spPr>
        <a:xfrm>
          <a:off x="3536748" y="241300"/>
          <a:ext cx="2272109" cy="990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s-MX" sz="1000" b="1" kern="1200">
              <a:latin typeface="Times New Roman" panose="02020603050405020304" pitchFamily="18" charset="0"/>
              <a:cs typeface="Times New Roman" panose="02020603050405020304" pitchFamily="18" charset="0"/>
            </a:rPr>
            <a:t>OPORTUNIDADES</a:t>
          </a:r>
          <a:endParaRPr lang="es-MX" sz="800" b="1" kern="1200">
            <a:latin typeface="Times New Roman" panose="02020603050405020304" pitchFamily="18" charset="0"/>
            <a:cs typeface="Times New Roman" panose="02020603050405020304" pitchFamily="18" charset="0"/>
          </a:endParaRPr>
        </a:p>
        <a:p>
          <a:pPr lvl="0" algn="l" defTabSz="444500">
            <a:lnSpc>
              <a:spcPct val="90000"/>
            </a:lnSpc>
            <a:spcBef>
              <a:spcPct val="0"/>
            </a:spcBef>
            <a:spcAft>
              <a:spcPct val="35000"/>
            </a:spcAft>
          </a:pPr>
          <a:r>
            <a:rPr lang="es-MX" sz="800" b="0" kern="1200">
              <a:latin typeface="Times New Roman" panose="02020603050405020304" pitchFamily="18" charset="0"/>
              <a:cs typeface="Times New Roman" panose="02020603050405020304" pitchFamily="18" charset="0"/>
            </a:rPr>
            <a:t>- Creciente demanda de servicios aduaneros.
- Incentivos regulatorios vigentes.
- Falta de depósitos fiscales en algunos corredores.
- Posicionamiento como operador integral.</a:t>
          </a:r>
        </a:p>
      </dsp:txBody>
      <dsp:txXfrm>
        <a:off x="3585105" y="289657"/>
        <a:ext cx="2175395" cy="893886"/>
      </dsp:txXfrm>
    </dsp:sp>
    <dsp:sp modelId="{1954B7E4-057D-4665-A89C-1FEB4F2E85A3}">
      <dsp:nvSpPr>
        <dsp:cNvPr id="0" name=""/>
        <dsp:cNvSpPr/>
      </dsp:nvSpPr>
      <dsp:spPr>
        <a:xfrm>
          <a:off x="1127606" y="1308100"/>
          <a:ext cx="2272109" cy="990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s-MX" sz="1000" b="1" kern="1200">
              <a:latin typeface="Times New Roman" panose="02020603050405020304" pitchFamily="18" charset="0"/>
              <a:cs typeface="Times New Roman" panose="02020603050405020304" pitchFamily="18" charset="0"/>
            </a:rPr>
            <a:t>DEBILIDADES</a:t>
          </a:r>
          <a:endParaRPr lang="es-MX" sz="800" b="1" kern="1200">
            <a:latin typeface="Times New Roman" panose="02020603050405020304" pitchFamily="18" charset="0"/>
            <a:cs typeface="Times New Roman" panose="02020603050405020304" pitchFamily="18" charset="0"/>
          </a:endParaRP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No experiencia previa en operaciones fiscales.</a:t>
          </a: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Necesidad de inversión inicial en adecuación. </a:t>
          </a: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Recursos humanos sin capacitación específica.</a:t>
          </a:r>
        </a:p>
      </dsp:txBody>
      <dsp:txXfrm>
        <a:off x="1175963" y="1356457"/>
        <a:ext cx="2175395" cy="893886"/>
      </dsp:txXfrm>
    </dsp:sp>
    <dsp:sp modelId="{9EE418D8-8568-4363-9FFB-F0CAE194AF51}">
      <dsp:nvSpPr>
        <dsp:cNvPr id="0" name=""/>
        <dsp:cNvSpPr/>
      </dsp:nvSpPr>
      <dsp:spPr>
        <a:xfrm>
          <a:off x="3536748" y="1308100"/>
          <a:ext cx="2272109" cy="990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None/>
          </a:pPr>
          <a:r>
            <a:rPr lang="es-MX" sz="1000" b="1" kern="1200">
              <a:latin typeface="Times New Roman" panose="02020603050405020304" pitchFamily="18" charset="0"/>
              <a:cs typeface="Times New Roman" panose="02020603050405020304" pitchFamily="18" charset="0"/>
            </a:rPr>
            <a:t>AMENAZAS</a:t>
          </a:r>
          <a:endParaRPr lang="es-MX" sz="800" b="1" kern="1200">
            <a:latin typeface="Times New Roman" panose="02020603050405020304" pitchFamily="18" charset="0"/>
            <a:cs typeface="Times New Roman" panose="02020603050405020304" pitchFamily="18" charset="0"/>
          </a:endParaRP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Inestabilidad macroeconómica.</a:t>
          </a: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Cambios regulatorios futuros.</a:t>
          </a:r>
        </a:p>
        <a:p>
          <a:pPr lvl="0" algn="l" defTabSz="444500">
            <a:lnSpc>
              <a:spcPct val="90000"/>
            </a:lnSpc>
            <a:spcBef>
              <a:spcPct val="0"/>
            </a:spcBef>
            <a:spcAft>
              <a:spcPct val="35000"/>
            </a:spcAft>
            <a:buNone/>
          </a:pPr>
          <a:r>
            <a:rPr lang="es-MX" sz="800" b="0" kern="1200">
              <a:latin typeface="Times New Roman" panose="02020603050405020304" pitchFamily="18" charset="0"/>
              <a:cs typeface="Times New Roman" panose="02020603050405020304" pitchFamily="18" charset="0"/>
            </a:rPr>
            <a:t>- Competencia instalada con experiencia en el servicio.</a:t>
          </a:r>
        </a:p>
      </dsp:txBody>
      <dsp:txXfrm>
        <a:off x="3585105" y="1356457"/>
        <a:ext cx="2175395" cy="89388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A5E442-FC09-427F-8B06-07B4C32A3552}">
      <dsp:nvSpPr>
        <dsp:cNvPr id="0" name=""/>
        <dsp:cNvSpPr/>
      </dsp:nvSpPr>
      <dsp:spPr>
        <a:xfrm>
          <a:off x="1027556" y="383330"/>
          <a:ext cx="5376672" cy="5376672"/>
        </a:xfrm>
        <a:prstGeom prst="pie">
          <a:avLst>
            <a:gd name="adj1" fmla="val 16200000"/>
            <a:gd name="adj2" fmla="val 198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Infraestructura premium con  certificada LEED</a:t>
          </a:r>
          <a:br>
            <a:rPr lang="es-MX" sz="1200" b="1" kern="1200">
              <a:latin typeface="Times New Roman" panose="02020603050405020304" pitchFamily="18" charset="0"/>
              <a:cs typeface="Times New Roman" panose="02020603050405020304" pitchFamily="18" charset="0"/>
            </a:rPr>
          </a:br>
          <a:r>
            <a:rPr lang="es-MX" sz="1000" b="0" kern="1200">
              <a:latin typeface="Times New Roman" panose="02020603050405020304" pitchFamily="18" charset="0"/>
              <a:cs typeface="Times New Roman" panose="02020603050405020304" pitchFamily="18" charset="0"/>
            </a:rPr>
            <a:t/>
          </a:r>
          <a:br>
            <a:rPr lang="es-MX" sz="1000" b="0" kern="1200">
              <a:latin typeface="Times New Roman" panose="02020603050405020304" pitchFamily="18" charset="0"/>
              <a:cs typeface="Times New Roman" panose="02020603050405020304" pitchFamily="18" charset="0"/>
            </a:rPr>
          </a:br>
          <a:r>
            <a:rPr lang="es-MX" sz="1000" b="0" kern="1200">
              <a:latin typeface="Times New Roman" panose="02020603050405020304" pitchFamily="18" charset="0"/>
              <a:cs typeface="Times New Roman" panose="02020603050405020304" pitchFamily="18" charset="0"/>
            </a:rPr>
            <a:t>única en Zona Norte: eficiencia energética, estándares ambientales superiores y menor costo operativo.</a:t>
          </a:r>
        </a:p>
      </dsp:txBody>
      <dsp:txXfrm>
        <a:off x="3843908" y="1070136"/>
        <a:ext cx="1408176" cy="1088136"/>
      </dsp:txXfrm>
    </dsp:sp>
    <dsp:sp modelId="{513055E5-E865-4EC5-AA79-569BC483A141}">
      <dsp:nvSpPr>
        <dsp:cNvPr id="0" name=""/>
        <dsp:cNvSpPr/>
      </dsp:nvSpPr>
      <dsp:spPr>
        <a:xfrm>
          <a:off x="1091564" y="494064"/>
          <a:ext cx="5376672" cy="5376672"/>
        </a:xfrm>
        <a:prstGeom prst="pie">
          <a:avLst>
            <a:gd name="adj1" fmla="val 19800000"/>
            <a:gd name="adj2" fmla="val 18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Integración total 3PL</a:t>
          </a:r>
          <a:br>
            <a:rPr lang="es-MX" sz="1200" b="1" kern="1200">
              <a:latin typeface="Times New Roman" panose="02020603050405020304" pitchFamily="18" charset="0"/>
              <a:cs typeface="Times New Roman" panose="02020603050405020304" pitchFamily="18" charset="0"/>
            </a:rPr>
          </a:b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b="0" kern="1200">
              <a:latin typeface="Times New Roman" panose="02020603050405020304" pitchFamily="18" charset="0"/>
              <a:cs typeface="Times New Roman" panose="02020603050405020304" pitchFamily="18" charset="0"/>
            </a:rPr>
            <a:t>depósito fiscal + almacenamiento + transporte en un solo operador.</a:t>
          </a:r>
        </a:p>
      </dsp:txBody>
      <dsp:txXfrm>
        <a:off x="4740021" y="2670336"/>
        <a:ext cx="1472184" cy="1056132"/>
      </dsp:txXfrm>
    </dsp:sp>
    <dsp:sp modelId="{3B287C53-737C-4FAC-9CB6-51572B07887A}">
      <dsp:nvSpPr>
        <dsp:cNvPr id="0" name=""/>
        <dsp:cNvSpPr/>
      </dsp:nvSpPr>
      <dsp:spPr>
        <a:xfrm>
          <a:off x="1027556" y="604797"/>
          <a:ext cx="5376672" cy="5376672"/>
        </a:xfrm>
        <a:prstGeom prst="pie">
          <a:avLst>
            <a:gd name="adj1" fmla="val 1800000"/>
            <a:gd name="adj2" fmla="val 54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Tecnología avanzada</a:t>
          </a: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b="0" kern="1200">
              <a:latin typeface="Times New Roman" panose="02020603050405020304" pitchFamily="18" charset="0"/>
              <a:cs typeface="Times New Roman" panose="02020603050405020304" pitchFamily="18" charset="0"/>
            </a:rPr>
            <a:t>WMS integrado con Aduana (RG 4352/18), trazabilidad en tiempo real, CCTV 100 %, dashboards personalizados para clientes.</a:t>
          </a:r>
        </a:p>
      </dsp:txBody>
      <dsp:txXfrm>
        <a:off x="3843908" y="4238532"/>
        <a:ext cx="1408176" cy="1088136"/>
      </dsp:txXfrm>
    </dsp:sp>
    <dsp:sp modelId="{297B36DC-19CB-4371-AF05-29532A937FFE}">
      <dsp:nvSpPr>
        <dsp:cNvPr id="0" name=""/>
        <dsp:cNvSpPr/>
      </dsp:nvSpPr>
      <dsp:spPr>
        <a:xfrm>
          <a:off x="899540" y="604797"/>
          <a:ext cx="5376672" cy="5376672"/>
        </a:xfrm>
        <a:prstGeom prst="pie">
          <a:avLst>
            <a:gd name="adj1" fmla="val 5400000"/>
            <a:gd name="adj2" fmla="val 90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Ubicación estratégica </a:t>
          </a:r>
          <a:r>
            <a:rPr lang="es-MX" sz="1200" b="0" kern="1200">
              <a:latin typeface="Times New Roman" panose="02020603050405020304" pitchFamily="18" charset="0"/>
              <a:cs typeface="Times New Roman" panose="02020603050405020304" pitchFamily="18" charset="0"/>
            </a:rPr>
            <a:t/>
          </a:r>
          <a:br>
            <a:rPr lang="es-MX" sz="1200" b="0" kern="1200">
              <a:latin typeface="Times New Roman" panose="02020603050405020304" pitchFamily="18" charset="0"/>
              <a:cs typeface="Times New Roman" panose="02020603050405020304" pitchFamily="18" charset="0"/>
            </a:rPr>
          </a:br>
          <a:r>
            <a:rPr lang="es-MX" sz="1200" b="0" kern="1200">
              <a:latin typeface="Times New Roman" panose="02020603050405020304" pitchFamily="18" charset="0"/>
              <a:cs typeface="Times New Roman" panose="02020603050405020304" pitchFamily="18" charset="0"/>
            </a:rPr>
            <a:t/>
          </a:r>
          <a:br>
            <a:rPr lang="es-MX" sz="1200" b="0" kern="1200">
              <a:latin typeface="Times New Roman" panose="02020603050405020304" pitchFamily="18" charset="0"/>
              <a:cs typeface="Times New Roman" panose="02020603050405020304" pitchFamily="18" charset="0"/>
            </a:rPr>
          </a:br>
          <a:r>
            <a:rPr lang="es-MX" sz="1000" kern="1200">
              <a:latin typeface="Times New Roman" panose="02020603050405020304" pitchFamily="18" charset="0"/>
              <a:cs typeface="Times New Roman" panose="02020603050405020304" pitchFamily="18" charset="0"/>
            </a:rPr>
            <a:t>con acceso inmediato a Panamericana Ramal Pilar, reduciendo tiempos de ingreso y despacho.</a:t>
          </a:r>
        </a:p>
      </dsp:txBody>
      <dsp:txXfrm>
        <a:off x="2051684" y="4238532"/>
        <a:ext cx="1408176" cy="1088136"/>
      </dsp:txXfrm>
    </dsp:sp>
    <dsp:sp modelId="{9BC06F29-4876-4A73-9BA3-D74D35C58ACA}">
      <dsp:nvSpPr>
        <dsp:cNvPr id="0" name=""/>
        <dsp:cNvSpPr/>
      </dsp:nvSpPr>
      <dsp:spPr>
        <a:xfrm>
          <a:off x="835532" y="494064"/>
          <a:ext cx="5376672" cy="5376672"/>
        </a:xfrm>
        <a:prstGeom prst="pie">
          <a:avLst>
            <a:gd name="adj1" fmla="val 9000000"/>
            <a:gd name="adj2" fmla="val 126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Compliance reforzado</a:t>
          </a:r>
          <a:br>
            <a:rPr lang="es-MX" sz="1200" b="1" kern="1200">
              <a:latin typeface="Times New Roman" panose="02020603050405020304" pitchFamily="18" charset="0"/>
              <a:cs typeface="Times New Roman" panose="02020603050405020304" pitchFamily="18" charset="0"/>
            </a:rPr>
          </a:b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b="0" kern="1200">
              <a:latin typeface="Times New Roman" panose="02020603050405020304" pitchFamily="18" charset="0"/>
              <a:cs typeface="Times New Roman" panose="02020603050405020304" pitchFamily="18" charset="0"/>
            </a:rPr>
            <a:t>procesos alineados con estándares internacionales de seguridad, auditorías internas permanentes y gestión documental digitalizada.</a:t>
          </a:r>
        </a:p>
      </dsp:txBody>
      <dsp:txXfrm>
        <a:off x="1091564" y="2670336"/>
        <a:ext cx="1472184" cy="1056132"/>
      </dsp:txXfrm>
    </dsp:sp>
    <dsp:sp modelId="{6443C60D-2A06-4B62-8E26-05157E521B60}">
      <dsp:nvSpPr>
        <dsp:cNvPr id="0" name=""/>
        <dsp:cNvSpPr/>
      </dsp:nvSpPr>
      <dsp:spPr>
        <a:xfrm>
          <a:off x="899540" y="383330"/>
          <a:ext cx="5376672" cy="5376672"/>
        </a:xfrm>
        <a:prstGeom prst="pie">
          <a:avLst>
            <a:gd name="adj1" fmla="val 12600000"/>
            <a:gd name="adj2" fmla="val 1620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s-MX" sz="1200" b="1" kern="1200">
              <a:latin typeface="Times New Roman" panose="02020603050405020304" pitchFamily="18" charset="0"/>
              <a:cs typeface="Times New Roman" panose="02020603050405020304" pitchFamily="18" charset="0"/>
            </a:rPr>
            <a:t>Flexibilidad operativa</a:t>
          </a: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b="1" kern="1200">
              <a:latin typeface="Times New Roman" panose="02020603050405020304" pitchFamily="18" charset="0"/>
              <a:cs typeface="Times New Roman" panose="02020603050405020304" pitchFamily="18" charset="0"/>
            </a:rPr>
            <a:t/>
          </a:r>
          <a:br>
            <a:rPr lang="es-MX" sz="1000" b="1" kern="1200">
              <a:latin typeface="Times New Roman" panose="02020603050405020304" pitchFamily="18" charset="0"/>
              <a:cs typeface="Times New Roman" panose="02020603050405020304" pitchFamily="18" charset="0"/>
            </a:rPr>
          </a:br>
          <a:r>
            <a:rPr lang="es-MX" sz="1000" kern="1200">
              <a:latin typeface="Times New Roman" panose="02020603050405020304" pitchFamily="18" charset="0"/>
              <a:cs typeface="Times New Roman" panose="02020603050405020304" pitchFamily="18" charset="0"/>
            </a:rPr>
            <a:t>capacidad escalable 20.000–30.000 m² y servicios configurables por tipo de carga, volumen y frecuencia.</a:t>
          </a:r>
        </a:p>
      </dsp:txBody>
      <dsp:txXfrm>
        <a:off x="2051684" y="1070136"/>
        <a:ext cx="1408176" cy="1088136"/>
      </dsp:txXfrm>
    </dsp:sp>
    <dsp:sp modelId="{544E1428-B9A9-48B7-8EE7-BDE3B16055A2}">
      <dsp:nvSpPr>
        <dsp:cNvPr id="0" name=""/>
        <dsp:cNvSpPr/>
      </dsp:nvSpPr>
      <dsp:spPr>
        <a:xfrm>
          <a:off x="694519" y="50488"/>
          <a:ext cx="6042355" cy="6042355"/>
        </a:xfrm>
        <a:prstGeom prst="circularArrow">
          <a:avLst>
            <a:gd name="adj1" fmla="val 5085"/>
            <a:gd name="adj2" fmla="val 327528"/>
            <a:gd name="adj3" fmla="val 19472472"/>
            <a:gd name="adj4" fmla="val 16200251"/>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A6BCE1-2F58-410F-B4F8-A2FF95EB129F}">
      <dsp:nvSpPr>
        <dsp:cNvPr id="0" name=""/>
        <dsp:cNvSpPr/>
      </dsp:nvSpPr>
      <dsp:spPr>
        <a:xfrm>
          <a:off x="758527" y="161222"/>
          <a:ext cx="6042355" cy="6042355"/>
        </a:xfrm>
        <a:prstGeom prst="circularArrow">
          <a:avLst>
            <a:gd name="adj1" fmla="val 5085"/>
            <a:gd name="adj2" fmla="val 327528"/>
            <a:gd name="adj3" fmla="val 1472472"/>
            <a:gd name="adj4" fmla="val 19800000"/>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77D121C-A85D-4957-9972-3BF2C609F7C8}">
      <dsp:nvSpPr>
        <dsp:cNvPr id="0" name=""/>
        <dsp:cNvSpPr/>
      </dsp:nvSpPr>
      <dsp:spPr>
        <a:xfrm>
          <a:off x="694519" y="271956"/>
          <a:ext cx="6042355" cy="6042355"/>
        </a:xfrm>
        <a:prstGeom prst="circularArrow">
          <a:avLst>
            <a:gd name="adj1" fmla="val 5085"/>
            <a:gd name="adj2" fmla="val 327528"/>
            <a:gd name="adj3" fmla="val 5072221"/>
            <a:gd name="adj4" fmla="val 1800000"/>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AB98E2E-49D4-492A-8BAD-3549961A9D68}">
      <dsp:nvSpPr>
        <dsp:cNvPr id="0" name=""/>
        <dsp:cNvSpPr/>
      </dsp:nvSpPr>
      <dsp:spPr>
        <a:xfrm>
          <a:off x="566895" y="271956"/>
          <a:ext cx="6042355" cy="6042355"/>
        </a:xfrm>
        <a:prstGeom prst="circularArrow">
          <a:avLst>
            <a:gd name="adj1" fmla="val 5085"/>
            <a:gd name="adj2" fmla="val 327528"/>
            <a:gd name="adj3" fmla="val 8672472"/>
            <a:gd name="adj4" fmla="val 5400251"/>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39DDBD8-948A-40A9-83BE-B16951F67BFF}">
      <dsp:nvSpPr>
        <dsp:cNvPr id="0" name=""/>
        <dsp:cNvSpPr/>
      </dsp:nvSpPr>
      <dsp:spPr>
        <a:xfrm>
          <a:off x="502887" y="161222"/>
          <a:ext cx="6042355" cy="6042355"/>
        </a:xfrm>
        <a:prstGeom prst="circularArrow">
          <a:avLst>
            <a:gd name="adj1" fmla="val 5085"/>
            <a:gd name="adj2" fmla="val 327528"/>
            <a:gd name="adj3" fmla="val 12272472"/>
            <a:gd name="adj4" fmla="val 9000000"/>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F944030-E475-45B7-A473-5EF3DF23392B}">
      <dsp:nvSpPr>
        <dsp:cNvPr id="0" name=""/>
        <dsp:cNvSpPr/>
      </dsp:nvSpPr>
      <dsp:spPr>
        <a:xfrm>
          <a:off x="566895" y="50488"/>
          <a:ext cx="6042355" cy="6042355"/>
        </a:xfrm>
        <a:prstGeom prst="circularArrow">
          <a:avLst>
            <a:gd name="adj1" fmla="val 5085"/>
            <a:gd name="adj2" fmla="val 327528"/>
            <a:gd name="adj3" fmla="val 15872221"/>
            <a:gd name="adj4" fmla="val 12600000"/>
            <a:gd name="adj5" fmla="val 593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8AAC1-F0CB-4F19-939E-44B58C869681}">
      <dsp:nvSpPr>
        <dsp:cNvPr id="0" name=""/>
        <dsp:cNvSpPr/>
      </dsp:nvSpPr>
      <dsp:spPr>
        <a:xfrm>
          <a:off x="0" y="198973"/>
          <a:ext cx="5943600" cy="675675"/>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61289" tIns="270764" rIns="461289" bIns="85344" numCol="1" spcCol="1270" anchor="t" anchorCtr="0">
          <a:noAutofit/>
        </a:bodyPr>
        <a:lstStyle/>
        <a:p>
          <a:pPr marL="114300" lvl="1" indent="-114300" algn="ctr" defTabSz="533400">
            <a:lnSpc>
              <a:spcPct val="90000"/>
            </a:lnSpc>
            <a:spcBef>
              <a:spcPct val="0"/>
            </a:spcBef>
            <a:spcAft>
              <a:spcPct val="15000"/>
            </a:spcAft>
            <a:buChar char="••"/>
          </a:pPr>
          <a:r>
            <a:rPr lang="es-MX" sz="1200" i="1" kern="1200">
              <a:latin typeface="Times New Roman" panose="02020603050405020304" pitchFamily="18" charset="0"/>
              <a:cs typeface="Times New Roman" panose="02020603050405020304" pitchFamily="18" charset="0"/>
            </a:rPr>
            <a:t>“Reducimos tiempos, costos y riesgos de tus operaciones de comercio exterior mediante una solución aduanera integral, sustentable y de alta trazabilidad.”</a:t>
          </a:r>
          <a:endParaRPr lang="es-MX" sz="1200" kern="1200">
            <a:latin typeface="Times New Roman" panose="02020603050405020304" pitchFamily="18" charset="0"/>
            <a:cs typeface="Times New Roman" panose="02020603050405020304" pitchFamily="18" charset="0"/>
          </a:endParaRPr>
        </a:p>
      </dsp:txBody>
      <dsp:txXfrm>
        <a:off x="0" y="198973"/>
        <a:ext cx="5943600" cy="675675"/>
      </dsp:txXfrm>
    </dsp:sp>
    <dsp:sp modelId="{1DCA7394-808B-4E5E-B29B-421B7A3F7AB3}">
      <dsp:nvSpPr>
        <dsp:cNvPr id="0" name=""/>
        <dsp:cNvSpPr/>
      </dsp:nvSpPr>
      <dsp:spPr>
        <a:xfrm>
          <a:off x="297180" y="7093"/>
          <a:ext cx="4160520" cy="38376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ctr" defTabSz="533400">
            <a:lnSpc>
              <a:spcPct val="90000"/>
            </a:lnSpc>
            <a:spcBef>
              <a:spcPct val="0"/>
            </a:spcBef>
            <a:spcAft>
              <a:spcPct val="35000"/>
            </a:spcAft>
          </a:pPr>
          <a:r>
            <a:rPr lang="es-MX" sz="1200" kern="1200">
              <a:latin typeface="Times New Roman" panose="02020603050405020304" pitchFamily="18" charset="0"/>
              <a:cs typeface="Times New Roman" panose="02020603050405020304" pitchFamily="18" charset="0"/>
            </a:rPr>
            <a:t>Propuesta Central</a:t>
          </a:r>
        </a:p>
      </dsp:txBody>
      <dsp:txXfrm>
        <a:off x="315914" y="25827"/>
        <a:ext cx="4123052" cy="34629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924245-381B-4841-AB0F-30ACEE24C434}">
      <dsp:nvSpPr>
        <dsp:cNvPr id="0" name=""/>
        <dsp:cNvSpPr/>
      </dsp:nvSpPr>
      <dsp:spPr>
        <a:xfrm>
          <a:off x="0" y="0"/>
          <a:ext cx="5905500" cy="1959429"/>
        </a:xfrm>
        <a:prstGeom prst="roundRect">
          <a:avLst>
            <a:gd name="adj" fmla="val 8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1209675" numCol="1" spcCol="1270" anchor="t" anchorCtr="0">
          <a:noAutofit/>
        </a:bodyPr>
        <a:lstStyle/>
        <a:p>
          <a:pPr lvl="0" algn="ctr" defTabSz="889000">
            <a:lnSpc>
              <a:spcPct val="90000"/>
            </a:lnSpc>
            <a:spcBef>
              <a:spcPct val="0"/>
            </a:spcBef>
            <a:spcAft>
              <a:spcPct val="35000"/>
            </a:spcAft>
          </a:pPr>
          <a:r>
            <a:rPr lang="es-MX" sz="2000" b="1" kern="1200">
              <a:latin typeface="Times New Roman" panose="02020603050405020304" pitchFamily="18" charset="0"/>
              <a:cs typeface="Times New Roman" panose="02020603050405020304" pitchFamily="18" charset="0"/>
            </a:rPr>
            <a:t>Propuesta de Valor para </a:t>
          </a:r>
          <a:br>
            <a:rPr lang="es-MX" sz="2000" b="1" kern="1200">
              <a:latin typeface="Times New Roman" panose="02020603050405020304" pitchFamily="18" charset="0"/>
              <a:cs typeface="Times New Roman" panose="02020603050405020304" pitchFamily="18" charset="0"/>
            </a:rPr>
          </a:br>
          <a:r>
            <a:rPr lang="es-MX" sz="2000" b="1" kern="1200">
              <a:latin typeface="Times New Roman" panose="02020603050405020304" pitchFamily="18" charset="0"/>
              <a:cs typeface="Times New Roman" panose="02020603050405020304" pitchFamily="18" charset="0"/>
            </a:rPr>
            <a:t>nuestros Cientes</a:t>
          </a:r>
          <a:endParaRPr lang="es-MX" sz="2800" b="1" kern="1200">
            <a:latin typeface="Times New Roman" panose="02020603050405020304" pitchFamily="18" charset="0"/>
            <a:cs typeface="Times New Roman" panose="02020603050405020304" pitchFamily="18" charset="0"/>
          </a:endParaRPr>
        </a:p>
      </dsp:txBody>
      <dsp:txXfrm>
        <a:off x="48781" y="48781"/>
        <a:ext cx="5807938" cy="1861867"/>
      </dsp:txXfrm>
    </dsp:sp>
    <dsp:sp modelId="{45CF21C5-EA5F-49D0-9E81-7E4660A6523B}">
      <dsp:nvSpPr>
        <dsp:cNvPr id="0" name=""/>
        <dsp:cNvSpPr/>
      </dsp:nvSpPr>
      <dsp:spPr>
        <a:xfrm>
          <a:off x="147637" y="881743"/>
          <a:ext cx="1386120" cy="881743"/>
        </a:xfrm>
        <a:prstGeom prst="roundRect">
          <a:avLst>
            <a:gd name="adj" fmla="val 105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kern="1200">
              <a:latin typeface="Times New Roman" panose="02020603050405020304" pitchFamily="18" charset="0"/>
              <a:cs typeface="Times New Roman" panose="02020603050405020304" pitchFamily="18" charset="0"/>
            </a:rPr>
            <a:t>Reducción del </a:t>
          </a:r>
          <a:br>
            <a:rPr lang="es-MX" sz="1100" kern="1200">
              <a:latin typeface="Times New Roman" panose="02020603050405020304" pitchFamily="18" charset="0"/>
              <a:cs typeface="Times New Roman" panose="02020603050405020304" pitchFamily="18" charset="0"/>
            </a:rPr>
          </a:br>
          <a:r>
            <a:rPr lang="es-MX" sz="1100" b="1" kern="1200">
              <a:latin typeface="Times New Roman" panose="02020603050405020304" pitchFamily="18" charset="0"/>
              <a:cs typeface="Times New Roman" panose="02020603050405020304" pitchFamily="18" charset="0"/>
            </a:rPr>
            <a:t>20–30 % en tiempos</a:t>
          </a:r>
          <a:r>
            <a:rPr lang="es-MX" sz="1100" kern="1200">
              <a:latin typeface="Times New Roman" panose="02020603050405020304" pitchFamily="18" charset="0"/>
              <a:cs typeface="Times New Roman" panose="02020603050405020304" pitchFamily="18" charset="0"/>
            </a:rPr>
            <a:t> y costos asociados a operaciones aduaneras.</a:t>
          </a:r>
        </a:p>
      </dsp:txBody>
      <dsp:txXfrm>
        <a:off x="174754" y="908860"/>
        <a:ext cx="1331886" cy="827509"/>
      </dsp:txXfrm>
    </dsp:sp>
    <dsp:sp modelId="{302C594F-A19A-46ED-8FF1-E3D4AB39F8C7}">
      <dsp:nvSpPr>
        <dsp:cNvPr id="0" name=""/>
        <dsp:cNvSpPr/>
      </dsp:nvSpPr>
      <dsp:spPr>
        <a:xfrm>
          <a:off x="1555643" y="881743"/>
          <a:ext cx="1386120" cy="881743"/>
        </a:xfrm>
        <a:prstGeom prst="roundRect">
          <a:avLst>
            <a:gd name="adj" fmla="val 105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kern="1200">
              <a:latin typeface="Times New Roman" panose="02020603050405020304" pitchFamily="18" charset="0"/>
              <a:cs typeface="Times New Roman" panose="02020603050405020304" pitchFamily="18" charset="0"/>
            </a:rPr>
            <a:t>Mejor trazabilidad </a:t>
          </a:r>
          <a:br>
            <a:rPr lang="es-MX" sz="1100" kern="1200">
              <a:latin typeface="Times New Roman" panose="02020603050405020304" pitchFamily="18" charset="0"/>
              <a:cs typeface="Times New Roman" panose="02020603050405020304" pitchFamily="18" charset="0"/>
            </a:rPr>
          </a:br>
          <a:r>
            <a:rPr lang="es-MX" sz="1100" kern="1200">
              <a:latin typeface="Times New Roman" panose="02020603050405020304" pitchFamily="18" charset="0"/>
              <a:cs typeface="Times New Roman" panose="02020603050405020304" pitchFamily="18" charset="0"/>
            </a:rPr>
            <a:t>y disminución de errores administrativos. </a:t>
          </a:r>
        </a:p>
      </dsp:txBody>
      <dsp:txXfrm>
        <a:off x="1582760" y="908860"/>
        <a:ext cx="1331886" cy="827509"/>
      </dsp:txXfrm>
    </dsp:sp>
    <dsp:sp modelId="{8AB44D10-0369-459F-85F8-5FD0212DA365}">
      <dsp:nvSpPr>
        <dsp:cNvPr id="0" name=""/>
        <dsp:cNvSpPr/>
      </dsp:nvSpPr>
      <dsp:spPr>
        <a:xfrm>
          <a:off x="2963649" y="881743"/>
          <a:ext cx="1386120" cy="881743"/>
        </a:xfrm>
        <a:prstGeom prst="roundRect">
          <a:avLst>
            <a:gd name="adj" fmla="val 105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kern="1200">
              <a:latin typeface="Times New Roman" panose="02020603050405020304" pitchFamily="18" charset="0"/>
              <a:cs typeface="Times New Roman" panose="02020603050405020304" pitchFamily="18" charset="0"/>
            </a:rPr>
            <a:t>Mayor seguridad, menos desvíos y menos costos de estadía/almacenaje en puertos. </a:t>
          </a:r>
        </a:p>
      </dsp:txBody>
      <dsp:txXfrm>
        <a:off x="2990766" y="908860"/>
        <a:ext cx="1331886" cy="827509"/>
      </dsp:txXfrm>
    </dsp:sp>
    <dsp:sp modelId="{345B0155-6C99-43FC-B4B2-78726F9C0225}">
      <dsp:nvSpPr>
        <dsp:cNvPr id="0" name=""/>
        <dsp:cNvSpPr/>
      </dsp:nvSpPr>
      <dsp:spPr>
        <a:xfrm>
          <a:off x="4371655" y="881743"/>
          <a:ext cx="1386120" cy="881743"/>
        </a:xfrm>
        <a:prstGeom prst="roundRect">
          <a:avLst>
            <a:gd name="adj" fmla="val 105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kern="1200">
              <a:latin typeface="Times New Roman" panose="02020603050405020304" pitchFamily="18" charset="0"/>
              <a:cs typeface="Times New Roman" panose="02020603050405020304" pitchFamily="18" charset="0"/>
            </a:rPr>
            <a:t>Un único operador responsable </a:t>
          </a:r>
          <a:br>
            <a:rPr lang="es-MX" sz="1100" kern="1200">
              <a:latin typeface="Times New Roman" panose="02020603050405020304" pitchFamily="18" charset="0"/>
              <a:cs typeface="Times New Roman" panose="02020603050405020304" pitchFamily="18" charset="0"/>
            </a:rPr>
          </a:br>
          <a:r>
            <a:rPr lang="es-MX" sz="1100" kern="1200">
              <a:latin typeface="Times New Roman" panose="02020603050405020304" pitchFamily="18" charset="0"/>
              <a:cs typeface="Times New Roman" panose="02020603050405020304" pitchFamily="18" charset="0"/>
            </a:rPr>
            <a:t>(one-stop-&lt;shop).</a:t>
          </a:r>
        </a:p>
      </dsp:txBody>
      <dsp:txXfrm>
        <a:off x="4398772" y="908860"/>
        <a:ext cx="1331886" cy="82750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C671B9-EE02-4654-8D25-C7C2918DD4A7}">
      <dsp:nvSpPr>
        <dsp:cNvPr id="0" name=""/>
        <dsp:cNvSpPr/>
      </dsp:nvSpPr>
      <dsp:spPr>
        <a:xfrm>
          <a:off x="2402" y="17161"/>
          <a:ext cx="1444902" cy="57796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s-MX" sz="1100" b="1" kern="1200">
              <a:latin typeface="Times New Roman" panose="02020603050405020304" pitchFamily="18" charset="0"/>
              <a:cs typeface="Times New Roman" panose="02020603050405020304" pitchFamily="18" charset="0"/>
            </a:rPr>
            <a:t>Captación</a:t>
          </a:r>
          <a:endParaRPr lang="es-MX" sz="1100" kern="1200">
            <a:latin typeface="Times New Roman" panose="02020603050405020304" pitchFamily="18" charset="0"/>
            <a:cs typeface="Times New Roman" panose="02020603050405020304" pitchFamily="18" charset="0"/>
          </a:endParaRPr>
        </a:p>
      </dsp:txBody>
      <dsp:txXfrm>
        <a:off x="2402" y="17161"/>
        <a:ext cx="1444902" cy="577961"/>
      </dsp:txXfrm>
    </dsp:sp>
    <dsp:sp modelId="{B6F0C2C9-F7CC-473E-BCCD-A205D1EDD7DE}">
      <dsp:nvSpPr>
        <dsp:cNvPr id="0" name=""/>
        <dsp:cNvSpPr/>
      </dsp:nvSpPr>
      <dsp:spPr>
        <a:xfrm>
          <a:off x="2402" y="595123"/>
          <a:ext cx="1444902" cy="206424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Prospección focalizada en clusters</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Roadshows técnicos con despachantes y brokers.</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Propuestas personalizadas con simulaciones de ahorro (Cost-to-Serve).</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Alianzas con cámaras empresariales.</a:t>
          </a:r>
        </a:p>
      </dsp:txBody>
      <dsp:txXfrm>
        <a:off x="2402" y="595123"/>
        <a:ext cx="1444902" cy="2064240"/>
      </dsp:txXfrm>
    </dsp:sp>
    <dsp:sp modelId="{B26B4125-B059-4605-AC05-BAACBD1071B6}">
      <dsp:nvSpPr>
        <dsp:cNvPr id="0" name=""/>
        <dsp:cNvSpPr/>
      </dsp:nvSpPr>
      <dsp:spPr>
        <a:xfrm>
          <a:off x="1649591" y="17161"/>
          <a:ext cx="1444902" cy="57796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s-MX" sz="1100" b="1" kern="1200">
              <a:latin typeface="Times New Roman" panose="02020603050405020304" pitchFamily="18" charset="0"/>
              <a:cs typeface="Times New Roman" panose="02020603050405020304" pitchFamily="18" charset="0"/>
            </a:rPr>
            <a:t>Fidelización</a:t>
          </a:r>
        </a:p>
      </dsp:txBody>
      <dsp:txXfrm>
        <a:off x="1649591" y="17161"/>
        <a:ext cx="1444902" cy="577961"/>
      </dsp:txXfrm>
    </dsp:sp>
    <dsp:sp modelId="{38344188-302D-4435-8B01-052AE6A1ECDA}">
      <dsp:nvSpPr>
        <dsp:cNvPr id="0" name=""/>
        <dsp:cNvSpPr/>
      </dsp:nvSpPr>
      <dsp:spPr>
        <a:xfrm>
          <a:off x="1649591" y="595123"/>
          <a:ext cx="1444902" cy="206424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KPI pactados: tiempos de verificación, tiempos de ingreso y egreso, accuracy.</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Mesas operativas mensuales y reportes ejecutivos.</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Portal cliente con visibilidad 24/7.</a:t>
          </a:r>
        </a:p>
      </dsp:txBody>
      <dsp:txXfrm>
        <a:off x="1649591" y="595123"/>
        <a:ext cx="1444902" cy="2064240"/>
      </dsp:txXfrm>
    </dsp:sp>
    <dsp:sp modelId="{47A8B0E8-2239-46FC-B807-20E7699FB44A}">
      <dsp:nvSpPr>
        <dsp:cNvPr id="0" name=""/>
        <dsp:cNvSpPr/>
      </dsp:nvSpPr>
      <dsp:spPr>
        <a:xfrm>
          <a:off x="3296780" y="17161"/>
          <a:ext cx="1444902" cy="57796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s-MX" sz="1100" b="1" kern="1200">
              <a:latin typeface="Times New Roman" panose="02020603050405020304" pitchFamily="18" charset="0"/>
              <a:cs typeface="Times New Roman" panose="02020603050405020304" pitchFamily="18" charset="0"/>
            </a:rPr>
            <a:t>Marketing B2B</a:t>
          </a:r>
        </a:p>
      </dsp:txBody>
      <dsp:txXfrm>
        <a:off x="3296780" y="17161"/>
        <a:ext cx="1444902" cy="577961"/>
      </dsp:txXfrm>
    </dsp:sp>
    <dsp:sp modelId="{EA8BC733-B165-4020-8F12-840E56640CE8}">
      <dsp:nvSpPr>
        <dsp:cNvPr id="0" name=""/>
        <dsp:cNvSpPr/>
      </dsp:nvSpPr>
      <dsp:spPr>
        <a:xfrm>
          <a:off x="3296780" y="595123"/>
          <a:ext cx="1444902" cy="206424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Font typeface="Arial" panose="020B0604020202020204" pitchFamily="34" charset="0"/>
            <a:buChar char="••"/>
          </a:pPr>
          <a:r>
            <a:rPr lang="es-MX" sz="1000" b="0" kern="1200">
              <a:latin typeface="Times New Roman" panose="02020603050405020304" pitchFamily="18" charset="0"/>
              <a:cs typeface="Times New Roman" panose="02020603050405020304" pitchFamily="18" charset="0"/>
            </a:rPr>
            <a:t>Posicionamiento como primer Depósito Fiscal sustentable de Argentina.</a:t>
          </a:r>
          <a:br>
            <a:rPr lang="es-MX" sz="1000" b="0" kern="1200">
              <a:latin typeface="Times New Roman" panose="02020603050405020304" pitchFamily="18" charset="0"/>
              <a:cs typeface="Times New Roman" panose="02020603050405020304" pitchFamily="18" charset="0"/>
            </a:rPr>
          </a:br>
          <a:endParaRPr lang="es-MX" sz="1000" b="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b="0" kern="1200">
              <a:latin typeface="Times New Roman" panose="02020603050405020304" pitchFamily="18" charset="0"/>
              <a:cs typeface="Times New Roman" panose="02020603050405020304" pitchFamily="18" charset="0"/>
            </a:rPr>
            <a:t>Casos de uso, videos operativos y tours virtuales.</a:t>
          </a:r>
          <a:br>
            <a:rPr lang="es-MX" sz="1000" b="0" kern="1200">
              <a:latin typeface="Times New Roman" panose="02020603050405020304" pitchFamily="18" charset="0"/>
              <a:cs typeface="Times New Roman" panose="02020603050405020304" pitchFamily="18" charset="0"/>
            </a:rPr>
          </a:br>
          <a:endParaRPr lang="es-MX" sz="1000" b="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b="0" kern="1200">
              <a:latin typeface="Times New Roman" panose="02020603050405020304" pitchFamily="18" charset="0"/>
              <a:cs typeface="Times New Roman" panose="02020603050405020304" pitchFamily="18" charset="0"/>
            </a:rPr>
            <a:t>Campañas en LinkedIn y prensa logística.</a:t>
          </a:r>
        </a:p>
      </dsp:txBody>
      <dsp:txXfrm>
        <a:off x="3296780" y="595123"/>
        <a:ext cx="1444902" cy="2064240"/>
      </dsp:txXfrm>
    </dsp:sp>
    <dsp:sp modelId="{062D4A19-C4FF-4A38-B44E-52F10B8D2919}">
      <dsp:nvSpPr>
        <dsp:cNvPr id="0" name=""/>
        <dsp:cNvSpPr/>
      </dsp:nvSpPr>
      <dsp:spPr>
        <a:xfrm>
          <a:off x="4943969" y="17161"/>
          <a:ext cx="1444902" cy="577961"/>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buNone/>
          </a:pPr>
          <a:r>
            <a:rPr lang="es-MX" sz="1100" b="1" kern="1200">
              <a:latin typeface="Times New Roman" panose="02020603050405020304" pitchFamily="18" charset="0"/>
              <a:cs typeface="Times New Roman" panose="02020603050405020304" pitchFamily="18" charset="0"/>
            </a:rPr>
            <a:t>Política comercial</a:t>
          </a:r>
        </a:p>
      </dsp:txBody>
      <dsp:txXfrm>
        <a:off x="4943969" y="17161"/>
        <a:ext cx="1444902" cy="577961"/>
      </dsp:txXfrm>
    </dsp:sp>
    <dsp:sp modelId="{B7027292-8D86-4621-8B22-0E67E226125C}">
      <dsp:nvSpPr>
        <dsp:cNvPr id="0" name=""/>
        <dsp:cNvSpPr/>
      </dsp:nvSpPr>
      <dsp:spPr>
        <a:xfrm>
          <a:off x="4943969" y="595123"/>
          <a:ext cx="1444902" cy="206424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Tarifario competitivo + descuentos por volumen.</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Planes anuales con precio fijo para multinacionales.</a:t>
          </a:r>
          <a:br>
            <a:rPr lang="es-MX" sz="1000" kern="1200">
              <a:latin typeface="Times New Roman" panose="02020603050405020304" pitchFamily="18" charset="0"/>
              <a:cs typeface="Times New Roman" panose="02020603050405020304" pitchFamily="18" charset="0"/>
            </a:rPr>
          </a:br>
          <a:endParaRPr lang="es-MX"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15000"/>
            </a:spcAft>
            <a:buFont typeface="Arial" panose="020B0604020202020204" pitchFamily="34" charset="0"/>
            <a:buChar char="••"/>
          </a:pPr>
          <a:r>
            <a:rPr lang="es-MX" sz="1000" kern="1200">
              <a:latin typeface="Times New Roman" panose="02020603050405020304" pitchFamily="18" charset="0"/>
              <a:cs typeface="Times New Roman" panose="02020603050405020304" pitchFamily="18" charset="0"/>
            </a:rPr>
            <a:t>Up-selling: almacenaje nacional + distribución + VAS.</a:t>
          </a:r>
        </a:p>
      </dsp:txBody>
      <dsp:txXfrm>
        <a:off x="4943969" y="595123"/>
        <a:ext cx="1444902" cy="206424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layout6.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E39F9-1A4A-4F37-B77D-C63B51CC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86</Pages>
  <Words>19024</Words>
  <Characters>104635</Characters>
  <Application>Microsoft Office Word</Application>
  <DocSecurity>0</DocSecurity>
  <Lines>871</Lines>
  <Paragraphs>246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123413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MBA</cp:lastModifiedBy>
  <cp:revision>5</cp:revision>
  <dcterms:created xsi:type="dcterms:W3CDTF">2026-05-04T12:17:00Z</dcterms:created>
  <dcterms:modified xsi:type="dcterms:W3CDTF">2026-09-23T21:38:00Z</dcterms:modified>
  <cp:category/>
</cp:coreProperties>
</file>